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0" w:firstLineChars="0"/>
        <w:jc w:val="center"/>
      </w:pPr>
    </w:p>
    <w:p>
      <w:pPr>
        <w:ind w:firstLine="0" w:firstLineChars="0"/>
        <w:jc w:val="center"/>
      </w:pPr>
    </w:p>
    <w:p>
      <w:pPr>
        <w:ind w:firstLine="0" w:firstLineChars="0"/>
        <w:jc w:val="center"/>
      </w:pPr>
    </w:p>
    <w:p>
      <w:pPr>
        <w:ind w:firstLine="0" w:firstLineChars="0"/>
        <w:jc w:val="center"/>
      </w:pPr>
    </w:p>
    <w:p>
      <w:pPr>
        <w:spacing w:line="240" w:lineRule="auto"/>
        <w:ind w:firstLine="0" w:firstLineChars="0"/>
        <w:jc w:val="center"/>
        <w:rPr>
          <w:b/>
          <w:sz w:val="52"/>
        </w:rPr>
      </w:pPr>
      <w:r>
        <w:rPr>
          <w:rFonts w:hint="eastAsia"/>
          <w:b/>
          <w:sz w:val="52"/>
          <w:lang w:eastAsia="zh-CN"/>
        </w:rPr>
        <w:t>南昌慧华高科混凝土有限公司</w:t>
      </w:r>
    </w:p>
    <w:p>
      <w:pPr>
        <w:spacing w:line="240" w:lineRule="auto"/>
        <w:ind w:firstLine="0" w:firstLineChars="0"/>
        <w:jc w:val="center"/>
        <w:rPr>
          <w:b/>
          <w:sz w:val="48"/>
        </w:rPr>
      </w:pPr>
      <w:r>
        <w:rPr>
          <w:rFonts w:hint="eastAsia"/>
          <w:b/>
          <w:sz w:val="52"/>
        </w:rPr>
        <w:t>突发环境事件风险评估报告</w:t>
      </w:r>
    </w:p>
    <w:p>
      <w:pPr>
        <w:ind w:firstLine="0" w:firstLineChars="0"/>
        <w:jc w:val="center"/>
      </w:pPr>
    </w:p>
    <w:p>
      <w:pPr>
        <w:ind w:firstLine="0" w:firstLineChars="0"/>
        <w:jc w:val="center"/>
      </w:pPr>
    </w:p>
    <w:p>
      <w:pPr>
        <w:ind w:firstLine="0" w:firstLineChars="0"/>
        <w:jc w:val="center"/>
      </w:pPr>
    </w:p>
    <w:p>
      <w:pPr>
        <w:ind w:firstLine="0" w:firstLineChars="0"/>
        <w:jc w:val="center"/>
      </w:pPr>
    </w:p>
    <w:p>
      <w:pPr>
        <w:ind w:firstLine="0" w:firstLineChars="0"/>
        <w:jc w:val="center"/>
      </w:pPr>
    </w:p>
    <w:p>
      <w:pPr>
        <w:ind w:firstLine="0" w:firstLineChars="0"/>
        <w:jc w:val="center"/>
      </w:pPr>
    </w:p>
    <w:p>
      <w:pPr>
        <w:ind w:firstLine="0" w:firstLineChars="0"/>
        <w:jc w:val="center"/>
      </w:pPr>
    </w:p>
    <w:p>
      <w:pPr>
        <w:ind w:firstLine="0" w:firstLineChars="0"/>
        <w:jc w:val="center"/>
      </w:pPr>
    </w:p>
    <w:p>
      <w:pPr>
        <w:ind w:firstLine="0" w:firstLineChars="0"/>
        <w:jc w:val="center"/>
      </w:pPr>
    </w:p>
    <w:p>
      <w:pPr>
        <w:ind w:firstLine="0" w:firstLineChars="0"/>
        <w:jc w:val="center"/>
      </w:pPr>
    </w:p>
    <w:p>
      <w:pPr>
        <w:ind w:firstLine="0" w:firstLineChars="0"/>
        <w:jc w:val="center"/>
      </w:pPr>
    </w:p>
    <w:p>
      <w:pPr>
        <w:ind w:firstLine="0" w:firstLineChars="0"/>
        <w:jc w:val="center"/>
        <w:rPr>
          <w:rFonts w:hint="eastAsia" w:eastAsia="宋体"/>
          <w:b/>
          <w:sz w:val="36"/>
          <w:lang w:eastAsia="zh-CN"/>
        </w:rPr>
      </w:pPr>
      <w:r>
        <w:rPr>
          <w:rFonts w:hint="eastAsia"/>
          <w:b/>
          <w:sz w:val="36"/>
          <w:lang w:eastAsia="zh-CN"/>
        </w:rPr>
        <w:t>南昌慧华高科混凝土有限公司</w:t>
      </w:r>
    </w:p>
    <w:p>
      <w:pPr>
        <w:ind w:firstLine="0" w:firstLineChars="0"/>
        <w:jc w:val="center"/>
        <w:rPr>
          <w:rFonts w:hint="eastAsia"/>
          <w:b/>
          <w:sz w:val="36"/>
        </w:rPr>
        <w:sectPr>
          <w:headerReference r:id="rId5" w:type="first"/>
          <w:footerReference r:id="rId8" w:type="first"/>
          <w:headerReference r:id="rId3" w:type="default"/>
          <w:footerReference r:id="rId6" w:type="default"/>
          <w:headerReference r:id="rId4" w:type="even"/>
          <w:footerReference r:id="rId7" w:type="even"/>
          <w:pgSz w:w="11906" w:h="16838"/>
          <w:pgMar w:top="1304" w:right="1247" w:bottom="1304" w:left="1531" w:header="851" w:footer="851" w:gutter="0"/>
          <w:pgBorders>
            <w:top w:val="none" w:sz="0" w:space="0"/>
            <w:left w:val="none" w:sz="0" w:space="0"/>
            <w:bottom w:val="none" w:sz="0" w:space="0"/>
            <w:right w:val="none" w:sz="0" w:space="0"/>
          </w:pgBorders>
          <w:cols w:space="425" w:num="1"/>
          <w:docGrid w:type="lines" w:linePitch="312" w:charSpace="0"/>
        </w:sectPr>
      </w:pPr>
      <w:r>
        <w:rPr>
          <w:rFonts w:hint="eastAsia"/>
          <w:b/>
          <w:sz w:val="36"/>
        </w:rPr>
        <w:t>二〇二〇年</w:t>
      </w:r>
      <w:r>
        <w:rPr>
          <w:rFonts w:hint="eastAsia"/>
          <w:b/>
          <w:sz w:val="36"/>
          <w:lang w:eastAsia="zh-CN"/>
        </w:rPr>
        <w:t>九</w:t>
      </w:r>
      <w:r>
        <w:rPr>
          <w:rFonts w:hint="eastAsia"/>
          <w:b/>
          <w:sz w:val="36"/>
        </w:rPr>
        <w:t>月</w:t>
      </w:r>
    </w:p>
    <w:p>
      <w:pPr>
        <w:ind w:firstLine="0" w:firstLineChars="0"/>
        <w:jc w:val="center"/>
        <w:rPr>
          <w:rFonts w:hint="eastAsia"/>
          <w:b/>
          <w:sz w:val="36"/>
        </w:rPr>
        <w:sectPr>
          <w:pgSz w:w="11906" w:h="16838"/>
          <w:pgMar w:top="1304" w:right="1247" w:bottom="1304" w:left="1531" w:header="851" w:footer="851" w:gutter="0"/>
          <w:pgBorders>
            <w:top w:val="none" w:sz="0" w:space="0"/>
            <w:left w:val="none" w:sz="0" w:space="0"/>
            <w:bottom w:val="none" w:sz="0" w:space="0"/>
            <w:right w:val="none" w:sz="0" w:space="0"/>
          </w:pgBorders>
          <w:cols w:space="425" w:num="1"/>
          <w:docGrid w:type="lines" w:linePitch="312" w:charSpace="0"/>
        </w:sectPr>
      </w:pPr>
    </w:p>
    <w:p>
      <w:pPr>
        <w:ind w:firstLine="0" w:firstLineChars="0"/>
        <w:jc w:val="center"/>
        <w:rPr>
          <w:b/>
        </w:rPr>
      </w:pPr>
      <w:r>
        <w:rPr>
          <w:rFonts w:hint="eastAsia"/>
          <w:b/>
        </w:rPr>
        <w:t>目录</w:t>
      </w:r>
    </w:p>
    <w:p>
      <w:pPr>
        <w:pStyle w:val="15"/>
        <w:tabs>
          <w:tab w:val="right" w:leader="dot" w:pos="9128"/>
          <w:tab w:val="clear" w:pos="9118"/>
        </w:tabs>
      </w:pPr>
      <w:r>
        <w:rPr>
          <w:sz w:val="24"/>
          <w:szCs w:val="24"/>
        </w:rPr>
        <w:fldChar w:fldCharType="begin"/>
      </w:r>
      <w:r>
        <w:rPr>
          <w:sz w:val="24"/>
          <w:szCs w:val="24"/>
        </w:rPr>
        <w:instrText xml:space="preserve"> TOC \o "1-2" \h \z \u </w:instrText>
      </w:r>
      <w:r>
        <w:rPr>
          <w:sz w:val="24"/>
          <w:szCs w:val="24"/>
        </w:rPr>
        <w:fldChar w:fldCharType="separate"/>
      </w:r>
      <w:r>
        <w:rPr>
          <w:szCs w:val="24"/>
        </w:rPr>
        <w:fldChar w:fldCharType="begin"/>
      </w:r>
      <w:r>
        <w:rPr>
          <w:szCs w:val="24"/>
        </w:rPr>
        <w:instrText xml:space="preserve"> HYPERLINK \l _Toc14978 </w:instrText>
      </w:r>
      <w:r>
        <w:rPr>
          <w:szCs w:val="24"/>
        </w:rPr>
        <w:fldChar w:fldCharType="separate"/>
      </w:r>
      <w:r>
        <w:rPr>
          <w:rFonts w:hint="default" w:ascii="Times New Roman" w:hAnsi="Times New Roman" w:eastAsia="宋体"/>
          <w:i w:val="0"/>
        </w:rPr>
        <w:t xml:space="preserve">1 </w:t>
      </w:r>
      <w:r>
        <w:rPr>
          <w:rFonts w:hint="eastAsia"/>
        </w:rPr>
        <w:t>前言</w:t>
      </w:r>
      <w:r>
        <w:tab/>
      </w:r>
      <w:r>
        <w:fldChar w:fldCharType="begin"/>
      </w:r>
      <w:r>
        <w:instrText xml:space="preserve"> PAGEREF _Toc14978 </w:instrText>
      </w:r>
      <w:r>
        <w:fldChar w:fldCharType="separate"/>
      </w:r>
      <w:r>
        <w:t>5</w:t>
      </w:r>
      <w:r>
        <w:fldChar w:fldCharType="end"/>
      </w:r>
      <w:r>
        <w:rPr>
          <w:szCs w:val="24"/>
        </w:rPr>
        <w:fldChar w:fldCharType="end"/>
      </w:r>
    </w:p>
    <w:p>
      <w:pPr>
        <w:pStyle w:val="16"/>
        <w:tabs>
          <w:tab w:val="right" w:leader="dot" w:pos="9128"/>
          <w:tab w:val="clear" w:pos="9118"/>
        </w:tabs>
      </w:pPr>
      <w:r>
        <w:rPr>
          <w:szCs w:val="24"/>
        </w:rPr>
        <w:fldChar w:fldCharType="begin"/>
      </w:r>
      <w:r>
        <w:rPr>
          <w:szCs w:val="24"/>
        </w:rPr>
        <w:instrText xml:space="preserve"> HYPERLINK \l _Toc23132 </w:instrText>
      </w:r>
      <w:r>
        <w:rPr>
          <w:szCs w:val="24"/>
        </w:rPr>
        <w:fldChar w:fldCharType="separate"/>
      </w:r>
      <w:r>
        <w:rPr>
          <w:rFonts w:hint="default" w:ascii="Times New Roman" w:hAnsi="Times New Roman" w:eastAsia="宋体"/>
          <w:i w:val="0"/>
          <w:szCs w:val="30"/>
        </w:rPr>
        <w:t xml:space="preserve">1.1 </w:t>
      </w:r>
      <w:r>
        <w:rPr>
          <w:rFonts w:hint="eastAsia"/>
          <w:szCs w:val="24"/>
        </w:rPr>
        <w:t>工作由来</w:t>
      </w:r>
      <w:r>
        <w:tab/>
      </w:r>
      <w:r>
        <w:fldChar w:fldCharType="begin"/>
      </w:r>
      <w:r>
        <w:instrText xml:space="preserve"> PAGEREF _Toc23132 </w:instrText>
      </w:r>
      <w:r>
        <w:fldChar w:fldCharType="separate"/>
      </w:r>
      <w:r>
        <w:t>5</w:t>
      </w:r>
      <w:r>
        <w:fldChar w:fldCharType="end"/>
      </w:r>
      <w:r>
        <w:rPr>
          <w:szCs w:val="24"/>
        </w:rPr>
        <w:fldChar w:fldCharType="end"/>
      </w:r>
    </w:p>
    <w:p>
      <w:pPr>
        <w:pStyle w:val="16"/>
        <w:tabs>
          <w:tab w:val="right" w:leader="dot" w:pos="9128"/>
          <w:tab w:val="clear" w:pos="9118"/>
        </w:tabs>
      </w:pPr>
      <w:r>
        <w:rPr>
          <w:szCs w:val="24"/>
        </w:rPr>
        <w:fldChar w:fldCharType="begin"/>
      </w:r>
      <w:r>
        <w:rPr>
          <w:szCs w:val="24"/>
        </w:rPr>
        <w:instrText xml:space="preserve"> HYPERLINK \l _Toc27198 </w:instrText>
      </w:r>
      <w:r>
        <w:rPr>
          <w:szCs w:val="24"/>
        </w:rPr>
        <w:fldChar w:fldCharType="separate"/>
      </w:r>
      <w:r>
        <w:rPr>
          <w:rFonts w:hint="default" w:ascii="Times New Roman" w:hAnsi="Times New Roman" w:eastAsia="宋体"/>
          <w:i w:val="0"/>
          <w:szCs w:val="30"/>
        </w:rPr>
        <w:t xml:space="preserve">1.2 </w:t>
      </w:r>
      <w:r>
        <w:rPr>
          <w:rFonts w:hint="eastAsia"/>
          <w:szCs w:val="24"/>
        </w:rPr>
        <w:t>评估程序</w:t>
      </w:r>
      <w:r>
        <w:tab/>
      </w:r>
      <w:r>
        <w:fldChar w:fldCharType="begin"/>
      </w:r>
      <w:r>
        <w:instrText xml:space="preserve"> PAGEREF _Toc27198 </w:instrText>
      </w:r>
      <w:r>
        <w:fldChar w:fldCharType="separate"/>
      </w:r>
      <w:r>
        <w:t>5</w:t>
      </w:r>
      <w:r>
        <w:fldChar w:fldCharType="end"/>
      </w:r>
      <w:r>
        <w:rPr>
          <w:szCs w:val="24"/>
        </w:rPr>
        <w:fldChar w:fldCharType="end"/>
      </w:r>
    </w:p>
    <w:p>
      <w:pPr>
        <w:pStyle w:val="16"/>
        <w:tabs>
          <w:tab w:val="right" w:leader="dot" w:pos="9128"/>
          <w:tab w:val="clear" w:pos="9118"/>
        </w:tabs>
      </w:pPr>
      <w:r>
        <w:rPr>
          <w:szCs w:val="24"/>
        </w:rPr>
        <w:fldChar w:fldCharType="begin"/>
      </w:r>
      <w:r>
        <w:rPr>
          <w:szCs w:val="24"/>
        </w:rPr>
        <w:instrText xml:space="preserve"> HYPERLINK \l _Toc14009 </w:instrText>
      </w:r>
      <w:r>
        <w:rPr>
          <w:szCs w:val="24"/>
        </w:rPr>
        <w:fldChar w:fldCharType="separate"/>
      </w:r>
      <w:r>
        <w:rPr>
          <w:rFonts w:hint="default" w:ascii="Times New Roman" w:hAnsi="Times New Roman" w:eastAsia="宋体"/>
          <w:i w:val="0"/>
          <w:szCs w:val="30"/>
        </w:rPr>
        <w:t xml:space="preserve">1.3 </w:t>
      </w:r>
      <w:r>
        <w:rPr>
          <w:rFonts w:hint="eastAsia"/>
          <w:szCs w:val="24"/>
        </w:rPr>
        <w:t>环境风险评估的一般要求</w:t>
      </w:r>
      <w:r>
        <w:tab/>
      </w:r>
      <w:r>
        <w:fldChar w:fldCharType="begin"/>
      </w:r>
      <w:r>
        <w:instrText xml:space="preserve"> PAGEREF _Toc14009 </w:instrText>
      </w:r>
      <w:r>
        <w:fldChar w:fldCharType="separate"/>
      </w:r>
      <w:r>
        <w:t>6</w:t>
      </w:r>
      <w:r>
        <w:fldChar w:fldCharType="end"/>
      </w:r>
      <w:r>
        <w:rPr>
          <w:szCs w:val="24"/>
        </w:rPr>
        <w:fldChar w:fldCharType="end"/>
      </w:r>
    </w:p>
    <w:p>
      <w:pPr>
        <w:pStyle w:val="15"/>
        <w:tabs>
          <w:tab w:val="right" w:leader="dot" w:pos="9128"/>
          <w:tab w:val="clear" w:pos="9118"/>
        </w:tabs>
      </w:pPr>
      <w:r>
        <w:rPr>
          <w:szCs w:val="24"/>
        </w:rPr>
        <w:fldChar w:fldCharType="begin"/>
      </w:r>
      <w:r>
        <w:rPr>
          <w:szCs w:val="24"/>
        </w:rPr>
        <w:instrText xml:space="preserve"> HYPERLINK \l _Toc15767 </w:instrText>
      </w:r>
      <w:r>
        <w:rPr>
          <w:szCs w:val="24"/>
        </w:rPr>
        <w:fldChar w:fldCharType="separate"/>
      </w:r>
      <w:r>
        <w:rPr>
          <w:rFonts w:hint="default" w:ascii="Times New Roman" w:hAnsi="Times New Roman" w:eastAsia="宋体"/>
          <w:i w:val="0"/>
        </w:rPr>
        <w:t xml:space="preserve">2 </w:t>
      </w:r>
      <w:r>
        <w:rPr>
          <w:rFonts w:hint="eastAsia"/>
        </w:rPr>
        <w:t>总则</w:t>
      </w:r>
      <w:r>
        <w:tab/>
      </w:r>
      <w:r>
        <w:fldChar w:fldCharType="begin"/>
      </w:r>
      <w:r>
        <w:instrText xml:space="preserve"> PAGEREF _Toc15767 </w:instrText>
      </w:r>
      <w:r>
        <w:fldChar w:fldCharType="separate"/>
      </w:r>
      <w:r>
        <w:t>7</w:t>
      </w:r>
      <w:r>
        <w:fldChar w:fldCharType="end"/>
      </w:r>
      <w:r>
        <w:rPr>
          <w:szCs w:val="24"/>
        </w:rPr>
        <w:fldChar w:fldCharType="end"/>
      </w:r>
    </w:p>
    <w:p>
      <w:pPr>
        <w:pStyle w:val="16"/>
        <w:tabs>
          <w:tab w:val="right" w:leader="dot" w:pos="9128"/>
          <w:tab w:val="clear" w:pos="9118"/>
        </w:tabs>
      </w:pPr>
      <w:r>
        <w:rPr>
          <w:szCs w:val="24"/>
        </w:rPr>
        <w:fldChar w:fldCharType="begin"/>
      </w:r>
      <w:r>
        <w:rPr>
          <w:szCs w:val="24"/>
        </w:rPr>
        <w:instrText xml:space="preserve"> HYPERLINK \l _Toc513 </w:instrText>
      </w:r>
      <w:r>
        <w:rPr>
          <w:szCs w:val="24"/>
        </w:rPr>
        <w:fldChar w:fldCharType="separate"/>
      </w:r>
      <w:r>
        <w:rPr>
          <w:rFonts w:hint="default" w:ascii="Times New Roman" w:hAnsi="Times New Roman" w:eastAsia="宋体"/>
          <w:i w:val="0"/>
          <w:szCs w:val="30"/>
        </w:rPr>
        <w:t xml:space="preserve">2.1 </w:t>
      </w:r>
      <w:r>
        <w:rPr>
          <w:rFonts w:hint="eastAsia"/>
          <w:szCs w:val="24"/>
        </w:rPr>
        <w:t>编制原则</w:t>
      </w:r>
      <w:r>
        <w:tab/>
      </w:r>
      <w:r>
        <w:fldChar w:fldCharType="begin"/>
      </w:r>
      <w:r>
        <w:instrText xml:space="preserve"> PAGEREF _Toc513 </w:instrText>
      </w:r>
      <w:r>
        <w:fldChar w:fldCharType="separate"/>
      </w:r>
      <w:r>
        <w:t>7</w:t>
      </w:r>
      <w:r>
        <w:fldChar w:fldCharType="end"/>
      </w:r>
      <w:r>
        <w:rPr>
          <w:szCs w:val="24"/>
        </w:rPr>
        <w:fldChar w:fldCharType="end"/>
      </w:r>
    </w:p>
    <w:p>
      <w:pPr>
        <w:pStyle w:val="16"/>
        <w:tabs>
          <w:tab w:val="right" w:leader="dot" w:pos="9128"/>
          <w:tab w:val="clear" w:pos="9118"/>
        </w:tabs>
      </w:pPr>
      <w:r>
        <w:rPr>
          <w:szCs w:val="24"/>
        </w:rPr>
        <w:fldChar w:fldCharType="begin"/>
      </w:r>
      <w:r>
        <w:rPr>
          <w:szCs w:val="24"/>
        </w:rPr>
        <w:instrText xml:space="preserve"> HYPERLINK \l _Toc4071 </w:instrText>
      </w:r>
      <w:r>
        <w:rPr>
          <w:szCs w:val="24"/>
        </w:rPr>
        <w:fldChar w:fldCharType="separate"/>
      </w:r>
      <w:r>
        <w:rPr>
          <w:rFonts w:hint="default" w:ascii="Times New Roman" w:hAnsi="Times New Roman" w:eastAsia="宋体"/>
          <w:i w:val="0"/>
          <w:szCs w:val="30"/>
        </w:rPr>
        <w:t xml:space="preserve">2.2 </w:t>
      </w:r>
      <w:r>
        <w:rPr>
          <w:rFonts w:hint="eastAsia"/>
          <w:szCs w:val="24"/>
        </w:rPr>
        <w:t>编制依据</w:t>
      </w:r>
      <w:r>
        <w:tab/>
      </w:r>
      <w:r>
        <w:fldChar w:fldCharType="begin"/>
      </w:r>
      <w:r>
        <w:instrText xml:space="preserve"> PAGEREF _Toc4071 </w:instrText>
      </w:r>
      <w:r>
        <w:fldChar w:fldCharType="separate"/>
      </w:r>
      <w:r>
        <w:t>7</w:t>
      </w:r>
      <w:r>
        <w:fldChar w:fldCharType="end"/>
      </w:r>
      <w:r>
        <w:rPr>
          <w:szCs w:val="24"/>
        </w:rPr>
        <w:fldChar w:fldCharType="end"/>
      </w:r>
    </w:p>
    <w:p>
      <w:pPr>
        <w:pStyle w:val="15"/>
        <w:tabs>
          <w:tab w:val="right" w:leader="dot" w:pos="9128"/>
          <w:tab w:val="clear" w:pos="9118"/>
        </w:tabs>
      </w:pPr>
      <w:r>
        <w:rPr>
          <w:szCs w:val="24"/>
        </w:rPr>
        <w:fldChar w:fldCharType="begin"/>
      </w:r>
      <w:r>
        <w:rPr>
          <w:szCs w:val="24"/>
        </w:rPr>
        <w:instrText xml:space="preserve"> HYPERLINK \l _Toc25141 </w:instrText>
      </w:r>
      <w:r>
        <w:rPr>
          <w:szCs w:val="24"/>
        </w:rPr>
        <w:fldChar w:fldCharType="separate"/>
      </w:r>
      <w:r>
        <w:rPr>
          <w:rFonts w:hint="default" w:ascii="Times New Roman" w:hAnsi="Times New Roman" w:eastAsia="宋体"/>
          <w:i w:val="0"/>
        </w:rPr>
        <w:t xml:space="preserve">3 </w:t>
      </w:r>
      <w:r>
        <w:rPr>
          <w:rFonts w:hint="eastAsia"/>
        </w:rPr>
        <w:t>资料准备与环境风险识别</w:t>
      </w:r>
      <w:r>
        <w:tab/>
      </w:r>
      <w:r>
        <w:fldChar w:fldCharType="begin"/>
      </w:r>
      <w:r>
        <w:instrText xml:space="preserve"> PAGEREF _Toc25141 </w:instrText>
      </w:r>
      <w:r>
        <w:fldChar w:fldCharType="separate"/>
      </w:r>
      <w:r>
        <w:t>10</w:t>
      </w:r>
      <w:r>
        <w:fldChar w:fldCharType="end"/>
      </w:r>
      <w:r>
        <w:rPr>
          <w:szCs w:val="24"/>
        </w:rPr>
        <w:fldChar w:fldCharType="end"/>
      </w:r>
    </w:p>
    <w:p>
      <w:pPr>
        <w:pStyle w:val="16"/>
        <w:tabs>
          <w:tab w:val="right" w:leader="dot" w:pos="9128"/>
          <w:tab w:val="clear" w:pos="9118"/>
        </w:tabs>
      </w:pPr>
      <w:r>
        <w:rPr>
          <w:szCs w:val="24"/>
        </w:rPr>
        <w:fldChar w:fldCharType="begin"/>
      </w:r>
      <w:r>
        <w:rPr>
          <w:szCs w:val="24"/>
        </w:rPr>
        <w:instrText xml:space="preserve"> HYPERLINK \l _Toc3830 </w:instrText>
      </w:r>
      <w:r>
        <w:rPr>
          <w:szCs w:val="24"/>
        </w:rPr>
        <w:fldChar w:fldCharType="separate"/>
      </w:r>
      <w:r>
        <w:rPr>
          <w:rFonts w:hint="default" w:ascii="Times New Roman" w:hAnsi="Times New Roman" w:eastAsia="宋体"/>
          <w:i w:val="0"/>
          <w:szCs w:val="30"/>
        </w:rPr>
        <w:t xml:space="preserve">3.1 </w:t>
      </w:r>
      <w:r>
        <w:rPr>
          <w:rFonts w:hint="eastAsia"/>
        </w:rPr>
        <w:t>企业基本信息</w:t>
      </w:r>
      <w:r>
        <w:tab/>
      </w:r>
      <w:r>
        <w:fldChar w:fldCharType="begin"/>
      </w:r>
      <w:r>
        <w:instrText xml:space="preserve"> PAGEREF _Toc3830 </w:instrText>
      </w:r>
      <w:r>
        <w:fldChar w:fldCharType="separate"/>
      </w:r>
      <w:r>
        <w:t>10</w:t>
      </w:r>
      <w:r>
        <w:fldChar w:fldCharType="end"/>
      </w:r>
      <w:r>
        <w:rPr>
          <w:szCs w:val="24"/>
        </w:rPr>
        <w:fldChar w:fldCharType="end"/>
      </w:r>
    </w:p>
    <w:p>
      <w:pPr>
        <w:pStyle w:val="16"/>
        <w:tabs>
          <w:tab w:val="right" w:leader="dot" w:pos="9128"/>
          <w:tab w:val="clear" w:pos="9118"/>
        </w:tabs>
      </w:pPr>
      <w:r>
        <w:rPr>
          <w:szCs w:val="24"/>
        </w:rPr>
        <w:fldChar w:fldCharType="begin"/>
      </w:r>
      <w:r>
        <w:rPr>
          <w:szCs w:val="24"/>
        </w:rPr>
        <w:instrText xml:space="preserve"> HYPERLINK \l _Toc5799 </w:instrText>
      </w:r>
      <w:r>
        <w:rPr>
          <w:szCs w:val="24"/>
        </w:rPr>
        <w:fldChar w:fldCharType="separate"/>
      </w:r>
      <w:r>
        <w:rPr>
          <w:rFonts w:hint="default" w:ascii="Times New Roman" w:hAnsi="Times New Roman" w:eastAsia="宋体"/>
          <w:i w:val="0"/>
          <w:szCs w:val="30"/>
        </w:rPr>
        <w:t xml:space="preserve">3.2 </w:t>
      </w:r>
      <w:r>
        <w:rPr>
          <w:rFonts w:hint="eastAsia"/>
        </w:rPr>
        <w:t>企业周边环境风险受体情况</w:t>
      </w:r>
      <w:r>
        <w:tab/>
      </w:r>
      <w:r>
        <w:fldChar w:fldCharType="begin"/>
      </w:r>
      <w:r>
        <w:instrText xml:space="preserve"> PAGEREF _Toc5799 </w:instrText>
      </w:r>
      <w:r>
        <w:fldChar w:fldCharType="separate"/>
      </w:r>
      <w:r>
        <w:t>15</w:t>
      </w:r>
      <w:r>
        <w:fldChar w:fldCharType="end"/>
      </w:r>
      <w:r>
        <w:rPr>
          <w:szCs w:val="24"/>
        </w:rPr>
        <w:fldChar w:fldCharType="end"/>
      </w:r>
    </w:p>
    <w:p>
      <w:pPr>
        <w:pStyle w:val="16"/>
        <w:tabs>
          <w:tab w:val="right" w:leader="dot" w:pos="9128"/>
          <w:tab w:val="clear" w:pos="9118"/>
        </w:tabs>
      </w:pPr>
      <w:r>
        <w:rPr>
          <w:szCs w:val="24"/>
        </w:rPr>
        <w:fldChar w:fldCharType="begin"/>
      </w:r>
      <w:r>
        <w:rPr>
          <w:szCs w:val="24"/>
        </w:rPr>
        <w:instrText xml:space="preserve"> HYPERLINK \l _Toc10986 </w:instrText>
      </w:r>
      <w:r>
        <w:rPr>
          <w:szCs w:val="24"/>
        </w:rPr>
        <w:fldChar w:fldCharType="separate"/>
      </w:r>
      <w:r>
        <w:rPr>
          <w:rFonts w:hint="default" w:ascii="Times New Roman" w:hAnsi="Times New Roman" w:eastAsia="宋体"/>
          <w:i w:val="0"/>
          <w:szCs w:val="30"/>
        </w:rPr>
        <w:t xml:space="preserve">3.3 </w:t>
      </w:r>
      <w:r>
        <w:rPr>
          <w:rFonts w:hint="eastAsia"/>
        </w:rPr>
        <w:t>涉及环境风险物质情况</w:t>
      </w:r>
      <w:r>
        <w:tab/>
      </w:r>
      <w:r>
        <w:fldChar w:fldCharType="begin"/>
      </w:r>
      <w:r>
        <w:instrText xml:space="preserve"> PAGEREF _Toc10986 </w:instrText>
      </w:r>
      <w:r>
        <w:fldChar w:fldCharType="separate"/>
      </w:r>
      <w:r>
        <w:t>18</w:t>
      </w:r>
      <w:r>
        <w:fldChar w:fldCharType="end"/>
      </w:r>
      <w:r>
        <w:rPr>
          <w:szCs w:val="24"/>
        </w:rPr>
        <w:fldChar w:fldCharType="end"/>
      </w:r>
    </w:p>
    <w:p>
      <w:pPr>
        <w:pStyle w:val="16"/>
        <w:tabs>
          <w:tab w:val="right" w:leader="dot" w:pos="9128"/>
          <w:tab w:val="clear" w:pos="9118"/>
        </w:tabs>
      </w:pPr>
      <w:r>
        <w:rPr>
          <w:szCs w:val="24"/>
        </w:rPr>
        <w:fldChar w:fldCharType="begin"/>
      </w:r>
      <w:r>
        <w:rPr>
          <w:szCs w:val="24"/>
        </w:rPr>
        <w:instrText xml:space="preserve"> HYPERLINK \l _Toc11408 </w:instrText>
      </w:r>
      <w:r>
        <w:rPr>
          <w:szCs w:val="24"/>
        </w:rPr>
        <w:fldChar w:fldCharType="separate"/>
      </w:r>
      <w:r>
        <w:rPr>
          <w:rFonts w:hint="default" w:ascii="Times New Roman" w:hAnsi="Times New Roman" w:eastAsia="宋体"/>
          <w:i w:val="0"/>
          <w:szCs w:val="30"/>
        </w:rPr>
        <w:t xml:space="preserve">3.4 </w:t>
      </w:r>
      <w:r>
        <w:rPr>
          <w:rFonts w:hint="eastAsia"/>
        </w:rPr>
        <w:t>现有环境风险防控与突发环境事件发生情况</w:t>
      </w:r>
      <w:r>
        <w:tab/>
      </w:r>
      <w:r>
        <w:fldChar w:fldCharType="begin"/>
      </w:r>
      <w:r>
        <w:instrText xml:space="preserve"> PAGEREF _Toc11408 </w:instrText>
      </w:r>
      <w:r>
        <w:fldChar w:fldCharType="separate"/>
      </w:r>
      <w:r>
        <w:t>21</w:t>
      </w:r>
      <w:r>
        <w:fldChar w:fldCharType="end"/>
      </w:r>
      <w:r>
        <w:rPr>
          <w:szCs w:val="24"/>
        </w:rPr>
        <w:fldChar w:fldCharType="end"/>
      </w:r>
    </w:p>
    <w:p>
      <w:pPr>
        <w:pStyle w:val="16"/>
        <w:tabs>
          <w:tab w:val="right" w:leader="dot" w:pos="9128"/>
          <w:tab w:val="clear" w:pos="9118"/>
        </w:tabs>
      </w:pPr>
      <w:r>
        <w:rPr>
          <w:szCs w:val="24"/>
        </w:rPr>
        <w:fldChar w:fldCharType="begin"/>
      </w:r>
      <w:r>
        <w:rPr>
          <w:szCs w:val="24"/>
        </w:rPr>
        <w:instrText xml:space="preserve"> HYPERLINK \l _Toc27389 </w:instrText>
      </w:r>
      <w:r>
        <w:rPr>
          <w:szCs w:val="24"/>
        </w:rPr>
        <w:fldChar w:fldCharType="separate"/>
      </w:r>
      <w:r>
        <w:rPr>
          <w:rFonts w:hint="default" w:ascii="Times New Roman" w:hAnsi="Times New Roman" w:eastAsia="宋体"/>
          <w:i w:val="0"/>
          <w:szCs w:val="30"/>
        </w:rPr>
        <w:t xml:space="preserve">3.5 </w:t>
      </w:r>
      <w:r>
        <w:rPr>
          <w:rFonts w:hint="eastAsia"/>
        </w:rPr>
        <w:t>现有应急物资与装备、救援队伍情况</w:t>
      </w:r>
      <w:r>
        <w:tab/>
      </w:r>
      <w:r>
        <w:fldChar w:fldCharType="begin"/>
      </w:r>
      <w:r>
        <w:instrText xml:space="preserve"> PAGEREF _Toc27389 </w:instrText>
      </w:r>
      <w:r>
        <w:fldChar w:fldCharType="separate"/>
      </w:r>
      <w:r>
        <w:t>25</w:t>
      </w:r>
      <w:r>
        <w:fldChar w:fldCharType="end"/>
      </w:r>
      <w:r>
        <w:rPr>
          <w:szCs w:val="24"/>
        </w:rPr>
        <w:fldChar w:fldCharType="end"/>
      </w:r>
    </w:p>
    <w:p>
      <w:pPr>
        <w:pStyle w:val="15"/>
        <w:tabs>
          <w:tab w:val="right" w:leader="dot" w:pos="9128"/>
          <w:tab w:val="clear" w:pos="9118"/>
        </w:tabs>
      </w:pPr>
      <w:r>
        <w:rPr>
          <w:szCs w:val="24"/>
        </w:rPr>
        <w:fldChar w:fldCharType="begin"/>
      </w:r>
      <w:r>
        <w:rPr>
          <w:szCs w:val="24"/>
        </w:rPr>
        <w:instrText xml:space="preserve"> HYPERLINK \l _Toc10630 </w:instrText>
      </w:r>
      <w:r>
        <w:rPr>
          <w:szCs w:val="24"/>
        </w:rPr>
        <w:fldChar w:fldCharType="separate"/>
      </w:r>
      <w:r>
        <w:rPr>
          <w:rFonts w:hint="default" w:ascii="Times New Roman" w:hAnsi="Times New Roman" w:eastAsia="宋体"/>
          <w:i w:val="0"/>
        </w:rPr>
        <w:t xml:space="preserve">4 </w:t>
      </w:r>
      <w:r>
        <w:rPr>
          <w:rFonts w:hint="eastAsia"/>
        </w:rPr>
        <w:t>突发环境事件及后果分析</w:t>
      </w:r>
      <w:r>
        <w:tab/>
      </w:r>
      <w:r>
        <w:fldChar w:fldCharType="begin"/>
      </w:r>
      <w:r>
        <w:instrText xml:space="preserve"> PAGEREF _Toc10630 </w:instrText>
      </w:r>
      <w:r>
        <w:fldChar w:fldCharType="separate"/>
      </w:r>
      <w:r>
        <w:t>25</w:t>
      </w:r>
      <w:r>
        <w:fldChar w:fldCharType="end"/>
      </w:r>
      <w:r>
        <w:rPr>
          <w:szCs w:val="24"/>
        </w:rPr>
        <w:fldChar w:fldCharType="end"/>
      </w:r>
    </w:p>
    <w:p>
      <w:pPr>
        <w:pStyle w:val="16"/>
        <w:tabs>
          <w:tab w:val="right" w:leader="dot" w:pos="9128"/>
          <w:tab w:val="clear" w:pos="9118"/>
        </w:tabs>
      </w:pPr>
      <w:r>
        <w:rPr>
          <w:szCs w:val="24"/>
        </w:rPr>
        <w:fldChar w:fldCharType="begin"/>
      </w:r>
      <w:r>
        <w:rPr>
          <w:szCs w:val="24"/>
        </w:rPr>
        <w:instrText xml:space="preserve"> HYPERLINK \l _Toc29869 </w:instrText>
      </w:r>
      <w:r>
        <w:rPr>
          <w:szCs w:val="24"/>
        </w:rPr>
        <w:fldChar w:fldCharType="separate"/>
      </w:r>
      <w:r>
        <w:rPr>
          <w:rFonts w:hint="default" w:ascii="Times New Roman" w:hAnsi="Times New Roman" w:eastAsia="宋体"/>
          <w:i w:val="0"/>
          <w:szCs w:val="30"/>
        </w:rPr>
        <w:t xml:space="preserve">4.1 </w:t>
      </w:r>
      <w:r>
        <w:rPr>
          <w:rFonts w:hint="eastAsia"/>
          <w:szCs w:val="24"/>
        </w:rPr>
        <w:t>国内外同类企业的突发环境事件信息</w:t>
      </w:r>
      <w:r>
        <w:tab/>
      </w:r>
      <w:r>
        <w:fldChar w:fldCharType="begin"/>
      </w:r>
      <w:r>
        <w:instrText xml:space="preserve"> PAGEREF _Toc29869 </w:instrText>
      </w:r>
      <w:r>
        <w:fldChar w:fldCharType="separate"/>
      </w:r>
      <w:r>
        <w:t>25</w:t>
      </w:r>
      <w:r>
        <w:fldChar w:fldCharType="end"/>
      </w:r>
      <w:r>
        <w:rPr>
          <w:szCs w:val="24"/>
        </w:rPr>
        <w:fldChar w:fldCharType="end"/>
      </w:r>
    </w:p>
    <w:p>
      <w:pPr>
        <w:pStyle w:val="16"/>
        <w:tabs>
          <w:tab w:val="right" w:leader="dot" w:pos="9128"/>
          <w:tab w:val="clear" w:pos="9118"/>
        </w:tabs>
      </w:pPr>
      <w:r>
        <w:rPr>
          <w:szCs w:val="24"/>
        </w:rPr>
        <w:fldChar w:fldCharType="begin"/>
      </w:r>
      <w:r>
        <w:rPr>
          <w:szCs w:val="24"/>
        </w:rPr>
        <w:instrText xml:space="preserve"> HYPERLINK \l _Toc25187 </w:instrText>
      </w:r>
      <w:r>
        <w:rPr>
          <w:szCs w:val="24"/>
        </w:rPr>
        <w:fldChar w:fldCharType="separate"/>
      </w:r>
      <w:r>
        <w:rPr>
          <w:rFonts w:hint="default" w:ascii="Times New Roman" w:hAnsi="Times New Roman" w:eastAsia="宋体"/>
          <w:i w:val="0"/>
          <w:szCs w:val="30"/>
        </w:rPr>
        <w:t xml:space="preserve">4.2 </w:t>
      </w:r>
      <w:r>
        <w:rPr>
          <w:rFonts w:hint="eastAsia"/>
          <w:szCs w:val="24"/>
        </w:rPr>
        <w:t>突发环境事件情景源强分析</w:t>
      </w:r>
      <w:r>
        <w:tab/>
      </w:r>
      <w:r>
        <w:fldChar w:fldCharType="begin"/>
      </w:r>
      <w:r>
        <w:instrText xml:space="preserve"> PAGEREF _Toc25187 </w:instrText>
      </w:r>
      <w:r>
        <w:fldChar w:fldCharType="separate"/>
      </w:r>
      <w:r>
        <w:t>26</w:t>
      </w:r>
      <w:r>
        <w:fldChar w:fldCharType="end"/>
      </w:r>
      <w:r>
        <w:rPr>
          <w:szCs w:val="24"/>
        </w:rPr>
        <w:fldChar w:fldCharType="end"/>
      </w:r>
    </w:p>
    <w:p>
      <w:pPr>
        <w:pStyle w:val="16"/>
        <w:tabs>
          <w:tab w:val="right" w:leader="dot" w:pos="9128"/>
          <w:tab w:val="clear" w:pos="9118"/>
        </w:tabs>
      </w:pPr>
      <w:r>
        <w:rPr>
          <w:szCs w:val="24"/>
        </w:rPr>
        <w:fldChar w:fldCharType="begin"/>
      </w:r>
      <w:r>
        <w:rPr>
          <w:szCs w:val="24"/>
        </w:rPr>
        <w:instrText xml:space="preserve"> HYPERLINK \l _Toc16756 </w:instrText>
      </w:r>
      <w:r>
        <w:rPr>
          <w:szCs w:val="24"/>
        </w:rPr>
        <w:fldChar w:fldCharType="separate"/>
      </w:r>
      <w:r>
        <w:rPr>
          <w:rFonts w:hint="default" w:ascii="Times New Roman" w:hAnsi="Times New Roman" w:eastAsia="宋体"/>
          <w:i w:val="0"/>
          <w:szCs w:val="30"/>
        </w:rPr>
        <w:t xml:space="preserve">4.3 </w:t>
      </w:r>
      <w:r>
        <w:rPr>
          <w:rFonts w:hint="eastAsia"/>
          <w:szCs w:val="24"/>
        </w:rPr>
        <w:t>释放环境风险物质的扩散途径、涉及环境风险防控与应急措施、应急资源情况分析</w:t>
      </w:r>
      <w:r>
        <w:tab/>
      </w:r>
      <w:r>
        <w:fldChar w:fldCharType="begin"/>
      </w:r>
      <w:r>
        <w:instrText xml:space="preserve"> PAGEREF _Toc16756 </w:instrText>
      </w:r>
      <w:r>
        <w:fldChar w:fldCharType="separate"/>
      </w:r>
      <w:r>
        <w:t>27</w:t>
      </w:r>
      <w:r>
        <w:fldChar w:fldCharType="end"/>
      </w:r>
      <w:r>
        <w:rPr>
          <w:szCs w:val="24"/>
        </w:rPr>
        <w:fldChar w:fldCharType="end"/>
      </w:r>
    </w:p>
    <w:p>
      <w:pPr>
        <w:pStyle w:val="16"/>
        <w:tabs>
          <w:tab w:val="right" w:leader="dot" w:pos="9128"/>
          <w:tab w:val="clear" w:pos="9118"/>
        </w:tabs>
      </w:pPr>
      <w:r>
        <w:rPr>
          <w:szCs w:val="24"/>
        </w:rPr>
        <w:fldChar w:fldCharType="begin"/>
      </w:r>
      <w:r>
        <w:rPr>
          <w:szCs w:val="24"/>
        </w:rPr>
        <w:instrText xml:space="preserve"> HYPERLINK \l _Toc10904 </w:instrText>
      </w:r>
      <w:r>
        <w:rPr>
          <w:szCs w:val="24"/>
        </w:rPr>
        <w:fldChar w:fldCharType="separate"/>
      </w:r>
      <w:r>
        <w:rPr>
          <w:rFonts w:hint="default" w:ascii="Times New Roman" w:hAnsi="Times New Roman" w:eastAsia="宋体"/>
          <w:i w:val="0"/>
          <w:szCs w:val="30"/>
        </w:rPr>
        <w:t xml:space="preserve">4.4 </w:t>
      </w:r>
      <w:r>
        <w:rPr>
          <w:rFonts w:hint="eastAsia"/>
          <w:szCs w:val="24"/>
        </w:rPr>
        <w:t>突发环境事件危害后果分析</w:t>
      </w:r>
      <w:r>
        <w:tab/>
      </w:r>
      <w:r>
        <w:fldChar w:fldCharType="begin"/>
      </w:r>
      <w:r>
        <w:instrText xml:space="preserve"> PAGEREF _Toc10904 </w:instrText>
      </w:r>
      <w:r>
        <w:fldChar w:fldCharType="separate"/>
      </w:r>
      <w:r>
        <w:t>28</w:t>
      </w:r>
      <w:r>
        <w:fldChar w:fldCharType="end"/>
      </w:r>
      <w:r>
        <w:rPr>
          <w:szCs w:val="24"/>
        </w:rPr>
        <w:fldChar w:fldCharType="end"/>
      </w:r>
    </w:p>
    <w:p>
      <w:pPr>
        <w:pStyle w:val="15"/>
        <w:tabs>
          <w:tab w:val="right" w:leader="dot" w:pos="9128"/>
          <w:tab w:val="clear" w:pos="9118"/>
        </w:tabs>
      </w:pPr>
      <w:r>
        <w:rPr>
          <w:szCs w:val="24"/>
        </w:rPr>
        <w:fldChar w:fldCharType="begin"/>
      </w:r>
      <w:r>
        <w:rPr>
          <w:szCs w:val="24"/>
        </w:rPr>
        <w:instrText xml:space="preserve"> HYPERLINK \l _Toc8020 </w:instrText>
      </w:r>
      <w:r>
        <w:rPr>
          <w:szCs w:val="24"/>
        </w:rPr>
        <w:fldChar w:fldCharType="separate"/>
      </w:r>
      <w:r>
        <w:rPr>
          <w:rFonts w:hint="default" w:ascii="Times New Roman" w:hAnsi="Times New Roman" w:eastAsia="宋体"/>
          <w:i w:val="0"/>
          <w:szCs w:val="32"/>
        </w:rPr>
        <w:t xml:space="preserve">5 </w:t>
      </w:r>
      <w:r>
        <w:rPr>
          <w:rFonts w:hint="eastAsia"/>
          <w:szCs w:val="32"/>
        </w:rPr>
        <w:t>现有环境风险防控和应急措施差距分析</w:t>
      </w:r>
      <w:r>
        <w:tab/>
      </w:r>
      <w:r>
        <w:fldChar w:fldCharType="begin"/>
      </w:r>
      <w:r>
        <w:instrText xml:space="preserve"> PAGEREF _Toc8020 </w:instrText>
      </w:r>
      <w:r>
        <w:fldChar w:fldCharType="separate"/>
      </w:r>
      <w:r>
        <w:t>28</w:t>
      </w:r>
      <w:r>
        <w:fldChar w:fldCharType="end"/>
      </w:r>
      <w:r>
        <w:rPr>
          <w:szCs w:val="24"/>
        </w:rPr>
        <w:fldChar w:fldCharType="end"/>
      </w:r>
    </w:p>
    <w:p>
      <w:pPr>
        <w:pStyle w:val="16"/>
        <w:tabs>
          <w:tab w:val="right" w:leader="dot" w:pos="9128"/>
          <w:tab w:val="clear" w:pos="9118"/>
        </w:tabs>
      </w:pPr>
      <w:r>
        <w:rPr>
          <w:szCs w:val="24"/>
        </w:rPr>
        <w:fldChar w:fldCharType="begin"/>
      </w:r>
      <w:r>
        <w:rPr>
          <w:szCs w:val="24"/>
        </w:rPr>
        <w:instrText xml:space="preserve"> HYPERLINK \l _Toc10000 </w:instrText>
      </w:r>
      <w:r>
        <w:rPr>
          <w:szCs w:val="24"/>
        </w:rPr>
        <w:fldChar w:fldCharType="separate"/>
      </w:r>
      <w:r>
        <w:rPr>
          <w:rFonts w:hint="default" w:ascii="Times New Roman" w:hAnsi="Times New Roman" w:eastAsia="宋体"/>
          <w:i w:val="0"/>
          <w:szCs w:val="30"/>
        </w:rPr>
        <w:t xml:space="preserve">5.1 </w:t>
      </w:r>
      <w:r>
        <w:rPr>
          <w:rFonts w:hint="eastAsia"/>
          <w:szCs w:val="24"/>
        </w:rPr>
        <w:t>环境风险管理制度</w:t>
      </w:r>
      <w:r>
        <w:tab/>
      </w:r>
      <w:r>
        <w:fldChar w:fldCharType="begin"/>
      </w:r>
      <w:r>
        <w:instrText xml:space="preserve"> PAGEREF _Toc10000 </w:instrText>
      </w:r>
      <w:r>
        <w:fldChar w:fldCharType="separate"/>
      </w:r>
      <w:r>
        <w:t>29</w:t>
      </w:r>
      <w:r>
        <w:fldChar w:fldCharType="end"/>
      </w:r>
      <w:r>
        <w:rPr>
          <w:szCs w:val="24"/>
        </w:rPr>
        <w:fldChar w:fldCharType="end"/>
      </w:r>
    </w:p>
    <w:p>
      <w:pPr>
        <w:pStyle w:val="16"/>
        <w:tabs>
          <w:tab w:val="right" w:leader="dot" w:pos="9128"/>
          <w:tab w:val="clear" w:pos="9118"/>
        </w:tabs>
      </w:pPr>
      <w:r>
        <w:rPr>
          <w:szCs w:val="24"/>
        </w:rPr>
        <w:fldChar w:fldCharType="begin"/>
      </w:r>
      <w:r>
        <w:rPr>
          <w:szCs w:val="24"/>
        </w:rPr>
        <w:instrText xml:space="preserve"> HYPERLINK \l _Toc15039 </w:instrText>
      </w:r>
      <w:r>
        <w:rPr>
          <w:szCs w:val="24"/>
        </w:rPr>
        <w:fldChar w:fldCharType="separate"/>
      </w:r>
      <w:r>
        <w:rPr>
          <w:rFonts w:hint="default" w:ascii="Times New Roman" w:hAnsi="Times New Roman" w:eastAsia="宋体"/>
          <w:i w:val="0"/>
          <w:szCs w:val="30"/>
        </w:rPr>
        <w:t xml:space="preserve">5.2 </w:t>
      </w:r>
      <w:r>
        <w:rPr>
          <w:rFonts w:hint="eastAsia"/>
          <w:szCs w:val="24"/>
        </w:rPr>
        <w:t>环境风险防控与应急措施</w:t>
      </w:r>
      <w:r>
        <w:tab/>
      </w:r>
      <w:r>
        <w:fldChar w:fldCharType="begin"/>
      </w:r>
      <w:r>
        <w:instrText xml:space="preserve"> PAGEREF _Toc15039 </w:instrText>
      </w:r>
      <w:r>
        <w:fldChar w:fldCharType="separate"/>
      </w:r>
      <w:r>
        <w:t>29</w:t>
      </w:r>
      <w:r>
        <w:fldChar w:fldCharType="end"/>
      </w:r>
      <w:r>
        <w:rPr>
          <w:szCs w:val="24"/>
        </w:rPr>
        <w:fldChar w:fldCharType="end"/>
      </w:r>
    </w:p>
    <w:p>
      <w:pPr>
        <w:pStyle w:val="16"/>
        <w:tabs>
          <w:tab w:val="right" w:leader="dot" w:pos="9128"/>
          <w:tab w:val="clear" w:pos="9118"/>
        </w:tabs>
      </w:pPr>
      <w:r>
        <w:rPr>
          <w:szCs w:val="24"/>
        </w:rPr>
        <w:fldChar w:fldCharType="begin"/>
      </w:r>
      <w:r>
        <w:rPr>
          <w:szCs w:val="24"/>
        </w:rPr>
        <w:instrText xml:space="preserve"> HYPERLINK \l _Toc10492 </w:instrText>
      </w:r>
      <w:r>
        <w:rPr>
          <w:szCs w:val="24"/>
        </w:rPr>
        <w:fldChar w:fldCharType="separate"/>
      </w:r>
      <w:r>
        <w:rPr>
          <w:rFonts w:hint="default" w:ascii="Times New Roman" w:hAnsi="Times New Roman" w:eastAsia="宋体"/>
          <w:i w:val="0"/>
          <w:szCs w:val="30"/>
        </w:rPr>
        <w:t xml:space="preserve">5.3 </w:t>
      </w:r>
      <w:r>
        <w:rPr>
          <w:rFonts w:hint="eastAsia"/>
          <w:szCs w:val="24"/>
        </w:rPr>
        <w:t>环境应急资源</w:t>
      </w:r>
      <w:r>
        <w:tab/>
      </w:r>
      <w:r>
        <w:fldChar w:fldCharType="begin"/>
      </w:r>
      <w:r>
        <w:instrText xml:space="preserve"> PAGEREF _Toc10492 </w:instrText>
      </w:r>
      <w:r>
        <w:fldChar w:fldCharType="separate"/>
      </w:r>
      <w:r>
        <w:t>30</w:t>
      </w:r>
      <w:r>
        <w:fldChar w:fldCharType="end"/>
      </w:r>
      <w:r>
        <w:rPr>
          <w:szCs w:val="24"/>
        </w:rPr>
        <w:fldChar w:fldCharType="end"/>
      </w:r>
    </w:p>
    <w:p>
      <w:pPr>
        <w:pStyle w:val="16"/>
        <w:tabs>
          <w:tab w:val="right" w:leader="dot" w:pos="9128"/>
          <w:tab w:val="clear" w:pos="9118"/>
        </w:tabs>
      </w:pPr>
      <w:r>
        <w:rPr>
          <w:szCs w:val="24"/>
        </w:rPr>
        <w:fldChar w:fldCharType="begin"/>
      </w:r>
      <w:r>
        <w:rPr>
          <w:szCs w:val="24"/>
        </w:rPr>
        <w:instrText xml:space="preserve"> HYPERLINK \l _Toc9365 </w:instrText>
      </w:r>
      <w:r>
        <w:rPr>
          <w:szCs w:val="24"/>
        </w:rPr>
        <w:fldChar w:fldCharType="separate"/>
      </w:r>
      <w:r>
        <w:rPr>
          <w:rFonts w:hint="default" w:ascii="Times New Roman" w:hAnsi="Times New Roman" w:eastAsia="宋体"/>
          <w:i w:val="0"/>
          <w:szCs w:val="30"/>
        </w:rPr>
        <w:t xml:space="preserve">5.4 </w:t>
      </w:r>
      <w:r>
        <w:rPr>
          <w:rFonts w:hint="eastAsia"/>
          <w:szCs w:val="24"/>
        </w:rPr>
        <w:t>历史经验教训总结</w:t>
      </w:r>
      <w:r>
        <w:tab/>
      </w:r>
      <w:r>
        <w:fldChar w:fldCharType="begin"/>
      </w:r>
      <w:r>
        <w:instrText xml:space="preserve"> PAGEREF _Toc9365 </w:instrText>
      </w:r>
      <w:r>
        <w:fldChar w:fldCharType="separate"/>
      </w:r>
      <w:r>
        <w:t>31</w:t>
      </w:r>
      <w:r>
        <w:fldChar w:fldCharType="end"/>
      </w:r>
      <w:r>
        <w:rPr>
          <w:szCs w:val="24"/>
        </w:rPr>
        <w:fldChar w:fldCharType="end"/>
      </w:r>
    </w:p>
    <w:p>
      <w:pPr>
        <w:pStyle w:val="16"/>
        <w:tabs>
          <w:tab w:val="right" w:leader="dot" w:pos="9128"/>
          <w:tab w:val="clear" w:pos="9118"/>
        </w:tabs>
      </w:pPr>
      <w:r>
        <w:rPr>
          <w:szCs w:val="24"/>
        </w:rPr>
        <w:fldChar w:fldCharType="begin"/>
      </w:r>
      <w:r>
        <w:rPr>
          <w:szCs w:val="24"/>
        </w:rPr>
        <w:instrText xml:space="preserve"> HYPERLINK \l _Toc22602 </w:instrText>
      </w:r>
      <w:r>
        <w:rPr>
          <w:szCs w:val="24"/>
        </w:rPr>
        <w:fldChar w:fldCharType="separate"/>
      </w:r>
      <w:r>
        <w:rPr>
          <w:rFonts w:hint="default" w:ascii="Times New Roman" w:hAnsi="Times New Roman" w:eastAsia="宋体"/>
          <w:i w:val="0"/>
          <w:szCs w:val="30"/>
        </w:rPr>
        <w:t xml:space="preserve">5.5 </w:t>
      </w:r>
      <w:r>
        <w:rPr>
          <w:rFonts w:hint="eastAsia"/>
          <w:szCs w:val="24"/>
        </w:rPr>
        <w:t>需要整改的短期、中期和长期项目内容</w:t>
      </w:r>
      <w:r>
        <w:tab/>
      </w:r>
      <w:r>
        <w:fldChar w:fldCharType="begin"/>
      </w:r>
      <w:r>
        <w:instrText xml:space="preserve"> PAGEREF _Toc22602 </w:instrText>
      </w:r>
      <w:r>
        <w:fldChar w:fldCharType="separate"/>
      </w:r>
      <w:r>
        <w:t>32</w:t>
      </w:r>
      <w:r>
        <w:fldChar w:fldCharType="end"/>
      </w:r>
      <w:r>
        <w:rPr>
          <w:szCs w:val="24"/>
        </w:rPr>
        <w:fldChar w:fldCharType="end"/>
      </w:r>
    </w:p>
    <w:p>
      <w:pPr>
        <w:pStyle w:val="15"/>
        <w:tabs>
          <w:tab w:val="right" w:leader="dot" w:pos="9128"/>
          <w:tab w:val="clear" w:pos="9118"/>
        </w:tabs>
      </w:pPr>
      <w:r>
        <w:rPr>
          <w:szCs w:val="24"/>
        </w:rPr>
        <w:fldChar w:fldCharType="begin"/>
      </w:r>
      <w:r>
        <w:rPr>
          <w:szCs w:val="24"/>
        </w:rPr>
        <w:instrText xml:space="preserve"> HYPERLINK \l _Toc7512 </w:instrText>
      </w:r>
      <w:r>
        <w:rPr>
          <w:szCs w:val="24"/>
        </w:rPr>
        <w:fldChar w:fldCharType="separate"/>
      </w:r>
      <w:r>
        <w:rPr>
          <w:rFonts w:hint="default" w:ascii="Times New Roman" w:hAnsi="Times New Roman" w:eastAsia="宋体"/>
          <w:i w:val="0"/>
        </w:rPr>
        <w:t xml:space="preserve">6 </w:t>
      </w:r>
      <w:r>
        <w:rPr>
          <w:rFonts w:hint="eastAsia"/>
        </w:rPr>
        <w:t>完善环境风险防控和应急措施的建议与实施计划</w:t>
      </w:r>
      <w:r>
        <w:tab/>
      </w:r>
      <w:r>
        <w:fldChar w:fldCharType="begin"/>
      </w:r>
      <w:r>
        <w:instrText xml:space="preserve"> PAGEREF _Toc7512 </w:instrText>
      </w:r>
      <w:r>
        <w:fldChar w:fldCharType="separate"/>
      </w:r>
      <w:r>
        <w:t>33</w:t>
      </w:r>
      <w:r>
        <w:fldChar w:fldCharType="end"/>
      </w:r>
      <w:r>
        <w:rPr>
          <w:szCs w:val="24"/>
        </w:rPr>
        <w:fldChar w:fldCharType="end"/>
      </w:r>
    </w:p>
    <w:p>
      <w:pPr>
        <w:pStyle w:val="15"/>
        <w:tabs>
          <w:tab w:val="right" w:leader="dot" w:pos="9128"/>
          <w:tab w:val="clear" w:pos="9118"/>
        </w:tabs>
      </w:pPr>
      <w:r>
        <w:rPr>
          <w:szCs w:val="24"/>
        </w:rPr>
        <w:fldChar w:fldCharType="begin"/>
      </w:r>
      <w:r>
        <w:rPr>
          <w:szCs w:val="24"/>
        </w:rPr>
        <w:instrText xml:space="preserve"> HYPERLINK \l _Toc29337 </w:instrText>
      </w:r>
      <w:r>
        <w:rPr>
          <w:szCs w:val="24"/>
        </w:rPr>
        <w:fldChar w:fldCharType="separate"/>
      </w:r>
      <w:r>
        <w:rPr>
          <w:rFonts w:hint="default" w:ascii="Times New Roman" w:hAnsi="Times New Roman" w:eastAsia="宋体"/>
          <w:i w:val="0"/>
        </w:rPr>
        <w:t xml:space="preserve">7 </w:t>
      </w:r>
      <w:r>
        <w:rPr>
          <w:rFonts w:hint="eastAsia"/>
        </w:rPr>
        <w:t>企业突发环境事件风险等级</w:t>
      </w:r>
      <w:r>
        <w:tab/>
      </w:r>
      <w:r>
        <w:fldChar w:fldCharType="begin"/>
      </w:r>
      <w:r>
        <w:instrText xml:space="preserve"> PAGEREF _Toc29337 </w:instrText>
      </w:r>
      <w:r>
        <w:fldChar w:fldCharType="separate"/>
      </w:r>
      <w:r>
        <w:t>34</w:t>
      </w:r>
      <w:r>
        <w:fldChar w:fldCharType="end"/>
      </w:r>
      <w:r>
        <w:rPr>
          <w:szCs w:val="24"/>
        </w:rPr>
        <w:fldChar w:fldCharType="end"/>
      </w:r>
    </w:p>
    <w:p>
      <w:pPr>
        <w:pStyle w:val="16"/>
        <w:tabs>
          <w:tab w:val="right" w:leader="dot" w:pos="9128"/>
          <w:tab w:val="clear" w:pos="9118"/>
        </w:tabs>
      </w:pPr>
      <w:r>
        <w:rPr>
          <w:szCs w:val="24"/>
        </w:rPr>
        <w:fldChar w:fldCharType="begin"/>
      </w:r>
      <w:r>
        <w:rPr>
          <w:szCs w:val="24"/>
        </w:rPr>
        <w:instrText xml:space="preserve"> HYPERLINK \l _Toc30408 </w:instrText>
      </w:r>
      <w:r>
        <w:rPr>
          <w:szCs w:val="24"/>
        </w:rPr>
        <w:fldChar w:fldCharType="separate"/>
      </w:r>
      <w:r>
        <w:rPr>
          <w:rFonts w:hint="default" w:ascii="Times New Roman" w:hAnsi="Times New Roman" w:eastAsia="宋体"/>
          <w:i w:val="0"/>
          <w:szCs w:val="30"/>
        </w:rPr>
        <w:t xml:space="preserve">7.1 </w:t>
      </w:r>
      <w:r>
        <w:rPr>
          <w:rFonts w:hint="eastAsia"/>
          <w:szCs w:val="24"/>
        </w:rPr>
        <w:t>突发大气环境事件风险分级</w:t>
      </w:r>
      <w:r>
        <w:tab/>
      </w:r>
      <w:r>
        <w:fldChar w:fldCharType="begin"/>
      </w:r>
      <w:r>
        <w:instrText xml:space="preserve"> PAGEREF _Toc30408 </w:instrText>
      </w:r>
      <w:r>
        <w:fldChar w:fldCharType="separate"/>
      </w:r>
      <w:r>
        <w:t>34</w:t>
      </w:r>
      <w:r>
        <w:fldChar w:fldCharType="end"/>
      </w:r>
      <w:r>
        <w:rPr>
          <w:szCs w:val="24"/>
        </w:rPr>
        <w:fldChar w:fldCharType="end"/>
      </w:r>
    </w:p>
    <w:p>
      <w:pPr>
        <w:pStyle w:val="16"/>
        <w:tabs>
          <w:tab w:val="right" w:leader="dot" w:pos="9128"/>
          <w:tab w:val="clear" w:pos="9118"/>
        </w:tabs>
      </w:pPr>
      <w:r>
        <w:rPr>
          <w:szCs w:val="24"/>
        </w:rPr>
        <w:fldChar w:fldCharType="begin"/>
      </w:r>
      <w:r>
        <w:rPr>
          <w:szCs w:val="24"/>
        </w:rPr>
        <w:instrText xml:space="preserve"> HYPERLINK \l _Toc19160 </w:instrText>
      </w:r>
      <w:r>
        <w:rPr>
          <w:szCs w:val="24"/>
        </w:rPr>
        <w:fldChar w:fldCharType="separate"/>
      </w:r>
      <w:r>
        <w:rPr>
          <w:rFonts w:hint="eastAsia" w:ascii="Times New Roman" w:hAnsi="Times New Roman" w:cs="Times New Roman"/>
          <w:szCs w:val="24"/>
          <w:lang w:val="en-US" w:eastAsia="zh-CN"/>
        </w:rPr>
        <w:t>7</w:t>
      </w:r>
      <w:r>
        <w:rPr>
          <w:rFonts w:hint="default" w:ascii="Times New Roman" w:hAnsi="Times New Roman" w:cs="Times New Roman"/>
          <w:szCs w:val="24"/>
        </w:rPr>
        <w:t xml:space="preserve">.1 </w:t>
      </w:r>
      <w:r>
        <w:rPr>
          <w:rFonts w:hint="default" w:ascii="Times New Roman" w:hAnsi="Times New Roman" w:cs="Times New Roman"/>
          <w:szCs w:val="24"/>
          <w:lang w:eastAsia="zh-CN"/>
        </w:rPr>
        <w:t>突发大气环境事件风险风级</w:t>
      </w:r>
      <w:r>
        <w:tab/>
      </w:r>
      <w:r>
        <w:fldChar w:fldCharType="begin"/>
      </w:r>
      <w:r>
        <w:instrText xml:space="preserve"> PAGEREF _Toc19160 </w:instrText>
      </w:r>
      <w:r>
        <w:fldChar w:fldCharType="separate"/>
      </w:r>
      <w:r>
        <w:t>34</w:t>
      </w:r>
      <w:r>
        <w:fldChar w:fldCharType="end"/>
      </w:r>
      <w:r>
        <w:rPr>
          <w:szCs w:val="24"/>
        </w:rPr>
        <w:fldChar w:fldCharType="end"/>
      </w:r>
    </w:p>
    <w:p>
      <w:pPr>
        <w:pStyle w:val="16"/>
        <w:tabs>
          <w:tab w:val="right" w:leader="dot" w:pos="9128"/>
          <w:tab w:val="clear" w:pos="9118"/>
        </w:tabs>
      </w:pPr>
      <w:r>
        <w:rPr>
          <w:szCs w:val="24"/>
        </w:rPr>
        <w:fldChar w:fldCharType="begin"/>
      </w:r>
      <w:r>
        <w:rPr>
          <w:szCs w:val="24"/>
        </w:rPr>
        <w:instrText xml:space="preserve"> HYPERLINK \l _Toc10109 </w:instrText>
      </w:r>
      <w:r>
        <w:rPr>
          <w:szCs w:val="24"/>
        </w:rPr>
        <w:fldChar w:fldCharType="separate"/>
      </w:r>
      <w:r>
        <w:rPr>
          <w:rFonts w:hint="eastAsia" w:ascii="Times New Roman" w:hAnsi="Times New Roman" w:cs="Times New Roman"/>
          <w:bCs/>
          <w:szCs w:val="24"/>
          <w:lang w:val="en-US" w:eastAsia="zh-CN"/>
        </w:rPr>
        <w:t>7</w:t>
      </w:r>
      <w:r>
        <w:rPr>
          <w:rFonts w:hint="default" w:ascii="Times New Roman" w:hAnsi="Times New Roman" w:cs="Times New Roman"/>
          <w:bCs/>
          <w:szCs w:val="24"/>
          <w:lang w:val="en-US" w:eastAsia="zh-CN"/>
        </w:rPr>
        <w:t>.2</w:t>
      </w:r>
      <w:r>
        <w:rPr>
          <w:rFonts w:hint="default" w:ascii="Times New Roman" w:hAnsi="Times New Roman" w:cs="Times New Roman"/>
          <w:bCs/>
          <w:szCs w:val="24"/>
          <w:lang w:eastAsia="zh-CN"/>
        </w:rPr>
        <w:t>突发水环境事件风险风级</w:t>
      </w:r>
      <w:r>
        <w:tab/>
      </w:r>
      <w:r>
        <w:fldChar w:fldCharType="begin"/>
      </w:r>
      <w:r>
        <w:instrText xml:space="preserve"> PAGEREF _Toc10109 </w:instrText>
      </w:r>
      <w:r>
        <w:fldChar w:fldCharType="separate"/>
      </w:r>
      <w:r>
        <w:t>35</w:t>
      </w:r>
      <w:r>
        <w:fldChar w:fldCharType="end"/>
      </w:r>
      <w:r>
        <w:rPr>
          <w:szCs w:val="24"/>
        </w:rPr>
        <w:fldChar w:fldCharType="end"/>
      </w:r>
    </w:p>
    <w:p>
      <w:pPr>
        <w:pStyle w:val="16"/>
        <w:tabs>
          <w:tab w:val="right" w:leader="dot" w:pos="9128"/>
          <w:tab w:val="clear" w:pos="9118"/>
        </w:tabs>
      </w:pPr>
      <w:r>
        <w:rPr>
          <w:szCs w:val="24"/>
        </w:rPr>
        <w:fldChar w:fldCharType="begin"/>
      </w:r>
      <w:r>
        <w:rPr>
          <w:szCs w:val="24"/>
        </w:rPr>
        <w:instrText xml:space="preserve"> HYPERLINK \l _Toc22275 </w:instrText>
      </w:r>
      <w:r>
        <w:rPr>
          <w:szCs w:val="24"/>
        </w:rPr>
        <w:fldChar w:fldCharType="separate"/>
      </w:r>
      <w:r>
        <w:rPr>
          <w:rFonts w:hint="eastAsia" w:ascii="Times New Roman" w:hAnsi="Times New Roman" w:cs="Times New Roman"/>
          <w:lang w:val="en-US" w:eastAsia="zh-CN"/>
        </w:rPr>
        <w:t>7</w:t>
      </w:r>
      <w:r>
        <w:rPr>
          <w:rFonts w:hint="default" w:ascii="Times New Roman" w:hAnsi="Times New Roman" w:cs="Times New Roman"/>
          <w:lang w:val="en-US" w:eastAsia="zh-CN"/>
        </w:rPr>
        <w:t>.3</w:t>
      </w:r>
      <w:r>
        <w:rPr>
          <w:rFonts w:hint="default" w:ascii="Times New Roman" w:hAnsi="Times New Roman" w:cs="Times New Roman"/>
        </w:rPr>
        <w:t>企业环境风险等级划分</w:t>
      </w:r>
      <w:r>
        <w:tab/>
      </w:r>
      <w:r>
        <w:fldChar w:fldCharType="begin"/>
      </w:r>
      <w:r>
        <w:instrText xml:space="preserve"> PAGEREF _Toc22275 </w:instrText>
      </w:r>
      <w:r>
        <w:fldChar w:fldCharType="separate"/>
      </w:r>
      <w:r>
        <w:t>36</w:t>
      </w:r>
      <w:r>
        <w:fldChar w:fldCharType="end"/>
      </w:r>
      <w:r>
        <w:rPr>
          <w:szCs w:val="24"/>
        </w:rPr>
        <w:fldChar w:fldCharType="end"/>
      </w:r>
    </w:p>
    <w:p>
      <w:pPr>
        <w:pStyle w:val="15"/>
        <w:tabs>
          <w:tab w:val="right" w:leader="dot" w:pos="9128"/>
          <w:tab w:val="clear" w:pos="9118"/>
        </w:tabs>
      </w:pPr>
      <w:r>
        <w:rPr>
          <w:szCs w:val="24"/>
        </w:rPr>
        <w:fldChar w:fldCharType="begin"/>
      </w:r>
      <w:r>
        <w:rPr>
          <w:szCs w:val="24"/>
        </w:rPr>
        <w:instrText xml:space="preserve"> HYPERLINK \l _Toc18494 </w:instrText>
      </w:r>
      <w:r>
        <w:rPr>
          <w:szCs w:val="24"/>
        </w:rPr>
        <w:fldChar w:fldCharType="separate"/>
      </w:r>
      <w:r>
        <w:rPr>
          <w:rFonts w:hint="default" w:ascii="Times New Roman" w:hAnsi="Times New Roman" w:eastAsia="宋体"/>
          <w:i w:val="0"/>
        </w:rPr>
        <w:t xml:space="preserve">8 </w:t>
      </w:r>
      <w:r>
        <w:rPr>
          <w:rFonts w:hint="eastAsia"/>
        </w:rPr>
        <w:t>附图</w:t>
      </w:r>
      <w:r>
        <w:tab/>
      </w:r>
      <w:r>
        <w:fldChar w:fldCharType="begin"/>
      </w:r>
      <w:r>
        <w:instrText xml:space="preserve"> PAGEREF _Toc18494 </w:instrText>
      </w:r>
      <w:r>
        <w:fldChar w:fldCharType="separate"/>
      </w:r>
      <w:r>
        <w:t>37</w:t>
      </w:r>
      <w:r>
        <w:fldChar w:fldCharType="end"/>
      </w:r>
      <w:r>
        <w:rPr>
          <w:szCs w:val="24"/>
        </w:rPr>
        <w:fldChar w:fldCharType="end"/>
      </w:r>
    </w:p>
    <w:p>
      <w:pPr>
        <w:pStyle w:val="16"/>
        <w:tabs>
          <w:tab w:val="right" w:leader="dot" w:pos="9128"/>
          <w:tab w:val="clear" w:pos="9118"/>
        </w:tabs>
      </w:pPr>
      <w:r>
        <w:rPr>
          <w:szCs w:val="24"/>
        </w:rPr>
        <w:fldChar w:fldCharType="begin"/>
      </w:r>
      <w:r>
        <w:rPr>
          <w:szCs w:val="24"/>
        </w:rPr>
        <w:instrText xml:space="preserve"> HYPERLINK \l _Toc17557 </w:instrText>
      </w:r>
      <w:r>
        <w:rPr>
          <w:szCs w:val="24"/>
        </w:rPr>
        <w:fldChar w:fldCharType="separate"/>
      </w:r>
      <w:r>
        <w:rPr>
          <w:rFonts w:hint="eastAsia"/>
        </w:rPr>
        <w:t>附图1企业地理位置图</w:t>
      </w:r>
      <w:r>
        <w:tab/>
      </w:r>
      <w:r>
        <w:fldChar w:fldCharType="begin"/>
      </w:r>
      <w:r>
        <w:instrText xml:space="preserve"> PAGEREF _Toc17557 </w:instrText>
      </w:r>
      <w:r>
        <w:fldChar w:fldCharType="separate"/>
      </w:r>
      <w:r>
        <w:t>38</w:t>
      </w:r>
      <w:r>
        <w:fldChar w:fldCharType="end"/>
      </w:r>
      <w:r>
        <w:rPr>
          <w:szCs w:val="24"/>
        </w:rPr>
        <w:fldChar w:fldCharType="end"/>
      </w:r>
    </w:p>
    <w:p>
      <w:pPr>
        <w:pStyle w:val="16"/>
        <w:tabs>
          <w:tab w:val="right" w:leader="dot" w:pos="9128"/>
          <w:tab w:val="clear" w:pos="9118"/>
        </w:tabs>
      </w:pPr>
      <w:r>
        <w:rPr>
          <w:szCs w:val="24"/>
        </w:rPr>
        <w:fldChar w:fldCharType="begin"/>
      </w:r>
      <w:r>
        <w:rPr>
          <w:szCs w:val="24"/>
        </w:rPr>
        <w:instrText xml:space="preserve"> HYPERLINK \l _Toc12582 </w:instrText>
      </w:r>
      <w:r>
        <w:rPr>
          <w:szCs w:val="24"/>
        </w:rPr>
        <w:fldChar w:fldCharType="separate"/>
      </w:r>
      <w:r>
        <w:rPr>
          <w:rFonts w:hint="eastAsia"/>
        </w:rPr>
        <w:t>附图2</w:t>
      </w:r>
      <w:r>
        <w:t xml:space="preserve"> </w:t>
      </w:r>
      <w:r>
        <w:rPr>
          <w:rFonts w:hint="eastAsia"/>
        </w:rPr>
        <w:t>厂区平面布置图</w:t>
      </w:r>
      <w:r>
        <w:tab/>
      </w:r>
      <w:r>
        <w:fldChar w:fldCharType="begin"/>
      </w:r>
      <w:r>
        <w:instrText xml:space="preserve"> PAGEREF _Toc12582 </w:instrText>
      </w:r>
      <w:r>
        <w:fldChar w:fldCharType="separate"/>
      </w:r>
      <w:r>
        <w:t>39</w:t>
      </w:r>
      <w:r>
        <w:fldChar w:fldCharType="end"/>
      </w:r>
      <w:r>
        <w:rPr>
          <w:szCs w:val="24"/>
        </w:rPr>
        <w:fldChar w:fldCharType="end"/>
      </w:r>
    </w:p>
    <w:p>
      <w:pPr>
        <w:pStyle w:val="16"/>
        <w:tabs>
          <w:tab w:val="right" w:leader="dot" w:pos="9128"/>
          <w:tab w:val="clear" w:pos="9118"/>
        </w:tabs>
      </w:pPr>
      <w:r>
        <w:rPr>
          <w:szCs w:val="24"/>
        </w:rPr>
        <w:fldChar w:fldCharType="begin"/>
      </w:r>
      <w:r>
        <w:rPr>
          <w:szCs w:val="24"/>
        </w:rPr>
        <w:instrText xml:space="preserve"> HYPERLINK \l _Toc4514 </w:instrText>
      </w:r>
      <w:r>
        <w:rPr>
          <w:szCs w:val="24"/>
        </w:rPr>
        <w:fldChar w:fldCharType="separate"/>
      </w:r>
      <w:r>
        <w:rPr>
          <w:rFonts w:hint="eastAsia"/>
        </w:rPr>
        <w:t>附图3</w:t>
      </w:r>
      <w:r>
        <w:t xml:space="preserve"> </w:t>
      </w:r>
      <w:r>
        <w:rPr>
          <w:rFonts w:hint="eastAsia"/>
          <w:lang w:eastAsia="zh-CN"/>
        </w:rPr>
        <w:t>周边敏感点分布</w:t>
      </w:r>
      <w:r>
        <w:rPr>
          <w:rFonts w:hint="eastAsia"/>
        </w:rPr>
        <w:t>图</w:t>
      </w:r>
      <w:r>
        <w:tab/>
      </w:r>
      <w:r>
        <w:fldChar w:fldCharType="begin"/>
      </w:r>
      <w:r>
        <w:instrText xml:space="preserve"> PAGEREF _Toc4514 </w:instrText>
      </w:r>
      <w:r>
        <w:fldChar w:fldCharType="separate"/>
      </w:r>
      <w:r>
        <w:t>40</w:t>
      </w:r>
      <w:r>
        <w:fldChar w:fldCharType="end"/>
      </w:r>
      <w:r>
        <w:rPr>
          <w:szCs w:val="24"/>
        </w:rPr>
        <w:fldChar w:fldCharType="end"/>
      </w:r>
    </w:p>
    <w:p>
      <w:pPr>
        <w:pStyle w:val="16"/>
        <w:tabs>
          <w:tab w:val="right" w:leader="dot" w:pos="9128"/>
          <w:tab w:val="clear" w:pos="9118"/>
        </w:tabs>
      </w:pPr>
      <w:r>
        <w:rPr>
          <w:szCs w:val="24"/>
        </w:rPr>
        <w:fldChar w:fldCharType="begin"/>
      </w:r>
      <w:r>
        <w:rPr>
          <w:szCs w:val="24"/>
        </w:rPr>
        <w:instrText xml:space="preserve"> HYPERLINK \l _Toc23764 </w:instrText>
      </w:r>
      <w:r>
        <w:rPr>
          <w:szCs w:val="24"/>
        </w:rPr>
        <w:fldChar w:fldCharType="separate"/>
      </w:r>
      <w:r>
        <w:rPr>
          <w:rFonts w:hint="eastAsia"/>
        </w:rPr>
        <w:t>附图</w:t>
      </w:r>
      <w:r>
        <w:rPr>
          <w:rFonts w:hint="eastAsia"/>
          <w:lang w:val="en-US" w:eastAsia="zh-CN"/>
        </w:rPr>
        <w:t>4</w:t>
      </w:r>
      <w:r>
        <w:t xml:space="preserve"> </w:t>
      </w:r>
      <w:r>
        <w:rPr>
          <w:rFonts w:hint="eastAsia"/>
        </w:rPr>
        <w:t>企业雨</w:t>
      </w:r>
      <w:r>
        <w:rPr>
          <w:rFonts w:hint="eastAsia"/>
          <w:lang w:eastAsia="zh-CN"/>
        </w:rPr>
        <w:t>污</w:t>
      </w:r>
      <w:r>
        <w:rPr>
          <w:rFonts w:hint="eastAsia"/>
        </w:rPr>
        <w:t>管网</w:t>
      </w:r>
      <w:r>
        <w:rPr>
          <w:rFonts w:hint="eastAsia"/>
          <w:lang w:eastAsia="zh-CN"/>
        </w:rPr>
        <w:t>及应急设施</w:t>
      </w:r>
      <w:r>
        <w:rPr>
          <w:rFonts w:hint="eastAsia"/>
        </w:rPr>
        <w:t>分布图</w:t>
      </w:r>
      <w:r>
        <w:tab/>
      </w:r>
      <w:r>
        <w:fldChar w:fldCharType="begin"/>
      </w:r>
      <w:r>
        <w:instrText xml:space="preserve"> PAGEREF _Toc23764 </w:instrText>
      </w:r>
      <w:r>
        <w:fldChar w:fldCharType="separate"/>
      </w:r>
      <w:r>
        <w:t>41</w:t>
      </w:r>
      <w:r>
        <w:fldChar w:fldCharType="end"/>
      </w:r>
      <w:r>
        <w:rPr>
          <w:szCs w:val="24"/>
        </w:rPr>
        <w:fldChar w:fldCharType="end"/>
      </w:r>
    </w:p>
    <w:p>
      <w:pPr>
        <w:ind w:firstLine="0" w:firstLineChars="0"/>
        <w:jc w:val="left"/>
        <w:rPr>
          <w:sz w:val="24"/>
          <w:szCs w:val="24"/>
        </w:rPr>
      </w:pPr>
      <w:r>
        <w:rPr>
          <w:szCs w:val="24"/>
        </w:rPr>
        <w:fldChar w:fldCharType="end"/>
      </w:r>
    </w:p>
    <w:p>
      <w:pPr>
        <w:ind w:firstLine="0" w:firstLineChars="0"/>
        <w:jc w:val="left"/>
      </w:pPr>
    </w:p>
    <w:p>
      <w:pPr>
        <w:ind w:firstLine="0" w:firstLineChars="0"/>
        <w:jc w:val="left"/>
        <w:sectPr>
          <w:pgSz w:w="11906" w:h="16838"/>
          <w:pgMar w:top="1304" w:right="1247" w:bottom="1304" w:left="1531" w:header="851" w:footer="851" w:gutter="0"/>
          <w:pgBorders>
            <w:top w:val="none" w:sz="0" w:space="0"/>
            <w:left w:val="none" w:sz="0" w:space="0"/>
            <w:bottom w:val="none" w:sz="0" w:space="0"/>
            <w:right w:val="none" w:sz="0" w:space="0"/>
          </w:pgBorders>
          <w:cols w:space="425" w:num="1"/>
          <w:docGrid w:type="lines" w:linePitch="312" w:charSpace="0"/>
        </w:sectPr>
      </w:pPr>
    </w:p>
    <w:p>
      <w:pPr>
        <w:pStyle w:val="3"/>
      </w:pPr>
      <w:bookmarkStart w:id="0" w:name="_Toc14978"/>
      <w:r>
        <w:rPr>
          <w:rFonts w:hint="eastAsia"/>
        </w:rPr>
        <w:t>前言</w:t>
      </w:r>
      <w:bookmarkEnd w:id="0"/>
    </w:p>
    <w:p>
      <w:pPr>
        <w:pStyle w:val="4"/>
        <w:rPr>
          <w:sz w:val="24"/>
          <w:szCs w:val="24"/>
        </w:rPr>
      </w:pPr>
      <w:bookmarkStart w:id="1" w:name="_Toc23132"/>
      <w:r>
        <w:rPr>
          <w:rFonts w:hint="eastAsia"/>
          <w:sz w:val="24"/>
          <w:szCs w:val="24"/>
        </w:rPr>
        <w:t>工作由来</w:t>
      </w:r>
      <w:bookmarkEnd w:id="1"/>
    </w:p>
    <w:p>
      <w:pPr>
        <w:ind w:firstLine="560"/>
        <w:rPr>
          <w:rFonts w:hint="eastAsia" w:ascii="Times New Roman" w:hAnsi="Times New Roman"/>
          <w:sz w:val="24"/>
          <w:szCs w:val="24"/>
          <w:lang w:val="en-US" w:eastAsia="zh-CN"/>
        </w:rPr>
      </w:pPr>
      <w:r>
        <w:rPr>
          <w:rFonts w:hint="eastAsia" w:ascii="Times New Roman" w:hAnsi="Times New Roman"/>
          <w:sz w:val="24"/>
          <w:szCs w:val="24"/>
          <w:lang w:val="en-US" w:eastAsia="zh-CN"/>
        </w:rPr>
        <w:t>当前，我国已进入突发环境事件多发期和矛盾凸显期，环境问题已成为威胁人体健康、公共安全和社会稳定的重要因素之一。国务院高度重视环境风险防范与管理，2011年10月，发布了《国务院关于加强环境保护重点工作的意见》（国发[2011]35号），明确提出了“有效防范环境风险和妥善处理突发环境事件，完善以预防为主的环境风险管理制度，严格落实企业环境安全主体责任”；2016年10月，国务院印发《国家环境保护“十三五”规划》，提出了“推进环境风险全过程管理，开展环境风险调查与评估”。为贯彻落实“十三五”环境风险防控任务，保障人民群众的身体健康和环境安全，规范企业突发环境事件风险评估行为，为企业提高环境风险防控能力提供切实指导，为环保部门根据企业环境风险等级实施分级差别化管理提供技术支持，环保部出台了《关于印发&lt;企业突发环境事件风险评估指南（试行）&gt;的通知》（环办[2014]34号）。</w:t>
      </w:r>
    </w:p>
    <w:p>
      <w:pPr>
        <w:ind w:firstLine="560"/>
        <w:rPr>
          <w:rFonts w:hint="eastAsia" w:ascii="Times New Roman" w:hAnsi="Times New Roman"/>
          <w:sz w:val="24"/>
          <w:szCs w:val="24"/>
          <w:lang w:val="en-US" w:eastAsia="zh-CN"/>
        </w:rPr>
      </w:pPr>
      <w:r>
        <w:rPr>
          <w:rFonts w:hint="eastAsia" w:ascii="Times New Roman" w:hAnsi="Times New Roman"/>
          <w:sz w:val="24"/>
          <w:szCs w:val="24"/>
          <w:lang w:val="en-US" w:eastAsia="zh-CN"/>
        </w:rPr>
        <w:t>为积极响应环保部的关于《关于印发&lt;企业突发环境事件风险评估指南（试行）&gt;的通知》（环办[2014]34号）文件精神，南昌慧华高科混凝土</w:t>
      </w:r>
      <w:r>
        <w:rPr>
          <w:rFonts w:hint="eastAsia" w:ascii="Times New Roman" w:hAnsi="Times New Roman"/>
          <w:sz w:val="24"/>
          <w:szCs w:val="24"/>
          <w:lang w:eastAsia="zh-CN"/>
        </w:rPr>
        <w:t>有限公司</w:t>
      </w:r>
      <w:r>
        <w:rPr>
          <w:rFonts w:hint="eastAsia" w:ascii="Times New Roman" w:hAnsi="Times New Roman"/>
          <w:sz w:val="24"/>
          <w:szCs w:val="24"/>
          <w:lang w:val="en-US" w:eastAsia="zh-CN"/>
        </w:rPr>
        <w:t>特编制《南昌慧华高科混凝土</w:t>
      </w:r>
      <w:r>
        <w:rPr>
          <w:rFonts w:hint="eastAsia" w:ascii="Times New Roman" w:hAnsi="Times New Roman"/>
          <w:sz w:val="24"/>
          <w:szCs w:val="24"/>
          <w:lang w:eastAsia="zh-CN"/>
        </w:rPr>
        <w:t>有限公司</w:t>
      </w:r>
      <w:r>
        <w:rPr>
          <w:rFonts w:hint="eastAsia" w:ascii="Times New Roman" w:hAnsi="Times New Roman"/>
          <w:sz w:val="24"/>
          <w:szCs w:val="24"/>
          <w:lang w:val="en-US" w:eastAsia="zh-CN"/>
        </w:rPr>
        <w:t>突发环境事件风险评估报告》，通过开展突发环境事件风险评估，企业可以掌握自身环境风险状况，明确环境风险的防控措施，为后期的环境风险监管奠定基础，最终达到减少突发环境事件发生的目标，同时为当地生态环境行政主管部门加强对高环境风险企业的针对性监督管理、提高管理效率、降低管理成本等提供一定的帮助。</w:t>
      </w:r>
    </w:p>
    <w:p>
      <w:pPr>
        <w:ind w:firstLine="560"/>
        <w:rPr>
          <w:sz w:val="24"/>
          <w:szCs w:val="24"/>
        </w:rPr>
      </w:pPr>
      <w:r>
        <w:rPr>
          <w:rFonts w:hint="eastAsia" w:ascii="Times New Roman" w:hAnsi="Times New Roman"/>
          <w:sz w:val="24"/>
          <w:szCs w:val="24"/>
          <w:lang w:val="en-US" w:eastAsia="zh-CN"/>
        </w:rPr>
        <w:t>本突发环境事件风险评估报告依据环境保护部《企业突发环境事件风险评估指南（试行）》（环办[2014]34号）中附录D“企业突发环境事件风险评估报告编制大纲”的要求进行编制。突发环境事件风险等级由企业根据环境保护部《企业突发环境事件风险评估指南（试行）》（环办[2014]34号）自行划分</w:t>
      </w:r>
      <w:r>
        <w:rPr>
          <w:rFonts w:hint="eastAsia"/>
          <w:sz w:val="24"/>
          <w:szCs w:val="24"/>
        </w:rPr>
        <w:t>。</w:t>
      </w:r>
    </w:p>
    <w:p>
      <w:pPr>
        <w:pStyle w:val="4"/>
        <w:rPr>
          <w:sz w:val="24"/>
          <w:szCs w:val="24"/>
        </w:rPr>
      </w:pPr>
      <w:bookmarkStart w:id="2" w:name="_Toc27198"/>
      <w:r>
        <w:rPr>
          <w:rFonts w:hint="eastAsia"/>
          <w:sz w:val="24"/>
          <w:szCs w:val="24"/>
        </w:rPr>
        <w:t>评估程序</w:t>
      </w:r>
      <w:bookmarkEnd w:id="2"/>
    </w:p>
    <w:p>
      <w:pPr>
        <w:ind w:firstLine="560"/>
        <w:rPr>
          <w:sz w:val="24"/>
          <w:szCs w:val="24"/>
        </w:rPr>
      </w:pPr>
      <w:r>
        <w:rPr>
          <w:rFonts w:hint="eastAsia"/>
          <w:sz w:val="24"/>
          <w:szCs w:val="24"/>
        </w:rPr>
        <w:t>企业环境风险评估，按照资料准备与环境风险识别、可能发生突发环境事件及其后果分析、现有环境风险防控和环境应急管理差距分析、制定完善环境风险防控和应急措施的实施计划、划定突发环境事件风险等级五个步骤实施。</w:t>
      </w:r>
    </w:p>
    <w:p>
      <w:pPr>
        <w:keepNext/>
        <w:ind w:firstLine="0" w:firstLineChars="0"/>
        <w:jc w:val="center"/>
      </w:pPr>
      <w:r>
        <w:object>
          <v:shape id="_x0000_i1025" o:spt="75" type="#_x0000_t75" style="height:390.7pt;width:222.9pt;" o:ole="t" filled="f" o:preferrelative="t" stroked="f" coordsize="21600,21600">
            <v:path/>
            <v:fill on="f" focussize="0,0"/>
            <v:stroke on="f" joinstyle="miter"/>
            <v:imagedata r:id="rId13" o:title=""/>
            <o:lock v:ext="edit" aspectratio="t"/>
            <w10:wrap type="none"/>
            <w10:anchorlock/>
          </v:shape>
          <o:OLEObject Type="Embed" ProgID="Visio.Drawing.15" ShapeID="_x0000_i1025" DrawAspect="Content" ObjectID="_1468075725" r:id="rId12">
            <o:LockedField>false</o:LockedField>
          </o:OLEObject>
        </w:object>
      </w:r>
    </w:p>
    <w:p>
      <w:pPr>
        <w:pStyle w:val="10"/>
        <w:rPr>
          <w:sz w:val="24"/>
          <w:szCs w:val="24"/>
        </w:rPr>
      </w:pPr>
      <w:r>
        <w:rPr>
          <w:rFonts w:hint="eastAsia"/>
          <w:sz w:val="24"/>
          <w:szCs w:val="24"/>
        </w:rPr>
        <w:t xml:space="preserve">图 </w:t>
      </w:r>
      <w:r>
        <w:rPr>
          <w:sz w:val="24"/>
          <w:szCs w:val="24"/>
        </w:rPr>
        <w:fldChar w:fldCharType="begin"/>
      </w:r>
      <w:r>
        <w:rPr>
          <w:sz w:val="24"/>
          <w:szCs w:val="24"/>
        </w:rPr>
        <w:instrText xml:space="preserve"> </w:instrText>
      </w:r>
      <w:r>
        <w:rPr>
          <w:rFonts w:hint="eastAsia"/>
          <w:sz w:val="24"/>
          <w:szCs w:val="24"/>
        </w:rPr>
        <w:instrText xml:space="preserve">STYLEREF 1 \s</w:instrText>
      </w:r>
      <w:r>
        <w:rPr>
          <w:sz w:val="24"/>
          <w:szCs w:val="24"/>
        </w:rPr>
        <w:instrText xml:space="preserve"> </w:instrText>
      </w:r>
      <w:r>
        <w:rPr>
          <w:sz w:val="24"/>
          <w:szCs w:val="24"/>
        </w:rPr>
        <w:fldChar w:fldCharType="separate"/>
      </w:r>
      <w:r>
        <w:rPr>
          <w:sz w:val="24"/>
          <w:szCs w:val="24"/>
        </w:rPr>
        <w:t>1</w:t>
      </w:r>
      <w:r>
        <w:rPr>
          <w:sz w:val="24"/>
          <w:szCs w:val="24"/>
        </w:rPr>
        <w:fldChar w:fldCharType="end"/>
      </w:r>
      <w:r>
        <w:rPr>
          <w:sz w:val="24"/>
          <w:szCs w:val="24"/>
        </w:rPr>
        <w:noBreakHyphen/>
      </w:r>
      <w:r>
        <w:rPr>
          <w:sz w:val="24"/>
          <w:szCs w:val="24"/>
        </w:rPr>
        <w:fldChar w:fldCharType="begin"/>
      </w:r>
      <w:r>
        <w:rPr>
          <w:sz w:val="24"/>
          <w:szCs w:val="24"/>
        </w:rPr>
        <w:instrText xml:space="preserve"> </w:instrText>
      </w:r>
      <w:r>
        <w:rPr>
          <w:rFonts w:hint="eastAsia"/>
          <w:sz w:val="24"/>
          <w:szCs w:val="24"/>
        </w:rPr>
        <w:instrText xml:space="preserve">SEQ 图 \* ARABIC \s 1</w:instrText>
      </w:r>
      <w:r>
        <w:rPr>
          <w:sz w:val="24"/>
          <w:szCs w:val="24"/>
        </w:rPr>
        <w:instrText xml:space="preserve"> </w:instrText>
      </w:r>
      <w:r>
        <w:rPr>
          <w:sz w:val="24"/>
          <w:szCs w:val="24"/>
        </w:rPr>
        <w:fldChar w:fldCharType="separate"/>
      </w:r>
      <w:r>
        <w:rPr>
          <w:sz w:val="24"/>
          <w:szCs w:val="24"/>
        </w:rPr>
        <w:t>1</w:t>
      </w:r>
      <w:r>
        <w:rPr>
          <w:sz w:val="24"/>
          <w:szCs w:val="24"/>
        </w:rPr>
        <w:fldChar w:fldCharType="end"/>
      </w:r>
      <w:r>
        <w:rPr>
          <w:rFonts w:hint="eastAsia"/>
          <w:sz w:val="24"/>
          <w:szCs w:val="24"/>
        </w:rPr>
        <w:t>突发环境事件风险评估程序</w:t>
      </w:r>
    </w:p>
    <w:p>
      <w:pPr>
        <w:pStyle w:val="4"/>
        <w:rPr>
          <w:sz w:val="24"/>
          <w:szCs w:val="24"/>
        </w:rPr>
      </w:pPr>
      <w:bookmarkStart w:id="3" w:name="_Toc14009"/>
      <w:r>
        <w:rPr>
          <w:rFonts w:hint="eastAsia"/>
          <w:sz w:val="24"/>
          <w:szCs w:val="24"/>
        </w:rPr>
        <w:t>环境风险评估的一般要求</w:t>
      </w:r>
      <w:bookmarkEnd w:id="3"/>
    </w:p>
    <w:p>
      <w:pPr>
        <w:ind w:firstLine="560"/>
        <w:rPr>
          <w:sz w:val="24"/>
          <w:szCs w:val="24"/>
        </w:rPr>
      </w:pPr>
      <w:r>
        <w:rPr>
          <w:rFonts w:hint="eastAsia"/>
          <w:sz w:val="24"/>
          <w:szCs w:val="24"/>
        </w:rPr>
        <w:t>有下列情况之一时，我公司将及时重新划定环境风险等级，编制或修订本企业的环境风险评估报告：</w:t>
      </w:r>
    </w:p>
    <w:p>
      <w:pPr>
        <w:ind w:firstLine="560"/>
        <w:rPr>
          <w:sz w:val="24"/>
          <w:szCs w:val="24"/>
        </w:rPr>
      </w:pPr>
      <w:r>
        <w:rPr>
          <w:rFonts w:hint="eastAsia"/>
          <w:sz w:val="24"/>
          <w:szCs w:val="24"/>
        </w:rPr>
        <w:t>1、未划定环境风险等级或划定环境风险等级已满三年的；</w:t>
      </w:r>
    </w:p>
    <w:p>
      <w:pPr>
        <w:ind w:firstLine="560"/>
        <w:rPr>
          <w:sz w:val="24"/>
          <w:szCs w:val="24"/>
        </w:rPr>
      </w:pPr>
      <w:r>
        <w:rPr>
          <w:rFonts w:hint="eastAsia"/>
          <w:sz w:val="24"/>
          <w:szCs w:val="24"/>
        </w:rPr>
        <w:t>2、涉及环境风险物质的种类或数量、生产工艺过程与环境风险防范措施或周边可能受影响的环境风险受体发生变化，导致企业环境风险等级变化的；</w:t>
      </w:r>
    </w:p>
    <w:p>
      <w:pPr>
        <w:ind w:firstLine="560"/>
        <w:rPr>
          <w:sz w:val="24"/>
          <w:szCs w:val="24"/>
        </w:rPr>
      </w:pPr>
      <w:r>
        <w:rPr>
          <w:rFonts w:hint="eastAsia"/>
          <w:sz w:val="24"/>
          <w:szCs w:val="24"/>
        </w:rPr>
        <w:t>3、发生突发环境事件并造成环境污染的；</w:t>
      </w:r>
    </w:p>
    <w:p>
      <w:pPr>
        <w:ind w:firstLine="560"/>
        <w:rPr>
          <w:sz w:val="24"/>
          <w:szCs w:val="24"/>
        </w:rPr>
      </w:pPr>
      <w:r>
        <w:rPr>
          <w:rFonts w:hint="eastAsia"/>
          <w:sz w:val="24"/>
          <w:szCs w:val="24"/>
        </w:rPr>
        <w:t>4、有关企业环境风险评估标准或规范性文件发生变化的。</w:t>
      </w:r>
    </w:p>
    <w:p>
      <w:pPr>
        <w:pStyle w:val="3"/>
      </w:pPr>
      <w:bookmarkStart w:id="4" w:name="_Toc15767"/>
      <w:r>
        <w:rPr>
          <w:rFonts w:hint="eastAsia"/>
        </w:rPr>
        <w:t>总则</w:t>
      </w:r>
      <w:bookmarkEnd w:id="4"/>
    </w:p>
    <w:p>
      <w:pPr>
        <w:pStyle w:val="4"/>
        <w:rPr>
          <w:sz w:val="24"/>
          <w:szCs w:val="24"/>
        </w:rPr>
      </w:pPr>
      <w:bookmarkStart w:id="5" w:name="_Toc513"/>
      <w:r>
        <w:rPr>
          <w:rFonts w:hint="eastAsia"/>
          <w:sz w:val="24"/>
          <w:szCs w:val="24"/>
        </w:rPr>
        <w:t>编制原则</w:t>
      </w:r>
      <w:bookmarkEnd w:id="5"/>
    </w:p>
    <w:p>
      <w:pPr>
        <w:ind w:firstLine="560"/>
        <w:rPr>
          <w:sz w:val="24"/>
          <w:szCs w:val="24"/>
        </w:rPr>
      </w:pPr>
      <w:r>
        <w:rPr>
          <w:sz w:val="24"/>
          <w:szCs w:val="24"/>
        </w:rPr>
        <w:t>本报告按照“以人为本”的宗旨，预防和减少突发环境事件的发生、提高突发环境事件控制水平，控制和消除突发环境事件引起的危害，规范突发环境事件应急处置、管理工作合理保障人民群众的身体健康、公众生命安全和环境安全，严格规范企业突发环境事件风险评估行为，提高突发环境事件防控能力，全面落实企业环境风险防控主体，并遵循以下原则开展环境风险评估工作：</w:t>
      </w:r>
    </w:p>
    <w:p>
      <w:pPr>
        <w:ind w:firstLine="560"/>
        <w:rPr>
          <w:sz w:val="24"/>
          <w:szCs w:val="24"/>
        </w:rPr>
      </w:pPr>
      <w:r>
        <w:rPr>
          <w:rFonts w:hint="eastAsia"/>
          <w:sz w:val="24"/>
          <w:szCs w:val="24"/>
        </w:rPr>
        <w:t>（1）环境风险评估编制应体现科学性、规范性、客观性和真实性的原则。</w:t>
      </w:r>
    </w:p>
    <w:p>
      <w:pPr>
        <w:ind w:firstLine="560"/>
        <w:rPr>
          <w:sz w:val="24"/>
          <w:szCs w:val="24"/>
        </w:rPr>
      </w:pPr>
      <w:r>
        <w:rPr>
          <w:rFonts w:hint="eastAsia"/>
          <w:sz w:val="24"/>
          <w:szCs w:val="24"/>
        </w:rPr>
        <w:t>（2）环境风险评估过程中应贯彻执行我国环保相关的法律法规、标准、政策，分析企业自身环境风险状况，明确环境风险防控措施。</w:t>
      </w:r>
    </w:p>
    <w:p>
      <w:pPr>
        <w:ind w:firstLine="560"/>
        <w:rPr>
          <w:sz w:val="24"/>
          <w:szCs w:val="24"/>
        </w:rPr>
      </w:pPr>
      <w:r>
        <w:rPr>
          <w:rFonts w:hint="eastAsia"/>
          <w:sz w:val="24"/>
          <w:szCs w:val="24"/>
        </w:rPr>
        <w:t>（3）认真排查企业的环境风险，严格按照《企业突发环境事件风险评估指南（试行）》制定整改方案；</w:t>
      </w:r>
    </w:p>
    <w:p>
      <w:pPr>
        <w:ind w:firstLine="560"/>
        <w:rPr>
          <w:sz w:val="24"/>
          <w:szCs w:val="24"/>
        </w:rPr>
      </w:pPr>
      <w:r>
        <w:rPr>
          <w:rFonts w:hint="eastAsia"/>
          <w:sz w:val="24"/>
          <w:szCs w:val="24"/>
        </w:rPr>
        <w:t>（4）评估报告的内容和形式必须符合《企业突发环境事件风险评估指南（试行）》的要求。</w:t>
      </w:r>
    </w:p>
    <w:p>
      <w:pPr>
        <w:pStyle w:val="4"/>
        <w:rPr>
          <w:sz w:val="24"/>
          <w:szCs w:val="24"/>
        </w:rPr>
      </w:pPr>
      <w:bookmarkStart w:id="6" w:name="_Toc4071"/>
      <w:r>
        <w:rPr>
          <w:rFonts w:hint="eastAsia"/>
          <w:sz w:val="24"/>
          <w:szCs w:val="24"/>
        </w:rPr>
        <w:t>编制依据</w:t>
      </w:r>
      <w:bookmarkEnd w:id="6"/>
    </w:p>
    <w:p>
      <w:pPr>
        <w:pStyle w:val="6"/>
        <w:rPr>
          <w:sz w:val="24"/>
          <w:szCs w:val="24"/>
        </w:rPr>
      </w:pPr>
      <w:r>
        <w:rPr>
          <w:rFonts w:hint="eastAsia"/>
          <w:sz w:val="24"/>
          <w:szCs w:val="24"/>
        </w:rPr>
        <w:t>法律法规、规章、指导性文件</w:t>
      </w:r>
    </w:p>
    <w:p>
      <w:pPr>
        <w:ind w:firstLine="560"/>
        <w:rPr>
          <w:sz w:val="24"/>
          <w:szCs w:val="24"/>
        </w:rPr>
      </w:pPr>
      <w:r>
        <w:rPr>
          <w:rFonts w:hint="eastAsia"/>
          <w:sz w:val="24"/>
          <w:szCs w:val="24"/>
        </w:rPr>
        <w:t>（1）《中华人民共和国环境保护法》（2015年1月1日施行）；</w:t>
      </w:r>
    </w:p>
    <w:p>
      <w:pPr>
        <w:ind w:firstLine="560"/>
        <w:rPr>
          <w:sz w:val="24"/>
          <w:szCs w:val="24"/>
        </w:rPr>
      </w:pPr>
      <w:r>
        <w:rPr>
          <w:rFonts w:hint="eastAsia"/>
          <w:sz w:val="24"/>
          <w:szCs w:val="24"/>
        </w:rPr>
        <w:t>（2）《中华人民共和国大气污染防治法》（201</w:t>
      </w:r>
      <w:r>
        <w:rPr>
          <w:rFonts w:hint="eastAsia"/>
          <w:sz w:val="24"/>
          <w:szCs w:val="24"/>
          <w:lang w:val="en-US" w:eastAsia="zh-CN"/>
        </w:rPr>
        <w:t>8</w:t>
      </w:r>
      <w:r>
        <w:rPr>
          <w:rFonts w:hint="eastAsia"/>
          <w:sz w:val="24"/>
          <w:szCs w:val="24"/>
        </w:rPr>
        <w:t>年1</w:t>
      </w:r>
      <w:r>
        <w:rPr>
          <w:rFonts w:hint="eastAsia"/>
          <w:sz w:val="24"/>
          <w:szCs w:val="24"/>
          <w:lang w:val="en-US" w:eastAsia="zh-CN"/>
        </w:rPr>
        <w:t>0</w:t>
      </w:r>
      <w:r>
        <w:rPr>
          <w:rFonts w:hint="eastAsia"/>
          <w:sz w:val="24"/>
          <w:szCs w:val="24"/>
        </w:rPr>
        <w:t>月</w:t>
      </w:r>
      <w:r>
        <w:rPr>
          <w:rFonts w:hint="eastAsia"/>
          <w:sz w:val="24"/>
          <w:szCs w:val="24"/>
          <w:lang w:val="en-US" w:eastAsia="zh-CN"/>
        </w:rPr>
        <w:t>26</w:t>
      </w:r>
      <w:r>
        <w:rPr>
          <w:rFonts w:hint="eastAsia"/>
          <w:sz w:val="24"/>
          <w:szCs w:val="24"/>
        </w:rPr>
        <w:t>日</w:t>
      </w:r>
      <w:r>
        <w:rPr>
          <w:rFonts w:hint="eastAsia"/>
          <w:sz w:val="24"/>
          <w:szCs w:val="24"/>
          <w:lang w:eastAsia="zh-CN"/>
        </w:rPr>
        <w:t>修订</w:t>
      </w:r>
      <w:r>
        <w:rPr>
          <w:rFonts w:hint="eastAsia"/>
          <w:sz w:val="24"/>
          <w:szCs w:val="24"/>
        </w:rPr>
        <w:t>）；</w:t>
      </w:r>
    </w:p>
    <w:p>
      <w:pPr>
        <w:ind w:firstLine="560"/>
        <w:rPr>
          <w:sz w:val="24"/>
          <w:szCs w:val="24"/>
        </w:rPr>
      </w:pPr>
      <w:r>
        <w:rPr>
          <w:rFonts w:hint="eastAsia"/>
          <w:sz w:val="24"/>
          <w:szCs w:val="24"/>
        </w:rPr>
        <w:t>（3）《中华人民共和国水污染防治法》（2018年1月1日实施）；</w:t>
      </w:r>
    </w:p>
    <w:p>
      <w:pPr>
        <w:ind w:firstLine="560"/>
        <w:rPr>
          <w:sz w:val="24"/>
          <w:szCs w:val="24"/>
        </w:rPr>
      </w:pPr>
      <w:r>
        <w:rPr>
          <w:rFonts w:hint="eastAsia"/>
          <w:sz w:val="24"/>
          <w:szCs w:val="24"/>
        </w:rPr>
        <w:t>（4）《中华人民共和国固体废物污染环境防治法》（20</w:t>
      </w:r>
      <w:r>
        <w:rPr>
          <w:rFonts w:hint="eastAsia"/>
          <w:sz w:val="24"/>
          <w:szCs w:val="24"/>
          <w:lang w:val="en-US" w:eastAsia="zh-CN"/>
        </w:rPr>
        <w:t>20</w:t>
      </w:r>
      <w:r>
        <w:rPr>
          <w:rFonts w:hint="eastAsia"/>
          <w:sz w:val="24"/>
          <w:szCs w:val="24"/>
        </w:rPr>
        <w:t>年</w:t>
      </w:r>
      <w:r>
        <w:rPr>
          <w:rFonts w:hint="eastAsia"/>
          <w:sz w:val="24"/>
          <w:szCs w:val="24"/>
          <w:lang w:val="en-US" w:eastAsia="zh-CN"/>
        </w:rPr>
        <w:t>4</w:t>
      </w:r>
      <w:r>
        <w:rPr>
          <w:rFonts w:hint="eastAsia"/>
          <w:sz w:val="24"/>
          <w:szCs w:val="24"/>
        </w:rPr>
        <w:t>月</w:t>
      </w:r>
      <w:r>
        <w:rPr>
          <w:rFonts w:hint="eastAsia"/>
          <w:sz w:val="24"/>
          <w:szCs w:val="24"/>
          <w:lang w:val="en-US" w:eastAsia="zh-CN"/>
        </w:rPr>
        <w:t>29</w:t>
      </w:r>
      <w:r>
        <w:rPr>
          <w:rFonts w:hint="eastAsia"/>
          <w:sz w:val="24"/>
          <w:szCs w:val="24"/>
        </w:rPr>
        <w:t>日</w:t>
      </w:r>
      <w:r>
        <w:rPr>
          <w:rFonts w:hint="eastAsia"/>
          <w:sz w:val="24"/>
          <w:szCs w:val="24"/>
          <w:lang w:eastAsia="zh-CN"/>
        </w:rPr>
        <w:t>修订</w:t>
      </w:r>
      <w:r>
        <w:rPr>
          <w:rFonts w:hint="eastAsia"/>
          <w:sz w:val="24"/>
          <w:szCs w:val="24"/>
        </w:rPr>
        <w:t>）；</w:t>
      </w:r>
    </w:p>
    <w:p>
      <w:pPr>
        <w:ind w:firstLine="560"/>
        <w:rPr>
          <w:sz w:val="24"/>
          <w:szCs w:val="24"/>
        </w:rPr>
      </w:pPr>
      <w:r>
        <w:rPr>
          <w:rFonts w:hint="eastAsia"/>
          <w:sz w:val="24"/>
          <w:szCs w:val="24"/>
        </w:rPr>
        <w:t>（</w:t>
      </w:r>
      <w:r>
        <w:rPr>
          <w:sz w:val="24"/>
          <w:szCs w:val="24"/>
        </w:rPr>
        <w:t>5</w:t>
      </w:r>
      <w:r>
        <w:rPr>
          <w:rFonts w:hint="eastAsia"/>
          <w:sz w:val="24"/>
          <w:szCs w:val="24"/>
        </w:rPr>
        <w:t>）《中华人民共和国环境影响评价法》（201</w:t>
      </w:r>
      <w:r>
        <w:rPr>
          <w:rFonts w:hint="eastAsia"/>
          <w:sz w:val="24"/>
          <w:szCs w:val="24"/>
          <w:lang w:val="en-US" w:eastAsia="zh-CN"/>
        </w:rPr>
        <w:t>8</w:t>
      </w:r>
      <w:r>
        <w:rPr>
          <w:rFonts w:hint="eastAsia"/>
          <w:sz w:val="24"/>
          <w:szCs w:val="24"/>
        </w:rPr>
        <w:t>年</w:t>
      </w:r>
      <w:r>
        <w:rPr>
          <w:rFonts w:hint="eastAsia"/>
          <w:sz w:val="24"/>
          <w:szCs w:val="24"/>
          <w:lang w:val="en-US" w:eastAsia="zh-CN"/>
        </w:rPr>
        <w:t>12</w:t>
      </w:r>
      <w:r>
        <w:rPr>
          <w:rFonts w:hint="eastAsia"/>
          <w:sz w:val="24"/>
          <w:szCs w:val="24"/>
        </w:rPr>
        <w:t>月</w:t>
      </w:r>
      <w:r>
        <w:rPr>
          <w:rFonts w:hint="eastAsia"/>
          <w:sz w:val="24"/>
          <w:szCs w:val="24"/>
          <w:lang w:val="en-US" w:eastAsia="zh-CN"/>
        </w:rPr>
        <w:t>29</w:t>
      </w:r>
      <w:r>
        <w:rPr>
          <w:rFonts w:hint="eastAsia"/>
          <w:sz w:val="24"/>
          <w:szCs w:val="24"/>
        </w:rPr>
        <w:t>日</w:t>
      </w:r>
      <w:r>
        <w:rPr>
          <w:rFonts w:hint="eastAsia"/>
          <w:sz w:val="24"/>
          <w:szCs w:val="24"/>
          <w:lang w:eastAsia="zh-CN"/>
        </w:rPr>
        <w:t>修正</w:t>
      </w:r>
      <w:r>
        <w:rPr>
          <w:rFonts w:hint="eastAsia"/>
          <w:sz w:val="24"/>
          <w:szCs w:val="24"/>
        </w:rPr>
        <w:t>）；</w:t>
      </w:r>
    </w:p>
    <w:p>
      <w:pPr>
        <w:ind w:firstLine="560"/>
        <w:rPr>
          <w:sz w:val="24"/>
          <w:szCs w:val="24"/>
        </w:rPr>
      </w:pPr>
      <w:r>
        <w:rPr>
          <w:rFonts w:hint="eastAsia"/>
          <w:sz w:val="24"/>
          <w:szCs w:val="24"/>
        </w:rPr>
        <w:t>（</w:t>
      </w:r>
      <w:r>
        <w:rPr>
          <w:sz w:val="24"/>
          <w:szCs w:val="24"/>
        </w:rPr>
        <w:t>6</w:t>
      </w:r>
      <w:r>
        <w:rPr>
          <w:rFonts w:hint="eastAsia"/>
          <w:sz w:val="24"/>
          <w:szCs w:val="24"/>
        </w:rPr>
        <w:t>）《中华人民共和国突发事件应对法》（2007年11月1日实施）；</w:t>
      </w:r>
    </w:p>
    <w:p>
      <w:pPr>
        <w:ind w:firstLine="560"/>
        <w:rPr>
          <w:sz w:val="24"/>
          <w:szCs w:val="24"/>
        </w:rPr>
      </w:pPr>
      <w:r>
        <w:rPr>
          <w:rFonts w:hint="eastAsia"/>
          <w:sz w:val="24"/>
          <w:szCs w:val="24"/>
        </w:rPr>
        <w:t>（</w:t>
      </w:r>
      <w:r>
        <w:rPr>
          <w:sz w:val="24"/>
          <w:szCs w:val="24"/>
        </w:rPr>
        <w:t>7</w:t>
      </w:r>
      <w:r>
        <w:rPr>
          <w:rFonts w:hint="eastAsia"/>
          <w:sz w:val="24"/>
          <w:szCs w:val="24"/>
        </w:rPr>
        <w:t>）《关于进一步加强环境影响评价管理防范环境风险的通知》（环发[2012]77号，2012年7月3日发布）；</w:t>
      </w:r>
    </w:p>
    <w:p>
      <w:pPr>
        <w:ind w:firstLine="560"/>
        <w:rPr>
          <w:sz w:val="24"/>
          <w:szCs w:val="24"/>
        </w:rPr>
      </w:pPr>
      <w:r>
        <w:rPr>
          <w:rFonts w:hint="eastAsia"/>
          <w:sz w:val="24"/>
          <w:szCs w:val="24"/>
        </w:rPr>
        <w:t>（</w:t>
      </w:r>
      <w:r>
        <w:rPr>
          <w:sz w:val="24"/>
          <w:szCs w:val="24"/>
        </w:rPr>
        <w:t>8</w:t>
      </w:r>
      <w:r>
        <w:rPr>
          <w:rFonts w:hint="eastAsia"/>
          <w:sz w:val="24"/>
          <w:szCs w:val="24"/>
        </w:rPr>
        <w:t>）《突发环境事件应急预案管理暂行办法》（环发〔2010〕113号，2</w:t>
      </w:r>
      <w:r>
        <w:rPr>
          <w:sz w:val="24"/>
          <w:szCs w:val="24"/>
        </w:rPr>
        <w:t>010</w:t>
      </w:r>
      <w:r>
        <w:rPr>
          <w:rFonts w:hint="eastAsia"/>
          <w:sz w:val="24"/>
          <w:szCs w:val="24"/>
        </w:rPr>
        <w:t>年9月2</w:t>
      </w:r>
      <w:r>
        <w:rPr>
          <w:sz w:val="24"/>
          <w:szCs w:val="24"/>
        </w:rPr>
        <w:t>8</w:t>
      </w:r>
      <w:r>
        <w:rPr>
          <w:rFonts w:hint="eastAsia"/>
          <w:sz w:val="24"/>
          <w:szCs w:val="24"/>
        </w:rPr>
        <w:t>日）；</w:t>
      </w:r>
    </w:p>
    <w:p>
      <w:pPr>
        <w:ind w:firstLine="560"/>
        <w:rPr>
          <w:sz w:val="24"/>
          <w:szCs w:val="24"/>
        </w:rPr>
      </w:pPr>
      <w:r>
        <w:rPr>
          <w:rFonts w:hint="eastAsia"/>
          <w:sz w:val="24"/>
          <w:szCs w:val="24"/>
        </w:rPr>
        <w:t>（</w:t>
      </w:r>
      <w:r>
        <w:rPr>
          <w:sz w:val="24"/>
          <w:szCs w:val="24"/>
        </w:rPr>
        <w:t>9</w:t>
      </w:r>
      <w:r>
        <w:rPr>
          <w:rFonts w:hint="eastAsia"/>
          <w:sz w:val="24"/>
          <w:szCs w:val="24"/>
        </w:rPr>
        <w:t>）《中华人民共和国安全生产法》（2014年12月1日实施）；</w:t>
      </w:r>
    </w:p>
    <w:p>
      <w:pPr>
        <w:ind w:firstLine="560"/>
        <w:rPr>
          <w:sz w:val="24"/>
          <w:szCs w:val="24"/>
        </w:rPr>
      </w:pPr>
      <w:r>
        <w:rPr>
          <w:rFonts w:hint="eastAsia"/>
          <w:sz w:val="24"/>
          <w:szCs w:val="24"/>
        </w:rPr>
        <w:t>（</w:t>
      </w:r>
      <w:r>
        <w:rPr>
          <w:sz w:val="24"/>
          <w:szCs w:val="24"/>
        </w:rPr>
        <w:t>10</w:t>
      </w:r>
      <w:r>
        <w:rPr>
          <w:rFonts w:hint="eastAsia"/>
          <w:sz w:val="24"/>
          <w:szCs w:val="24"/>
        </w:rPr>
        <w:t>）《中华人民共和国消防法》（20</w:t>
      </w:r>
      <w:r>
        <w:rPr>
          <w:rFonts w:hint="eastAsia"/>
          <w:sz w:val="24"/>
          <w:szCs w:val="24"/>
          <w:lang w:val="en-US" w:eastAsia="zh-CN"/>
        </w:rPr>
        <w:t>1</w:t>
      </w:r>
      <w:r>
        <w:rPr>
          <w:rFonts w:hint="eastAsia"/>
          <w:sz w:val="24"/>
          <w:szCs w:val="24"/>
        </w:rPr>
        <w:t>9年</w:t>
      </w:r>
      <w:r>
        <w:rPr>
          <w:rFonts w:hint="eastAsia"/>
          <w:sz w:val="24"/>
          <w:szCs w:val="24"/>
          <w:lang w:val="en-US" w:eastAsia="zh-CN"/>
        </w:rPr>
        <w:t>4</w:t>
      </w:r>
      <w:r>
        <w:rPr>
          <w:rFonts w:hint="eastAsia"/>
          <w:sz w:val="24"/>
          <w:szCs w:val="24"/>
        </w:rPr>
        <w:t>月</w:t>
      </w:r>
      <w:r>
        <w:rPr>
          <w:rFonts w:hint="eastAsia"/>
          <w:sz w:val="24"/>
          <w:szCs w:val="24"/>
          <w:lang w:val="en-US" w:eastAsia="zh-CN"/>
        </w:rPr>
        <w:t>23</w:t>
      </w:r>
      <w:r>
        <w:rPr>
          <w:rFonts w:hint="eastAsia"/>
          <w:sz w:val="24"/>
          <w:szCs w:val="24"/>
        </w:rPr>
        <w:t>日</w:t>
      </w:r>
      <w:r>
        <w:rPr>
          <w:rFonts w:hint="eastAsia"/>
          <w:sz w:val="24"/>
          <w:szCs w:val="24"/>
          <w:lang w:eastAsia="zh-CN"/>
        </w:rPr>
        <w:t>修正</w:t>
      </w:r>
      <w:r>
        <w:rPr>
          <w:rFonts w:hint="eastAsia"/>
          <w:sz w:val="24"/>
          <w:szCs w:val="24"/>
        </w:rPr>
        <w:t>）；</w:t>
      </w:r>
    </w:p>
    <w:p>
      <w:pPr>
        <w:ind w:firstLine="560"/>
        <w:rPr>
          <w:sz w:val="24"/>
          <w:szCs w:val="24"/>
        </w:rPr>
      </w:pPr>
      <w:r>
        <w:rPr>
          <w:rFonts w:hint="eastAsia"/>
          <w:sz w:val="24"/>
          <w:szCs w:val="24"/>
        </w:rPr>
        <w:t>（1</w:t>
      </w:r>
      <w:r>
        <w:rPr>
          <w:sz w:val="24"/>
          <w:szCs w:val="24"/>
        </w:rPr>
        <w:t>1</w:t>
      </w:r>
      <w:r>
        <w:rPr>
          <w:rFonts w:hint="eastAsia"/>
          <w:sz w:val="24"/>
          <w:szCs w:val="24"/>
        </w:rPr>
        <w:t>）《危险化学品安全管理条例》（2013年12月7日</w:t>
      </w:r>
      <w:r>
        <w:rPr>
          <w:rFonts w:hint="eastAsia"/>
          <w:sz w:val="24"/>
          <w:szCs w:val="24"/>
          <w:lang w:eastAsia="zh-CN"/>
        </w:rPr>
        <w:t>修正</w:t>
      </w:r>
      <w:r>
        <w:rPr>
          <w:rFonts w:hint="eastAsia"/>
          <w:sz w:val="24"/>
          <w:szCs w:val="24"/>
        </w:rPr>
        <w:t>）；</w:t>
      </w:r>
    </w:p>
    <w:p>
      <w:pPr>
        <w:ind w:firstLine="560"/>
        <w:rPr>
          <w:sz w:val="24"/>
          <w:szCs w:val="24"/>
        </w:rPr>
      </w:pPr>
      <w:r>
        <w:rPr>
          <w:rFonts w:hint="eastAsia"/>
          <w:sz w:val="24"/>
          <w:szCs w:val="24"/>
        </w:rPr>
        <w:t>（1</w:t>
      </w:r>
      <w:r>
        <w:rPr>
          <w:sz w:val="24"/>
          <w:szCs w:val="24"/>
        </w:rPr>
        <w:t>2</w:t>
      </w:r>
      <w:r>
        <w:rPr>
          <w:rFonts w:hint="eastAsia"/>
          <w:sz w:val="24"/>
          <w:szCs w:val="24"/>
        </w:rPr>
        <w:t>）《国务院关于加强环境保护重点工作的意见》（国发[2011]35号，2011年10月17日发布）；</w:t>
      </w:r>
    </w:p>
    <w:p>
      <w:pPr>
        <w:ind w:firstLine="560"/>
        <w:rPr>
          <w:sz w:val="24"/>
          <w:szCs w:val="24"/>
        </w:rPr>
      </w:pPr>
      <w:r>
        <w:rPr>
          <w:rFonts w:hint="eastAsia"/>
          <w:sz w:val="24"/>
          <w:szCs w:val="24"/>
        </w:rPr>
        <w:t>（1</w:t>
      </w:r>
      <w:r>
        <w:rPr>
          <w:sz w:val="24"/>
          <w:szCs w:val="24"/>
        </w:rPr>
        <w:t>3</w:t>
      </w:r>
      <w:r>
        <w:rPr>
          <w:rFonts w:hint="eastAsia"/>
          <w:sz w:val="24"/>
          <w:szCs w:val="24"/>
        </w:rPr>
        <w:t>）《突发环境事件应急管理办法》（环境保护部令第</w:t>
      </w:r>
      <w:r>
        <w:rPr>
          <w:sz w:val="24"/>
          <w:szCs w:val="24"/>
        </w:rPr>
        <w:t>34</w:t>
      </w:r>
      <w:r>
        <w:rPr>
          <w:rFonts w:hint="eastAsia"/>
          <w:sz w:val="24"/>
          <w:szCs w:val="24"/>
        </w:rPr>
        <w:t>号，2015年6月5日实施）；</w:t>
      </w:r>
    </w:p>
    <w:p>
      <w:pPr>
        <w:ind w:firstLine="560"/>
        <w:rPr>
          <w:sz w:val="24"/>
          <w:szCs w:val="24"/>
        </w:rPr>
      </w:pPr>
      <w:r>
        <w:rPr>
          <w:rFonts w:hint="eastAsia"/>
          <w:sz w:val="24"/>
          <w:szCs w:val="24"/>
        </w:rPr>
        <w:t>（1</w:t>
      </w:r>
      <w:r>
        <w:rPr>
          <w:sz w:val="24"/>
          <w:szCs w:val="24"/>
        </w:rPr>
        <w:t>4</w:t>
      </w:r>
      <w:r>
        <w:rPr>
          <w:rFonts w:hint="eastAsia"/>
          <w:sz w:val="24"/>
          <w:szCs w:val="24"/>
        </w:rPr>
        <w:t>）</w:t>
      </w:r>
      <w:r>
        <w:rPr>
          <w:rFonts w:hint="eastAsia"/>
          <w:color w:val="000000" w:themeColor="text1"/>
          <w:sz w:val="24"/>
          <w:szCs w:val="24"/>
          <w14:textFill>
            <w14:solidFill>
              <w14:schemeClr w14:val="tx1"/>
            </w14:solidFill>
          </w14:textFill>
        </w:rPr>
        <w:t>《突发事件应急预案管理办法》（国办发[2013</w:t>
      </w:r>
      <w:r>
        <w:rPr>
          <w:rFonts w:hint="eastAsia"/>
          <w:color w:val="000000" w:themeColor="text1"/>
          <w:sz w:val="24"/>
          <w:szCs w:val="24"/>
          <w:lang w:val="en-US" w:eastAsia="zh-CN"/>
          <w14:textFill>
            <w14:solidFill>
              <w14:schemeClr w14:val="tx1"/>
            </w14:solidFill>
          </w14:textFill>
        </w:rPr>
        <w:t>]</w:t>
      </w:r>
      <w:r>
        <w:rPr>
          <w:rFonts w:hint="eastAsia"/>
          <w:color w:val="000000" w:themeColor="text1"/>
          <w:sz w:val="24"/>
          <w:szCs w:val="24"/>
          <w14:textFill>
            <w14:solidFill>
              <w14:schemeClr w14:val="tx1"/>
            </w14:solidFill>
          </w14:textFill>
        </w:rPr>
        <w:t>101号，20</w:t>
      </w:r>
      <w:r>
        <w:rPr>
          <w:color w:val="000000" w:themeColor="text1"/>
          <w:sz w:val="24"/>
          <w:szCs w:val="24"/>
          <w14:textFill>
            <w14:solidFill>
              <w14:schemeClr w14:val="tx1"/>
            </w14:solidFill>
          </w14:textFill>
        </w:rPr>
        <w:t>13</w:t>
      </w:r>
      <w:r>
        <w:rPr>
          <w:rFonts w:hint="eastAsia"/>
          <w:color w:val="000000" w:themeColor="text1"/>
          <w:sz w:val="24"/>
          <w:szCs w:val="24"/>
          <w14:textFill>
            <w14:solidFill>
              <w14:schemeClr w14:val="tx1"/>
            </w14:solidFill>
          </w14:textFill>
        </w:rPr>
        <w:t>年</w:t>
      </w:r>
      <w:r>
        <w:rPr>
          <w:color w:val="000000" w:themeColor="text1"/>
          <w:sz w:val="24"/>
          <w:szCs w:val="24"/>
          <w14:textFill>
            <w14:solidFill>
              <w14:schemeClr w14:val="tx1"/>
            </w14:solidFill>
          </w14:textFill>
        </w:rPr>
        <w:t>10</w:t>
      </w:r>
      <w:r>
        <w:rPr>
          <w:rFonts w:hint="eastAsia"/>
          <w:color w:val="000000" w:themeColor="text1"/>
          <w:sz w:val="24"/>
          <w:szCs w:val="24"/>
          <w14:textFill>
            <w14:solidFill>
              <w14:schemeClr w14:val="tx1"/>
            </w14:solidFill>
          </w14:textFill>
        </w:rPr>
        <w:t>月</w:t>
      </w:r>
      <w:r>
        <w:rPr>
          <w:color w:val="000000" w:themeColor="text1"/>
          <w:sz w:val="24"/>
          <w:szCs w:val="24"/>
          <w14:textFill>
            <w14:solidFill>
              <w14:schemeClr w14:val="tx1"/>
            </w14:solidFill>
          </w14:textFill>
        </w:rPr>
        <w:t>25</w:t>
      </w:r>
      <w:r>
        <w:rPr>
          <w:rFonts w:hint="eastAsia"/>
          <w:color w:val="000000" w:themeColor="text1"/>
          <w:sz w:val="24"/>
          <w:szCs w:val="24"/>
          <w14:textFill>
            <w14:solidFill>
              <w14:schemeClr w14:val="tx1"/>
            </w14:solidFill>
          </w14:textFill>
        </w:rPr>
        <w:t>日发布）</w:t>
      </w:r>
      <w:r>
        <w:rPr>
          <w:rFonts w:hint="eastAsia"/>
          <w:sz w:val="24"/>
          <w:szCs w:val="24"/>
        </w:rPr>
        <w:t>；</w:t>
      </w:r>
    </w:p>
    <w:p>
      <w:pPr>
        <w:ind w:firstLine="560"/>
        <w:rPr>
          <w:sz w:val="24"/>
          <w:szCs w:val="24"/>
        </w:rPr>
      </w:pPr>
      <w:r>
        <w:rPr>
          <w:rFonts w:hint="eastAsia"/>
          <w:sz w:val="24"/>
          <w:szCs w:val="24"/>
        </w:rPr>
        <w:t>（1</w:t>
      </w:r>
      <w:r>
        <w:rPr>
          <w:sz w:val="24"/>
          <w:szCs w:val="24"/>
        </w:rPr>
        <w:t>5</w:t>
      </w:r>
      <w:r>
        <w:rPr>
          <w:rFonts w:hint="eastAsia"/>
          <w:sz w:val="24"/>
          <w:szCs w:val="24"/>
        </w:rPr>
        <w:t>）</w:t>
      </w:r>
      <w:r>
        <w:rPr>
          <w:rFonts w:hint="eastAsia"/>
          <w:color w:val="000000" w:themeColor="text1"/>
          <w:sz w:val="24"/>
          <w:szCs w:val="24"/>
          <w14:textFill>
            <w14:solidFill>
              <w14:schemeClr w14:val="tx1"/>
            </w14:solidFill>
          </w14:textFill>
        </w:rPr>
        <w:t>《国务院关于加强应急管理工作的意见》（国发[2006</w:t>
      </w:r>
      <w:r>
        <w:rPr>
          <w:rFonts w:hint="eastAsia"/>
          <w:color w:val="000000" w:themeColor="text1"/>
          <w:sz w:val="24"/>
          <w:szCs w:val="24"/>
          <w:lang w:val="en-US" w:eastAsia="zh-CN"/>
          <w14:textFill>
            <w14:solidFill>
              <w14:schemeClr w14:val="tx1"/>
            </w14:solidFill>
          </w14:textFill>
        </w:rPr>
        <w:t>]</w:t>
      </w:r>
      <w:r>
        <w:rPr>
          <w:rFonts w:hint="eastAsia"/>
          <w:color w:val="000000" w:themeColor="text1"/>
          <w:sz w:val="24"/>
          <w:szCs w:val="24"/>
          <w14:textFill>
            <w14:solidFill>
              <w14:schemeClr w14:val="tx1"/>
            </w14:solidFill>
          </w14:textFill>
        </w:rPr>
        <w:t>24号，20</w:t>
      </w:r>
      <w:r>
        <w:rPr>
          <w:color w:val="000000" w:themeColor="text1"/>
          <w:sz w:val="24"/>
          <w:szCs w:val="24"/>
          <w14:textFill>
            <w14:solidFill>
              <w14:schemeClr w14:val="tx1"/>
            </w14:solidFill>
          </w14:textFill>
        </w:rPr>
        <w:t>06</w:t>
      </w:r>
      <w:r>
        <w:rPr>
          <w:rFonts w:hint="eastAsia"/>
          <w:color w:val="000000" w:themeColor="text1"/>
          <w:sz w:val="24"/>
          <w:szCs w:val="24"/>
          <w14:textFill>
            <w14:solidFill>
              <w14:schemeClr w14:val="tx1"/>
            </w14:solidFill>
          </w14:textFill>
        </w:rPr>
        <w:t>年</w:t>
      </w:r>
      <w:r>
        <w:rPr>
          <w:color w:val="000000" w:themeColor="text1"/>
          <w:sz w:val="24"/>
          <w:szCs w:val="24"/>
          <w14:textFill>
            <w14:solidFill>
              <w14:schemeClr w14:val="tx1"/>
            </w14:solidFill>
          </w14:textFill>
        </w:rPr>
        <w:t>6</w:t>
      </w:r>
      <w:r>
        <w:rPr>
          <w:rFonts w:hint="eastAsia"/>
          <w:color w:val="000000" w:themeColor="text1"/>
          <w:sz w:val="24"/>
          <w:szCs w:val="24"/>
          <w14:textFill>
            <w14:solidFill>
              <w14:schemeClr w14:val="tx1"/>
            </w14:solidFill>
          </w14:textFill>
        </w:rPr>
        <w:t>月</w:t>
      </w:r>
      <w:r>
        <w:rPr>
          <w:color w:val="000000" w:themeColor="text1"/>
          <w:sz w:val="24"/>
          <w:szCs w:val="24"/>
          <w14:textFill>
            <w14:solidFill>
              <w14:schemeClr w14:val="tx1"/>
            </w14:solidFill>
          </w14:textFill>
        </w:rPr>
        <w:t>15</w:t>
      </w:r>
      <w:r>
        <w:rPr>
          <w:rFonts w:hint="eastAsia"/>
          <w:color w:val="000000" w:themeColor="text1"/>
          <w:sz w:val="24"/>
          <w:szCs w:val="24"/>
          <w14:textFill>
            <w14:solidFill>
              <w14:schemeClr w14:val="tx1"/>
            </w14:solidFill>
          </w14:textFill>
        </w:rPr>
        <w:t>日发布）</w:t>
      </w:r>
      <w:r>
        <w:rPr>
          <w:rFonts w:hint="eastAsia"/>
          <w:sz w:val="24"/>
          <w:szCs w:val="24"/>
        </w:rPr>
        <w:t>；</w:t>
      </w:r>
    </w:p>
    <w:p>
      <w:pPr>
        <w:ind w:firstLine="560"/>
        <w:rPr>
          <w:sz w:val="24"/>
          <w:szCs w:val="24"/>
        </w:rPr>
      </w:pPr>
      <w:r>
        <w:rPr>
          <w:rFonts w:hint="eastAsia"/>
          <w:sz w:val="24"/>
          <w:szCs w:val="24"/>
        </w:rPr>
        <w:t>（16）《江西省突发事件应对条例》</w:t>
      </w:r>
      <w:r>
        <w:rPr>
          <w:rFonts w:hint="eastAsia"/>
          <w:color w:val="000000" w:themeColor="text1"/>
          <w:sz w:val="24"/>
          <w:szCs w:val="24"/>
          <w14:textFill>
            <w14:solidFill>
              <w14:schemeClr w14:val="tx1"/>
            </w14:solidFill>
          </w14:textFill>
        </w:rPr>
        <w:t>（201</w:t>
      </w:r>
      <w:r>
        <w:rPr>
          <w:color w:val="000000" w:themeColor="text1"/>
          <w:sz w:val="24"/>
          <w:szCs w:val="24"/>
          <w14:textFill>
            <w14:solidFill>
              <w14:schemeClr w14:val="tx1"/>
            </w14:solidFill>
          </w14:textFill>
        </w:rPr>
        <w:t>3</w:t>
      </w:r>
      <w:r>
        <w:rPr>
          <w:rFonts w:hint="eastAsia"/>
          <w:color w:val="000000" w:themeColor="text1"/>
          <w:sz w:val="24"/>
          <w:szCs w:val="24"/>
          <w14:textFill>
            <w14:solidFill>
              <w14:schemeClr w14:val="tx1"/>
            </w14:solidFill>
          </w14:textFill>
        </w:rPr>
        <w:t>年</w:t>
      </w:r>
      <w:r>
        <w:rPr>
          <w:color w:val="000000" w:themeColor="text1"/>
          <w:sz w:val="24"/>
          <w:szCs w:val="24"/>
          <w14:textFill>
            <w14:solidFill>
              <w14:schemeClr w14:val="tx1"/>
            </w14:solidFill>
          </w14:textFill>
        </w:rPr>
        <w:t>7</w:t>
      </w:r>
      <w:r>
        <w:rPr>
          <w:rFonts w:hint="eastAsia"/>
          <w:color w:val="000000" w:themeColor="text1"/>
          <w:sz w:val="24"/>
          <w:szCs w:val="24"/>
          <w14:textFill>
            <w14:solidFill>
              <w14:schemeClr w14:val="tx1"/>
            </w14:solidFill>
          </w14:textFill>
        </w:rPr>
        <w:t>月</w:t>
      </w:r>
      <w:r>
        <w:rPr>
          <w:color w:val="000000" w:themeColor="text1"/>
          <w:sz w:val="24"/>
          <w:szCs w:val="24"/>
          <w14:textFill>
            <w14:solidFill>
              <w14:schemeClr w14:val="tx1"/>
            </w14:solidFill>
          </w14:textFill>
        </w:rPr>
        <w:t>27</w:t>
      </w:r>
      <w:r>
        <w:rPr>
          <w:rFonts w:hint="eastAsia"/>
          <w:color w:val="000000" w:themeColor="text1"/>
          <w:sz w:val="24"/>
          <w:szCs w:val="24"/>
          <w14:textFill>
            <w14:solidFill>
              <w14:schemeClr w14:val="tx1"/>
            </w14:solidFill>
          </w14:textFill>
        </w:rPr>
        <w:t>日发布）</w:t>
      </w:r>
      <w:r>
        <w:rPr>
          <w:rFonts w:hint="eastAsia"/>
          <w:sz w:val="24"/>
          <w:szCs w:val="24"/>
        </w:rPr>
        <w:t>；</w:t>
      </w:r>
    </w:p>
    <w:p>
      <w:pPr>
        <w:ind w:firstLine="560"/>
        <w:rPr>
          <w:sz w:val="24"/>
          <w:szCs w:val="24"/>
        </w:rPr>
      </w:pPr>
      <w:r>
        <w:rPr>
          <w:rFonts w:hint="eastAsia"/>
          <w:sz w:val="24"/>
          <w:szCs w:val="24"/>
        </w:rPr>
        <w:t>（1</w:t>
      </w:r>
      <w:r>
        <w:rPr>
          <w:sz w:val="24"/>
          <w:szCs w:val="24"/>
        </w:rPr>
        <w:t>7</w:t>
      </w:r>
      <w:r>
        <w:rPr>
          <w:rFonts w:hint="eastAsia"/>
          <w:sz w:val="24"/>
          <w:szCs w:val="24"/>
        </w:rPr>
        <w:t>）《危险化学品重大危险源监督管理暂行规定》（国家安监总局令第79号修订，2</w:t>
      </w:r>
      <w:r>
        <w:rPr>
          <w:sz w:val="24"/>
          <w:szCs w:val="24"/>
        </w:rPr>
        <w:t>015</w:t>
      </w:r>
      <w:r>
        <w:rPr>
          <w:rFonts w:hint="eastAsia"/>
          <w:sz w:val="24"/>
          <w:szCs w:val="24"/>
        </w:rPr>
        <w:t>年7月1日实施）；</w:t>
      </w:r>
    </w:p>
    <w:p>
      <w:pPr>
        <w:ind w:firstLine="560"/>
        <w:rPr>
          <w:sz w:val="24"/>
          <w:szCs w:val="24"/>
        </w:rPr>
      </w:pPr>
      <w:r>
        <w:rPr>
          <w:rFonts w:hint="eastAsia"/>
          <w:sz w:val="24"/>
          <w:szCs w:val="24"/>
        </w:rPr>
        <w:t>（1</w:t>
      </w:r>
      <w:r>
        <w:rPr>
          <w:sz w:val="24"/>
          <w:szCs w:val="24"/>
        </w:rPr>
        <w:t>8</w:t>
      </w:r>
      <w:r>
        <w:rPr>
          <w:rFonts w:hint="eastAsia"/>
          <w:sz w:val="24"/>
          <w:szCs w:val="24"/>
        </w:rPr>
        <w:t>）《危险化学品生产企业安全生产许可证实施办法》（国家安全生产监督管理总局令第8</w:t>
      </w:r>
      <w:r>
        <w:rPr>
          <w:sz w:val="24"/>
          <w:szCs w:val="24"/>
        </w:rPr>
        <w:t>9</w:t>
      </w:r>
      <w:r>
        <w:rPr>
          <w:rFonts w:hint="eastAsia"/>
          <w:sz w:val="24"/>
          <w:szCs w:val="24"/>
        </w:rPr>
        <w:t>号修订，2017年3月6日）；</w:t>
      </w:r>
    </w:p>
    <w:p>
      <w:pPr>
        <w:ind w:firstLine="560"/>
        <w:rPr>
          <w:rFonts w:hint="eastAsia"/>
          <w:sz w:val="24"/>
          <w:szCs w:val="24"/>
        </w:rPr>
      </w:pPr>
      <w:r>
        <w:rPr>
          <w:rFonts w:hint="eastAsia"/>
          <w:sz w:val="24"/>
          <w:szCs w:val="24"/>
        </w:rPr>
        <w:t>（1</w:t>
      </w:r>
      <w:r>
        <w:rPr>
          <w:sz w:val="24"/>
          <w:szCs w:val="24"/>
        </w:rPr>
        <w:t>9</w:t>
      </w:r>
      <w:r>
        <w:rPr>
          <w:rFonts w:hint="eastAsia"/>
          <w:sz w:val="24"/>
          <w:szCs w:val="24"/>
        </w:rPr>
        <w:t>）《危险化学品建设项目安全监督管理办法》（2015年7月1日实施）；</w:t>
      </w:r>
    </w:p>
    <w:p>
      <w:pPr>
        <w:ind w:firstLine="560"/>
        <w:rPr>
          <w:rFonts w:hint="eastAsia"/>
          <w:color w:val="000000" w:themeColor="text1"/>
          <w:sz w:val="24"/>
          <w:szCs w:val="24"/>
          <w:lang w:eastAsia="zh-CN"/>
          <w14:textFill>
            <w14:solidFill>
              <w14:schemeClr w14:val="tx1"/>
            </w14:solidFill>
          </w14:textFill>
        </w:rPr>
      </w:pPr>
      <w:r>
        <w:rPr>
          <w:rFonts w:hint="eastAsia"/>
          <w:sz w:val="24"/>
          <w:szCs w:val="24"/>
          <w:lang w:eastAsia="zh-CN"/>
        </w:rPr>
        <w:t>（</w:t>
      </w:r>
      <w:r>
        <w:rPr>
          <w:rFonts w:hint="eastAsia"/>
          <w:sz w:val="24"/>
          <w:szCs w:val="24"/>
          <w:lang w:val="en-US" w:eastAsia="zh-CN"/>
        </w:rPr>
        <w:t>20</w:t>
      </w:r>
      <w:r>
        <w:rPr>
          <w:rFonts w:hint="eastAsia"/>
          <w:sz w:val="24"/>
          <w:szCs w:val="24"/>
          <w:lang w:eastAsia="zh-CN"/>
        </w:rPr>
        <w:t>）</w:t>
      </w:r>
      <w:r>
        <w:rPr>
          <w:rFonts w:hint="eastAsia"/>
          <w:color w:val="000000" w:themeColor="text1"/>
          <w:sz w:val="24"/>
          <w:szCs w:val="24"/>
          <w14:textFill>
            <w14:solidFill>
              <w14:schemeClr w14:val="tx1"/>
            </w14:solidFill>
          </w14:textFill>
        </w:rPr>
        <w:t>《国务院办公厅关于印发国家突发环境事件应急预案的通知》（国办函[2014]119号，2014年12月29日）</w:t>
      </w:r>
      <w:r>
        <w:rPr>
          <w:rFonts w:hint="eastAsia"/>
          <w:color w:val="000000" w:themeColor="text1"/>
          <w:sz w:val="24"/>
          <w:szCs w:val="24"/>
          <w:lang w:eastAsia="zh-CN"/>
          <w14:textFill>
            <w14:solidFill>
              <w14:schemeClr w14:val="tx1"/>
            </w14:solidFill>
          </w14:textFill>
        </w:rPr>
        <w:t>；</w:t>
      </w:r>
    </w:p>
    <w:p>
      <w:pPr>
        <w:ind w:firstLine="560"/>
        <w:rPr>
          <w:sz w:val="24"/>
          <w:szCs w:val="24"/>
        </w:rPr>
      </w:pPr>
      <w:r>
        <w:rPr>
          <w:rFonts w:hint="eastAsia"/>
          <w:color w:val="000000" w:themeColor="text1"/>
          <w:sz w:val="24"/>
          <w:szCs w:val="24"/>
          <w:lang w:eastAsia="zh-CN"/>
          <w14:textFill>
            <w14:solidFill>
              <w14:schemeClr w14:val="tx1"/>
            </w14:solidFill>
          </w14:textFill>
        </w:rPr>
        <w:t>（</w:t>
      </w:r>
      <w:r>
        <w:rPr>
          <w:rFonts w:hint="eastAsia"/>
          <w:color w:val="000000" w:themeColor="text1"/>
          <w:sz w:val="24"/>
          <w:szCs w:val="24"/>
          <w:lang w:val="en-US" w:eastAsia="zh-CN"/>
          <w14:textFill>
            <w14:solidFill>
              <w14:schemeClr w14:val="tx1"/>
            </w14:solidFill>
          </w14:textFill>
        </w:rPr>
        <w:t>21</w:t>
      </w:r>
      <w:r>
        <w:rPr>
          <w:rFonts w:hint="eastAsia"/>
          <w:color w:val="000000" w:themeColor="text1"/>
          <w:sz w:val="24"/>
          <w:szCs w:val="24"/>
          <w:lang w:eastAsia="zh-CN"/>
          <w14:textFill>
            <w14:solidFill>
              <w14:schemeClr w14:val="tx1"/>
            </w14:solidFill>
          </w14:textFill>
        </w:rPr>
        <w:t>）</w:t>
      </w:r>
      <w:r>
        <w:rPr>
          <w:rFonts w:hint="eastAsia"/>
          <w:color w:val="000000" w:themeColor="text1"/>
          <w:sz w:val="24"/>
          <w:szCs w:val="24"/>
          <w14:textFill>
            <w14:solidFill>
              <w14:schemeClr w14:val="tx1"/>
            </w14:solidFill>
          </w14:textFill>
        </w:rPr>
        <w:t>《江西省环境污染防治条例》（2009年1月1日施行）</w:t>
      </w:r>
      <w:r>
        <w:rPr>
          <w:rFonts w:hint="eastAsia"/>
          <w:sz w:val="24"/>
          <w:szCs w:val="24"/>
        </w:rPr>
        <w:t>；</w:t>
      </w:r>
    </w:p>
    <w:p>
      <w:pPr>
        <w:pStyle w:val="6"/>
        <w:rPr>
          <w:sz w:val="24"/>
          <w:szCs w:val="24"/>
        </w:rPr>
      </w:pPr>
      <w:r>
        <w:rPr>
          <w:rFonts w:hint="eastAsia"/>
          <w:sz w:val="24"/>
          <w:szCs w:val="24"/>
        </w:rPr>
        <w:t>技术</w:t>
      </w:r>
      <w:r>
        <w:rPr>
          <w:rFonts w:hint="eastAsia"/>
          <w:sz w:val="24"/>
          <w:szCs w:val="24"/>
          <w:lang w:eastAsia="zh-CN"/>
        </w:rPr>
        <w:t>规范、标准</w:t>
      </w:r>
    </w:p>
    <w:p>
      <w:pPr>
        <w:ind w:firstLine="560"/>
        <w:rPr>
          <w:sz w:val="24"/>
          <w:szCs w:val="24"/>
        </w:rPr>
      </w:pPr>
      <w:r>
        <w:rPr>
          <w:rFonts w:hint="eastAsia"/>
          <w:sz w:val="24"/>
          <w:szCs w:val="24"/>
        </w:rPr>
        <w:t>（</w:t>
      </w:r>
      <w:r>
        <w:rPr>
          <w:sz w:val="24"/>
          <w:szCs w:val="24"/>
        </w:rPr>
        <w:t>1</w:t>
      </w:r>
      <w:r>
        <w:rPr>
          <w:rFonts w:hint="eastAsia"/>
          <w:sz w:val="24"/>
          <w:szCs w:val="24"/>
        </w:rPr>
        <w:t>）《企业突发环境事件风险评估指南（试行）》（</w:t>
      </w:r>
      <w:r>
        <w:rPr>
          <w:sz w:val="24"/>
          <w:szCs w:val="24"/>
        </w:rPr>
        <w:t>2014</w:t>
      </w:r>
      <w:r>
        <w:rPr>
          <w:rFonts w:hint="eastAsia"/>
          <w:sz w:val="24"/>
          <w:szCs w:val="24"/>
        </w:rPr>
        <w:t>，环境保护部）；</w:t>
      </w:r>
    </w:p>
    <w:p>
      <w:pPr>
        <w:ind w:firstLine="560"/>
        <w:rPr>
          <w:sz w:val="24"/>
          <w:szCs w:val="24"/>
        </w:rPr>
      </w:pPr>
      <w:r>
        <w:rPr>
          <w:rFonts w:hint="eastAsia"/>
          <w:sz w:val="24"/>
          <w:szCs w:val="24"/>
        </w:rPr>
        <w:t>（2）《企业突发环境事件风险分级方法》（H</w:t>
      </w:r>
      <w:r>
        <w:rPr>
          <w:sz w:val="24"/>
          <w:szCs w:val="24"/>
        </w:rPr>
        <w:t>J 941-2018</w:t>
      </w:r>
      <w:r>
        <w:rPr>
          <w:rFonts w:hint="eastAsia"/>
          <w:sz w:val="24"/>
          <w:szCs w:val="24"/>
        </w:rPr>
        <w:t>）；</w:t>
      </w:r>
    </w:p>
    <w:p>
      <w:pPr>
        <w:ind w:firstLine="560"/>
        <w:rPr>
          <w:sz w:val="24"/>
          <w:szCs w:val="24"/>
        </w:rPr>
      </w:pPr>
      <w:r>
        <w:rPr>
          <w:rFonts w:hint="eastAsia"/>
          <w:sz w:val="24"/>
          <w:szCs w:val="24"/>
        </w:rPr>
        <w:t>（</w:t>
      </w:r>
      <w:r>
        <w:rPr>
          <w:sz w:val="24"/>
          <w:szCs w:val="24"/>
        </w:rPr>
        <w:t>3</w:t>
      </w:r>
      <w:r>
        <w:rPr>
          <w:rFonts w:hint="eastAsia"/>
          <w:sz w:val="24"/>
          <w:szCs w:val="24"/>
        </w:rPr>
        <w:t>）《建设项目环境风险评价技术导则》（HJ/T</w:t>
      </w:r>
      <w:r>
        <w:rPr>
          <w:sz w:val="24"/>
          <w:szCs w:val="24"/>
        </w:rPr>
        <w:t xml:space="preserve"> </w:t>
      </w:r>
      <w:r>
        <w:rPr>
          <w:rFonts w:hint="eastAsia"/>
          <w:sz w:val="24"/>
          <w:szCs w:val="24"/>
        </w:rPr>
        <w:t>169-20</w:t>
      </w:r>
      <w:r>
        <w:rPr>
          <w:rFonts w:hint="eastAsia"/>
          <w:sz w:val="24"/>
          <w:szCs w:val="24"/>
          <w:lang w:val="en-US" w:eastAsia="zh-CN"/>
        </w:rPr>
        <w:t>18</w:t>
      </w:r>
      <w:r>
        <w:rPr>
          <w:rFonts w:hint="eastAsia"/>
          <w:sz w:val="24"/>
          <w:szCs w:val="24"/>
        </w:rPr>
        <w:t>）；</w:t>
      </w:r>
    </w:p>
    <w:p>
      <w:pPr>
        <w:ind w:firstLine="560"/>
        <w:rPr>
          <w:rFonts w:hint="eastAsia"/>
          <w:sz w:val="24"/>
          <w:szCs w:val="24"/>
          <w:lang w:eastAsia="zh-CN"/>
        </w:rPr>
      </w:pPr>
      <w:r>
        <w:rPr>
          <w:rFonts w:hint="eastAsia"/>
          <w:sz w:val="24"/>
          <w:szCs w:val="24"/>
        </w:rPr>
        <w:t>（</w:t>
      </w:r>
      <w:r>
        <w:rPr>
          <w:sz w:val="24"/>
          <w:szCs w:val="24"/>
        </w:rPr>
        <w:t>4</w:t>
      </w:r>
      <w:r>
        <w:rPr>
          <w:rFonts w:hint="eastAsia"/>
          <w:sz w:val="24"/>
          <w:szCs w:val="24"/>
        </w:rPr>
        <w:t>）</w:t>
      </w:r>
      <w:r>
        <w:rPr>
          <w:rFonts w:hint="eastAsia"/>
          <w:sz w:val="24"/>
          <w:szCs w:val="24"/>
          <w:lang w:eastAsia="zh-CN"/>
        </w:rPr>
        <w:t>《突发环境事件应急监测技术规范》（</w:t>
      </w:r>
      <w:r>
        <w:rPr>
          <w:rFonts w:hint="eastAsia"/>
          <w:sz w:val="24"/>
          <w:szCs w:val="24"/>
          <w:lang w:val="en-US" w:eastAsia="zh-CN"/>
        </w:rPr>
        <w:t>HJ589-2010</w:t>
      </w:r>
      <w:r>
        <w:rPr>
          <w:rFonts w:hint="eastAsia"/>
          <w:sz w:val="24"/>
          <w:szCs w:val="24"/>
          <w:lang w:eastAsia="zh-CN"/>
        </w:rPr>
        <w:t>）</w:t>
      </w:r>
    </w:p>
    <w:p>
      <w:pPr>
        <w:ind w:firstLine="560"/>
        <w:rPr>
          <w:sz w:val="24"/>
          <w:szCs w:val="24"/>
        </w:rPr>
      </w:pPr>
      <w:r>
        <w:rPr>
          <w:rFonts w:hint="eastAsia"/>
          <w:sz w:val="24"/>
          <w:szCs w:val="24"/>
        </w:rPr>
        <w:t>（</w:t>
      </w:r>
      <w:r>
        <w:rPr>
          <w:rFonts w:hint="eastAsia"/>
          <w:sz w:val="24"/>
          <w:szCs w:val="24"/>
          <w:lang w:val="en-US" w:eastAsia="zh-CN"/>
        </w:rPr>
        <w:t>5</w:t>
      </w:r>
      <w:r>
        <w:rPr>
          <w:rFonts w:hint="eastAsia"/>
          <w:sz w:val="24"/>
          <w:szCs w:val="24"/>
        </w:rPr>
        <w:t>）《危险化学品重大危险源辨识》（GB</w:t>
      </w:r>
      <w:r>
        <w:rPr>
          <w:sz w:val="24"/>
          <w:szCs w:val="24"/>
        </w:rPr>
        <w:t xml:space="preserve"> </w:t>
      </w:r>
      <w:r>
        <w:rPr>
          <w:rFonts w:hint="eastAsia"/>
          <w:sz w:val="24"/>
          <w:szCs w:val="24"/>
        </w:rPr>
        <w:t>18218-20</w:t>
      </w:r>
      <w:r>
        <w:rPr>
          <w:rFonts w:hint="eastAsia"/>
          <w:sz w:val="24"/>
          <w:szCs w:val="24"/>
          <w:lang w:val="en-US" w:eastAsia="zh-CN"/>
        </w:rPr>
        <w:t>18</w:t>
      </w:r>
      <w:r>
        <w:rPr>
          <w:rFonts w:hint="eastAsia"/>
          <w:sz w:val="24"/>
          <w:szCs w:val="24"/>
        </w:rPr>
        <w:t>）；</w:t>
      </w:r>
    </w:p>
    <w:p>
      <w:pPr>
        <w:ind w:firstLine="560"/>
        <w:rPr>
          <w:sz w:val="24"/>
          <w:szCs w:val="24"/>
        </w:rPr>
      </w:pPr>
      <w:r>
        <w:rPr>
          <w:rFonts w:hint="eastAsia"/>
          <w:sz w:val="24"/>
          <w:szCs w:val="24"/>
        </w:rPr>
        <w:t>（</w:t>
      </w:r>
      <w:r>
        <w:rPr>
          <w:rFonts w:hint="eastAsia"/>
          <w:sz w:val="24"/>
          <w:szCs w:val="24"/>
          <w:lang w:val="en-US" w:eastAsia="zh-CN"/>
        </w:rPr>
        <w:t>6</w:t>
      </w:r>
      <w:r>
        <w:rPr>
          <w:rFonts w:hint="eastAsia"/>
          <w:sz w:val="24"/>
          <w:szCs w:val="24"/>
        </w:rPr>
        <w:t>）《危险废物鉴别标准通则》（GB 5085.7-20</w:t>
      </w:r>
      <w:r>
        <w:rPr>
          <w:rFonts w:hint="eastAsia"/>
          <w:sz w:val="24"/>
          <w:szCs w:val="24"/>
          <w:lang w:val="en-US" w:eastAsia="zh-CN"/>
        </w:rPr>
        <w:t>19</w:t>
      </w:r>
      <w:r>
        <w:rPr>
          <w:rFonts w:hint="eastAsia"/>
          <w:sz w:val="24"/>
          <w:szCs w:val="24"/>
        </w:rPr>
        <w:t>）；</w:t>
      </w:r>
    </w:p>
    <w:p>
      <w:pPr>
        <w:ind w:firstLine="560"/>
        <w:rPr>
          <w:sz w:val="24"/>
          <w:szCs w:val="24"/>
        </w:rPr>
      </w:pPr>
      <w:r>
        <w:rPr>
          <w:rFonts w:hint="eastAsia"/>
          <w:sz w:val="24"/>
          <w:szCs w:val="24"/>
        </w:rPr>
        <w:t>（</w:t>
      </w:r>
      <w:r>
        <w:rPr>
          <w:rFonts w:hint="eastAsia"/>
          <w:sz w:val="24"/>
          <w:szCs w:val="24"/>
          <w:lang w:val="en-US" w:eastAsia="zh-CN"/>
        </w:rPr>
        <w:t>7</w:t>
      </w:r>
      <w:r>
        <w:rPr>
          <w:rFonts w:hint="eastAsia"/>
          <w:sz w:val="24"/>
          <w:szCs w:val="24"/>
        </w:rPr>
        <w:t>）《建筑设计防火规范》（GB</w:t>
      </w:r>
      <w:r>
        <w:rPr>
          <w:sz w:val="24"/>
          <w:szCs w:val="24"/>
        </w:rPr>
        <w:t xml:space="preserve"> </w:t>
      </w:r>
      <w:r>
        <w:rPr>
          <w:rFonts w:hint="eastAsia"/>
          <w:sz w:val="24"/>
          <w:szCs w:val="24"/>
        </w:rPr>
        <w:t>50016-2014）；</w:t>
      </w:r>
    </w:p>
    <w:p>
      <w:pPr>
        <w:ind w:firstLine="560"/>
        <w:rPr>
          <w:sz w:val="24"/>
          <w:szCs w:val="24"/>
        </w:rPr>
      </w:pPr>
      <w:r>
        <w:rPr>
          <w:rFonts w:hint="eastAsia"/>
          <w:sz w:val="24"/>
          <w:szCs w:val="24"/>
        </w:rPr>
        <w:t>（</w:t>
      </w:r>
      <w:r>
        <w:rPr>
          <w:rFonts w:hint="eastAsia"/>
          <w:sz w:val="24"/>
          <w:szCs w:val="24"/>
          <w:lang w:val="en-US" w:eastAsia="zh-CN"/>
        </w:rPr>
        <w:t>8</w:t>
      </w:r>
      <w:r>
        <w:rPr>
          <w:rFonts w:hint="eastAsia"/>
          <w:sz w:val="24"/>
          <w:szCs w:val="24"/>
        </w:rPr>
        <w:t>）《国家危险废物名录》（2016年）</w:t>
      </w:r>
    </w:p>
    <w:p>
      <w:pPr>
        <w:ind w:firstLine="560"/>
        <w:rPr>
          <w:sz w:val="24"/>
          <w:szCs w:val="24"/>
        </w:rPr>
      </w:pPr>
      <w:r>
        <w:rPr>
          <w:rFonts w:hint="eastAsia"/>
          <w:sz w:val="24"/>
          <w:szCs w:val="24"/>
        </w:rPr>
        <w:t>（</w:t>
      </w:r>
      <w:r>
        <w:rPr>
          <w:sz w:val="24"/>
          <w:szCs w:val="24"/>
        </w:rPr>
        <w:t>9</w:t>
      </w:r>
      <w:r>
        <w:rPr>
          <w:rFonts w:hint="eastAsia"/>
          <w:sz w:val="24"/>
          <w:szCs w:val="24"/>
        </w:rPr>
        <w:t>）《化学品毒性鉴定技术规范》（卫监督发[2005]272号，2005年10月1日）；</w:t>
      </w:r>
    </w:p>
    <w:p>
      <w:pPr>
        <w:ind w:firstLine="560"/>
        <w:rPr>
          <w:sz w:val="24"/>
          <w:szCs w:val="24"/>
        </w:rPr>
      </w:pPr>
      <w:r>
        <w:rPr>
          <w:rFonts w:hint="eastAsia"/>
          <w:sz w:val="24"/>
          <w:szCs w:val="24"/>
        </w:rPr>
        <w:t>（1</w:t>
      </w:r>
      <w:r>
        <w:rPr>
          <w:rFonts w:hint="eastAsia"/>
          <w:sz w:val="24"/>
          <w:szCs w:val="24"/>
          <w:lang w:val="en-US" w:eastAsia="zh-CN"/>
        </w:rPr>
        <w:t>0</w:t>
      </w:r>
      <w:r>
        <w:rPr>
          <w:rFonts w:hint="eastAsia"/>
          <w:sz w:val="24"/>
          <w:szCs w:val="24"/>
        </w:rPr>
        <w:t>）《环境空气质量标准》（GB</w:t>
      </w:r>
      <w:r>
        <w:rPr>
          <w:sz w:val="24"/>
          <w:szCs w:val="24"/>
        </w:rPr>
        <w:t xml:space="preserve"> </w:t>
      </w:r>
      <w:r>
        <w:rPr>
          <w:rFonts w:hint="eastAsia"/>
          <w:sz w:val="24"/>
          <w:szCs w:val="24"/>
        </w:rPr>
        <w:t>3095-2012）；</w:t>
      </w:r>
    </w:p>
    <w:p>
      <w:pPr>
        <w:ind w:firstLine="560"/>
        <w:rPr>
          <w:sz w:val="24"/>
          <w:szCs w:val="24"/>
        </w:rPr>
      </w:pPr>
      <w:r>
        <w:rPr>
          <w:rFonts w:hint="eastAsia"/>
          <w:sz w:val="24"/>
          <w:szCs w:val="24"/>
        </w:rPr>
        <w:t>（1</w:t>
      </w:r>
      <w:r>
        <w:rPr>
          <w:rFonts w:hint="eastAsia"/>
          <w:sz w:val="24"/>
          <w:szCs w:val="24"/>
          <w:lang w:val="en-US" w:eastAsia="zh-CN"/>
        </w:rPr>
        <w:t>1</w:t>
      </w:r>
      <w:r>
        <w:rPr>
          <w:rFonts w:hint="eastAsia"/>
          <w:sz w:val="24"/>
          <w:szCs w:val="24"/>
        </w:rPr>
        <w:t>）《地表水环境质量标准》（GB</w:t>
      </w:r>
      <w:r>
        <w:rPr>
          <w:sz w:val="24"/>
          <w:szCs w:val="24"/>
        </w:rPr>
        <w:t xml:space="preserve"> </w:t>
      </w:r>
      <w:r>
        <w:rPr>
          <w:rFonts w:hint="eastAsia"/>
          <w:sz w:val="24"/>
          <w:szCs w:val="24"/>
        </w:rPr>
        <w:t>3838-2002）；</w:t>
      </w:r>
    </w:p>
    <w:p>
      <w:pPr>
        <w:ind w:firstLine="560"/>
        <w:rPr>
          <w:sz w:val="24"/>
          <w:szCs w:val="24"/>
        </w:rPr>
      </w:pPr>
      <w:r>
        <w:rPr>
          <w:rFonts w:hint="eastAsia"/>
          <w:sz w:val="24"/>
          <w:szCs w:val="24"/>
        </w:rPr>
        <w:t>（1</w:t>
      </w:r>
      <w:r>
        <w:rPr>
          <w:rFonts w:hint="eastAsia"/>
          <w:sz w:val="24"/>
          <w:szCs w:val="24"/>
          <w:lang w:val="en-US" w:eastAsia="zh-CN"/>
        </w:rPr>
        <w:t>2</w:t>
      </w:r>
      <w:r>
        <w:rPr>
          <w:rFonts w:hint="eastAsia"/>
          <w:sz w:val="24"/>
          <w:szCs w:val="24"/>
        </w:rPr>
        <w:t>）《地下水质量标准》(GB/T</w:t>
      </w:r>
      <w:r>
        <w:rPr>
          <w:sz w:val="24"/>
          <w:szCs w:val="24"/>
        </w:rPr>
        <w:t xml:space="preserve"> </w:t>
      </w:r>
      <w:r>
        <w:rPr>
          <w:rFonts w:hint="eastAsia"/>
          <w:sz w:val="24"/>
          <w:szCs w:val="24"/>
        </w:rPr>
        <w:t>14848-201</w:t>
      </w:r>
      <w:r>
        <w:rPr>
          <w:rFonts w:hint="eastAsia"/>
          <w:sz w:val="24"/>
          <w:szCs w:val="24"/>
          <w:lang w:val="en-US" w:eastAsia="zh-CN"/>
        </w:rPr>
        <w:t>7</w:t>
      </w:r>
      <w:r>
        <w:rPr>
          <w:rFonts w:hint="eastAsia"/>
          <w:sz w:val="24"/>
          <w:szCs w:val="24"/>
        </w:rPr>
        <w:t>)；</w:t>
      </w:r>
    </w:p>
    <w:p>
      <w:pPr>
        <w:ind w:firstLine="560"/>
        <w:rPr>
          <w:sz w:val="24"/>
          <w:szCs w:val="24"/>
        </w:rPr>
      </w:pPr>
      <w:r>
        <w:rPr>
          <w:rFonts w:hint="eastAsia"/>
          <w:sz w:val="24"/>
          <w:szCs w:val="24"/>
        </w:rPr>
        <w:t>（1</w:t>
      </w:r>
      <w:r>
        <w:rPr>
          <w:rFonts w:hint="eastAsia"/>
          <w:sz w:val="24"/>
          <w:szCs w:val="24"/>
          <w:lang w:val="en-US" w:eastAsia="zh-CN"/>
        </w:rPr>
        <w:t>3</w:t>
      </w:r>
      <w:r>
        <w:rPr>
          <w:rFonts w:hint="eastAsia"/>
          <w:sz w:val="24"/>
          <w:szCs w:val="24"/>
        </w:rPr>
        <w:t>）《工业企业设计卫生标准》（GBZ</w:t>
      </w:r>
      <w:r>
        <w:rPr>
          <w:sz w:val="24"/>
          <w:szCs w:val="24"/>
        </w:rPr>
        <w:t xml:space="preserve"> </w:t>
      </w:r>
      <w:r>
        <w:rPr>
          <w:rFonts w:hint="eastAsia"/>
          <w:sz w:val="24"/>
          <w:szCs w:val="24"/>
        </w:rPr>
        <w:t>1-2010）；</w:t>
      </w:r>
    </w:p>
    <w:p>
      <w:pPr>
        <w:ind w:firstLine="560"/>
        <w:rPr>
          <w:sz w:val="24"/>
          <w:szCs w:val="24"/>
        </w:rPr>
      </w:pPr>
      <w:r>
        <w:rPr>
          <w:rFonts w:hint="eastAsia"/>
          <w:sz w:val="24"/>
          <w:szCs w:val="24"/>
        </w:rPr>
        <w:t>（</w:t>
      </w:r>
      <w:r>
        <w:rPr>
          <w:sz w:val="24"/>
          <w:szCs w:val="24"/>
        </w:rPr>
        <w:t>1</w:t>
      </w:r>
      <w:r>
        <w:rPr>
          <w:rFonts w:hint="eastAsia"/>
          <w:sz w:val="24"/>
          <w:szCs w:val="24"/>
          <w:lang w:val="en-US" w:eastAsia="zh-CN"/>
        </w:rPr>
        <w:t>4</w:t>
      </w:r>
      <w:r>
        <w:rPr>
          <w:rFonts w:hint="eastAsia"/>
          <w:sz w:val="24"/>
          <w:szCs w:val="24"/>
        </w:rPr>
        <w:t>）《大气污染物综合排放标准》(GB</w:t>
      </w:r>
      <w:r>
        <w:rPr>
          <w:sz w:val="24"/>
          <w:szCs w:val="24"/>
        </w:rPr>
        <w:t xml:space="preserve"> </w:t>
      </w:r>
      <w:r>
        <w:rPr>
          <w:rFonts w:hint="eastAsia"/>
          <w:sz w:val="24"/>
          <w:szCs w:val="24"/>
        </w:rPr>
        <w:t>16297-1996)；</w:t>
      </w:r>
    </w:p>
    <w:p>
      <w:pPr>
        <w:ind w:firstLine="560"/>
        <w:rPr>
          <w:sz w:val="24"/>
          <w:szCs w:val="24"/>
        </w:rPr>
      </w:pPr>
      <w:r>
        <w:rPr>
          <w:rFonts w:hint="eastAsia"/>
          <w:sz w:val="24"/>
          <w:szCs w:val="24"/>
        </w:rPr>
        <w:t>（</w:t>
      </w:r>
      <w:r>
        <w:rPr>
          <w:rFonts w:hint="eastAsia"/>
          <w:sz w:val="24"/>
          <w:szCs w:val="24"/>
          <w:lang w:val="en-US" w:eastAsia="zh-CN"/>
        </w:rPr>
        <w:t>15</w:t>
      </w:r>
      <w:r>
        <w:rPr>
          <w:rFonts w:hint="eastAsia"/>
          <w:sz w:val="24"/>
          <w:szCs w:val="24"/>
        </w:rPr>
        <w:t>）《一般工业固体废物贮存、处置场污染控制标准》（GB</w:t>
      </w:r>
      <w:r>
        <w:rPr>
          <w:sz w:val="24"/>
          <w:szCs w:val="24"/>
        </w:rPr>
        <w:t xml:space="preserve"> </w:t>
      </w:r>
      <w:r>
        <w:rPr>
          <w:rFonts w:hint="eastAsia"/>
          <w:sz w:val="24"/>
          <w:szCs w:val="24"/>
        </w:rPr>
        <w:t>18599-2001）及修改单要求；</w:t>
      </w:r>
    </w:p>
    <w:p>
      <w:pPr>
        <w:ind w:firstLine="560"/>
        <w:rPr>
          <w:sz w:val="24"/>
          <w:szCs w:val="24"/>
        </w:rPr>
      </w:pPr>
      <w:r>
        <w:rPr>
          <w:rFonts w:hint="eastAsia"/>
          <w:sz w:val="24"/>
          <w:szCs w:val="24"/>
        </w:rPr>
        <w:t>（</w:t>
      </w:r>
      <w:r>
        <w:rPr>
          <w:rFonts w:hint="eastAsia"/>
          <w:sz w:val="24"/>
          <w:szCs w:val="24"/>
          <w:lang w:val="en-US" w:eastAsia="zh-CN"/>
        </w:rPr>
        <w:t>16</w:t>
      </w:r>
      <w:r>
        <w:rPr>
          <w:rFonts w:hint="eastAsia"/>
          <w:sz w:val="24"/>
          <w:szCs w:val="24"/>
        </w:rPr>
        <w:t>）《危险废物贮存污染控制标准》（GB</w:t>
      </w:r>
      <w:r>
        <w:rPr>
          <w:sz w:val="24"/>
          <w:szCs w:val="24"/>
        </w:rPr>
        <w:t xml:space="preserve"> </w:t>
      </w:r>
      <w:r>
        <w:rPr>
          <w:rFonts w:hint="eastAsia"/>
          <w:sz w:val="24"/>
          <w:szCs w:val="24"/>
        </w:rPr>
        <w:t>18597-2001）及修改单要求。</w:t>
      </w:r>
    </w:p>
    <w:p>
      <w:pPr>
        <w:ind w:firstLine="560"/>
        <w:rPr>
          <w:rFonts w:hint="eastAsia"/>
          <w:sz w:val="24"/>
          <w:szCs w:val="24"/>
        </w:rPr>
      </w:pPr>
      <w:r>
        <w:rPr>
          <w:rFonts w:hint="eastAsia"/>
          <w:sz w:val="24"/>
          <w:szCs w:val="24"/>
        </w:rPr>
        <w:t>（</w:t>
      </w:r>
      <w:r>
        <w:rPr>
          <w:rFonts w:hint="eastAsia"/>
          <w:sz w:val="24"/>
          <w:szCs w:val="24"/>
          <w:lang w:val="en-US" w:eastAsia="zh-CN"/>
        </w:rPr>
        <w:t>17</w:t>
      </w:r>
      <w:r>
        <w:rPr>
          <w:rFonts w:hint="eastAsia"/>
          <w:sz w:val="24"/>
          <w:szCs w:val="24"/>
        </w:rPr>
        <w:t>）《呼吸防护用品的选择、使用与维护》（GB</w:t>
      </w:r>
      <w:r>
        <w:rPr>
          <w:sz w:val="24"/>
          <w:szCs w:val="24"/>
        </w:rPr>
        <w:t>/</w:t>
      </w:r>
      <w:r>
        <w:rPr>
          <w:rFonts w:hint="eastAsia"/>
          <w:sz w:val="24"/>
          <w:szCs w:val="24"/>
        </w:rPr>
        <w:t>T</w:t>
      </w:r>
      <w:r>
        <w:rPr>
          <w:sz w:val="24"/>
          <w:szCs w:val="24"/>
        </w:rPr>
        <w:t xml:space="preserve"> </w:t>
      </w:r>
      <w:r>
        <w:rPr>
          <w:rFonts w:hint="eastAsia"/>
          <w:sz w:val="24"/>
          <w:szCs w:val="24"/>
        </w:rPr>
        <w:t>18664-2002）；</w:t>
      </w:r>
    </w:p>
    <w:p>
      <w:pPr>
        <w:ind w:firstLine="560"/>
        <w:rPr>
          <w:rFonts w:hint="eastAsia"/>
          <w:sz w:val="24"/>
          <w:szCs w:val="24"/>
          <w:lang w:eastAsia="zh-CN"/>
        </w:rPr>
      </w:pPr>
      <w:r>
        <w:rPr>
          <w:rFonts w:hint="eastAsia"/>
          <w:sz w:val="24"/>
          <w:szCs w:val="24"/>
          <w:lang w:eastAsia="zh-CN"/>
        </w:rPr>
        <w:t>（</w:t>
      </w:r>
      <w:r>
        <w:rPr>
          <w:rFonts w:hint="eastAsia"/>
          <w:sz w:val="24"/>
          <w:szCs w:val="24"/>
          <w:lang w:val="en-US" w:eastAsia="zh-CN"/>
        </w:rPr>
        <w:t>18</w:t>
      </w:r>
      <w:r>
        <w:rPr>
          <w:rFonts w:hint="eastAsia"/>
          <w:sz w:val="24"/>
          <w:szCs w:val="24"/>
          <w:lang w:eastAsia="zh-CN"/>
        </w:rPr>
        <w:t>）《突发环境事件应急处置阶段环境损害评估推荐方法》（环办[2014]118号，2014年12月31日）；</w:t>
      </w:r>
    </w:p>
    <w:p>
      <w:pPr>
        <w:ind w:firstLine="560"/>
        <w:rPr>
          <w:rFonts w:hint="eastAsia"/>
          <w:sz w:val="24"/>
          <w:szCs w:val="24"/>
          <w:lang w:val="en-US" w:eastAsia="zh-CN"/>
        </w:rPr>
      </w:pPr>
      <w:r>
        <w:rPr>
          <w:rFonts w:hint="eastAsia"/>
          <w:sz w:val="24"/>
          <w:szCs w:val="24"/>
          <w:lang w:eastAsia="zh-CN"/>
        </w:rPr>
        <w:t>（</w:t>
      </w:r>
      <w:r>
        <w:rPr>
          <w:rFonts w:hint="eastAsia"/>
          <w:sz w:val="24"/>
          <w:szCs w:val="24"/>
          <w:lang w:val="en-US" w:eastAsia="zh-CN"/>
        </w:rPr>
        <w:t>19</w:t>
      </w:r>
      <w:r>
        <w:rPr>
          <w:rFonts w:hint="eastAsia"/>
          <w:sz w:val="24"/>
          <w:szCs w:val="24"/>
          <w:lang w:eastAsia="zh-CN"/>
        </w:rPr>
        <w:t>）</w:t>
      </w:r>
      <w:r>
        <w:rPr>
          <w:rFonts w:hint="eastAsia"/>
          <w:sz w:val="24"/>
          <w:szCs w:val="24"/>
        </w:rPr>
        <w:t>《企业事业单位突发环境事件应急预案备案管理办法（试行）》（环发[2015]4号，2015年1月8日实施）</w:t>
      </w:r>
      <w:r>
        <w:rPr>
          <w:rFonts w:hint="eastAsia"/>
          <w:sz w:val="24"/>
          <w:szCs w:val="24"/>
          <w:lang w:val="en-US" w:eastAsia="zh-CN"/>
        </w:rPr>
        <w:t>;</w:t>
      </w:r>
    </w:p>
    <w:p>
      <w:pPr>
        <w:ind w:firstLine="560"/>
        <w:rPr>
          <w:rFonts w:hint="eastAsia"/>
          <w:sz w:val="24"/>
          <w:szCs w:val="24"/>
          <w:lang w:eastAsia="zh-CN"/>
        </w:rPr>
      </w:pPr>
      <w:r>
        <w:rPr>
          <w:rFonts w:hint="eastAsia"/>
          <w:sz w:val="24"/>
          <w:szCs w:val="24"/>
          <w:lang w:val="en-US" w:eastAsia="zh-CN"/>
        </w:rPr>
        <w:t>（20）</w:t>
      </w:r>
      <w:r>
        <w:rPr>
          <w:rFonts w:hint="eastAsia"/>
          <w:sz w:val="24"/>
          <w:szCs w:val="24"/>
        </w:rPr>
        <w:t>《突发环境事件信息报告办法》（环境保护部令第17号，2011年5月1日实施）</w:t>
      </w:r>
      <w:r>
        <w:rPr>
          <w:rFonts w:hint="eastAsia"/>
          <w:sz w:val="24"/>
          <w:szCs w:val="24"/>
          <w:lang w:eastAsia="zh-CN"/>
        </w:rPr>
        <w:t>；</w:t>
      </w:r>
    </w:p>
    <w:p>
      <w:pPr>
        <w:ind w:firstLine="560"/>
        <w:rPr>
          <w:sz w:val="24"/>
          <w:szCs w:val="24"/>
        </w:rPr>
      </w:pPr>
      <w:r>
        <w:rPr>
          <w:rFonts w:hint="eastAsia"/>
          <w:sz w:val="24"/>
          <w:szCs w:val="24"/>
          <w:lang w:eastAsia="zh-CN"/>
        </w:rPr>
        <w:t>（</w:t>
      </w:r>
      <w:r>
        <w:rPr>
          <w:rFonts w:hint="eastAsia"/>
          <w:sz w:val="24"/>
          <w:szCs w:val="24"/>
          <w:lang w:val="en-US" w:eastAsia="zh-CN"/>
        </w:rPr>
        <w:t>21</w:t>
      </w:r>
      <w:r>
        <w:rPr>
          <w:rFonts w:hint="eastAsia"/>
          <w:sz w:val="24"/>
          <w:szCs w:val="24"/>
          <w:lang w:eastAsia="zh-CN"/>
        </w:rPr>
        <w:t>）</w:t>
      </w:r>
      <w:r>
        <w:rPr>
          <w:rFonts w:hint="eastAsia"/>
          <w:color w:val="000000" w:themeColor="text1"/>
          <w:sz w:val="24"/>
          <w:szCs w:val="24"/>
          <w14:textFill>
            <w14:solidFill>
              <w14:schemeClr w14:val="tx1"/>
            </w14:solidFill>
          </w14:textFill>
        </w:rPr>
        <w:t>《突发环境事件调查处理办法》（环保部令第32号，201</w:t>
      </w:r>
      <w:r>
        <w:rPr>
          <w:color w:val="000000" w:themeColor="text1"/>
          <w:sz w:val="24"/>
          <w:szCs w:val="24"/>
          <w14:textFill>
            <w14:solidFill>
              <w14:schemeClr w14:val="tx1"/>
            </w14:solidFill>
          </w14:textFill>
        </w:rPr>
        <w:t>5</w:t>
      </w:r>
      <w:r>
        <w:rPr>
          <w:rFonts w:hint="eastAsia"/>
          <w:color w:val="000000" w:themeColor="text1"/>
          <w:sz w:val="24"/>
          <w:szCs w:val="24"/>
          <w14:textFill>
            <w14:solidFill>
              <w14:schemeClr w14:val="tx1"/>
            </w14:solidFill>
          </w14:textFill>
        </w:rPr>
        <w:t>年</w:t>
      </w:r>
      <w:r>
        <w:rPr>
          <w:color w:val="000000" w:themeColor="text1"/>
          <w:sz w:val="24"/>
          <w:szCs w:val="24"/>
          <w14:textFill>
            <w14:solidFill>
              <w14:schemeClr w14:val="tx1"/>
            </w14:solidFill>
          </w14:textFill>
        </w:rPr>
        <w:t>3</w:t>
      </w:r>
      <w:r>
        <w:rPr>
          <w:rFonts w:hint="eastAsia"/>
          <w:color w:val="000000" w:themeColor="text1"/>
          <w:sz w:val="24"/>
          <w:szCs w:val="24"/>
          <w14:textFill>
            <w14:solidFill>
              <w14:schemeClr w14:val="tx1"/>
            </w14:solidFill>
          </w14:textFill>
        </w:rPr>
        <w:t>月</w:t>
      </w:r>
      <w:r>
        <w:rPr>
          <w:color w:val="000000" w:themeColor="text1"/>
          <w:sz w:val="24"/>
          <w:szCs w:val="24"/>
          <w14:textFill>
            <w14:solidFill>
              <w14:schemeClr w14:val="tx1"/>
            </w14:solidFill>
          </w14:textFill>
        </w:rPr>
        <w:t>1</w:t>
      </w:r>
      <w:r>
        <w:rPr>
          <w:rFonts w:hint="eastAsia"/>
          <w:color w:val="000000" w:themeColor="text1"/>
          <w:sz w:val="24"/>
          <w:szCs w:val="24"/>
          <w14:textFill>
            <w14:solidFill>
              <w14:schemeClr w14:val="tx1"/>
            </w14:solidFill>
          </w14:textFill>
        </w:rPr>
        <w:t>日施行）</w:t>
      </w:r>
      <w:r>
        <w:rPr>
          <w:rFonts w:hint="eastAsia"/>
          <w:sz w:val="24"/>
          <w:szCs w:val="24"/>
        </w:rPr>
        <w:t>；</w:t>
      </w:r>
    </w:p>
    <w:p>
      <w:pPr>
        <w:pStyle w:val="6"/>
        <w:rPr>
          <w:sz w:val="24"/>
          <w:szCs w:val="24"/>
        </w:rPr>
      </w:pPr>
      <w:r>
        <w:rPr>
          <w:rFonts w:hint="eastAsia"/>
          <w:sz w:val="24"/>
          <w:szCs w:val="24"/>
        </w:rPr>
        <w:t>其他文件</w:t>
      </w:r>
    </w:p>
    <w:p>
      <w:pPr>
        <w:ind w:firstLine="560"/>
        <w:rPr>
          <w:rFonts w:hint="eastAsia"/>
          <w:sz w:val="24"/>
          <w:szCs w:val="24"/>
          <w:lang w:eastAsia="zh-CN"/>
        </w:rPr>
      </w:pPr>
      <w:r>
        <w:rPr>
          <w:rFonts w:hint="eastAsia"/>
          <w:sz w:val="24"/>
          <w:szCs w:val="24"/>
          <w:lang w:eastAsia="zh-CN"/>
        </w:rPr>
        <w:t>（</w:t>
      </w:r>
      <w:r>
        <w:rPr>
          <w:rFonts w:hint="eastAsia"/>
          <w:sz w:val="24"/>
          <w:szCs w:val="24"/>
          <w:lang w:val="en-US" w:eastAsia="zh-CN"/>
        </w:rPr>
        <w:t>1</w:t>
      </w:r>
      <w:r>
        <w:rPr>
          <w:rFonts w:hint="eastAsia"/>
          <w:sz w:val="24"/>
          <w:szCs w:val="24"/>
          <w:lang w:eastAsia="zh-CN"/>
        </w:rPr>
        <w:t>）</w:t>
      </w:r>
      <w:r>
        <w:rPr>
          <w:rFonts w:hint="eastAsia"/>
          <w:sz w:val="24"/>
          <w:szCs w:val="24"/>
        </w:rPr>
        <w:t>《国家突发环境事件应急预案》（2014年12月29日施行）</w:t>
      </w:r>
      <w:r>
        <w:rPr>
          <w:rFonts w:hint="eastAsia"/>
          <w:sz w:val="24"/>
          <w:szCs w:val="24"/>
          <w:lang w:eastAsia="zh-CN"/>
        </w:rPr>
        <w:t>；</w:t>
      </w:r>
    </w:p>
    <w:p>
      <w:pPr>
        <w:ind w:firstLine="560"/>
        <w:rPr>
          <w:rFonts w:hint="eastAsia"/>
          <w:color w:val="000000" w:themeColor="text1"/>
          <w:sz w:val="24"/>
          <w:szCs w:val="24"/>
          <w:lang w:eastAsia="zh-CN"/>
          <w14:textFill>
            <w14:solidFill>
              <w14:schemeClr w14:val="tx1"/>
            </w14:solidFill>
          </w14:textFill>
        </w:rPr>
      </w:pPr>
      <w:r>
        <w:rPr>
          <w:rFonts w:hint="eastAsia"/>
          <w:sz w:val="24"/>
          <w:szCs w:val="24"/>
          <w:lang w:eastAsia="zh-CN"/>
        </w:rPr>
        <w:t>（</w:t>
      </w:r>
      <w:r>
        <w:rPr>
          <w:rFonts w:hint="eastAsia"/>
          <w:sz w:val="24"/>
          <w:szCs w:val="24"/>
          <w:lang w:val="en-US" w:eastAsia="zh-CN"/>
        </w:rPr>
        <w:t>2</w:t>
      </w:r>
      <w:r>
        <w:rPr>
          <w:rFonts w:hint="eastAsia"/>
          <w:sz w:val="24"/>
          <w:szCs w:val="24"/>
          <w:lang w:eastAsia="zh-CN"/>
        </w:rPr>
        <w:t>）</w:t>
      </w:r>
      <w:r>
        <w:rPr>
          <w:rFonts w:hint="eastAsia"/>
          <w:color w:val="000000" w:themeColor="text1"/>
          <w:sz w:val="24"/>
          <w:szCs w:val="24"/>
          <w14:textFill>
            <w14:solidFill>
              <w14:schemeClr w14:val="tx1"/>
            </w14:solidFill>
          </w14:textFill>
        </w:rPr>
        <w:t>《国家突发公共事件总体应急预案》（20</w:t>
      </w:r>
      <w:r>
        <w:rPr>
          <w:color w:val="000000" w:themeColor="text1"/>
          <w:sz w:val="24"/>
          <w:szCs w:val="24"/>
          <w14:textFill>
            <w14:solidFill>
              <w14:schemeClr w14:val="tx1"/>
            </w14:solidFill>
          </w14:textFill>
        </w:rPr>
        <w:t>06</w:t>
      </w:r>
      <w:r>
        <w:rPr>
          <w:rFonts w:hint="eastAsia"/>
          <w:color w:val="000000" w:themeColor="text1"/>
          <w:sz w:val="24"/>
          <w:szCs w:val="24"/>
          <w14:textFill>
            <w14:solidFill>
              <w14:schemeClr w14:val="tx1"/>
            </w14:solidFill>
          </w14:textFill>
        </w:rPr>
        <w:t>年</w:t>
      </w:r>
      <w:r>
        <w:rPr>
          <w:color w:val="000000" w:themeColor="text1"/>
          <w:sz w:val="24"/>
          <w:szCs w:val="24"/>
          <w14:textFill>
            <w14:solidFill>
              <w14:schemeClr w14:val="tx1"/>
            </w14:solidFill>
          </w14:textFill>
        </w:rPr>
        <w:t>1</w:t>
      </w:r>
      <w:r>
        <w:rPr>
          <w:rFonts w:hint="eastAsia"/>
          <w:color w:val="000000" w:themeColor="text1"/>
          <w:sz w:val="24"/>
          <w:szCs w:val="24"/>
          <w14:textFill>
            <w14:solidFill>
              <w14:schemeClr w14:val="tx1"/>
            </w14:solidFill>
          </w14:textFill>
        </w:rPr>
        <w:t>月</w:t>
      </w:r>
      <w:r>
        <w:rPr>
          <w:color w:val="000000" w:themeColor="text1"/>
          <w:sz w:val="24"/>
          <w:szCs w:val="24"/>
          <w14:textFill>
            <w14:solidFill>
              <w14:schemeClr w14:val="tx1"/>
            </w14:solidFill>
          </w14:textFill>
        </w:rPr>
        <w:t>8</w:t>
      </w:r>
      <w:r>
        <w:rPr>
          <w:rFonts w:hint="eastAsia"/>
          <w:color w:val="000000" w:themeColor="text1"/>
          <w:sz w:val="24"/>
          <w:szCs w:val="24"/>
          <w14:textFill>
            <w14:solidFill>
              <w14:schemeClr w14:val="tx1"/>
            </w14:solidFill>
          </w14:textFill>
        </w:rPr>
        <w:t>日施行）</w:t>
      </w:r>
      <w:r>
        <w:rPr>
          <w:rFonts w:hint="eastAsia"/>
          <w:color w:val="000000" w:themeColor="text1"/>
          <w:sz w:val="24"/>
          <w:szCs w:val="24"/>
          <w:lang w:eastAsia="zh-CN"/>
          <w14:textFill>
            <w14:solidFill>
              <w14:schemeClr w14:val="tx1"/>
            </w14:solidFill>
          </w14:textFill>
        </w:rPr>
        <w:t>；</w:t>
      </w:r>
    </w:p>
    <w:p>
      <w:pPr>
        <w:ind w:firstLine="560"/>
        <w:rPr>
          <w:rFonts w:hint="eastAsia"/>
          <w:color w:val="000000" w:themeColor="text1"/>
          <w:sz w:val="24"/>
          <w:szCs w:val="24"/>
          <w:lang w:eastAsia="zh-CN"/>
          <w14:textFill>
            <w14:solidFill>
              <w14:schemeClr w14:val="tx1"/>
            </w14:solidFill>
          </w14:textFill>
        </w:rPr>
      </w:pPr>
      <w:r>
        <w:rPr>
          <w:rFonts w:hint="eastAsia"/>
          <w:color w:val="000000" w:themeColor="text1"/>
          <w:sz w:val="24"/>
          <w:szCs w:val="24"/>
          <w:lang w:eastAsia="zh-CN"/>
          <w14:textFill>
            <w14:solidFill>
              <w14:schemeClr w14:val="tx1"/>
            </w14:solidFill>
          </w14:textFill>
        </w:rPr>
        <w:t>（</w:t>
      </w:r>
      <w:r>
        <w:rPr>
          <w:rFonts w:hint="eastAsia"/>
          <w:color w:val="000000" w:themeColor="text1"/>
          <w:sz w:val="24"/>
          <w:szCs w:val="24"/>
          <w:lang w:val="en-US" w:eastAsia="zh-CN"/>
          <w14:textFill>
            <w14:solidFill>
              <w14:schemeClr w14:val="tx1"/>
            </w14:solidFill>
          </w14:textFill>
        </w:rPr>
        <w:t>3</w:t>
      </w:r>
      <w:r>
        <w:rPr>
          <w:rFonts w:hint="eastAsia"/>
          <w:color w:val="000000" w:themeColor="text1"/>
          <w:sz w:val="24"/>
          <w:szCs w:val="24"/>
          <w:lang w:eastAsia="zh-CN"/>
          <w14:textFill>
            <w14:solidFill>
              <w14:schemeClr w14:val="tx1"/>
            </w14:solidFill>
          </w14:textFill>
        </w:rPr>
        <w:t>）《</w:t>
      </w:r>
      <w:r>
        <w:rPr>
          <w:rFonts w:hint="eastAsia"/>
          <w:sz w:val="24"/>
          <w:szCs w:val="24"/>
        </w:rPr>
        <w:t>江西省突发公共事件总体应急预案</w:t>
      </w:r>
      <w:r>
        <w:rPr>
          <w:rFonts w:hint="eastAsia"/>
          <w:color w:val="000000" w:themeColor="text1"/>
          <w:sz w:val="24"/>
          <w:szCs w:val="24"/>
          <w:lang w:eastAsia="zh-CN"/>
          <w14:textFill>
            <w14:solidFill>
              <w14:schemeClr w14:val="tx1"/>
            </w14:solidFill>
          </w14:textFill>
        </w:rPr>
        <w:t>》（</w:t>
      </w:r>
      <w:r>
        <w:rPr>
          <w:rFonts w:hint="eastAsia"/>
          <w:color w:val="000000" w:themeColor="text1"/>
          <w:sz w:val="24"/>
          <w:szCs w:val="24"/>
          <w:lang w:val="en-US" w:eastAsia="zh-CN"/>
          <w14:textFill>
            <w14:solidFill>
              <w14:schemeClr w14:val="tx1"/>
            </w14:solidFill>
          </w14:textFill>
        </w:rPr>
        <w:t>2008</w:t>
      </w:r>
      <w:r>
        <w:rPr>
          <w:rFonts w:hint="eastAsia"/>
          <w:color w:val="000000" w:themeColor="text1"/>
          <w:sz w:val="24"/>
          <w:szCs w:val="24"/>
          <w:lang w:eastAsia="zh-CN"/>
          <w14:textFill>
            <w14:solidFill>
              <w14:schemeClr w14:val="tx1"/>
            </w14:solidFill>
          </w14:textFill>
        </w:rPr>
        <w:t>）</w:t>
      </w:r>
    </w:p>
    <w:p>
      <w:pPr>
        <w:ind w:firstLine="560"/>
        <w:rPr>
          <w:rFonts w:hint="eastAsia"/>
          <w:color w:val="000000" w:themeColor="text1"/>
          <w:sz w:val="24"/>
          <w:szCs w:val="24"/>
          <w:lang w:eastAsia="zh-CN"/>
          <w14:textFill>
            <w14:solidFill>
              <w14:schemeClr w14:val="tx1"/>
            </w14:solidFill>
          </w14:textFill>
        </w:rPr>
      </w:pPr>
      <w:r>
        <w:rPr>
          <w:rFonts w:hint="eastAsia"/>
          <w:color w:val="000000" w:themeColor="text1"/>
          <w:sz w:val="24"/>
          <w:szCs w:val="24"/>
          <w:lang w:eastAsia="zh-CN"/>
          <w14:textFill>
            <w14:solidFill>
              <w14:schemeClr w14:val="tx1"/>
            </w14:solidFill>
          </w14:textFill>
        </w:rPr>
        <w:t>（</w:t>
      </w:r>
      <w:r>
        <w:rPr>
          <w:rFonts w:hint="eastAsia"/>
          <w:color w:val="000000" w:themeColor="text1"/>
          <w:sz w:val="24"/>
          <w:szCs w:val="24"/>
          <w:lang w:val="en-US" w:eastAsia="zh-CN"/>
          <w14:textFill>
            <w14:solidFill>
              <w14:schemeClr w14:val="tx1"/>
            </w14:solidFill>
          </w14:textFill>
        </w:rPr>
        <w:t>4</w:t>
      </w:r>
      <w:r>
        <w:rPr>
          <w:rFonts w:hint="eastAsia"/>
          <w:color w:val="000000" w:themeColor="text1"/>
          <w:sz w:val="24"/>
          <w:szCs w:val="24"/>
          <w:lang w:eastAsia="zh-CN"/>
          <w14:textFill>
            <w14:solidFill>
              <w14:schemeClr w14:val="tx1"/>
            </w14:solidFill>
          </w14:textFill>
        </w:rPr>
        <w:t>）《</w:t>
      </w:r>
      <w:r>
        <w:rPr>
          <w:rFonts w:hint="eastAsia"/>
          <w:sz w:val="24"/>
          <w:szCs w:val="24"/>
        </w:rPr>
        <w:t>江西省突发环境事件应急预案</w:t>
      </w:r>
      <w:r>
        <w:rPr>
          <w:rFonts w:hint="eastAsia"/>
          <w:color w:val="000000" w:themeColor="text1"/>
          <w:sz w:val="24"/>
          <w:szCs w:val="24"/>
          <w:lang w:eastAsia="zh-CN"/>
          <w14:textFill>
            <w14:solidFill>
              <w14:schemeClr w14:val="tx1"/>
            </w14:solidFill>
          </w14:textFill>
        </w:rPr>
        <w:t>》</w:t>
      </w:r>
    </w:p>
    <w:p>
      <w:pPr>
        <w:pStyle w:val="16"/>
        <w:numPr>
          <w:ilvl w:val="0"/>
          <w:numId w:val="0"/>
        </w:numPr>
        <w:spacing w:line="360" w:lineRule="auto"/>
        <w:ind w:leftChars="200"/>
        <w:jc w:val="both"/>
        <w:rPr>
          <w:rFonts w:hint="eastAsia" w:ascii="Times New Roman" w:hAnsi="Times New Roman" w:eastAsia="宋体" w:cstheme="minorBidi"/>
          <w:kern w:val="2"/>
          <w:sz w:val="24"/>
          <w:szCs w:val="24"/>
          <w:lang w:val="en-US" w:eastAsia="zh-CN" w:bidi="ar-SA"/>
        </w:rPr>
      </w:pPr>
      <w:r>
        <w:rPr>
          <w:rFonts w:hint="eastAsia" w:ascii="Times New Roman" w:hAnsi="Times New Roman" w:eastAsia="宋体" w:cstheme="minorBidi"/>
          <w:kern w:val="2"/>
          <w:sz w:val="24"/>
          <w:szCs w:val="24"/>
          <w:lang w:val="en-US" w:eastAsia="zh-CN" w:bidi="ar-SA"/>
        </w:rPr>
        <w:t>（5）《南昌慧华高科混凝土有限公司年产100万立方商品混凝土环境影响报告表》。</w:t>
      </w:r>
    </w:p>
    <w:p>
      <w:pPr>
        <w:numPr>
          <w:ilvl w:val="0"/>
          <w:numId w:val="0"/>
        </w:numPr>
        <w:spacing w:line="360" w:lineRule="auto"/>
        <w:ind w:leftChars="200"/>
        <w:rPr>
          <w:rFonts w:hint="eastAsia" w:ascii="Times New Roman" w:hAnsi="Times New Roman" w:eastAsia="宋体" w:cstheme="minorBidi"/>
          <w:kern w:val="2"/>
          <w:sz w:val="24"/>
          <w:szCs w:val="24"/>
          <w:lang w:val="en-US" w:eastAsia="zh-CN" w:bidi="ar-SA"/>
        </w:rPr>
      </w:pPr>
      <w:r>
        <w:rPr>
          <w:rFonts w:hint="eastAsia" w:ascii="Times New Roman" w:hAnsi="Times New Roman" w:eastAsia="宋体" w:cstheme="minorBidi"/>
          <w:kern w:val="2"/>
          <w:sz w:val="24"/>
          <w:szCs w:val="24"/>
          <w:lang w:val="en-US" w:eastAsia="zh-CN" w:bidi="ar-SA"/>
        </w:rPr>
        <w:t>（6）《南昌慧华高科混凝土有限公司年产100万立方米商品混凝土项目环境影响报告书的批复》（洪环建字［2001］86号）。</w:t>
      </w:r>
    </w:p>
    <w:p>
      <w:pPr>
        <w:numPr>
          <w:ilvl w:val="0"/>
          <w:numId w:val="0"/>
        </w:numPr>
        <w:spacing w:line="360" w:lineRule="auto"/>
        <w:ind w:leftChars="200"/>
        <w:rPr>
          <w:rFonts w:hint="eastAsia" w:ascii="Times New Roman" w:hAnsi="Times New Roman" w:eastAsia="宋体" w:cstheme="minorBidi"/>
          <w:kern w:val="2"/>
          <w:sz w:val="24"/>
          <w:szCs w:val="24"/>
          <w:lang w:val="en-US" w:eastAsia="zh-CN" w:bidi="ar-SA"/>
        </w:rPr>
        <w:sectPr>
          <w:pgSz w:w="11906" w:h="16838"/>
          <w:pgMar w:top="1361" w:right="1361" w:bottom="1361" w:left="1474" w:header="851" w:footer="992" w:gutter="0"/>
          <w:pgNumType w:fmt="decimal"/>
          <w:cols w:space="720" w:num="1"/>
          <w:docGrid w:type="lines" w:linePitch="312" w:charSpace="0"/>
        </w:sectPr>
      </w:pPr>
      <w:r>
        <w:rPr>
          <w:rFonts w:hint="eastAsia" w:ascii="Times New Roman" w:hAnsi="Times New Roman" w:eastAsia="宋体" w:cstheme="minorBidi"/>
          <w:kern w:val="2"/>
          <w:sz w:val="24"/>
          <w:szCs w:val="24"/>
          <w:lang w:val="en-US" w:eastAsia="zh-CN" w:bidi="ar-SA"/>
        </w:rPr>
        <w:t>（7）《南昌慧华高科混凝土有限公司年产100万立方米商品混凝土建设项目竣工环境保护验收意见函》（洪环监督［2004］171号）。</w:t>
      </w:r>
    </w:p>
    <w:p>
      <w:pPr>
        <w:pStyle w:val="3"/>
      </w:pPr>
      <w:bookmarkStart w:id="7" w:name="_Toc25141"/>
      <w:r>
        <w:rPr>
          <w:rFonts w:hint="eastAsia"/>
        </w:rPr>
        <w:t>资料准备与环境风险识别</w:t>
      </w:r>
      <w:bookmarkEnd w:id="7"/>
    </w:p>
    <w:p>
      <w:pPr>
        <w:pStyle w:val="4"/>
        <w:rPr>
          <w:sz w:val="24"/>
          <w:szCs w:val="24"/>
        </w:rPr>
      </w:pPr>
      <w:bookmarkStart w:id="8" w:name="_Toc3830"/>
      <w:r>
        <w:rPr>
          <w:rFonts w:hint="eastAsia"/>
          <w:sz w:val="24"/>
          <w:szCs w:val="24"/>
        </w:rPr>
        <w:t>企业基本信息</w:t>
      </w:r>
      <w:bookmarkEnd w:id="8"/>
    </w:p>
    <w:p>
      <w:pPr>
        <w:pStyle w:val="6"/>
        <w:rPr>
          <w:sz w:val="24"/>
          <w:szCs w:val="24"/>
        </w:rPr>
      </w:pPr>
      <w:r>
        <w:rPr>
          <w:rFonts w:hint="eastAsia"/>
          <w:sz w:val="24"/>
          <w:szCs w:val="24"/>
        </w:rPr>
        <w:t>基本信息</w:t>
      </w:r>
    </w:p>
    <w:p>
      <w:pPr>
        <w:ind w:firstLine="560"/>
        <w:rPr>
          <w:sz w:val="24"/>
          <w:szCs w:val="24"/>
        </w:rPr>
      </w:pPr>
      <w:r>
        <w:rPr>
          <w:rFonts w:hint="eastAsia"/>
          <w:sz w:val="24"/>
          <w:szCs w:val="24"/>
          <w:lang w:eastAsia="zh-CN"/>
        </w:rPr>
        <w:t>南昌慧华高科混凝土有限公司</w:t>
      </w:r>
      <w:r>
        <w:rPr>
          <w:rFonts w:hint="eastAsia"/>
          <w:sz w:val="24"/>
          <w:szCs w:val="24"/>
        </w:rPr>
        <w:t>基本信息详见</w:t>
      </w:r>
      <w:r>
        <w:rPr>
          <w:sz w:val="24"/>
          <w:szCs w:val="24"/>
        </w:rPr>
        <w:fldChar w:fldCharType="begin"/>
      </w:r>
      <w:r>
        <w:rPr>
          <w:sz w:val="24"/>
          <w:szCs w:val="24"/>
        </w:rPr>
        <w:instrText xml:space="preserve"> </w:instrText>
      </w:r>
      <w:r>
        <w:rPr>
          <w:rFonts w:hint="eastAsia"/>
          <w:sz w:val="24"/>
          <w:szCs w:val="24"/>
        </w:rPr>
        <w:instrText xml:space="preserve">REF _Ref526599075 \h</w:instrText>
      </w:r>
      <w:r>
        <w:rPr>
          <w:sz w:val="24"/>
          <w:szCs w:val="24"/>
        </w:rPr>
        <w:instrText xml:space="preserve"> </w:instrText>
      </w:r>
      <w:r>
        <w:rPr>
          <w:sz w:val="24"/>
          <w:szCs w:val="24"/>
        </w:rPr>
        <w:fldChar w:fldCharType="separate"/>
      </w:r>
      <w:r>
        <w:rPr>
          <w:rFonts w:hint="eastAsia"/>
          <w:sz w:val="24"/>
          <w:szCs w:val="24"/>
        </w:rPr>
        <w:t xml:space="preserve">表 </w:t>
      </w:r>
      <w:r>
        <w:rPr>
          <w:sz w:val="24"/>
          <w:szCs w:val="24"/>
        </w:rPr>
        <w:t>3</w:t>
      </w:r>
      <w:r>
        <w:rPr>
          <w:sz w:val="24"/>
          <w:szCs w:val="24"/>
        </w:rPr>
        <w:noBreakHyphen/>
      </w:r>
      <w:r>
        <w:rPr>
          <w:sz w:val="24"/>
          <w:szCs w:val="24"/>
        </w:rPr>
        <w:t>1</w:t>
      </w:r>
      <w:r>
        <w:rPr>
          <w:sz w:val="24"/>
          <w:szCs w:val="24"/>
        </w:rPr>
        <w:fldChar w:fldCharType="end"/>
      </w:r>
      <w:r>
        <w:rPr>
          <w:rFonts w:hint="eastAsia"/>
          <w:sz w:val="24"/>
          <w:szCs w:val="24"/>
        </w:rPr>
        <w:t>。</w:t>
      </w:r>
    </w:p>
    <w:p>
      <w:pPr>
        <w:pStyle w:val="10"/>
        <w:keepNext/>
        <w:rPr>
          <w:rFonts w:hint="eastAsia"/>
          <w:sz w:val="24"/>
          <w:szCs w:val="24"/>
        </w:rPr>
      </w:pPr>
      <w:bookmarkStart w:id="9" w:name="_Ref526599075"/>
      <w:r>
        <w:rPr>
          <w:rFonts w:hint="eastAsia"/>
          <w:sz w:val="24"/>
          <w:szCs w:val="24"/>
        </w:rPr>
        <w:t xml:space="preserve">表 </w:t>
      </w:r>
      <w:r>
        <w:rPr>
          <w:sz w:val="24"/>
          <w:szCs w:val="24"/>
        </w:rPr>
        <w:fldChar w:fldCharType="begin"/>
      </w:r>
      <w:r>
        <w:rPr>
          <w:sz w:val="24"/>
          <w:szCs w:val="24"/>
        </w:rPr>
        <w:instrText xml:space="preserve"> </w:instrText>
      </w:r>
      <w:r>
        <w:rPr>
          <w:rFonts w:hint="eastAsia"/>
          <w:sz w:val="24"/>
          <w:szCs w:val="24"/>
        </w:rPr>
        <w:instrText xml:space="preserve">STYLEREF 1 \s</w:instrText>
      </w:r>
      <w:r>
        <w:rPr>
          <w:sz w:val="24"/>
          <w:szCs w:val="24"/>
        </w:rPr>
        <w:instrText xml:space="preserve"> </w:instrText>
      </w:r>
      <w:r>
        <w:rPr>
          <w:sz w:val="24"/>
          <w:szCs w:val="24"/>
        </w:rPr>
        <w:fldChar w:fldCharType="separate"/>
      </w:r>
      <w:r>
        <w:rPr>
          <w:sz w:val="24"/>
          <w:szCs w:val="24"/>
        </w:rPr>
        <w:t>3</w:t>
      </w:r>
      <w:r>
        <w:rPr>
          <w:sz w:val="24"/>
          <w:szCs w:val="24"/>
        </w:rPr>
        <w:fldChar w:fldCharType="end"/>
      </w:r>
      <w:r>
        <w:rPr>
          <w:sz w:val="24"/>
          <w:szCs w:val="24"/>
        </w:rPr>
        <w:noBreakHyphen/>
      </w:r>
      <w:r>
        <w:rPr>
          <w:sz w:val="24"/>
          <w:szCs w:val="24"/>
        </w:rPr>
        <w:fldChar w:fldCharType="begin"/>
      </w:r>
      <w:r>
        <w:rPr>
          <w:sz w:val="24"/>
          <w:szCs w:val="24"/>
        </w:rPr>
        <w:instrText xml:space="preserve"> </w:instrText>
      </w:r>
      <w:r>
        <w:rPr>
          <w:rFonts w:hint="eastAsia"/>
          <w:sz w:val="24"/>
          <w:szCs w:val="24"/>
        </w:rPr>
        <w:instrText xml:space="preserve">SEQ 表 \* ARABIC \s 1</w:instrText>
      </w:r>
      <w:r>
        <w:rPr>
          <w:sz w:val="24"/>
          <w:szCs w:val="24"/>
        </w:rPr>
        <w:instrText xml:space="preserve"> </w:instrText>
      </w:r>
      <w:r>
        <w:rPr>
          <w:sz w:val="24"/>
          <w:szCs w:val="24"/>
        </w:rPr>
        <w:fldChar w:fldCharType="separate"/>
      </w:r>
      <w:r>
        <w:rPr>
          <w:sz w:val="24"/>
          <w:szCs w:val="24"/>
        </w:rPr>
        <w:t>1</w:t>
      </w:r>
      <w:r>
        <w:rPr>
          <w:sz w:val="24"/>
          <w:szCs w:val="24"/>
        </w:rPr>
        <w:fldChar w:fldCharType="end"/>
      </w:r>
      <w:bookmarkEnd w:id="9"/>
      <w:r>
        <w:rPr>
          <w:rFonts w:hint="eastAsia"/>
          <w:sz w:val="24"/>
          <w:szCs w:val="24"/>
        </w:rPr>
        <w:t>企业基本信息</w:t>
      </w:r>
    </w:p>
    <w:tbl>
      <w:tblPr>
        <w:tblStyle w:val="18"/>
        <w:tblW w:w="5058" w:type="pct"/>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0" w:type="dxa"/>
          <w:bottom w:w="0" w:type="dxa"/>
          <w:right w:w="0" w:type="dxa"/>
        </w:tblCellMar>
      </w:tblPr>
      <w:tblGrid>
        <w:gridCol w:w="1870"/>
        <w:gridCol w:w="1516"/>
        <w:gridCol w:w="128"/>
        <w:gridCol w:w="931"/>
        <w:gridCol w:w="20"/>
        <w:gridCol w:w="1778"/>
        <w:gridCol w:w="1199"/>
        <w:gridCol w:w="18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25" w:hRule="atLeast"/>
        </w:trPr>
        <w:tc>
          <w:tcPr>
            <w:tcW w:w="1867" w:type="dxa"/>
            <w:vAlign w:val="center"/>
          </w:tcPr>
          <w:p>
            <w:pPr>
              <w:pStyle w:val="31"/>
              <w:kinsoku w:val="0"/>
              <w:overflowPunct w:val="0"/>
              <w:ind w:firstLine="0" w:firstLineChars="0"/>
              <w:contextualSpacing/>
              <w:jc w:val="center"/>
              <w:rPr>
                <w:rFonts w:ascii="Times New Roman" w:hAnsi="Times New Roman" w:eastAsia="宋体" w:cs="Times New Roman"/>
                <w:sz w:val="21"/>
                <w:szCs w:val="21"/>
              </w:rPr>
            </w:pPr>
            <w:r>
              <w:rPr>
                <w:rFonts w:ascii="Times New Roman" w:hAnsi="Times New Roman" w:eastAsia="宋体" w:cs="Times New Roman"/>
                <w:sz w:val="21"/>
                <w:szCs w:val="21"/>
              </w:rPr>
              <w:t>企业名称</w:t>
            </w:r>
          </w:p>
        </w:tc>
        <w:tc>
          <w:tcPr>
            <w:tcW w:w="2570" w:type="dxa"/>
            <w:gridSpan w:val="3"/>
            <w:vAlign w:val="center"/>
          </w:tcPr>
          <w:p>
            <w:pPr>
              <w:spacing w:line="240" w:lineRule="auto"/>
              <w:ind w:firstLine="0" w:firstLineChars="0"/>
              <w:contextualSpacing/>
              <w:jc w:val="left"/>
              <w:rPr>
                <w:rFonts w:ascii="Times New Roman" w:hAnsi="Times New Roman" w:cs="Times New Roman"/>
                <w:sz w:val="21"/>
                <w:szCs w:val="21"/>
              </w:rPr>
            </w:pPr>
            <w:r>
              <w:rPr>
                <w:rFonts w:hint="eastAsia" w:ascii="Times New Roman" w:hAnsi="Times New Roman" w:cs="Times New Roman"/>
                <w:sz w:val="21"/>
                <w:szCs w:val="21"/>
                <w:lang w:eastAsia="zh-CN"/>
              </w:rPr>
              <w:t>南昌慧华高科混凝土有限公司</w:t>
            </w:r>
          </w:p>
        </w:tc>
        <w:tc>
          <w:tcPr>
            <w:tcW w:w="1795" w:type="dxa"/>
            <w:gridSpan w:val="2"/>
            <w:vAlign w:val="center"/>
          </w:tcPr>
          <w:p>
            <w:pPr>
              <w:pStyle w:val="31"/>
              <w:kinsoku w:val="0"/>
              <w:overflowPunct w:val="0"/>
              <w:ind w:firstLine="0" w:firstLineChars="0"/>
              <w:contextualSpacing/>
              <w:jc w:val="center"/>
              <w:rPr>
                <w:rFonts w:ascii="Times New Roman" w:hAnsi="Times New Roman" w:eastAsia="宋体" w:cs="Times New Roman"/>
                <w:sz w:val="21"/>
                <w:szCs w:val="21"/>
              </w:rPr>
            </w:pPr>
            <w:r>
              <w:rPr>
                <w:rFonts w:hint="eastAsia" w:ascii="Times New Roman" w:hAnsi="Times New Roman" w:eastAsia="宋体" w:cs="Times New Roman"/>
                <w:sz w:val="21"/>
                <w:szCs w:val="21"/>
                <w:lang w:eastAsia="zh-CN"/>
              </w:rPr>
              <w:t>统一社会信用</w:t>
            </w:r>
            <w:r>
              <w:rPr>
                <w:rFonts w:ascii="Times New Roman" w:hAnsi="Times New Roman" w:eastAsia="宋体" w:cs="Times New Roman"/>
                <w:sz w:val="21"/>
                <w:szCs w:val="21"/>
              </w:rPr>
              <w:t>代码</w:t>
            </w:r>
          </w:p>
        </w:tc>
        <w:tc>
          <w:tcPr>
            <w:tcW w:w="3002" w:type="dxa"/>
            <w:gridSpan w:val="2"/>
            <w:vAlign w:val="center"/>
          </w:tcPr>
          <w:p>
            <w:pPr>
              <w:spacing w:line="240" w:lineRule="auto"/>
              <w:ind w:firstLine="0" w:firstLineChars="0"/>
              <w:contextualSpacing/>
              <w:jc w:val="center"/>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rPr>
              <w:t>91360</w:t>
            </w:r>
            <w:r>
              <w:rPr>
                <w:rFonts w:hint="eastAsia" w:ascii="Times New Roman" w:hAnsi="Times New Roman" w:cs="Times New Roman"/>
                <w:sz w:val="21"/>
                <w:szCs w:val="21"/>
                <w:lang w:val="en-US" w:eastAsia="zh-CN"/>
              </w:rPr>
              <w:t>100736356923</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25" w:hRule="atLeast"/>
        </w:trPr>
        <w:tc>
          <w:tcPr>
            <w:tcW w:w="1867" w:type="dxa"/>
            <w:vAlign w:val="center"/>
          </w:tcPr>
          <w:p>
            <w:pPr>
              <w:pStyle w:val="31"/>
              <w:kinsoku w:val="0"/>
              <w:overflowPunct w:val="0"/>
              <w:ind w:firstLine="0" w:firstLineChars="0"/>
              <w:contextualSpacing/>
              <w:jc w:val="center"/>
              <w:rPr>
                <w:rFonts w:ascii="Times New Roman" w:hAnsi="Times New Roman" w:eastAsia="宋体" w:cs="Times New Roman"/>
                <w:sz w:val="21"/>
                <w:szCs w:val="21"/>
              </w:rPr>
            </w:pPr>
            <w:r>
              <w:rPr>
                <w:rFonts w:ascii="Times New Roman" w:hAnsi="Times New Roman" w:eastAsia="宋体" w:cs="Times New Roman"/>
                <w:sz w:val="21"/>
                <w:szCs w:val="21"/>
              </w:rPr>
              <w:t>法人代表</w:t>
            </w:r>
          </w:p>
        </w:tc>
        <w:tc>
          <w:tcPr>
            <w:tcW w:w="1641" w:type="dxa"/>
            <w:gridSpan w:val="2"/>
            <w:vAlign w:val="center"/>
          </w:tcPr>
          <w:p>
            <w:pPr>
              <w:spacing w:line="240" w:lineRule="auto"/>
              <w:ind w:firstLine="0" w:firstLineChars="0"/>
              <w:contextualSpacing/>
              <w:jc w:val="center"/>
              <w:rPr>
                <w:rFonts w:ascii="Times New Roman" w:hAnsi="Times New Roman" w:cs="Times New Roman"/>
                <w:sz w:val="21"/>
                <w:szCs w:val="21"/>
              </w:rPr>
            </w:pPr>
            <w:r>
              <w:rPr>
                <w:rFonts w:hint="eastAsia" w:ascii="Times New Roman" w:hAnsi="Times New Roman" w:cs="Times New Roman"/>
                <w:sz w:val="21"/>
                <w:szCs w:val="21"/>
                <w:lang w:eastAsia="zh-CN"/>
              </w:rPr>
              <w:t>范凯</w:t>
            </w:r>
          </w:p>
        </w:tc>
        <w:tc>
          <w:tcPr>
            <w:tcW w:w="929" w:type="dxa"/>
            <w:vAlign w:val="center"/>
          </w:tcPr>
          <w:p>
            <w:pPr>
              <w:pStyle w:val="31"/>
              <w:kinsoku w:val="0"/>
              <w:overflowPunct w:val="0"/>
              <w:ind w:firstLine="0" w:firstLineChars="0"/>
              <w:contextualSpacing/>
              <w:jc w:val="center"/>
              <w:rPr>
                <w:rFonts w:ascii="Times New Roman" w:hAnsi="Times New Roman" w:eastAsia="宋体" w:cs="Times New Roman"/>
                <w:sz w:val="21"/>
                <w:szCs w:val="21"/>
              </w:rPr>
            </w:pPr>
            <w:r>
              <w:rPr>
                <w:rFonts w:ascii="Times New Roman" w:hAnsi="Times New Roman" w:eastAsia="宋体" w:cs="Times New Roman"/>
                <w:sz w:val="21"/>
                <w:szCs w:val="21"/>
              </w:rPr>
              <w:t>邮政编码</w:t>
            </w:r>
          </w:p>
        </w:tc>
        <w:tc>
          <w:tcPr>
            <w:tcW w:w="1795" w:type="dxa"/>
            <w:gridSpan w:val="2"/>
            <w:vAlign w:val="center"/>
          </w:tcPr>
          <w:p>
            <w:pPr>
              <w:spacing w:line="240" w:lineRule="auto"/>
              <w:ind w:firstLine="0" w:firstLineChars="0"/>
              <w:contextualSpacing/>
              <w:jc w:val="center"/>
              <w:rPr>
                <w:rFonts w:hint="default" w:ascii="Times New Roman" w:hAnsi="Times New Roman" w:cs="Times New Roman"/>
                <w:sz w:val="21"/>
                <w:szCs w:val="21"/>
                <w:lang w:val="en-US"/>
              </w:rPr>
            </w:pPr>
            <w:r>
              <w:rPr>
                <w:rFonts w:ascii="Times New Roman" w:hAnsi="Times New Roman" w:cs="Times New Roman"/>
                <w:sz w:val="21"/>
                <w:szCs w:val="21"/>
              </w:rPr>
              <w:t>33</w:t>
            </w:r>
            <w:r>
              <w:rPr>
                <w:rFonts w:hint="eastAsia" w:ascii="Times New Roman" w:hAnsi="Times New Roman" w:cs="Times New Roman"/>
                <w:sz w:val="21"/>
                <w:szCs w:val="21"/>
                <w:lang w:val="en-US" w:eastAsia="zh-CN"/>
              </w:rPr>
              <w:t>0013</w:t>
            </w:r>
          </w:p>
        </w:tc>
        <w:tc>
          <w:tcPr>
            <w:tcW w:w="1197" w:type="dxa"/>
            <w:vAlign w:val="center"/>
          </w:tcPr>
          <w:p>
            <w:pPr>
              <w:pStyle w:val="31"/>
              <w:kinsoku w:val="0"/>
              <w:overflowPunct w:val="0"/>
              <w:ind w:firstLine="0" w:firstLineChars="0"/>
              <w:contextualSpacing/>
              <w:jc w:val="center"/>
              <w:rPr>
                <w:rFonts w:ascii="Times New Roman" w:hAnsi="Times New Roman" w:eastAsia="宋体" w:cs="Times New Roman"/>
                <w:sz w:val="21"/>
                <w:szCs w:val="21"/>
              </w:rPr>
            </w:pPr>
            <w:r>
              <w:rPr>
                <w:rFonts w:ascii="Times New Roman" w:hAnsi="Times New Roman" w:eastAsia="宋体" w:cs="Times New Roman"/>
                <w:sz w:val="21"/>
                <w:szCs w:val="21"/>
              </w:rPr>
              <w:t>厂区面积</w:t>
            </w:r>
          </w:p>
        </w:tc>
        <w:tc>
          <w:tcPr>
            <w:tcW w:w="1805" w:type="dxa"/>
            <w:vAlign w:val="center"/>
          </w:tcPr>
          <w:p>
            <w:pPr>
              <w:pStyle w:val="31"/>
              <w:kinsoku w:val="0"/>
              <w:overflowPunct w:val="0"/>
              <w:ind w:firstLine="0" w:firstLineChars="0"/>
              <w:contextualSpacing/>
              <w:jc w:val="center"/>
              <w:rPr>
                <w:rFonts w:ascii="Times New Roman" w:hAnsi="Times New Roman" w:eastAsia="宋体" w:cs="Times New Roman"/>
                <w:sz w:val="21"/>
                <w:szCs w:val="21"/>
              </w:rPr>
            </w:pPr>
            <w:r>
              <w:rPr>
                <w:rFonts w:hint="eastAsia" w:ascii="Times New Roman" w:hAnsi="Times New Roman"/>
                <w:sz w:val="24"/>
                <w:lang w:val="en-US" w:eastAsia="zh-CN"/>
              </w:rPr>
              <w:t>33966</w:t>
            </w:r>
            <w:r>
              <w:rPr>
                <w:rFonts w:ascii="Times New Roman" w:hAnsi="Times New Roman" w:eastAsia="宋体" w:cs="Times New Roman"/>
                <w:sz w:val="21"/>
                <w:szCs w:val="21"/>
              </w:rPr>
              <w:t>平方米</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25" w:hRule="atLeast"/>
        </w:trPr>
        <w:tc>
          <w:tcPr>
            <w:tcW w:w="1867" w:type="dxa"/>
            <w:vAlign w:val="center"/>
          </w:tcPr>
          <w:p>
            <w:pPr>
              <w:pStyle w:val="31"/>
              <w:kinsoku w:val="0"/>
              <w:overflowPunct w:val="0"/>
              <w:ind w:firstLine="0" w:firstLineChars="0"/>
              <w:contextualSpacing/>
              <w:jc w:val="center"/>
              <w:rPr>
                <w:rFonts w:ascii="Times New Roman" w:hAnsi="Times New Roman" w:eastAsia="宋体" w:cs="Times New Roman"/>
                <w:sz w:val="21"/>
                <w:szCs w:val="21"/>
              </w:rPr>
            </w:pPr>
            <w:r>
              <w:rPr>
                <w:rFonts w:ascii="Times New Roman" w:hAnsi="Times New Roman" w:eastAsia="宋体" w:cs="Times New Roman"/>
                <w:sz w:val="21"/>
                <w:szCs w:val="21"/>
              </w:rPr>
              <w:t>联系人</w:t>
            </w:r>
          </w:p>
        </w:tc>
        <w:tc>
          <w:tcPr>
            <w:tcW w:w="1641" w:type="dxa"/>
            <w:gridSpan w:val="2"/>
            <w:vAlign w:val="center"/>
          </w:tcPr>
          <w:p>
            <w:pPr>
              <w:spacing w:line="240" w:lineRule="auto"/>
              <w:ind w:firstLine="0" w:firstLineChars="0"/>
              <w:contextualSpacing/>
              <w:jc w:val="center"/>
              <w:rPr>
                <w:rFonts w:ascii="Times New Roman" w:hAnsi="Times New Roman" w:cs="Times New Roman"/>
                <w:sz w:val="21"/>
                <w:szCs w:val="21"/>
              </w:rPr>
            </w:pPr>
            <w:r>
              <w:rPr>
                <w:rFonts w:hint="eastAsia" w:ascii="Times New Roman" w:hAnsi="Times New Roman" w:cs="Times New Roman"/>
                <w:sz w:val="21"/>
                <w:szCs w:val="21"/>
                <w:lang w:eastAsia="zh-CN"/>
              </w:rPr>
              <w:t>陈勇</w:t>
            </w:r>
          </w:p>
        </w:tc>
        <w:tc>
          <w:tcPr>
            <w:tcW w:w="929" w:type="dxa"/>
            <w:vAlign w:val="center"/>
          </w:tcPr>
          <w:p>
            <w:pPr>
              <w:pStyle w:val="31"/>
              <w:kinsoku w:val="0"/>
              <w:overflowPunct w:val="0"/>
              <w:ind w:firstLine="0" w:firstLineChars="0"/>
              <w:contextualSpacing/>
              <w:jc w:val="center"/>
              <w:rPr>
                <w:rFonts w:ascii="Times New Roman" w:hAnsi="Times New Roman" w:eastAsia="宋体" w:cs="Times New Roman"/>
                <w:sz w:val="21"/>
                <w:szCs w:val="21"/>
              </w:rPr>
            </w:pPr>
            <w:r>
              <w:rPr>
                <w:rFonts w:ascii="Times New Roman" w:hAnsi="Times New Roman" w:eastAsia="宋体" w:cs="Times New Roman"/>
                <w:sz w:val="21"/>
                <w:szCs w:val="21"/>
              </w:rPr>
              <w:t>电话</w:t>
            </w:r>
          </w:p>
        </w:tc>
        <w:tc>
          <w:tcPr>
            <w:tcW w:w="1795" w:type="dxa"/>
            <w:gridSpan w:val="2"/>
            <w:vAlign w:val="center"/>
          </w:tcPr>
          <w:p>
            <w:pPr>
              <w:spacing w:line="240" w:lineRule="auto"/>
              <w:ind w:firstLine="0" w:firstLineChars="0"/>
              <w:contextualSpacing/>
              <w:jc w:val="center"/>
              <w:rPr>
                <w:rFonts w:hint="default" w:ascii="Times New Roman" w:hAnsi="Times New Roman" w:cs="Times New Roman"/>
                <w:sz w:val="21"/>
                <w:szCs w:val="21"/>
                <w:lang w:val="en-US"/>
              </w:rPr>
            </w:pPr>
            <w:r>
              <w:rPr>
                <w:rFonts w:hint="eastAsia" w:ascii="Times New Roman" w:hAnsi="Times New Roman" w:cs="Times New Roman"/>
                <w:sz w:val="21"/>
                <w:szCs w:val="21"/>
                <w:lang w:val="en-US" w:eastAsia="zh-CN"/>
              </w:rPr>
              <w:t>13870171691</w:t>
            </w:r>
          </w:p>
        </w:tc>
        <w:tc>
          <w:tcPr>
            <w:tcW w:w="1197" w:type="dxa"/>
            <w:vAlign w:val="center"/>
          </w:tcPr>
          <w:p>
            <w:pPr>
              <w:pStyle w:val="31"/>
              <w:kinsoku w:val="0"/>
              <w:overflowPunct w:val="0"/>
              <w:ind w:firstLine="0" w:firstLineChars="0"/>
              <w:contextualSpacing/>
              <w:jc w:val="center"/>
              <w:rPr>
                <w:rFonts w:ascii="Times New Roman" w:hAnsi="Times New Roman" w:eastAsia="宋体" w:cs="Times New Roman"/>
                <w:sz w:val="21"/>
                <w:szCs w:val="21"/>
              </w:rPr>
            </w:pPr>
            <w:r>
              <w:rPr>
                <w:rFonts w:hint="eastAsia" w:ascii="Times New Roman" w:hAnsi="Times New Roman" w:eastAsia="宋体" w:cs="Times New Roman"/>
                <w:sz w:val="21"/>
                <w:szCs w:val="21"/>
                <w:lang w:eastAsia="zh-CN"/>
              </w:rPr>
              <w:t>从业人数</w:t>
            </w:r>
          </w:p>
        </w:tc>
        <w:tc>
          <w:tcPr>
            <w:tcW w:w="1805" w:type="dxa"/>
            <w:vAlign w:val="center"/>
          </w:tcPr>
          <w:p>
            <w:pPr>
              <w:spacing w:line="240" w:lineRule="auto"/>
              <w:ind w:firstLine="0" w:firstLineChars="0"/>
              <w:contextualSpacing/>
              <w:jc w:val="center"/>
              <w:rPr>
                <w:rFonts w:hint="default" w:ascii="Times New Roman" w:hAnsi="Times New Roman" w:cs="Times New Roman"/>
                <w:sz w:val="21"/>
                <w:szCs w:val="21"/>
                <w:lang w:val="en-US"/>
              </w:rPr>
            </w:pPr>
            <w:r>
              <w:rPr>
                <w:rFonts w:hint="eastAsia" w:ascii="Times New Roman" w:hAnsi="Times New Roman" w:cs="Times New Roman"/>
                <w:sz w:val="21"/>
                <w:szCs w:val="21"/>
                <w:lang w:val="en-US" w:eastAsia="zh-CN"/>
              </w:rPr>
              <w:t>47</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25" w:hRule="atLeast"/>
        </w:trPr>
        <w:tc>
          <w:tcPr>
            <w:tcW w:w="1867" w:type="dxa"/>
            <w:vAlign w:val="center"/>
          </w:tcPr>
          <w:p>
            <w:pPr>
              <w:pStyle w:val="31"/>
              <w:kinsoku w:val="0"/>
              <w:overflowPunct w:val="0"/>
              <w:contextualSpacing/>
              <w:jc w:val="center"/>
              <w:rPr>
                <w:rFonts w:ascii="Times New Roman" w:hAnsi="Times New Roman" w:eastAsia="宋体" w:cs="Times New Roman"/>
                <w:sz w:val="21"/>
                <w:szCs w:val="21"/>
              </w:rPr>
            </w:pPr>
            <w:r>
              <w:rPr>
                <w:rFonts w:ascii="Times New Roman" w:hAnsi="Times New Roman" w:eastAsia="宋体" w:cs="Times New Roman"/>
                <w:sz w:val="21"/>
                <w:szCs w:val="21"/>
              </w:rPr>
              <w:t>单位地址</w:t>
            </w:r>
          </w:p>
        </w:tc>
        <w:tc>
          <w:tcPr>
            <w:tcW w:w="7367" w:type="dxa"/>
            <w:gridSpan w:val="7"/>
            <w:vAlign w:val="center"/>
          </w:tcPr>
          <w:p>
            <w:pPr>
              <w:pStyle w:val="31"/>
              <w:tabs>
                <w:tab w:val="left" w:pos="2269"/>
                <w:tab w:val="left" w:pos="5629"/>
              </w:tabs>
              <w:kinsoku w:val="0"/>
              <w:overflowPunct w:val="0"/>
              <w:ind w:firstLine="0" w:firstLineChars="0"/>
              <w:contextualSpacing/>
              <w:jc w:val="center"/>
              <w:rPr>
                <w:rFonts w:ascii="Times New Roman" w:hAnsi="Times New Roman" w:eastAsia="宋体" w:cs="Times New Roman"/>
                <w:sz w:val="21"/>
                <w:szCs w:val="21"/>
                <w:lang w:eastAsia="zh-CN"/>
              </w:rPr>
            </w:pPr>
            <w:r>
              <w:rPr>
                <w:rFonts w:hint="eastAsia" w:ascii="Times New Roman" w:hAnsi="Times New Roman" w:eastAsia="宋体" w:cs="Times New Roman"/>
                <w:sz w:val="21"/>
                <w:szCs w:val="21"/>
                <w:lang w:eastAsia="zh-CN"/>
              </w:rPr>
              <w:t>江西省南昌昌北经济技术开发区</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25" w:hRule="atLeast"/>
        </w:trPr>
        <w:tc>
          <w:tcPr>
            <w:tcW w:w="1867" w:type="dxa"/>
            <w:vAlign w:val="center"/>
          </w:tcPr>
          <w:p>
            <w:pPr>
              <w:pStyle w:val="31"/>
              <w:kinsoku w:val="0"/>
              <w:overflowPunct w:val="0"/>
              <w:contextualSpacing/>
              <w:jc w:val="center"/>
              <w:rPr>
                <w:rFonts w:ascii="Times New Roman" w:hAnsi="Times New Roman" w:eastAsia="宋体" w:cs="Times New Roman"/>
                <w:sz w:val="21"/>
                <w:szCs w:val="21"/>
              </w:rPr>
            </w:pPr>
            <w:r>
              <w:rPr>
                <w:rFonts w:ascii="Times New Roman" w:hAnsi="Times New Roman" w:eastAsia="宋体" w:cs="Times New Roman"/>
                <w:sz w:val="21"/>
                <w:szCs w:val="21"/>
              </w:rPr>
              <w:t>所在工业园区</w:t>
            </w:r>
          </w:p>
        </w:tc>
        <w:tc>
          <w:tcPr>
            <w:tcW w:w="1513" w:type="dxa"/>
            <w:vAlign w:val="center"/>
          </w:tcPr>
          <w:p>
            <w:pPr>
              <w:spacing w:line="240" w:lineRule="auto"/>
              <w:ind w:firstLine="0" w:firstLineChars="0"/>
              <w:contextualSpacing/>
              <w:jc w:val="center"/>
              <w:rPr>
                <w:rFonts w:ascii="Times New Roman" w:hAnsi="Times New Roman" w:cs="Times New Roman"/>
                <w:sz w:val="21"/>
                <w:szCs w:val="21"/>
              </w:rPr>
            </w:pPr>
            <w:r>
              <w:rPr>
                <w:rFonts w:hint="eastAsia" w:ascii="Times New Roman" w:hAnsi="Times New Roman" w:cs="Times New Roman"/>
                <w:sz w:val="21"/>
                <w:szCs w:val="21"/>
                <w:lang w:eastAsia="zh-CN"/>
              </w:rPr>
              <w:t>南昌昌北经济开发区</w:t>
            </w:r>
          </w:p>
        </w:tc>
        <w:tc>
          <w:tcPr>
            <w:tcW w:w="1077" w:type="dxa"/>
            <w:gridSpan w:val="3"/>
            <w:vAlign w:val="center"/>
          </w:tcPr>
          <w:p>
            <w:pPr>
              <w:pStyle w:val="31"/>
              <w:kinsoku w:val="0"/>
              <w:overflowPunct w:val="0"/>
              <w:ind w:firstLine="0" w:firstLineChars="0"/>
              <w:contextualSpacing/>
              <w:jc w:val="center"/>
              <w:rPr>
                <w:rFonts w:ascii="Times New Roman" w:hAnsi="Times New Roman" w:eastAsia="宋体" w:cs="Times New Roman"/>
                <w:sz w:val="21"/>
                <w:szCs w:val="21"/>
              </w:rPr>
            </w:pPr>
            <w:r>
              <w:rPr>
                <w:rFonts w:ascii="Times New Roman" w:hAnsi="Times New Roman" w:eastAsia="宋体" w:cs="Times New Roman"/>
                <w:sz w:val="21"/>
                <w:szCs w:val="21"/>
              </w:rPr>
              <w:t>地理坐标</w:t>
            </w:r>
          </w:p>
        </w:tc>
        <w:tc>
          <w:tcPr>
            <w:tcW w:w="4777" w:type="dxa"/>
            <w:gridSpan w:val="3"/>
            <w:vAlign w:val="center"/>
          </w:tcPr>
          <w:p>
            <w:pPr>
              <w:pStyle w:val="31"/>
              <w:tabs>
                <w:tab w:val="left" w:pos="2144"/>
              </w:tabs>
              <w:kinsoku w:val="0"/>
              <w:overflowPunct w:val="0"/>
              <w:contextualSpacing/>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经度：</w:t>
            </w:r>
            <w:r>
              <w:rPr>
                <w:rFonts w:ascii="Times New Roman" w:hAnsi="Times New Roman"/>
                <w:sz w:val="24"/>
              </w:rPr>
              <w:t>115°</w:t>
            </w:r>
            <w:r>
              <w:rPr>
                <w:rFonts w:hint="eastAsia" w:ascii="Times New Roman" w:hAnsi="Times New Roman"/>
                <w:sz w:val="24"/>
                <w:lang w:val="en-US" w:eastAsia="zh-CN"/>
              </w:rPr>
              <w:t>83</w:t>
            </w:r>
            <w:r>
              <w:rPr>
                <w:rFonts w:ascii="Times New Roman" w:hAnsi="Times New Roman"/>
                <w:sz w:val="24"/>
              </w:rPr>
              <w:t>'</w:t>
            </w:r>
            <w:r>
              <w:rPr>
                <w:rFonts w:hint="eastAsia" w:ascii="Times New Roman" w:hAnsi="Times New Roman"/>
                <w:sz w:val="24"/>
                <w:lang w:val="en-US" w:eastAsia="zh-CN"/>
              </w:rPr>
              <w:t>30</w:t>
            </w:r>
          </w:p>
          <w:p>
            <w:pPr>
              <w:pStyle w:val="31"/>
              <w:tabs>
                <w:tab w:val="left" w:pos="2144"/>
              </w:tabs>
              <w:kinsoku w:val="0"/>
              <w:overflowPunct w:val="0"/>
              <w:ind w:firstLine="0" w:firstLineChars="0"/>
              <w:contextualSpacing/>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纬度：</w:t>
            </w:r>
            <w:r>
              <w:rPr>
                <w:rFonts w:ascii="Times New Roman" w:hAnsi="Times New Roman"/>
                <w:sz w:val="24"/>
              </w:rPr>
              <w:t>28°</w:t>
            </w:r>
            <w:r>
              <w:rPr>
                <w:rFonts w:hint="eastAsia" w:ascii="Times New Roman" w:hAnsi="Times New Roman"/>
                <w:sz w:val="24"/>
                <w:lang w:val="en-US" w:eastAsia="zh-CN"/>
              </w:rPr>
              <w:t>72</w:t>
            </w:r>
            <w:r>
              <w:rPr>
                <w:rFonts w:ascii="Times New Roman" w:hAnsi="Times New Roman"/>
                <w:sz w:val="24"/>
              </w:rPr>
              <w:t>'</w:t>
            </w:r>
            <w:r>
              <w:rPr>
                <w:rFonts w:hint="eastAsia" w:ascii="Times New Roman" w:hAnsi="Times New Roman"/>
                <w:sz w:val="24"/>
                <w:lang w:val="en-US" w:eastAsia="zh-CN"/>
              </w:rPr>
              <w:t>89</w:t>
            </w:r>
            <w:r>
              <w:rPr>
                <w:rFonts w:ascii="Times New Roman" w:hAnsi="Times New Roman"/>
                <w:sz w:val="24"/>
              </w:rPr>
              <w: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25" w:hRule="atLeast"/>
        </w:trPr>
        <w:tc>
          <w:tcPr>
            <w:tcW w:w="1867" w:type="dxa"/>
            <w:vAlign w:val="center"/>
          </w:tcPr>
          <w:p>
            <w:pPr>
              <w:pStyle w:val="31"/>
              <w:kinsoku w:val="0"/>
              <w:overflowPunct w:val="0"/>
              <w:contextualSpacing/>
              <w:jc w:val="center"/>
              <w:rPr>
                <w:rFonts w:ascii="Times New Roman" w:hAnsi="Times New Roman" w:eastAsia="宋体" w:cs="Times New Roman"/>
                <w:sz w:val="21"/>
                <w:szCs w:val="21"/>
              </w:rPr>
            </w:pPr>
            <w:r>
              <w:rPr>
                <w:rFonts w:ascii="Times New Roman" w:hAnsi="Times New Roman" w:eastAsia="宋体" w:cs="Times New Roman"/>
                <w:sz w:val="21"/>
                <w:szCs w:val="21"/>
              </w:rPr>
              <w:t>年运行天数（天）</w:t>
            </w:r>
          </w:p>
        </w:tc>
        <w:tc>
          <w:tcPr>
            <w:tcW w:w="1513" w:type="dxa"/>
            <w:vAlign w:val="center"/>
          </w:tcPr>
          <w:p>
            <w:pPr>
              <w:tabs>
                <w:tab w:val="left" w:pos="1215"/>
              </w:tabs>
              <w:spacing w:line="240" w:lineRule="auto"/>
              <w:ind w:firstLine="0" w:firstLineChars="0"/>
              <w:contextualSpacing/>
              <w:jc w:val="center"/>
              <w:rPr>
                <w:rFonts w:ascii="Times New Roman" w:hAnsi="Times New Roman" w:cs="Times New Roman"/>
                <w:sz w:val="21"/>
                <w:szCs w:val="21"/>
              </w:rPr>
            </w:pPr>
            <w:r>
              <w:rPr>
                <w:rFonts w:hint="eastAsia" w:ascii="Times New Roman" w:hAnsi="Times New Roman" w:cs="Times New Roman"/>
                <w:sz w:val="21"/>
                <w:szCs w:val="21"/>
              </w:rPr>
              <w:t>3</w:t>
            </w:r>
            <w:r>
              <w:rPr>
                <w:rFonts w:hint="eastAsia" w:ascii="Times New Roman" w:hAnsi="Times New Roman" w:cs="Times New Roman"/>
                <w:sz w:val="21"/>
                <w:szCs w:val="21"/>
                <w:lang w:val="en-US" w:eastAsia="zh-CN"/>
              </w:rPr>
              <w:t>0</w:t>
            </w:r>
            <w:r>
              <w:rPr>
                <w:rFonts w:ascii="Times New Roman" w:hAnsi="Times New Roman" w:cs="Times New Roman"/>
                <w:sz w:val="21"/>
                <w:szCs w:val="21"/>
              </w:rPr>
              <w:t>0</w:t>
            </w:r>
          </w:p>
        </w:tc>
        <w:tc>
          <w:tcPr>
            <w:tcW w:w="1077" w:type="dxa"/>
            <w:gridSpan w:val="3"/>
            <w:vAlign w:val="center"/>
          </w:tcPr>
          <w:p>
            <w:pPr>
              <w:pStyle w:val="31"/>
              <w:kinsoku w:val="0"/>
              <w:overflowPunct w:val="0"/>
              <w:ind w:firstLine="0" w:firstLineChars="0"/>
              <w:contextualSpacing/>
              <w:jc w:val="center"/>
              <w:rPr>
                <w:rFonts w:ascii="Times New Roman" w:hAnsi="Times New Roman" w:eastAsia="宋体" w:cs="Times New Roman"/>
                <w:sz w:val="21"/>
                <w:szCs w:val="21"/>
              </w:rPr>
            </w:pPr>
            <w:r>
              <w:rPr>
                <w:rFonts w:ascii="Times New Roman" w:hAnsi="Times New Roman" w:eastAsia="宋体" w:cs="Times New Roman"/>
                <w:sz w:val="21"/>
                <w:szCs w:val="21"/>
              </w:rPr>
              <w:t>主要</w:t>
            </w:r>
            <w:r>
              <w:rPr>
                <w:rFonts w:hint="eastAsia" w:ascii="Times New Roman" w:hAnsi="Times New Roman" w:eastAsia="宋体" w:cs="Times New Roman"/>
                <w:sz w:val="21"/>
                <w:szCs w:val="21"/>
                <w:lang w:eastAsia="zh-CN"/>
              </w:rPr>
              <w:t>产品</w:t>
            </w:r>
          </w:p>
        </w:tc>
        <w:tc>
          <w:tcPr>
            <w:tcW w:w="4777" w:type="dxa"/>
            <w:gridSpan w:val="3"/>
            <w:vAlign w:val="center"/>
          </w:tcPr>
          <w:p>
            <w:pPr>
              <w:spacing w:line="240" w:lineRule="auto"/>
              <w:ind w:firstLine="0" w:firstLineChars="0"/>
              <w:contextualSpacing/>
              <w:jc w:val="center"/>
              <w:rPr>
                <w:rFonts w:ascii="Times New Roman" w:hAnsi="Times New Roman" w:cs="Times New Roman"/>
                <w:sz w:val="21"/>
                <w:szCs w:val="21"/>
              </w:rPr>
            </w:pPr>
            <w:r>
              <w:rPr>
                <w:rFonts w:hint="eastAsia" w:ascii="Times New Roman" w:hAnsi="Times New Roman"/>
                <w:sz w:val="24"/>
                <w:lang w:eastAsia="zh-CN"/>
              </w:rPr>
              <w:t>商品混凝土</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25" w:hRule="atLeast"/>
        </w:trPr>
        <w:tc>
          <w:tcPr>
            <w:tcW w:w="1867" w:type="dxa"/>
            <w:vAlign w:val="center"/>
          </w:tcPr>
          <w:p>
            <w:pPr>
              <w:pStyle w:val="31"/>
              <w:kinsoku w:val="0"/>
              <w:overflowPunct w:val="0"/>
              <w:contextualSpacing/>
              <w:jc w:val="center"/>
              <w:rPr>
                <w:rFonts w:ascii="Times New Roman" w:hAnsi="Times New Roman" w:eastAsia="宋体" w:cs="Times New Roman"/>
                <w:sz w:val="21"/>
                <w:szCs w:val="21"/>
              </w:rPr>
            </w:pPr>
            <w:r>
              <w:rPr>
                <w:rFonts w:ascii="Times New Roman" w:hAnsi="Times New Roman" w:eastAsia="宋体" w:cs="Times New Roman"/>
                <w:sz w:val="21"/>
                <w:szCs w:val="21"/>
              </w:rPr>
              <w:t>行业类别</w:t>
            </w:r>
          </w:p>
        </w:tc>
        <w:tc>
          <w:tcPr>
            <w:tcW w:w="2590" w:type="dxa"/>
            <w:gridSpan w:val="4"/>
            <w:vAlign w:val="center"/>
          </w:tcPr>
          <w:p>
            <w:pPr>
              <w:tabs>
                <w:tab w:val="left" w:pos="826"/>
              </w:tabs>
              <w:spacing w:line="240" w:lineRule="auto"/>
              <w:ind w:firstLine="0" w:firstLineChars="0"/>
              <w:contextualSpacing/>
              <w:jc w:val="center"/>
              <w:rPr>
                <w:rFonts w:ascii="Times New Roman" w:hAnsi="Times New Roman" w:cs="Times New Roman"/>
                <w:sz w:val="21"/>
                <w:szCs w:val="21"/>
              </w:rPr>
            </w:pPr>
            <w:r>
              <w:rPr>
                <w:rFonts w:hint="eastAsia" w:ascii="Times New Roman" w:hAnsi="Times New Roman" w:cs="Times New Roman"/>
                <w:sz w:val="21"/>
                <w:szCs w:val="21"/>
                <w:lang w:eastAsia="zh-CN"/>
              </w:rPr>
              <w:t xml:space="preserve"> 非金属矿物制品制造</w:t>
            </w:r>
          </w:p>
        </w:tc>
        <w:tc>
          <w:tcPr>
            <w:tcW w:w="1775" w:type="dxa"/>
            <w:vAlign w:val="center"/>
          </w:tcPr>
          <w:p>
            <w:pPr>
              <w:pStyle w:val="31"/>
              <w:kinsoku w:val="0"/>
              <w:overflowPunct w:val="0"/>
              <w:ind w:firstLine="0" w:firstLineChars="0"/>
              <w:contextualSpacing/>
              <w:jc w:val="center"/>
              <w:rPr>
                <w:rFonts w:ascii="Times New Roman" w:hAnsi="Times New Roman" w:eastAsia="宋体" w:cs="Times New Roman"/>
                <w:sz w:val="21"/>
                <w:szCs w:val="21"/>
              </w:rPr>
            </w:pPr>
            <w:r>
              <w:rPr>
                <w:rFonts w:ascii="Times New Roman" w:hAnsi="Times New Roman" w:eastAsia="宋体" w:cs="Times New Roman"/>
                <w:sz w:val="21"/>
                <w:szCs w:val="21"/>
              </w:rPr>
              <w:t>行业代码</w:t>
            </w:r>
          </w:p>
        </w:tc>
        <w:tc>
          <w:tcPr>
            <w:tcW w:w="3002" w:type="dxa"/>
            <w:gridSpan w:val="2"/>
            <w:vAlign w:val="center"/>
          </w:tcPr>
          <w:p>
            <w:pPr>
              <w:tabs>
                <w:tab w:val="left" w:pos="889"/>
              </w:tabs>
              <w:spacing w:line="240" w:lineRule="auto"/>
              <w:ind w:firstLine="0" w:firstLineChars="0"/>
              <w:contextualSpacing/>
              <w:jc w:val="center"/>
              <w:rPr>
                <w:rFonts w:hint="default" w:ascii="Times New Roman" w:hAnsi="Times New Roman" w:cs="Times New Roman"/>
                <w:sz w:val="21"/>
                <w:szCs w:val="21"/>
                <w:lang w:val="en-US"/>
              </w:rPr>
            </w:pPr>
            <w:r>
              <w:rPr>
                <w:rFonts w:hint="eastAsia" w:ascii="Times New Roman" w:hAnsi="Times New Roman" w:cs="Times New Roman"/>
                <w:sz w:val="21"/>
                <w:szCs w:val="21"/>
                <w:lang w:val="en-US" w:eastAsia="zh-CN"/>
              </w:rPr>
              <w:t>C30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25" w:hRule="atLeast"/>
        </w:trPr>
        <w:tc>
          <w:tcPr>
            <w:tcW w:w="1867" w:type="dxa"/>
            <w:vAlign w:val="center"/>
          </w:tcPr>
          <w:p>
            <w:pPr>
              <w:pStyle w:val="31"/>
              <w:kinsoku w:val="0"/>
              <w:overflowPunct w:val="0"/>
              <w:contextualSpacing/>
              <w:jc w:val="center"/>
              <w:rPr>
                <w:rFonts w:ascii="Times New Roman" w:hAnsi="Times New Roman" w:eastAsia="宋体" w:cs="Times New Roman"/>
                <w:sz w:val="21"/>
                <w:szCs w:val="21"/>
              </w:rPr>
            </w:pPr>
            <w:r>
              <w:rPr>
                <w:rFonts w:ascii="Times New Roman" w:hAnsi="Times New Roman" w:eastAsia="宋体" w:cs="Times New Roman"/>
                <w:sz w:val="21"/>
                <w:szCs w:val="21"/>
              </w:rPr>
              <w:t>建厂时间</w:t>
            </w:r>
          </w:p>
        </w:tc>
        <w:tc>
          <w:tcPr>
            <w:tcW w:w="2590" w:type="dxa"/>
            <w:gridSpan w:val="4"/>
            <w:vAlign w:val="center"/>
          </w:tcPr>
          <w:p>
            <w:pPr>
              <w:spacing w:line="240" w:lineRule="auto"/>
              <w:ind w:firstLine="0" w:firstLineChars="0"/>
              <w:contextualSpacing/>
              <w:jc w:val="center"/>
              <w:rPr>
                <w:rFonts w:ascii="Times New Roman" w:hAnsi="Times New Roman" w:cs="Times New Roman"/>
                <w:sz w:val="21"/>
                <w:szCs w:val="21"/>
              </w:rPr>
            </w:pPr>
            <w:r>
              <w:rPr>
                <w:rFonts w:hint="eastAsia" w:ascii="Times New Roman" w:hAnsi="Times New Roman" w:cs="Times New Roman"/>
                <w:sz w:val="21"/>
                <w:szCs w:val="21"/>
                <w:lang w:val="en-US" w:eastAsia="zh-CN"/>
              </w:rPr>
              <w:t>2003</w:t>
            </w:r>
            <w:r>
              <w:rPr>
                <w:rFonts w:hint="eastAsia" w:ascii="Times New Roman" w:hAnsi="Times New Roman" w:cs="Times New Roman"/>
                <w:sz w:val="21"/>
                <w:szCs w:val="21"/>
              </w:rPr>
              <w:t>年</w:t>
            </w:r>
            <w:r>
              <w:rPr>
                <w:rFonts w:hint="eastAsia" w:ascii="Times New Roman" w:hAnsi="Times New Roman" w:cs="Times New Roman"/>
                <w:sz w:val="21"/>
                <w:szCs w:val="21"/>
                <w:lang w:val="en-US" w:eastAsia="zh-CN"/>
              </w:rPr>
              <w:t>9</w:t>
            </w:r>
            <w:r>
              <w:rPr>
                <w:rFonts w:hint="eastAsia" w:ascii="Times New Roman" w:hAnsi="Times New Roman" w:cs="Times New Roman"/>
                <w:sz w:val="21"/>
                <w:szCs w:val="21"/>
              </w:rPr>
              <w:t>月</w:t>
            </w:r>
          </w:p>
        </w:tc>
        <w:tc>
          <w:tcPr>
            <w:tcW w:w="1775" w:type="dxa"/>
            <w:vAlign w:val="center"/>
          </w:tcPr>
          <w:p>
            <w:pPr>
              <w:pStyle w:val="31"/>
              <w:kinsoku w:val="0"/>
              <w:overflowPunct w:val="0"/>
              <w:ind w:firstLine="0" w:firstLineChars="0"/>
              <w:contextualSpacing/>
              <w:jc w:val="center"/>
              <w:rPr>
                <w:rFonts w:ascii="Times New Roman" w:hAnsi="Times New Roman" w:eastAsia="宋体" w:cs="Times New Roman"/>
                <w:sz w:val="21"/>
                <w:szCs w:val="21"/>
              </w:rPr>
            </w:pPr>
            <w:r>
              <w:rPr>
                <w:rFonts w:hint="eastAsia" w:ascii="Times New Roman" w:hAnsi="Times New Roman" w:eastAsia="宋体" w:cs="Times New Roman"/>
                <w:sz w:val="21"/>
                <w:szCs w:val="21"/>
                <w:lang w:eastAsia="zh-CN"/>
              </w:rPr>
              <w:t>调试</w:t>
            </w:r>
            <w:r>
              <w:rPr>
                <w:rFonts w:ascii="Times New Roman" w:hAnsi="Times New Roman" w:eastAsia="宋体" w:cs="Times New Roman"/>
                <w:sz w:val="21"/>
                <w:szCs w:val="21"/>
              </w:rPr>
              <w:t>时间</w:t>
            </w:r>
          </w:p>
        </w:tc>
        <w:tc>
          <w:tcPr>
            <w:tcW w:w="3002" w:type="dxa"/>
            <w:gridSpan w:val="2"/>
            <w:vAlign w:val="center"/>
          </w:tcPr>
          <w:p>
            <w:pPr>
              <w:spacing w:line="240" w:lineRule="auto"/>
              <w:ind w:firstLine="0" w:firstLineChars="0"/>
              <w:contextualSpacing/>
              <w:jc w:val="center"/>
              <w:rPr>
                <w:rFonts w:ascii="Times New Roman" w:hAnsi="Times New Roman" w:cs="Times New Roman"/>
                <w:sz w:val="21"/>
                <w:szCs w:val="21"/>
              </w:rPr>
            </w:pPr>
            <w:r>
              <w:rPr>
                <w:rFonts w:hint="eastAsia" w:ascii="Times New Roman" w:hAnsi="Times New Roman" w:cs="Times New Roman"/>
                <w:sz w:val="21"/>
                <w:szCs w:val="21"/>
                <w:lang w:val="en-US" w:eastAsia="zh-CN"/>
              </w:rPr>
              <w:t>2004</w:t>
            </w:r>
            <w:r>
              <w:rPr>
                <w:rFonts w:hint="eastAsia" w:ascii="Times New Roman" w:hAnsi="Times New Roman" w:cs="Times New Roman"/>
                <w:sz w:val="21"/>
                <w:szCs w:val="21"/>
              </w:rPr>
              <w:t>年</w:t>
            </w:r>
            <w:r>
              <w:rPr>
                <w:rFonts w:hint="eastAsia" w:ascii="Times New Roman" w:hAnsi="Times New Roman" w:cs="Times New Roman"/>
                <w:sz w:val="21"/>
                <w:szCs w:val="21"/>
                <w:lang w:val="en-US" w:eastAsia="zh-CN"/>
              </w:rPr>
              <w:t>3</w:t>
            </w:r>
            <w:r>
              <w:rPr>
                <w:rFonts w:hint="eastAsia" w:ascii="Times New Roman" w:hAnsi="Times New Roman" w:cs="Times New Roman"/>
                <w:sz w:val="21"/>
                <w:szCs w:val="21"/>
              </w:rPr>
              <w:t>月</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25" w:hRule="atLeast"/>
        </w:trPr>
        <w:tc>
          <w:tcPr>
            <w:tcW w:w="1867" w:type="dxa"/>
            <w:vAlign w:val="center"/>
          </w:tcPr>
          <w:p>
            <w:pPr>
              <w:pStyle w:val="31"/>
              <w:kinsoku w:val="0"/>
              <w:overflowPunct w:val="0"/>
              <w:contextualSpacing/>
              <w:jc w:val="center"/>
              <w:rPr>
                <w:rFonts w:ascii="Times New Roman" w:hAnsi="Times New Roman" w:eastAsia="宋体" w:cs="Times New Roman"/>
                <w:sz w:val="21"/>
                <w:szCs w:val="21"/>
              </w:rPr>
            </w:pPr>
            <w:r>
              <w:rPr>
                <w:rFonts w:ascii="Times New Roman" w:hAnsi="Times New Roman" w:eastAsia="宋体" w:cs="Times New Roman"/>
                <w:sz w:val="21"/>
                <w:szCs w:val="21"/>
              </w:rPr>
              <w:t>废水排放量（吨）</w:t>
            </w:r>
          </w:p>
        </w:tc>
        <w:tc>
          <w:tcPr>
            <w:tcW w:w="2570" w:type="dxa"/>
            <w:gridSpan w:val="3"/>
            <w:vAlign w:val="center"/>
          </w:tcPr>
          <w:p>
            <w:pPr>
              <w:spacing w:line="240" w:lineRule="auto"/>
              <w:ind w:firstLine="0" w:firstLineChars="0"/>
              <w:contextualSpacing/>
              <w:jc w:val="center"/>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1200</w:t>
            </w:r>
          </w:p>
        </w:tc>
        <w:tc>
          <w:tcPr>
            <w:tcW w:w="1795" w:type="dxa"/>
            <w:gridSpan w:val="2"/>
            <w:vAlign w:val="center"/>
          </w:tcPr>
          <w:p>
            <w:pPr>
              <w:pStyle w:val="31"/>
              <w:kinsoku w:val="0"/>
              <w:overflowPunct w:val="0"/>
              <w:contextualSpacing/>
              <w:jc w:val="center"/>
              <w:rPr>
                <w:rFonts w:ascii="Times New Roman" w:hAnsi="Times New Roman" w:eastAsia="宋体" w:cs="Times New Roman"/>
                <w:sz w:val="21"/>
                <w:szCs w:val="21"/>
              </w:rPr>
            </w:pPr>
            <w:r>
              <w:rPr>
                <w:rFonts w:ascii="Times New Roman" w:hAnsi="Times New Roman" w:eastAsia="宋体" w:cs="Times New Roman"/>
                <w:sz w:val="21"/>
                <w:szCs w:val="21"/>
              </w:rPr>
              <w:t>废水排放去向</w:t>
            </w:r>
          </w:p>
        </w:tc>
        <w:tc>
          <w:tcPr>
            <w:tcW w:w="3002" w:type="dxa"/>
            <w:gridSpan w:val="2"/>
            <w:vAlign w:val="center"/>
          </w:tcPr>
          <w:p>
            <w:pPr>
              <w:spacing w:line="240" w:lineRule="auto"/>
              <w:ind w:firstLine="0" w:firstLineChars="0"/>
              <w:contextualSpacing/>
              <w:jc w:val="center"/>
              <w:rPr>
                <w:rFonts w:ascii="Times New Roman" w:hAnsi="Times New Roman" w:cs="Times New Roman"/>
                <w:sz w:val="21"/>
                <w:szCs w:val="21"/>
              </w:rPr>
            </w:pPr>
            <w:r>
              <w:rPr>
                <w:rFonts w:hint="eastAsia" w:ascii="Times New Roman" w:hAnsi="Times New Roman" w:cs="Times New Roman"/>
                <w:sz w:val="21"/>
                <w:szCs w:val="21"/>
                <w:lang w:eastAsia="zh-CN"/>
              </w:rPr>
              <w:t>赣江北支</w:t>
            </w:r>
          </w:p>
        </w:tc>
      </w:tr>
    </w:tbl>
    <w:p>
      <w:pPr>
        <w:pStyle w:val="6"/>
        <w:rPr>
          <w:sz w:val="24"/>
          <w:szCs w:val="24"/>
        </w:rPr>
      </w:pPr>
      <w:r>
        <w:rPr>
          <w:rFonts w:hint="eastAsia"/>
          <w:sz w:val="24"/>
          <w:szCs w:val="24"/>
        </w:rPr>
        <w:t>主要产品方案</w:t>
      </w:r>
    </w:p>
    <w:p>
      <w:pPr>
        <w:ind w:firstLine="560"/>
        <w:jc w:val="center"/>
        <w:rPr>
          <w:rFonts w:hint="eastAsia"/>
          <w:color w:val="000000" w:themeColor="text1"/>
          <w:sz w:val="24"/>
          <w:szCs w:val="24"/>
          <w14:textFill>
            <w14:solidFill>
              <w14:schemeClr w14:val="tx1"/>
            </w14:solidFill>
          </w14:textFill>
        </w:rPr>
      </w:pPr>
      <w:r>
        <w:rPr>
          <w:rFonts w:ascii="Times New Roman" w:hAnsi="Times New Roman"/>
          <w:b/>
          <w:bCs/>
          <w:sz w:val="24"/>
          <w:szCs w:val="24"/>
        </w:rPr>
        <w:t>表3</w:t>
      </w:r>
      <w:r>
        <w:rPr>
          <w:rFonts w:hint="default"/>
          <w:b/>
          <w:bCs/>
          <w:sz w:val="24"/>
          <w:szCs w:val="24"/>
          <w:lang w:val="en-US"/>
        </w:rPr>
        <w:t>-2</w:t>
      </w:r>
      <w:r>
        <w:rPr>
          <w:rFonts w:ascii="Times New Roman" w:hAnsi="Times New Roman"/>
          <w:b/>
          <w:bCs/>
          <w:sz w:val="24"/>
          <w:szCs w:val="24"/>
        </w:rPr>
        <w:t xml:space="preserve">  产品表</w:t>
      </w:r>
    </w:p>
    <w:tbl>
      <w:tblPr>
        <w:tblStyle w:val="18"/>
        <w:tblW w:w="4998" w:type="pct"/>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503"/>
        <w:gridCol w:w="3685"/>
        <w:gridCol w:w="4152"/>
      </w:tblGrid>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04" w:type="pct"/>
            <w:tcBorders>
              <w:top w:val="single" w:color="auto" w:sz="12" w:space="0"/>
              <w:bottom w:val="single" w:color="auto" w:sz="4" w:space="0"/>
              <w:right w:val="single" w:color="auto" w:sz="4" w:space="0"/>
            </w:tcBorders>
            <w:noWrap w:val="0"/>
            <w:vAlign w:val="center"/>
          </w:tcPr>
          <w:p>
            <w:pPr>
              <w:pStyle w:val="42"/>
              <w:spacing w:line="240" w:lineRule="auto"/>
              <w:rPr>
                <w:sz w:val="21"/>
                <w:szCs w:val="21"/>
              </w:rPr>
            </w:pPr>
            <w:r>
              <w:rPr>
                <w:sz w:val="21"/>
                <w:szCs w:val="21"/>
              </w:rPr>
              <w:t>序号</w:t>
            </w:r>
          </w:p>
        </w:tc>
        <w:tc>
          <w:tcPr>
            <w:tcW w:w="1972" w:type="pct"/>
            <w:tcBorders>
              <w:top w:val="single" w:color="auto" w:sz="12" w:space="0"/>
              <w:left w:val="single" w:color="auto" w:sz="4" w:space="0"/>
              <w:bottom w:val="single" w:color="auto" w:sz="4" w:space="0"/>
              <w:right w:val="single" w:color="auto" w:sz="4" w:space="0"/>
            </w:tcBorders>
            <w:noWrap w:val="0"/>
            <w:vAlign w:val="center"/>
          </w:tcPr>
          <w:p>
            <w:pPr>
              <w:pStyle w:val="42"/>
              <w:spacing w:line="240" w:lineRule="auto"/>
              <w:rPr>
                <w:sz w:val="21"/>
                <w:szCs w:val="21"/>
              </w:rPr>
            </w:pPr>
            <w:r>
              <w:rPr>
                <w:sz w:val="21"/>
                <w:szCs w:val="21"/>
              </w:rPr>
              <w:t>产品</w:t>
            </w:r>
          </w:p>
        </w:tc>
        <w:tc>
          <w:tcPr>
            <w:tcW w:w="2222" w:type="pct"/>
            <w:tcBorders>
              <w:top w:val="single" w:color="auto" w:sz="12" w:space="0"/>
              <w:left w:val="single" w:color="auto" w:sz="4" w:space="0"/>
              <w:bottom w:val="single" w:color="auto" w:sz="4" w:space="0"/>
            </w:tcBorders>
            <w:noWrap w:val="0"/>
            <w:vAlign w:val="center"/>
          </w:tcPr>
          <w:p>
            <w:pPr>
              <w:pStyle w:val="42"/>
              <w:spacing w:line="240" w:lineRule="auto"/>
              <w:rPr>
                <w:rFonts w:hint="eastAsia" w:eastAsia="宋体"/>
                <w:sz w:val="21"/>
                <w:szCs w:val="21"/>
                <w:lang w:eastAsia="zh-CN"/>
              </w:rPr>
            </w:pPr>
            <w:r>
              <w:rPr>
                <w:sz w:val="21"/>
                <w:szCs w:val="21"/>
              </w:rPr>
              <w:t>实际年产量</w:t>
            </w:r>
            <w:r>
              <w:rPr>
                <w:rFonts w:hint="eastAsia"/>
                <w:sz w:val="21"/>
                <w:szCs w:val="21"/>
                <w:lang w:eastAsia="zh-CN"/>
              </w:rPr>
              <w:t>（立方）</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04" w:type="pct"/>
            <w:tcBorders>
              <w:top w:val="single" w:color="auto" w:sz="4" w:space="0"/>
              <w:bottom w:val="single" w:color="auto" w:sz="4" w:space="0"/>
              <w:right w:val="single" w:color="auto" w:sz="4" w:space="0"/>
            </w:tcBorders>
            <w:noWrap w:val="0"/>
            <w:vAlign w:val="center"/>
          </w:tcPr>
          <w:p>
            <w:pPr>
              <w:pStyle w:val="42"/>
              <w:spacing w:line="240" w:lineRule="auto"/>
              <w:rPr>
                <w:sz w:val="21"/>
                <w:szCs w:val="21"/>
              </w:rPr>
            </w:pPr>
            <w:r>
              <w:rPr>
                <w:sz w:val="21"/>
                <w:szCs w:val="21"/>
              </w:rPr>
              <w:t>1</w:t>
            </w:r>
          </w:p>
        </w:tc>
        <w:tc>
          <w:tcPr>
            <w:tcW w:w="1972" w:type="pct"/>
            <w:tcBorders>
              <w:top w:val="single" w:color="auto" w:sz="4" w:space="0"/>
              <w:left w:val="single" w:color="auto" w:sz="4" w:space="0"/>
              <w:bottom w:val="single" w:color="auto" w:sz="4" w:space="0"/>
              <w:right w:val="single" w:color="auto" w:sz="4" w:space="0"/>
            </w:tcBorders>
            <w:noWrap w:val="0"/>
            <w:vAlign w:val="center"/>
          </w:tcPr>
          <w:p>
            <w:pPr>
              <w:pStyle w:val="42"/>
              <w:spacing w:line="240" w:lineRule="auto"/>
              <w:rPr>
                <w:rFonts w:hint="default"/>
                <w:sz w:val="21"/>
                <w:szCs w:val="21"/>
                <w:lang w:val="en-US"/>
              </w:rPr>
            </w:pPr>
            <w:r>
              <w:rPr>
                <w:rFonts w:hint="eastAsia"/>
                <w:sz w:val="21"/>
                <w:szCs w:val="21"/>
                <w:lang w:val="en-US" w:eastAsia="zh-CN"/>
              </w:rPr>
              <w:t>C10</w:t>
            </w:r>
          </w:p>
        </w:tc>
        <w:tc>
          <w:tcPr>
            <w:tcW w:w="2222" w:type="pct"/>
            <w:tcBorders>
              <w:top w:val="single" w:color="auto" w:sz="4" w:space="0"/>
              <w:left w:val="single" w:color="auto" w:sz="4" w:space="0"/>
              <w:bottom w:val="single" w:color="auto" w:sz="4" w:space="0"/>
            </w:tcBorders>
            <w:noWrap w:val="0"/>
            <w:vAlign w:val="center"/>
          </w:tcPr>
          <w:p>
            <w:pPr>
              <w:pStyle w:val="42"/>
              <w:spacing w:line="240" w:lineRule="auto"/>
              <w:rPr>
                <w:rFonts w:hint="default"/>
                <w:sz w:val="21"/>
                <w:szCs w:val="21"/>
                <w:lang w:val="en-US"/>
              </w:rPr>
            </w:pPr>
            <w:r>
              <w:rPr>
                <w:rFonts w:hint="eastAsia"/>
                <w:sz w:val="21"/>
                <w:szCs w:val="21"/>
                <w:lang w:val="en-US" w:eastAsia="zh-CN"/>
              </w:rPr>
              <w:t>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04" w:type="pct"/>
            <w:tcBorders>
              <w:top w:val="single" w:color="auto" w:sz="4" w:space="0"/>
              <w:bottom w:val="single" w:color="auto" w:sz="4" w:space="0"/>
              <w:right w:val="single" w:color="auto" w:sz="4" w:space="0"/>
            </w:tcBorders>
            <w:noWrap w:val="0"/>
            <w:vAlign w:val="center"/>
          </w:tcPr>
          <w:p>
            <w:pPr>
              <w:pStyle w:val="42"/>
              <w:spacing w:line="240" w:lineRule="auto"/>
              <w:rPr>
                <w:rFonts w:hint="eastAsia" w:eastAsia="宋体"/>
                <w:sz w:val="21"/>
                <w:szCs w:val="21"/>
                <w:lang w:val="en-US" w:eastAsia="zh-CN"/>
              </w:rPr>
            </w:pPr>
            <w:r>
              <w:rPr>
                <w:rFonts w:hint="eastAsia"/>
                <w:sz w:val="21"/>
                <w:szCs w:val="21"/>
                <w:lang w:val="en-US" w:eastAsia="zh-CN"/>
              </w:rPr>
              <w:t>2</w:t>
            </w:r>
          </w:p>
        </w:tc>
        <w:tc>
          <w:tcPr>
            <w:tcW w:w="1972" w:type="pct"/>
            <w:tcBorders>
              <w:top w:val="single" w:color="auto" w:sz="4" w:space="0"/>
              <w:left w:val="single" w:color="auto" w:sz="4" w:space="0"/>
              <w:bottom w:val="single" w:color="auto" w:sz="4" w:space="0"/>
              <w:right w:val="single" w:color="auto" w:sz="4" w:space="0"/>
            </w:tcBorders>
            <w:noWrap w:val="0"/>
            <w:vAlign w:val="center"/>
          </w:tcPr>
          <w:p>
            <w:pPr>
              <w:pStyle w:val="42"/>
              <w:spacing w:line="240" w:lineRule="auto"/>
              <w:rPr>
                <w:rFonts w:hint="default"/>
                <w:sz w:val="21"/>
                <w:szCs w:val="21"/>
                <w:lang w:val="en-US" w:eastAsia="zh-CN"/>
              </w:rPr>
            </w:pPr>
            <w:r>
              <w:rPr>
                <w:rFonts w:hint="eastAsia"/>
                <w:sz w:val="21"/>
                <w:szCs w:val="21"/>
                <w:lang w:val="en-US" w:eastAsia="zh-CN"/>
              </w:rPr>
              <w:t>C15</w:t>
            </w:r>
          </w:p>
        </w:tc>
        <w:tc>
          <w:tcPr>
            <w:tcW w:w="2222" w:type="pct"/>
            <w:tcBorders>
              <w:top w:val="single" w:color="auto" w:sz="4" w:space="0"/>
              <w:left w:val="single" w:color="auto" w:sz="4" w:space="0"/>
              <w:bottom w:val="single" w:color="auto" w:sz="4" w:space="0"/>
            </w:tcBorders>
            <w:noWrap w:val="0"/>
            <w:vAlign w:val="center"/>
          </w:tcPr>
          <w:p>
            <w:pPr>
              <w:pStyle w:val="42"/>
              <w:spacing w:line="240" w:lineRule="auto"/>
              <w:rPr>
                <w:rFonts w:hint="default"/>
                <w:sz w:val="21"/>
                <w:szCs w:val="21"/>
                <w:lang w:val="en-US" w:eastAsia="zh-CN"/>
              </w:rPr>
            </w:pPr>
            <w:r>
              <w:rPr>
                <w:rFonts w:hint="eastAsia"/>
                <w:sz w:val="21"/>
                <w:szCs w:val="21"/>
                <w:lang w:val="en-US" w:eastAsia="zh-CN"/>
              </w:rPr>
              <w:t>3000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04" w:type="pct"/>
            <w:tcBorders>
              <w:top w:val="single" w:color="auto" w:sz="4" w:space="0"/>
              <w:bottom w:val="single" w:color="auto" w:sz="4" w:space="0"/>
              <w:right w:val="single" w:color="auto" w:sz="4" w:space="0"/>
            </w:tcBorders>
            <w:noWrap w:val="0"/>
            <w:vAlign w:val="center"/>
          </w:tcPr>
          <w:p>
            <w:pPr>
              <w:pStyle w:val="42"/>
              <w:spacing w:line="240" w:lineRule="auto"/>
              <w:rPr>
                <w:rFonts w:hint="eastAsia" w:eastAsia="宋体"/>
                <w:sz w:val="21"/>
                <w:szCs w:val="21"/>
                <w:lang w:val="en-US" w:eastAsia="zh-CN"/>
              </w:rPr>
            </w:pPr>
            <w:r>
              <w:rPr>
                <w:rFonts w:hint="eastAsia"/>
                <w:sz w:val="21"/>
                <w:szCs w:val="21"/>
                <w:lang w:val="en-US" w:eastAsia="zh-CN"/>
              </w:rPr>
              <w:t>3</w:t>
            </w:r>
          </w:p>
        </w:tc>
        <w:tc>
          <w:tcPr>
            <w:tcW w:w="1972" w:type="pct"/>
            <w:tcBorders>
              <w:top w:val="single" w:color="auto" w:sz="4" w:space="0"/>
              <w:left w:val="single" w:color="auto" w:sz="4" w:space="0"/>
              <w:bottom w:val="single" w:color="auto" w:sz="4" w:space="0"/>
              <w:right w:val="single" w:color="auto" w:sz="4" w:space="0"/>
            </w:tcBorders>
            <w:noWrap w:val="0"/>
            <w:vAlign w:val="center"/>
          </w:tcPr>
          <w:p>
            <w:pPr>
              <w:pStyle w:val="42"/>
              <w:spacing w:line="240" w:lineRule="auto"/>
              <w:rPr>
                <w:rFonts w:hint="default"/>
                <w:sz w:val="21"/>
                <w:szCs w:val="21"/>
                <w:lang w:val="en-US" w:eastAsia="zh-CN"/>
              </w:rPr>
            </w:pPr>
            <w:r>
              <w:rPr>
                <w:rFonts w:hint="eastAsia"/>
                <w:sz w:val="21"/>
                <w:szCs w:val="21"/>
                <w:lang w:val="en-US" w:eastAsia="zh-CN"/>
              </w:rPr>
              <w:t>C20</w:t>
            </w:r>
          </w:p>
        </w:tc>
        <w:tc>
          <w:tcPr>
            <w:tcW w:w="2222" w:type="pct"/>
            <w:tcBorders>
              <w:top w:val="single" w:color="auto" w:sz="4" w:space="0"/>
              <w:left w:val="single" w:color="auto" w:sz="4" w:space="0"/>
              <w:bottom w:val="single" w:color="auto" w:sz="4" w:space="0"/>
            </w:tcBorders>
            <w:noWrap w:val="0"/>
            <w:vAlign w:val="center"/>
          </w:tcPr>
          <w:p>
            <w:pPr>
              <w:pStyle w:val="42"/>
              <w:spacing w:line="240" w:lineRule="auto"/>
              <w:rPr>
                <w:rFonts w:hint="default"/>
                <w:sz w:val="21"/>
                <w:szCs w:val="21"/>
                <w:lang w:val="en-US" w:eastAsia="zh-CN"/>
              </w:rPr>
            </w:pPr>
            <w:r>
              <w:rPr>
                <w:rFonts w:hint="eastAsia"/>
                <w:sz w:val="21"/>
                <w:szCs w:val="21"/>
                <w:lang w:val="en-US" w:eastAsia="zh-CN"/>
              </w:rPr>
              <w:t>5000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04" w:type="pct"/>
            <w:tcBorders>
              <w:top w:val="single" w:color="auto" w:sz="4" w:space="0"/>
              <w:bottom w:val="single" w:color="auto" w:sz="4" w:space="0"/>
              <w:right w:val="single" w:color="auto" w:sz="4" w:space="0"/>
            </w:tcBorders>
            <w:noWrap w:val="0"/>
            <w:vAlign w:val="center"/>
          </w:tcPr>
          <w:p>
            <w:pPr>
              <w:pStyle w:val="42"/>
              <w:spacing w:line="240" w:lineRule="auto"/>
              <w:rPr>
                <w:rFonts w:hint="eastAsia" w:eastAsia="宋体"/>
                <w:sz w:val="21"/>
                <w:szCs w:val="21"/>
                <w:lang w:val="en-US" w:eastAsia="zh-CN"/>
              </w:rPr>
            </w:pPr>
            <w:r>
              <w:rPr>
                <w:rFonts w:hint="eastAsia"/>
                <w:sz w:val="21"/>
                <w:szCs w:val="21"/>
                <w:lang w:val="en-US" w:eastAsia="zh-CN"/>
              </w:rPr>
              <w:t>4</w:t>
            </w:r>
          </w:p>
        </w:tc>
        <w:tc>
          <w:tcPr>
            <w:tcW w:w="1972" w:type="pct"/>
            <w:tcBorders>
              <w:top w:val="single" w:color="auto" w:sz="4" w:space="0"/>
              <w:left w:val="single" w:color="auto" w:sz="4" w:space="0"/>
              <w:bottom w:val="single" w:color="auto" w:sz="4" w:space="0"/>
              <w:right w:val="single" w:color="auto" w:sz="4" w:space="0"/>
            </w:tcBorders>
            <w:noWrap w:val="0"/>
            <w:vAlign w:val="center"/>
          </w:tcPr>
          <w:p>
            <w:pPr>
              <w:pStyle w:val="42"/>
              <w:spacing w:line="240" w:lineRule="auto"/>
              <w:rPr>
                <w:rFonts w:hint="default"/>
                <w:sz w:val="21"/>
                <w:szCs w:val="21"/>
                <w:lang w:val="en-US" w:eastAsia="zh-CN"/>
              </w:rPr>
            </w:pPr>
            <w:r>
              <w:rPr>
                <w:rFonts w:hint="eastAsia"/>
                <w:sz w:val="21"/>
                <w:szCs w:val="21"/>
                <w:lang w:val="en-US" w:eastAsia="zh-CN"/>
              </w:rPr>
              <w:t>C25</w:t>
            </w:r>
          </w:p>
        </w:tc>
        <w:tc>
          <w:tcPr>
            <w:tcW w:w="2222" w:type="pct"/>
            <w:tcBorders>
              <w:top w:val="single" w:color="auto" w:sz="4" w:space="0"/>
              <w:left w:val="single" w:color="auto" w:sz="4" w:space="0"/>
              <w:bottom w:val="single" w:color="auto" w:sz="4" w:space="0"/>
            </w:tcBorders>
            <w:noWrap w:val="0"/>
            <w:vAlign w:val="center"/>
          </w:tcPr>
          <w:p>
            <w:pPr>
              <w:pStyle w:val="42"/>
              <w:spacing w:line="240" w:lineRule="auto"/>
              <w:rPr>
                <w:rFonts w:hint="default"/>
                <w:sz w:val="21"/>
                <w:szCs w:val="21"/>
                <w:lang w:val="en-US" w:eastAsia="zh-CN"/>
              </w:rPr>
            </w:pPr>
            <w:r>
              <w:rPr>
                <w:rFonts w:hint="eastAsia"/>
                <w:sz w:val="21"/>
                <w:szCs w:val="21"/>
                <w:lang w:val="en-US" w:eastAsia="zh-CN"/>
              </w:rPr>
              <w:t>70000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04" w:type="pct"/>
            <w:tcBorders>
              <w:top w:val="single" w:color="auto" w:sz="4" w:space="0"/>
              <w:bottom w:val="single" w:color="auto" w:sz="4" w:space="0"/>
              <w:right w:val="single" w:color="auto" w:sz="4" w:space="0"/>
            </w:tcBorders>
            <w:noWrap w:val="0"/>
            <w:vAlign w:val="center"/>
          </w:tcPr>
          <w:p>
            <w:pPr>
              <w:pStyle w:val="42"/>
              <w:spacing w:line="240" w:lineRule="auto"/>
              <w:rPr>
                <w:rFonts w:hint="eastAsia" w:eastAsia="宋体"/>
                <w:sz w:val="21"/>
                <w:szCs w:val="21"/>
                <w:lang w:val="en-US" w:eastAsia="zh-CN"/>
              </w:rPr>
            </w:pPr>
            <w:r>
              <w:rPr>
                <w:rFonts w:hint="eastAsia"/>
                <w:sz w:val="21"/>
                <w:szCs w:val="21"/>
                <w:lang w:val="en-US" w:eastAsia="zh-CN"/>
              </w:rPr>
              <w:t>5</w:t>
            </w:r>
          </w:p>
        </w:tc>
        <w:tc>
          <w:tcPr>
            <w:tcW w:w="1972" w:type="pct"/>
            <w:tcBorders>
              <w:top w:val="single" w:color="auto" w:sz="4" w:space="0"/>
              <w:left w:val="single" w:color="auto" w:sz="4" w:space="0"/>
              <w:bottom w:val="single" w:color="auto" w:sz="4" w:space="0"/>
              <w:right w:val="single" w:color="auto" w:sz="4" w:space="0"/>
            </w:tcBorders>
            <w:noWrap w:val="0"/>
            <w:vAlign w:val="center"/>
          </w:tcPr>
          <w:p>
            <w:pPr>
              <w:pStyle w:val="42"/>
              <w:spacing w:line="240" w:lineRule="auto"/>
              <w:rPr>
                <w:rFonts w:hint="default"/>
                <w:sz w:val="21"/>
                <w:szCs w:val="21"/>
                <w:lang w:val="en-US" w:eastAsia="zh-CN"/>
              </w:rPr>
            </w:pPr>
            <w:r>
              <w:rPr>
                <w:rFonts w:hint="eastAsia"/>
                <w:sz w:val="21"/>
                <w:szCs w:val="21"/>
                <w:lang w:val="en-US" w:eastAsia="zh-CN"/>
              </w:rPr>
              <w:t>C30</w:t>
            </w:r>
          </w:p>
        </w:tc>
        <w:tc>
          <w:tcPr>
            <w:tcW w:w="2222" w:type="pct"/>
            <w:tcBorders>
              <w:top w:val="single" w:color="auto" w:sz="4" w:space="0"/>
              <w:left w:val="single" w:color="auto" w:sz="4" w:space="0"/>
              <w:bottom w:val="single" w:color="auto" w:sz="4" w:space="0"/>
            </w:tcBorders>
            <w:noWrap w:val="0"/>
            <w:vAlign w:val="center"/>
          </w:tcPr>
          <w:p>
            <w:pPr>
              <w:pStyle w:val="42"/>
              <w:spacing w:line="240" w:lineRule="auto"/>
              <w:rPr>
                <w:rFonts w:hint="default"/>
                <w:sz w:val="21"/>
                <w:szCs w:val="21"/>
                <w:lang w:val="en-US" w:eastAsia="zh-CN"/>
              </w:rPr>
            </w:pPr>
            <w:r>
              <w:rPr>
                <w:rFonts w:hint="eastAsia"/>
                <w:sz w:val="21"/>
                <w:szCs w:val="21"/>
                <w:lang w:val="en-US" w:eastAsia="zh-CN"/>
              </w:rPr>
              <w:t>135000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04" w:type="pct"/>
            <w:tcBorders>
              <w:top w:val="single" w:color="auto" w:sz="4" w:space="0"/>
              <w:bottom w:val="single" w:color="auto" w:sz="4" w:space="0"/>
              <w:right w:val="single" w:color="auto" w:sz="4" w:space="0"/>
            </w:tcBorders>
            <w:noWrap w:val="0"/>
            <w:vAlign w:val="center"/>
          </w:tcPr>
          <w:p>
            <w:pPr>
              <w:pStyle w:val="42"/>
              <w:spacing w:line="240" w:lineRule="auto"/>
              <w:rPr>
                <w:rFonts w:hint="eastAsia" w:eastAsia="宋体"/>
                <w:sz w:val="21"/>
                <w:szCs w:val="21"/>
                <w:lang w:val="en-US" w:eastAsia="zh-CN"/>
              </w:rPr>
            </w:pPr>
            <w:r>
              <w:rPr>
                <w:rFonts w:hint="eastAsia"/>
                <w:sz w:val="21"/>
                <w:szCs w:val="21"/>
                <w:lang w:val="en-US" w:eastAsia="zh-CN"/>
              </w:rPr>
              <w:t>6</w:t>
            </w:r>
          </w:p>
        </w:tc>
        <w:tc>
          <w:tcPr>
            <w:tcW w:w="1972" w:type="pct"/>
            <w:tcBorders>
              <w:top w:val="single" w:color="auto" w:sz="4" w:space="0"/>
              <w:left w:val="single" w:color="auto" w:sz="4" w:space="0"/>
              <w:bottom w:val="single" w:color="auto" w:sz="4" w:space="0"/>
              <w:right w:val="single" w:color="auto" w:sz="4" w:space="0"/>
            </w:tcBorders>
            <w:noWrap w:val="0"/>
            <w:vAlign w:val="center"/>
          </w:tcPr>
          <w:p>
            <w:pPr>
              <w:pStyle w:val="42"/>
              <w:spacing w:line="240" w:lineRule="auto"/>
              <w:rPr>
                <w:rFonts w:hint="default"/>
                <w:sz w:val="21"/>
                <w:szCs w:val="21"/>
                <w:lang w:val="en-US" w:eastAsia="zh-CN"/>
              </w:rPr>
            </w:pPr>
            <w:r>
              <w:rPr>
                <w:rFonts w:hint="eastAsia"/>
                <w:sz w:val="21"/>
                <w:szCs w:val="21"/>
                <w:lang w:val="en-US" w:eastAsia="zh-CN"/>
              </w:rPr>
              <w:t>C35</w:t>
            </w:r>
          </w:p>
        </w:tc>
        <w:tc>
          <w:tcPr>
            <w:tcW w:w="2222" w:type="pct"/>
            <w:tcBorders>
              <w:top w:val="single" w:color="auto" w:sz="4" w:space="0"/>
              <w:left w:val="single" w:color="auto" w:sz="4" w:space="0"/>
              <w:bottom w:val="single" w:color="auto" w:sz="4" w:space="0"/>
            </w:tcBorders>
            <w:noWrap w:val="0"/>
            <w:vAlign w:val="center"/>
          </w:tcPr>
          <w:p>
            <w:pPr>
              <w:pStyle w:val="42"/>
              <w:spacing w:line="240" w:lineRule="auto"/>
              <w:rPr>
                <w:rFonts w:hint="default"/>
                <w:sz w:val="21"/>
                <w:szCs w:val="21"/>
                <w:lang w:val="en-US" w:eastAsia="zh-CN"/>
              </w:rPr>
            </w:pPr>
            <w:r>
              <w:rPr>
                <w:rFonts w:hint="eastAsia"/>
                <w:sz w:val="21"/>
                <w:szCs w:val="21"/>
                <w:lang w:val="en-US" w:eastAsia="zh-CN"/>
              </w:rPr>
              <w:t>150000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04" w:type="pct"/>
            <w:tcBorders>
              <w:top w:val="single" w:color="auto" w:sz="4" w:space="0"/>
              <w:bottom w:val="single" w:color="auto" w:sz="4" w:space="0"/>
              <w:right w:val="single" w:color="auto" w:sz="4" w:space="0"/>
            </w:tcBorders>
            <w:noWrap w:val="0"/>
            <w:vAlign w:val="center"/>
          </w:tcPr>
          <w:p>
            <w:pPr>
              <w:pStyle w:val="42"/>
              <w:spacing w:line="240" w:lineRule="auto"/>
              <w:rPr>
                <w:rFonts w:hint="eastAsia" w:eastAsia="宋体"/>
                <w:sz w:val="21"/>
                <w:szCs w:val="21"/>
                <w:lang w:val="en-US" w:eastAsia="zh-CN"/>
              </w:rPr>
            </w:pPr>
            <w:r>
              <w:rPr>
                <w:rFonts w:hint="eastAsia"/>
                <w:sz w:val="21"/>
                <w:szCs w:val="21"/>
                <w:lang w:val="en-US" w:eastAsia="zh-CN"/>
              </w:rPr>
              <w:t>7</w:t>
            </w:r>
          </w:p>
        </w:tc>
        <w:tc>
          <w:tcPr>
            <w:tcW w:w="1972" w:type="pct"/>
            <w:tcBorders>
              <w:top w:val="single" w:color="auto" w:sz="4" w:space="0"/>
              <w:left w:val="single" w:color="auto" w:sz="4" w:space="0"/>
              <w:bottom w:val="single" w:color="auto" w:sz="4" w:space="0"/>
              <w:right w:val="single" w:color="auto" w:sz="4" w:space="0"/>
            </w:tcBorders>
            <w:noWrap w:val="0"/>
            <w:vAlign w:val="center"/>
          </w:tcPr>
          <w:p>
            <w:pPr>
              <w:pStyle w:val="42"/>
              <w:spacing w:line="240" w:lineRule="auto"/>
              <w:rPr>
                <w:rFonts w:hint="default"/>
                <w:sz w:val="21"/>
                <w:szCs w:val="21"/>
                <w:lang w:val="en-US" w:eastAsia="zh-CN"/>
              </w:rPr>
            </w:pPr>
            <w:r>
              <w:rPr>
                <w:rFonts w:hint="eastAsia"/>
                <w:sz w:val="21"/>
                <w:szCs w:val="21"/>
                <w:lang w:val="en-US" w:eastAsia="zh-CN"/>
              </w:rPr>
              <w:t>C40</w:t>
            </w:r>
          </w:p>
        </w:tc>
        <w:tc>
          <w:tcPr>
            <w:tcW w:w="2222" w:type="pct"/>
            <w:tcBorders>
              <w:top w:val="single" w:color="auto" w:sz="4" w:space="0"/>
              <w:left w:val="single" w:color="auto" w:sz="4" w:space="0"/>
              <w:bottom w:val="single" w:color="auto" w:sz="4" w:space="0"/>
            </w:tcBorders>
            <w:noWrap w:val="0"/>
            <w:vAlign w:val="center"/>
          </w:tcPr>
          <w:p>
            <w:pPr>
              <w:pStyle w:val="42"/>
              <w:spacing w:line="240" w:lineRule="auto"/>
              <w:rPr>
                <w:rFonts w:hint="default"/>
                <w:sz w:val="21"/>
                <w:szCs w:val="21"/>
                <w:lang w:val="en-US" w:eastAsia="zh-CN"/>
              </w:rPr>
            </w:pPr>
            <w:r>
              <w:rPr>
                <w:rFonts w:hint="eastAsia"/>
                <w:sz w:val="21"/>
                <w:szCs w:val="21"/>
                <w:lang w:val="en-US" w:eastAsia="zh-CN"/>
              </w:rPr>
              <w:t>45000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04" w:type="pct"/>
            <w:tcBorders>
              <w:top w:val="single" w:color="auto" w:sz="4" w:space="0"/>
              <w:bottom w:val="single" w:color="auto" w:sz="4" w:space="0"/>
              <w:right w:val="single" w:color="auto" w:sz="4" w:space="0"/>
            </w:tcBorders>
            <w:noWrap w:val="0"/>
            <w:vAlign w:val="center"/>
          </w:tcPr>
          <w:p>
            <w:pPr>
              <w:pStyle w:val="42"/>
              <w:spacing w:line="240" w:lineRule="auto"/>
              <w:rPr>
                <w:rFonts w:hint="default" w:eastAsia="宋体"/>
                <w:sz w:val="21"/>
                <w:szCs w:val="21"/>
                <w:lang w:val="en-US" w:eastAsia="zh-CN"/>
              </w:rPr>
            </w:pPr>
            <w:r>
              <w:rPr>
                <w:rFonts w:hint="eastAsia" w:eastAsia="宋体"/>
                <w:sz w:val="21"/>
                <w:szCs w:val="21"/>
                <w:lang w:val="en-US" w:eastAsia="zh-CN"/>
              </w:rPr>
              <w:t>8</w:t>
            </w:r>
          </w:p>
        </w:tc>
        <w:tc>
          <w:tcPr>
            <w:tcW w:w="1972" w:type="pct"/>
            <w:tcBorders>
              <w:top w:val="single" w:color="auto" w:sz="4" w:space="0"/>
              <w:left w:val="single" w:color="auto" w:sz="4" w:space="0"/>
              <w:bottom w:val="single" w:color="auto" w:sz="4" w:space="0"/>
              <w:right w:val="single" w:color="auto" w:sz="4" w:space="0"/>
            </w:tcBorders>
            <w:noWrap w:val="0"/>
            <w:vAlign w:val="center"/>
          </w:tcPr>
          <w:p>
            <w:pPr>
              <w:pStyle w:val="42"/>
              <w:spacing w:line="240" w:lineRule="auto"/>
              <w:rPr>
                <w:rFonts w:hint="default"/>
                <w:sz w:val="21"/>
                <w:szCs w:val="21"/>
                <w:lang w:val="en-US" w:eastAsia="zh-CN"/>
              </w:rPr>
            </w:pPr>
            <w:r>
              <w:rPr>
                <w:rFonts w:hint="eastAsia"/>
                <w:sz w:val="21"/>
                <w:szCs w:val="21"/>
                <w:lang w:val="en-US" w:eastAsia="zh-CN"/>
              </w:rPr>
              <w:t>C45</w:t>
            </w:r>
          </w:p>
        </w:tc>
        <w:tc>
          <w:tcPr>
            <w:tcW w:w="2222" w:type="pct"/>
            <w:tcBorders>
              <w:top w:val="single" w:color="auto" w:sz="4" w:space="0"/>
              <w:left w:val="single" w:color="auto" w:sz="4" w:space="0"/>
              <w:bottom w:val="single" w:color="auto" w:sz="4" w:space="0"/>
            </w:tcBorders>
            <w:noWrap w:val="0"/>
            <w:vAlign w:val="center"/>
          </w:tcPr>
          <w:p>
            <w:pPr>
              <w:pStyle w:val="42"/>
              <w:spacing w:line="240" w:lineRule="auto"/>
              <w:rPr>
                <w:rFonts w:hint="default"/>
                <w:sz w:val="21"/>
                <w:szCs w:val="21"/>
                <w:lang w:val="en-US" w:eastAsia="zh-CN"/>
              </w:rPr>
            </w:pPr>
            <w:r>
              <w:rPr>
                <w:rFonts w:hint="eastAsia"/>
                <w:sz w:val="21"/>
                <w:szCs w:val="21"/>
                <w:lang w:val="en-US" w:eastAsia="zh-CN"/>
              </w:rPr>
              <w:t>18000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04" w:type="pct"/>
            <w:tcBorders>
              <w:top w:val="single" w:color="auto" w:sz="4" w:space="0"/>
              <w:bottom w:val="single" w:color="auto" w:sz="4" w:space="0"/>
              <w:right w:val="single" w:color="auto" w:sz="4" w:space="0"/>
            </w:tcBorders>
            <w:noWrap w:val="0"/>
            <w:vAlign w:val="center"/>
          </w:tcPr>
          <w:p>
            <w:pPr>
              <w:pStyle w:val="42"/>
              <w:spacing w:line="240" w:lineRule="auto"/>
              <w:rPr>
                <w:rFonts w:hint="default" w:eastAsia="宋体"/>
                <w:sz w:val="21"/>
                <w:szCs w:val="21"/>
                <w:lang w:val="en-US" w:eastAsia="zh-CN"/>
              </w:rPr>
            </w:pPr>
            <w:r>
              <w:rPr>
                <w:rFonts w:hint="eastAsia" w:eastAsia="宋体"/>
                <w:sz w:val="21"/>
                <w:szCs w:val="21"/>
                <w:lang w:val="en-US" w:eastAsia="zh-CN"/>
              </w:rPr>
              <w:t>9</w:t>
            </w:r>
          </w:p>
        </w:tc>
        <w:tc>
          <w:tcPr>
            <w:tcW w:w="1972" w:type="pct"/>
            <w:tcBorders>
              <w:top w:val="single" w:color="auto" w:sz="4" w:space="0"/>
              <w:left w:val="single" w:color="auto" w:sz="4" w:space="0"/>
              <w:bottom w:val="single" w:color="auto" w:sz="4" w:space="0"/>
              <w:right w:val="single" w:color="auto" w:sz="4" w:space="0"/>
            </w:tcBorders>
            <w:noWrap w:val="0"/>
            <w:vAlign w:val="center"/>
          </w:tcPr>
          <w:p>
            <w:pPr>
              <w:pStyle w:val="42"/>
              <w:spacing w:line="240" w:lineRule="auto"/>
              <w:rPr>
                <w:rFonts w:hint="default"/>
                <w:sz w:val="21"/>
                <w:szCs w:val="21"/>
                <w:lang w:val="en-US" w:eastAsia="zh-CN"/>
              </w:rPr>
            </w:pPr>
            <w:r>
              <w:rPr>
                <w:rFonts w:hint="eastAsia"/>
                <w:sz w:val="21"/>
                <w:szCs w:val="21"/>
                <w:lang w:val="en-US" w:eastAsia="zh-CN"/>
              </w:rPr>
              <w:t>C50</w:t>
            </w:r>
          </w:p>
        </w:tc>
        <w:tc>
          <w:tcPr>
            <w:tcW w:w="2222" w:type="pct"/>
            <w:tcBorders>
              <w:top w:val="single" w:color="auto" w:sz="4" w:space="0"/>
              <w:left w:val="single" w:color="auto" w:sz="4" w:space="0"/>
              <w:bottom w:val="single" w:color="auto" w:sz="4" w:space="0"/>
            </w:tcBorders>
            <w:noWrap w:val="0"/>
            <w:vAlign w:val="center"/>
          </w:tcPr>
          <w:p>
            <w:pPr>
              <w:pStyle w:val="42"/>
              <w:spacing w:line="240" w:lineRule="auto"/>
              <w:rPr>
                <w:rFonts w:hint="default"/>
                <w:sz w:val="21"/>
                <w:szCs w:val="21"/>
                <w:lang w:val="en-US" w:eastAsia="zh-CN"/>
              </w:rPr>
            </w:pPr>
            <w:r>
              <w:rPr>
                <w:rFonts w:hint="eastAsia"/>
                <w:sz w:val="21"/>
                <w:szCs w:val="21"/>
                <w:lang w:val="en-US" w:eastAsia="zh-CN"/>
              </w:rPr>
              <w:t>5000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04" w:type="pct"/>
            <w:tcBorders>
              <w:top w:val="single" w:color="auto" w:sz="4" w:space="0"/>
              <w:bottom w:val="single" w:color="auto" w:sz="4" w:space="0"/>
              <w:right w:val="single" w:color="auto" w:sz="4" w:space="0"/>
            </w:tcBorders>
            <w:noWrap w:val="0"/>
            <w:vAlign w:val="center"/>
          </w:tcPr>
          <w:p>
            <w:pPr>
              <w:pStyle w:val="42"/>
              <w:spacing w:line="240" w:lineRule="auto"/>
              <w:rPr>
                <w:rFonts w:hint="default" w:eastAsia="宋体"/>
                <w:sz w:val="21"/>
                <w:szCs w:val="21"/>
                <w:lang w:val="en-US" w:eastAsia="zh-CN"/>
              </w:rPr>
            </w:pPr>
            <w:r>
              <w:rPr>
                <w:rFonts w:hint="eastAsia" w:eastAsia="宋体"/>
                <w:sz w:val="21"/>
                <w:szCs w:val="21"/>
                <w:lang w:val="en-US" w:eastAsia="zh-CN"/>
              </w:rPr>
              <w:t>10</w:t>
            </w:r>
          </w:p>
        </w:tc>
        <w:tc>
          <w:tcPr>
            <w:tcW w:w="1972" w:type="pct"/>
            <w:tcBorders>
              <w:top w:val="single" w:color="auto" w:sz="4" w:space="0"/>
              <w:left w:val="single" w:color="auto" w:sz="4" w:space="0"/>
              <w:bottom w:val="single" w:color="auto" w:sz="4" w:space="0"/>
              <w:right w:val="single" w:color="auto" w:sz="4" w:space="0"/>
            </w:tcBorders>
            <w:noWrap w:val="0"/>
            <w:vAlign w:val="center"/>
          </w:tcPr>
          <w:p>
            <w:pPr>
              <w:pStyle w:val="42"/>
              <w:spacing w:line="240" w:lineRule="auto"/>
              <w:rPr>
                <w:rFonts w:hint="default"/>
                <w:sz w:val="21"/>
                <w:szCs w:val="21"/>
                <w:lang w:val="en-US" w:eastAsia="zh-CN"/>
              </w:rPr>
            </w:pPr>
            <w:r>
              <w:rPr>
                <w:rFonts w:hint="eastAsia"/>
                <w:sz w:val="21"/>
                <w:szCs w:val="21"/>
                <w:lang w:val="en-US" w:eastAsia="zh-CN"/>
              </w:rPr>
              <w:t>C55</w:t>
            </w:r>
          </w:p>
        </w:tc>
        <w:tc>
          <w:tcPr>
            <w:tcW w:w="2222" w:type="pct"/>
            <w:tcBorders>
              <w:top w:val="single" w:color="auto" w:sz="4" w:space="0"/>
              <w:left w:val="single" w:color="auto" w:sz="4" w:space="0"/>
              <w:bottom w:val="single" w:color="auto" w:sz="4" w:space="0"/>
            </w:tcBorders>
            <w:noWrap w:val="0"/>
            <w:vAlign w:val="center"/>
          </w:tcPr>
          <w:p>
            <w:pPr>
              <w:pStyle w:val="42"/>
              <w:spacing w:line="240" w:lineRule="auto"/>
              <w:rPr>
                <w:rFonts w:hint="default"/>
                <w:sz w:val="21"/>
                <w:szCs w:val="21"/>
                <w:lang w:val="en-US" w:eastAsia="zh-CN"/>
              </w:rPr>
            </w:pPr>
            <w:r>
              <w:rPr>
                <w:rFonts w:hint="eastAsia"/>
                <w:sz w:val="21"/>
                <w:szCs w:val="21"/>
                <w:lang w:val="en-US" w:eastAsia="zh-CN"/>
              </w:rPr>
              <w:t>3000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04" w:type="pct"/>
            <w:tcBorders>
              <w:top w:val="single" w:color="auto" w:sz="4" w:space="0"/>
              <w:bottom w:val="single" w:color="auto" w:sz="4" w:space="0"/>
              <w:right w:val="single" w:color="auto" w:sz="4" w:space="0"/>
            </w:tcBorders>
            <w:noWrap w:val="0"/>
            <w:vAlign w:val="center"/>
          </w:tcPr>
          <w:p>
            <w:pPr>
              <w:pStyle w:val="42"/>
              <w:spacing w:line="240" w:lineRule="auto"/>
              <w:rPr>
                <w:rFonts w:hint="default" w:eastAsia="宋体"/>
                <w:sz w:val="21"/>
                <w:szCs w:val="21"/>
                <w:lang w:val="en-US" w:eastAsia="zh-CN"/>
              </w:rPr>
            </w:pPr>
            <w:r>
              <w:rPr>
                <w:rFonts w:hint="eastAsia" w:eastAsia="宋体"/>
                <w:sz w:val="21"/>
                <w:szCs w:val="21"/>
                <w:lang w:val="en-US" w:eastAsia="zh-CN"/>
              </w:rPr>
              <w:t>11</w:t>
            </w:r>
          </w:p>
        </w:tc>
        <w:tc>
          <w:tcPr>
            <w:tcW w:w="1972" w:type="pct"/>
            <w:tcBorders>
              <w:top w:val="single" w:color="auto" w:sz="4" w:space="0"/>
              <w:left w:val="single" w:color="auto" w:sz="4" w:space="0"/>
              <w:bottom w:val="single" w:color="auto" w:sz="4" w:space="0"/>
              <w:right w:val="single" w:color="auto" w:sz="4" w:space="0"/>
            </w:tcBorders>
            <w:noWrap w:val="0"/>
            <w:vAlign w:val="center"/>
          </w:tcPr>
          <w:p>
            <w:pPr>
              <w:pStyle w:val="42"/>
              <w:spacing w:line="240" w:lineRule="auto"/>
              <w:rPr>
                <w:rFonts w:hint="default"/>
                <w:sz w:val="21"/>
                <w:szCs w:val="21"/>
                <w:lang w:val="en-US" w:eastAsia="zh-CN"/>
              </w:rPr>
            </w:pPr>
            <w:r>
              <w:rPr>
                <w:rFonts w:hint="eastAsia"/>
                <w:sz w:val="21"/>
                <w:szCs w:val="21"/>
                <w:lang w:val="en-US" w:eastAsia="zh-CN"/>
              </w:rPr>
              <w:t>C60</w:t>
            </w:r>
          </w:p>
        </w:tc>
        <w:tc>
          <w:tcPr>
            <w:tcW w:w="2222" w:type="pct"/>
            <w:tcBorders>
              <w:top w:val="single" w:color="auto" w:sz="4" w:space="0"/>
              <w:left w:val="single" w:color="auto" w:sz="4" w:space="0"/>
              <w:bottom w:val="single" w:color="auto" w:sz="4" w:space="0"/>
            </w:tcBorders>
            <w:noWrap w:val="0"/>
            <w:vAlign w:val="center"/>
          </w:tcPr>
          <w:p>
            <w:pPr>
              <w:pStyle w:val="42"/>
              <w:spacing w:line="240" w:lineRule="auto"/>
              <w:rPr>
                <w:rFonts w:hint="default"/>
                <w:sz w:val="21"/>
                <w:szCs w:val="21"/>
                <w:lang w:val="en-US" w:eastAsia="zh-CN"/>
              </w:rPr>
            </w:pPr>
            <w:r>
              <w:rPr>
                <w:rFonts w:hint="eastAsia"/>
                <w:sz w:val="21"/>
                <w:szCs w:val="21"/>
                <w:lang w:val="en-US" w:eastAsia="zh-CN"/>
              </w:rPr>
              <w:t>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04" w:type="pct"/>
            <w:tcBorders>
              <w:top w:val="single" w:color="auto" w:sz="4" w:space="0"/>
              <w:bottom w:val="single" w:color="auto" w:sz="4" w:space="0"/>
              <w:right w:val="single" w:color="auto" w:sz="4" w:space="0"/>
            </w:tcBorders>
            <w:noWrap w:val="0"/>
            <w:vAlign w:val="center"/>
          </w:tcPr>
          <w:p>
            <w:pPr>
              <w:pStyle w:val="42"/>
              <w:spacing w:line="240" w:lineRule="auto"/>
              <w:rPr>
                <w:rFonts w:hint="default" w:eastAsia="宋体"/>
                <w:sz w:val="21"/>
                <w:szCs w:val="21"/>
                <w:lang w:val="en-US" w:eastAsia="zh-CN"/>
              </w:rPr>
            </w:pPr>
            <w:r>
              <w:rPr>
                <w:rFonts w:hint="eastAsia" w:eastAsia="宋体"/>
                <w:sz w:val="21"/>
                <w:szCs w:val="21"/>
                <w:lang w:val="en-US" w:eastAsia="zh-CN"/>
              </w:rPr>
              <w:t>12</w:t>
            </w:r>
          </w:p>
        </w:tc>
        <w:tc>
          <w:tcPr>
            <w:tcW w:w="1972" w:type="pct"/>
            <w:tcBorders>
              <w:top w:val="single" w:color="auto" w:sz="4" w:space="0"/>
              <w:left w:val="single" w:color="auto" w:sz="4" w:space="0"/>
              <w:bottom w:val="single" w:color="auto" w:sz="4" w:space="0"/>
              <w:right w:val="single" w:color="auto" w:sz="4" w:space="0"/>
            </w:tcBorders>
            <w:noWrap w:val="0"/>
            <w:vAlign w:val="center"/>
          </w:tcPr>
          <w:p>
            <w:pPr>
              <w:pStyle w:val="42"/>
              <w:spacing w:line="240" w:lineRule="auto"/>
              <w:rPr>
                <w:rFonts w:hint="default"/>
                <w:sz w:val="21"/>
                <w:szCs w:val="21"/>
                <w:lang w:val="en-US" w:eastAsia="zh-CN"/>
              </w:rPr>
            </w:pPr>
            <w:r>
              <w:rPr>
                <w:rFonts w:hint="eastAsia"/>
                <w:sz w:val="21"/>
                <w:szCs w:val="21"/>
                <w:lang w:val="en-US" w:eastAsia="zh-CN"/>
              </w:rPr>
              <w:t>砂浆</w:t>
            </w:r>
          </w:p>
        </w:tc>
        <w:tc>
          <w:tcPr>
            <w:tcW w:w="2222" w:type="pct"/>
            <w:tcBorders>
              <w:top w:val="single" w:color="auto" w:sz="4" w:space="0"/>
              <w:left w:val="single" w:color="auto" w:sz="4" w:space="0"/>
              <w:bottom w:val="single" w:color="auto" w:sz="4" w:space="0"/>
            </w:tcBorders>
            <w:noWrap w:val="0"/>
            <w:vAlign w:val="center"/>
          </w:tcPr>
          <w:p>
            <w:pPr>
              <w:pStyle w:val="42"/>
              <w:spacing w:line="240" w:lineRule="auto"/>
              <w:rPr>
                <w:rFonts w:hint="default"/>
                <w:sz w:val="21"/>
                <w:szCs w:val="21"/>
                <w:lang w:val="en-US" w:eastAsia="zh-CN"/>
              </w:rPr>
            </w:pPr>
            <w:r>
              <w:rPr>
                <w:rFonts w:hint="eastAsia"/>
                <w:sz w:val="21"/>
                <w:szCs w:val="21"/>
                <w:lang w:val="en-US" w:eastAsia="zh-CN"/>
              </w:rPr>
              <w:t>6000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04" w:type="pct"/>
            <w:tcBorders>
              <w:top w:val="single" w:color="auto" w:sz="4" w:space="0"/>
              <w:bottom w:val="single" w:color="auto" w:sz="4" w:space="0"/>
              <w:right w:val="single" w:color="auto" w:sz="4" w:space="0"/>
            </w:tcBorders>
            <w:noWrap w:val="0"/>
            <w:vAlign w:val="center"/>
          </w:tcPr>
          <w:p>
            <w:pPr>
              <w:pStyle w:val="42"/>
              <w:spacing w:line="240" w:lineRule="auto"/>
              <w:rPr>
                <w:rFonts w:hint="default" w:eastAsia="宋体"/>
                <w:sz w:val="21"/>
                <w:szCs w:val="21"/>
                <w:lang w:val="en-US" w:eastAsia="zh-CN"/>
              </w:rPr>
            </w:pPr>
            <w:r>
              <w:rPr>
                <w:rFonts w:hint="eastAsia" w:eastAsia="宋体"/>
                <w:sz w:val="21"/>
                <w:szCs w:val="21"/>
                <w:lang w:val="en-US" w:eastAsia="zh-CN"/>
              </w:rPr>
              <w:t>13</w:t>
            </w:r>
          </w:p>
        </w:tc>
        <w:tc>
          <w:tcPr>
            <w:tcW w:w="1972" w:type="pct"/>
            <w:tcBorders>
              <w:top w:val="single" w:color="auto" w:sz="4" w:space="0"/>
              <w:left w:val="single" w:color="auto" w:sz="4" w:space="0"/>
              <w:bottom w:val="single" w:color="auto" w:sz="4" w:space="0"/>
              <w:right w:val="single" w:color="auto" w:sz="4" w:space="0"/>
            </w:tcBorders>
            <w:noWrap w:val="0"/>
            <w:vAlign w:val="center"/>
          </w:tcPr>
          <w:p>
            <w:pPr>
              <w:pStyle w:val="42"/>
              <w:spacing w:line="240" w:lineRule="auto"/>
              <w:rPr>
                <w:rFonts w:hint="default"/>
                <w:sz w:val="21"/>
                <w:szCs w:val="21"/>
                <w:lang w:val="en-US" w:eastAsia="zh-CN"/>
              </w:rPr>
            </w:pPr>
            <w:r>
              <w:rPr>
                <w:rFonts w:hint="eastAsia"/>
                <w:sz w:val="21"/>
                <w:szCs w:val="21"/>
                <w:lang w:val="en-US" w:eastAsia="zh-CN"/>
              </w:rPr>
              <w:t>抗折、抗渗P6/P8</w:t>
            </w:r>
          </w:p>
        </w:tc>
        <w:tc>
          <w:tcPr>
            <w:tcW w:w="2222" w:type="pct"/>
            <w:tcBorders>
              <w:top w:val="single" w:color="auto" w:sz="4" w:space="0"/>
              <w:left w:val="single" w:color="auto" w:sz="4" w:space="0"/>
              <w:bottom w:val="single" w:color="auto" w:sz="4" w:space="0"/>
            </w:tcBorders>
            <w:noWrap w:val="0"/>
            <w:vAlign w:val="center"/>
          </w:tcPr>
          <w:p>
            <w:pPr>
              <w:pStyle w:val="42"/>
              <w:spacing w:line="240" w:lineRule="auto"/>
              <w:rPr>
                <w:rFonts w:hint="default"/>
                <w:sz w:val="21"/>
                <w:szCs w:val="21"/>
                <w:lang w:val="en-US" w:eastAsia="zh-CN"/>
              </w:rPr>
            </w:pPr>
            <w:r>
              <w:rPr>
                <w:rFonts w:hint="eastAsia"/>
                <w:sz w:val="21"/>
                <w:szCs w:val="21"/>
                <w:lang w:val="en-US" w:eastAsia="zh-CN"/>
              </w:rPr>
              <w:t>50000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04" w:type="pct"/>
            <w:tcBorders>
              <w:top w:val="single" w:color="auto" w:sz="4" w:space="0"/>
              <w:right w:val="single" w:color="auto" w:sz="4" w:space="0"/>
            </w:tcBorders>
            <w:noWrap w:val="0"/>
            <w:vAlign w:val="center"/>
          </w:tcPr>
          <w:p>
            <w:pPr>
              <w:pStyle w:val="42"/>
              <w:spacing w:line="240" w:lineRule="auto"/>
              <w:rPr>
                <w:rFonts w:hint="default" w:eastAsia="宋体"/>
                <w:sz w:val="21"/>
                <w:szCs w:val="21"/>
                <w:lang w:val="en-US" w:eastAsia="zh-CN"/>
              </w:rPr>
            </w:pPr>
            <w:r>
              <w:rPr>
                <w:rFonts w:hint="eastAsia" w:eastAsia="宋体"/>
                <w:sz w:val="21"/>
                <w:szCs w:val="21"/>
                <w:lang w:val="en-US" w:eastAsia="zh-CN"/>
              </w:rPr>
              <w:t>14</w:t>
            </w:r>
          </w:p>
        </w:tc>
        <w:tc>
          <w:tcPr>
            <w:tcW w:w="1972" w:type="pct"/>
            <w:tcBorders>
              <w:top w:val="single" w:color="auto" w:sz="4" w:space="0"/>
              <w:left w:val="single" w:color="auto" w:sz="4" w:space="0"/>
              <w:bottom w:val="single" w:color="auto" w:sz="12" w:space="0"/>
              <w:right w:val="single" w:color="auto" w:sz="4" w:space="0"/>
            </w:tcBorders>
            <w:noWrap w:val="0"/>
            <w:vAlign w:val="center"/>
          </w:tcPr>
          <w:p>
            <w:pPr>
              <w:pStyle w:val="42"/>
              <w:spacing w:line="240" w:lineRule="auto"/>
              <w:rPr>
                <w:rFonts w:hint="eastAsia"/>
                <w:sz w:val="21"/>
                <w:szCs w:val="21"/>
                <w:lang w:val="en-US" w:eastAsia="zh-CN"/>
              </w:rPr>
            </w:pPr>
            <w:r>
              <w:rPr>
                <w:rFonts w:hint="eastAsia"/>
                <w:sz w:val="21"/>
                <w:szCs w:val="21"/>
                <w:lang w:val="en-US" w:eastAsia="zh-CN"/>
              </w:rPr>
              <w:t>水下桩</w:t>
            </w:r>
          </w:p>
        </w:tc>
        <w:tc>
          <w:tcPr>
            <w:tcW w:w="2222" w:type="pct"/>
            <w:tcBorders>
              <w:top w:val="single" w:color="auto" w:sz="4" w:space="0"/>
              <w:left w:val="single" w:color="auto" w:sz="4" w:space="0"/>
            </w:tcBorders>
            <w:noWrap w:val="0"/>
            <w:vAlign w:val="center"/>
          </w:tcPr>
          <w:p>
            <w:pPr>
              <w:pStyle w:val="42"/>
              <w:spacing w:line="240" w:lineRule="auto"/>
              <w:rPr>
                <w:rFonts w:hint="default"/>
                <w:sz w:val="21"/>
                <w:szCs w:val="21"/>
                <w:lang w:val="en-US" w:eastAsia="zh-CN"/>
              </w:rPr>
            </w:pPr>
            <w:r>
              <w:rPr>
                <w:rFonts w:hint="eastAsia"/>
                <w:sz w:val="21"/>
                <w:szCs w:val="21"/>
                <w:lang w:val="en-US" w:eastAsia="zh-CN"/>
              </w:rPr>
              <w:t>10000</w:t>
            </w:r>
          </w:p>
        </w:tc>
      </w:tr>
    </w:tbl>
    <w:p>
      <w:pPr>
        <w:ind w:firstLine="560"/>
        <w:rPr>
          <w:rFonts w:hint="eastAsia"/>
          <w:color w:val="000000" w:themeColor="text1"/>
          <w:lang w:val="en-US" w:eastAsia="zh-CN"/>
          <w14:textFill>
            <w14:solidFill>
              <w14:schemeClr w14:val="tx1"/>
            </w14:solidFill>
          </w14:textFill>
        </w:rPr>
      </w:pPr>
    </w:p>
    <w:p>
      <w:pPr>
        <w:pStyle w:val="40"/>
        <w:spacing w:line="420" w:lineRule="exact"/>
        <w:rPr>
          <w:sz w:val="24"/>
          <w:szCs w:val="24"/>
        </w:rPr>
      </w:pPr>
      <w:r>
        <w:rPr>
          <w:rFonts w:hint="eastAsia" w:ascii="Times New Roman" w:hAnsi="Times New Roman" w:eastAsia="宋体" w:cstheme="minorBidi"/>
          <w:b/>
          <w:bCs/>
          <w:spacing w:val="0"/>
          <w:kern w:val="2"/>
          <w:sz w:val="24"/>
          <w:szCs w:val="24"/>
          <w:lang w:val="en-US" w:eastAsia="zh-CN" w:bidi="ar-SA"/>
        </w:rPr>
        <w:t>所在地环境质量等级</w:t>
      </w:r>
    </w:p>
    <w:p>
      <w:pPr>
        <w:ind w:firstLine="560"/>
        <w:rPr>
          <w:rFonts w:hint="eastAsia"/>
          <w:color w:val="000000" w:themeColor="text1"/>
          <w:sz w:val="24"/>
          <w:szCs w:val="24"/>
          <w:lang w:eastAsia="zh-CN"/>
          <w14:textFill>
            <w14:solidFill>
              <w14:schemeClr w14:val="tx1"/>
            </w14:solidFill>
          </w14:textFill>
        </w:rPr>
      </w:pPr>
      <w:r>
        <w:rPr>
          <w:rFonts w:hint="eastAsia"/>
          <w:color w:val="000000" w:themeColor="text1"/>
          <w:sz w:val="24"/>
          <w:szCs w:val="24"/>
          <w:lang w:eastAsia="zh-CN"/>
          <w14:textFill>
            <w14:solidFill>
              <w14:schemeClr w14:val="tx1"/>
            </w14:solidFill>
          </w14:textFill>
        </w:rPr>
        <w:t>企业位于南昌经济技术开发区，按照企业项目环评所确定的执行标准，企业所在地区属于《环境空气质量标准》(GB3095-2012)中规定的二类区，环境空气质量现状评价执行《环境空气质量标准》(GB3095-2012)二级标准；地表水纳污水体位于</w:t>
      </w:r>
      <w:r>
        <w:rPr>
          <w:rFonts w:hint="eastAsia"/>
          <w:color w:val="000000" w:themeColor="text1"/>
          <w:sz w:val="24"/>
          <w:szCs w:val="24"/>
          <w:lang w:val="en-US" w:eastAsia="zh-CN"/>
          <w14:textFill>
            <w14:solidFill>
              <w14:schemeClr w14:val="tx1"/>
            </w14:solidFill>
          </w14:textFill>
        </w:rPr>
        <w:t>III类</w:t>
      </w:r>
      <w:r>
        <w:rPr>
          <w:rFonts w:hint="eastAsia"/>
          <w:color w:val="000000" w:themeColor="text1"/>
          <w:sz w:val="24"/>
          <w:szCs w:val="24"/>
          <w:lang w:eastAsia="zh-CN"/>
          <w14:textFill>
            <w14:solidFill>
              <w14:schemeClr w14:val="tx1"/>
            </w14:solidFill>
          </w14:textFill>
        </w:rPr>
        <w:t>水质区，保护等级为地表水环境质量标准（GB3838-2002）</w:t>
      </w:r>
      <w:r>
        <w:rPr>
          <w:rFonts w:hint="eastAsia"/>
          <w:color w:val="000000" w:themeColor="text1"/>
          <w:sz w:val="24"/>
          <w:szCs w:val="24"/>
          <w:lang w:val="en-US" w:eastAsia="zh-CN"/>
          <w14:textFill>
            <w14:solidFill>
              <w14:schemeClr w14:val="tx1"/>
            </w14:solidFill>
          </w14:textFill>
        </w:rPr>
        <w:t>III类</w:t>
      </w:r>
      <w:r>
        <w:rPr>
          <w:rFonts w:hint="eastAsia"/>
          <w:color w:val="000000" w:themeColor="text1"/>
          <w:sz w:val="24"/>
          <w:szCs w:val="24"/>
          <w:lang w:eastAsia="zh-CN"/>
          <w14:textFill>
            <w14:solidFill>
              <w14:schemeClr w14:val="tx1"/>
            </w14:solidFill>
          </w14:textFill>
        </w:rPr>
        <w:t>类标准。</w:t>
      </w:r>
    </w:p>
    <w:p>
      <w:pPr>
        <w:pStyle w:val="41"/>
        <w:keepNext w:val="0"/>
        <w:keepLines w:val="0"/>
        <w:pageBreakBefore w:val="0"/>
        <w:widowControl w:val="0"/>
        <w:kinsoku/>
        <w:wordWrap/>
        <w:overflowPunct/>
        <w:topLinePunct w:val="0"/>
        <w:autoSpaceDE/>
        <w:autoSpaceDN/>
        <w:bidi w:val="0"/>
        <w:adjustRightInd/>
        <w:snapToGrid/>
        <w:spacing w:before="0" w:beforeLines="0"/>
        <w:ind w:firstLine="0" w:firstLineChars="0"/>
        <w:jc w:val="center"/>
        <w:textAlignment w:val="auto"/>
        <w:rPr>
          <w:rFonts w:hint="eastAsia" w:ascii="Times New Roman" w:hAnsi="Times New Roman" w:eastAsia="宋体" w:cstheme="majorBidi"/>
          <w:b/>
          <w:bCs/>
          <w:kern w:val="2"/>
          <w:sz w:val="24"/>
          <w:szCs w:val="24"/>
          <w:lang w:val="en-US" w:eastAsia="zh-CN" w:bidi="ar-SA"/>
        </w:rPr>
      </w:pPr>
      <w:r>
        <w:rPr>
          <w:rFonts w:hint="eastAsia" w:ascii="Times New Roman" w:hAnsi="Times New Roman" w:eastAsia="宋体" w:cstheme="majorBidi"/>
          <w:b/>
          <w:bCs/>
          <w:kern w:val="2"/>
          <w:sz w:val="24"/>
          <w:szCs w:val="24"/>
          <w:lang w:val="en-US" w:eastAsia="zh-CN" w:bidi="ar-SA"/>
        </w:rPr>
        <w:t>表3-</w:t>
      </w:r>
      <w:r>
        <w:rPr>
          <w:rFonts w:hint="default" w:eastAsia="宋体" w:cstheme="majorBidi"/>
          <w:b/>
          <w:bCs/>
          <w:kern w:val="2"/>
          <w:sz w:val="24"/>
          <w:szCs w:val="24"/>
          <w:lang w:val="en-US" w:eastAsia="zh-CN" w:bidi="ar-SA"/>
        </w:rPr>
        <w:t>3</w:t>
      </w:r>
      <w:r>
        <w:rPr>
          <w:rFonts w:hint="eastAsia" w:ascii="Times New Roman" w:hAnsi="Times New Roman" w:eastAsia="宋体" w:cstheme="majorBidi"/>
          <w:b/>
          <w:bCs/>
          <w:kern w:val="2"/>
          <w:sz w:val="24"/>
          <w:szCs w:val="24"/>
          <w:lang w:val="en-US" w:eastAsia="zh-CN" w:bidi="ar-SA"/>
        </w:rPr>
        <w:t xml:space="preserve"> 企业所在地环境质量等级</w:t>
      </w:r>
    </w:p>
    <w:tbl>
      <w:tblPr>
        <w:tblStyle w:val="39"/>
        <w:tblW w:w="9399" w:type="dxa"/>
        <w:tblInd w:w="0" w:type="dxa"/>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1583"/>
        <w:gridCol w:w="1058"/>
        <w:gridCol w:w="6758"/>
      </w:tblGrid>
      <w:tr>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exact"/>
        </w:trPr>
        <w:tc>
          <w:tcPr>
            <w:tcW w:w="1583" w:type="dxa"/>
            <w:vMerge w:val="restart"/>
            <w:vAlign w:val="center"/>
          </w:tcPr>
          <w:p>
            <w:pPr>
              <w:spacing w:line="240" w:lineRule="auto"/>
              <w:ind w:firstLine="0" w:firstLineChars="0"/>
              <w:contextualSpacing/>
              <w:jc w:val="left"/>
              <w:rPr>
                <w:rFonts w:hint="eastAsia" w:cs="Times New Roman"/>
                <w:sz w:val="21"/>
                <w:szCs w:val="21"/>
                <w:lang w:eastAsia="zh-CN"/>
              </w:rPr>
            </w:pPr>
            <w:r>
              <w:rPr>
                <w:rFonts w:hint="eastAsia" w:cs="Times New Roman"/>
                <w:sz w:val="21"/>
                <w:szCs w:val="21"/>
                <w:lang w:eastAsia="zh-CN"/>
              </w:rPr>
              <w:t>所在地环境质量等级</w:t>
            </w:r>
          </w:p>
        </w:tc>
        <w:tc>
          <w:tcPr>
            <w:tcW w:w="1058" w:type="dxa"/>
            <w:vAlign w:val="center"/>
          </w:tcPr>
          <w:p>
            <w:pPr>
              <w:spacing w:line="240" w:lineRule="auto"/>
              <w:ind w:firstLine="0" w:firstLineChars="0"/>
              <w:contextualSpacing/>
              <w:jc w:val="left"/>
              <w:rPr>
                <w:rFonts w:hint="eastAsia" w:cs="Times New Roman"/>
                <w:sz w:val="21"/>
                <w:szCs w:val="21"/>
                <w:lang w:eastAsia="zh-CN"/>
              </w:rPr>
            </w:pPr>
            <w:r>
              <w:rPr>
                <w:rFonts w:hint="eastAsia" w:cs="Times New Roman"/>
                <w:sz w:val="21"/>
                <w:szCs w:val="21"/>
                <w:lang w:eastAsia="zh-CN"/>
              </w:rPr>
              <w:t>地表水</w:t>
            </w:r>
          </w:p>
        </w:tc>
        <w:tc>
          <w:tcPr>
            <w:tcW w:w="6758" w:type="dxa"/>
            <w:vAlign w:val="center"/>
          </w:tcPr>
          <w:p>
            <w:pPr>
              <w:spacing w:line="240" w:lineRule="auto"/>
              <w:ind w:firstLine="0" w:firstLineChars="0"/>
              <w:contextualSpacing/>
              <w:jc w:val="left"/>
              <w:rPr>
                <w:rFonts w:hint="eastAsia" w:cs="Times New Roman"/>
                <w:sz w:val="21"/>
                <w:szCs w:val="21"/>
                <w:lang w:eastAsia="zh-CN"/>
              </w:rPr>
            </w:pPr>
            <w:r>
              <w:rPr>
                <w:rFonts w:hint="eastAsia" w:cs="Times New Roman"/>
                <w:sz w:val="21"/>
                <w:szCs w:val="21"/>
                <w:lang w:eastAsia="zh-CN"/>
              </w:rPr>
              <w:t>《地表水环境质量标准》（GB3838-2002）中III类水标准</w:t>
            </w:r>
          </w:p>
        </w:tc>
      </w:tr>
      <w:tr>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6" w:hRule="exact"/>
        </w:trPr>
        <w:tc>
          <w:tcPr>
            <w:tcW w:w="1583" w:type="dxa"/>
            <w:vMerge w:val="continue"/>
            <w:vAlign w:val="center"/>
          </w:tcPr>
          <w:p>
            <w:pPr>
              <w:spacing w:line="240" w:lineRule="auto"/>
              <w:ind w:firstLine="0" w:firstLineChars="0"/>
              <w:contextualSpacing/>
              <w:jc w:val="left"/>
              <w:rPr>
                <w:rFonts w:hint="eastAsia" w:cs="Times New Roman"/>
                <w:sz w:val="21"/>
                <w:szCs w:val="21"/>
                <w:lang w:eastAsia="zh-CN"/>
              </w:rPr>
            </w:pPr>
          </w:p>
        </w:tc>
        <w:tc>
          <w:tcPr>
            <w:tcW w:w="1058" w:type="dxa"/>
            <w:vAlign w:val="center"/>
          </w:tcPr>
          <w:p>
            <w:pPr>
              <w:spacing w:line="240" w:lineRule="auto"/>
              <w:ind w:firstLine="0" w:firstLineChars="0"/>
              <w:contextualSpacing/>
              <w:jc w:val="left"/>
              <w:rPr>
                <w:rFonts w:hint="eastAsia" w:cs="Times New Roman"/>
                <w:sz w:val="21"/>
                <w:szCs w:val="21"/>
                <w:lang w:eastAsia="zh-CN"/>
              </w:rPr>
            </w:pPr>
            <w:r>
              <w:rPr>
                <w:rFonts w:hint="eastAsia" w:cs="Times New Roman"/>
                <w:sz w:val="21"/>
                <w:szCs w:val="21"/>
                <w:lang w:eastAsia="zh-CN"/>
              </w:rPr>
              <w:t>大气</w:t>
            </w:r>
          </w:p>
        </w:tc>
        <w:tc>
          <w:tcPr>
            <w:tcW w:w="6758" w:type="dxa"/>
            <w:vAlign w:val="center"/>
          </w:tcPr>
          <w:p>
            <w:pPr>
              <w:spacing w:line="240" w:lineRule="auto"/>
              <w:ind w:firstLine="0" w:firstLineChars="0"/>
              <w:contextualSpacing/>
              <w:jc w:val="left"/>
              <w:rPr>
                <w:rFonts w:hint="eastAsia" w:cs="Times New Roman"/>
                <w:sz w:val="21"/>
                <w:szCs w:val="21"/>
                <w:lang w:eastAsia="zh-CN"/>
              </w:rPr>
            </w:pPr>
            <w:r>
              <w:rPr>
                <w:rFonts w:hint="eastAsia" w:cs="Times New Roman"/>
                <w:sz w:val="21"/>
                <w:szCs w:val="21"/>
                <w:lang w:eastAsia="zh-CN"/>
              </w:rPr>
              <w:t>《环境空气质量标准》(GB3095-2012)中规定的二类区</w:t>
            </w:r>
          </w:p>
        </w:tc>
      </w:tr>
    </w:tbl>
    <w:p>
      <w:pPr>
        <w:pStyle w:val="6"/>
        <w:rPr>
          <w:sz w:val="24"/>
          <w:szCs w:val="24"/>
        </w:rPr>
      </w:pPr>
      <w:r>
        <w:rPr>
          <w:rFonts w:hint="eastAsia"/>
          <w:sz w:val="24"/>
          <w:szCs w:val="24"/>
        </w:rPr>
        <w:t>建设内容</w:t>
      </w:r>
    </w:p>
    <w:p>
      <w:pPr>
        <w:spacing w:line="360" w:lineRule="auto"/>
        <w:ind w:firstLine="480" w:firstLineChars="200"/>
        <w:rPr>
          <w:rFonts w:ascii="Times New Roman" w:hAnsi="Times New Roman"/>
          <w:color w:val="FF0000"/>
          <w:sz w:val="24"/>
        </w:rPr>
      </w:pPr>
      <w:r>
        <w:rPr>
          <w:rFonts w:ascii="Times New Roman" w:hAnsi="Times New Roman"/>
          <w:sz w:val="24"/>
          <w:szCs w:val="24"/>
        </w:rPr>
        <w:t>公司位于</w:t>
      </w:r>
      <w:r>
        <w:rPr>
          <w:rFonts w:hint="eastAsia" w:ascii="Times New Roman" w:hAnsi="Times New Roman"/>
          <w:sz w:val="24"/>
          <w:szCs w:val="24"/>
          <w:lang w:eastAsia="zh-CN"/>
        </w:rPr>
        <w:t>南昌</w:t>
      </w:r>
      <w:r>
        <w:rPr>
          <w:rFonts w:hint="eastAsia" w:ascii="Times New Roman" w:hAnsi="Times New Roman"/>
          <w:kern w:val="0"/>
          <w:sz w:val="24"/>
          <w:szCs w:val="24"/>
          <w:lang w:eastAsia="zh-CN"/>
        </w:rPr>
        <w:t>市昌北经济技术开发区内，该区域为工业区</w:t>
      </w:r>
      <w:r>
        <w:rPr>
          <w:rFonts w:ascii="Times New Roman" w:hAnsi="Times New Roman"/>
          <w:sz w:val="24"/>
          <w:szCs w:val="24"/>
        </w:rPr>
        <w:t>，</w:t>
      </w:r>
      <w:r>
        <w:rPr>
          <w:rFonts w:hint="eastAsia" w:ascii="Times New Roman" w:hAnsi="Times New Roman"/>
          <w:sz w:val="24"/>
          <w:szCs w:val="24"/>
          <w:lang w:eastAsia="zh-CN"/>
        </w:rPr>
        <w:t>建设范围呈多边形，</w:t>
      </w:r>
      <w:r>
        <w:rPr>
          <w:rFonts w:ascii="Times New Roman" w:hAnsi="Times New Roman"/>
          <w:sz w:val="24"/>
          <w:szCs w:val="24"/>
        </w:rPr>
        <w:t>占地总面积约</w:t>
      </w:r>
      <w:r>
        <w:rPr>
          <w:rFonts w:hint="eastAsia" w:ascii="Times New Roman" w:hAnsi="Times New Roman"/>
          <w:sz w:val="24"/>
          <w:szCs w:val="24"/>
          <w:lang w:val="en-US" w:eastAsia="zh-CN"/>
        </w:rPr>
        <w:t>50</w:t>
      </w:r>
      <w:r>
        <w:rPr>
          <w:rFonts w:ascii="Times New Roman" w:hAnsi="Times New Roman"/>
          <w:sz w:val="24"/>
          <w:szCs w:val="24"/>
        </w:rPr>
        <w:t>亩</w:t>
      </w:r>
      <w:r>
        <w:rPr>
          <w:rFonts w:hint="eastAsia" w:ascii="Times New Roman" w:hAnsi="Times New Roman"/>
          <w:sz w:val="24"/>
          <w:szCs w:val="24"/>
          <w:lang w:eastAsia="zh-CN"/>
        </w:rPr>
        <w:t>，具体见企业用地红线图，</w:t>
      </w:r>
      <w:r>
        <w:rPr>
          <w:rFonts w:ascii="Times New Roman" w:hAnsi="Times New Roman"/>
          <w:sz w:val="24"/>
          <w:szCs w:val="24"/>
        </w:rPr>
        <w:t>坐标为东经115°</w:t>
      </w:r>
      <w:r>
        <w:rPr>
          <w:rFonts w:hint="eastAsia" w:ascii="Times New Roman" w:hAnsi="Times New Roman"/>
          <w:sz w:val="24"/>
          <w:szCs w:val="24"/>
          <w:lang w:val="en-US" w:eastAsia="zh-CN"/>
        </w:rPr>
        <w:t>83</w:t>
      </w:r>
      <w:r>
        <w:rPr>
          <w:rFonts w:ascii="Times New Roman" w:hAnsi="Times New Roman"/>
          <w:sz w:val="24"/>
          <w:szCs w:val="24"/>
        </w:rPr>
        <w:t>'</w:t>
      </w:r>
      <w:r>
        <w:rPr>
          <w:rFonts w:hint="eastAsia" w:ascii="Times New Roman" w:hAnsi="Times New Roman"/>
          <w:sz w:val="24"/>
          <w:szCs w:val="24"/>
          <w:lang w:val="en-US" w:eastAsia="zh-CN"/>
        </w:rPr>
        <w:t>30</w:t>
      </w:r>
      <w:r>
        <w:rPr>
          <w:rFonts w:ascii="Times New Roman" w:hAnsi="Times New Roman"/>
          <w:sz w:val="24"/>
          <w:szCs w:val="24"/>
        </w:rPr>
        <w:t>、北纬28°</w:t>
      </w:r>
      <w:r>
        <w:rPr>
          <w:rFonts w:hint="eastAsia" w:ascii="Times New Roman" w:hAnsi="Times New Roman"/>
          <w:sz w:val="24"/>
          <w:szCs w:val="24"/>
          <w:lang w:val="en-US" w:eastAsia="zh-CN"/>
        </w:rPr>
        <w:t>72</w:t>
      </w:r>
      <w:r>
        <w:rPr>
          <w:rFonts w:ascii="Times New Roman" w:hAnsi="Times New Roman"/>
          <w:sz w:val="24"/>
          <w:szCs w:val="24"/>
        </w:rPr>
        <w:t>'</w:t>
      </w:r>
      <w:r>
        <w:rPr>
          <w:rFonts w:hint="eastAsia" w:ascii="Times New Roman" w:hAnsi="Times New Roman"/>
          <w:sz w:val="24"/>
          <w:szCs w:val="24"/>
          <w:lang w:val="en-US" w:eastAsia="zh-CN"/>
        </w:rPr>
        <w:t>89</w:t>
      </w:r>
      <w:r>
        <w:rPr>
          <w:rFonts w:ascii="Times New Roman" w:hAnsi="Times New Roman"/>
          <w:sz w:val="24"/>
          <w:szCs w:val="24"/>
        </w:rPr>
        <w:t>"。</w:t>
      </w:r>
      <w:r>
        <w:rPr>
          <w:rFonts w:hint="eastAsia" w:ascii="Times New Roman" w:hAnsi="Times New Roman"/>
          <w:sz w:val="24"/>
          <w:szCs w:val="24"/>
          <w:lang w:val="en-US" w:eastAsia="zh-CN"/>
        </w:rPr>
        <w:t>周边200米范围无环境敏感点，项目地处赣抚冲击平原，地形平坦。</w:t>
      </w:r>
      <w:r>
        <w:rPr>
          <w:rFonts w:ascii="Times New Roman" w:hAnsi="Times New Roman"/>
          <w:sz w:val="24"/>
          <w:szCs w:val="24"/>
        </w:rPr>
        <w:t>项目总投资为</w:t>
      </w:r>
      <w:r>
        <w:rPr>
          <w:rFonts w:hint="eastAsia" w:ascii="Times New Roman" w:hAnsi="Times New Roman"/>
          <w:sz w:val="24"/>
          <w:szCs w:val="24"/>
          <w:lang w:val="en-US" w:eastAsia="zh-CN"/>
        </w:rPr>
        <w:t>2000</w:t>
      </w:r>
      <w:r>
        <w:rPr>
          <w:rFonts w:ascii="Times New Roman" w:hAnsi="Times New Roman"/>
          <w:sz w:val="24"/>
          <w:szCs w:val="24"/>
        </w:rPr>
        <w:t>万元，总</w:t>
      </w:r>
      <w:r>
        <w:rPr>
          <w:rFonts w:hint="eastAsia" w:ascii="Times New Roman" w:hAnsi="Times New Roman"/>
          <w:sz w:val="24"/>
          <w:szCs w:val="24"/>
          <w:lang w:eastAsia="zh-CN"/>
        </w:rPr>
        <w:t>占地</w:t>
      </w:r>
      <w:r>
        <w:rPr>
          <w:rFonts w:ascii="Times New Roman" w:hAnsi="Times New Roman"/>
          <w:sz w:val="24"/>
          <w:szCs w:val="24"/>
        </w:rPr>
        <w:t>面积为</w:t>
      </w:r>
      <w:r>
        <w:rPr>
          <w:rFonts w:hint="eastAsia" w:ascii="Times New Roman" w:hAnsi="Times New Roman"/>
          <w:sz w:val="24"/>
          <w:szCs w:val="24"/>
          <w:lang w:val="en-US" w:eastAsia="zh-CN"/>
        </w:rPr>
        <w:t>33966</w:t>
      </w:r>
      <w:r>
        <w:rPr>
          <w:rFonts w:ascii="Times New Roman" w:hAnsi="Times New Roman"/>
          <w:sz w:val="24"/>
          <w:szCs w:val="24"/>
        </w:rPr>
        <w:t>平方米。主要建设内容有</w:t>
      </w:r>
      <w:r>
        <w:rPr>
          <w:rFonts w:hint="eastAsia" w:ascii="Times New Roman" w:hAnsi="Times New Roman"/>
          <w:sz w:val="24"/>
          <w:szCs w:val="24"/>
        </w:rPr>
        <w:t>建有生产</w:t>
      </w:r>
      <w:r>
        <w:rPr>
          <w:rFonts w:hint="eastAsia" w:ascii="Times New Roman" w:hAnsi="Times New Roman"/>
          <w:sz w:val="24"/>
          <w:szCs w:val="24"/>
          <w:lang w:eastAsia="zh-CN"/>
        </w:rPr>
        <w:t>搅拌楼</w:t>
      </w:r>
      <w:r>
        <w:rPr>
          <w:rFonts w:hint="eastAsia" w:ascii="Times New Roman" w:hAnsi="Times New Roman"/>
          <w:sz w:val="24"/>
          <w:szCs w:val="24"/>
        </w:rPr>
        <w:t>、</w:t>
      </w:r>
      <w:r>
        <w:rPr>
          <w:rFonts w:hint="eastAsia" w:ascii="Times New Roman" w:hAnsi="Times New Roman"/>
          <w:sz w:val="24"/>
          <w:szCs w:val="24"/>
          <w:lang w:eastAsia="zh-CN"/>
        </w:rPr>
        <w:t>原材料堆库、门卫</w:t>
      </w:r>
      <w:r>
        <w:rPr>
          <w:rFonts w:hint="eastAsia" w:ascii="Times New Roman" w:hAnsi="Times New Roman"/>
          <w:sz w:val="24"/>
          <w:szCs w:val="24"/>
        </w:rPr>
        <w:t>、综合楼、</w:t>
      </w:r>
      <w:r>
        <w:rPr>
          <w:rFonts w:hint="eastAsia" w:ascii="Times New Roman" w:hAnsi="Times New Roman"/>
          <w:sz w:val="24"/>
          <w:szCs w:val="24"/>
          <w:lang w:eastAsia="zh-CN"/>
        </w:rPr>
        <w:t>工具间、配电室</w:t>
      </w:r>
      <w:r>
        <w:rPr>
          <w:rFonts w:hint="eastAsia" w:ascii="Times New Roman" w:hAnsi="Times New Roman"/>
          <w:sz w:val="24"/>
          <w:szCs w:val="24"/>
        </w:rPr>
        <w:t>等设施</w:t>
      </w:r>
      <w:r>
        <w:rPr>
          <w:rFonts w:ascii="Times New Roman" w:hAnsi="Times New Roman"/>
          <w:sz w:val="24"/>
          <w:szCs w:val="24"/>
        </w:rPr>
        <w:t>。项目组成一览表见表3</w:t>
      </w:r>
      <w:r>
        <w:rPr>
          <w:rFonts w:ascii="Times New Roman" w:hAnsi="Times New Roman"/>
          <w:sz w:val="24"/>
        </w:rPr>
        <w:t>-</w:t>
      </w:r>
      <w:r>
        <w:rPr>
          <w:rFonts w:hint="default"/>
          <w:sz w:val="24"/>
          <w:lang w:val="en-US"/>
        </w:rPr>
        <w:t>4</w:t>
      </w:r>
      <w:r>
        <w:rPr>
          <w:rFonts w:ascii="Times New Roman" w:hAnsi="Times New Roman"/>
          <w:sz w:val="24"/>
        </w:rPr>
        <w:t>。</w:t>
      </w:r>
    </w:p>
    <w:p>
      <w:pPr>
        <w:pStyle w:val="16"/>
        <w:spacing w:line="360" w:lineRule="auto"/>
        <w:ind w:left="0"/>
        <w:jc w:val="center"/>
        <w:rPr>
          <w:rFonts w:ascii="Times New Roman" w:hAnsi="Times New Roman"/>
          <w:b/>
          <w:bCs/>
          <w:sz w:val="24"/>
          <w:szCs w:val="24"/>
        </w:rPr>
      </w:pPr>
      <w:r>
        <w:rPr>
          <w:rFonts w:ascii="Times New Roman" w:hAnsi="Times New Roman"/>
          <w:b/>
          <w:bCs/>
          <w:sz w:val="24"/>
          <w:szCs w:val="24"/>
        </w:rPr>
        <w:t>表3-</w:t>
      </w:r>
      <w:r>
        <w:rPr>
          <w:rFonts w:hint="default"/>
          <w:b/>
          <w:bCs/>
          <w:sz w:val="24"/>
          <w:szCs w:val="24"/>
          <w:lang w:val="en-US"/>
        </w:rPr>
        <w:t>4</w:t>
      </w:r>
      <w:r>
        <w:rPr>
          <w:rFonts w:ascii="Times New Roman" w:hAnsi="Times New Roman"/>
          <w:b/>
          <w:bCs/>
          <w:sz w:val="24"/>
          <w:szCs w:val="24"/>
        </w:rPr>
        <w:t xml:space="preserve">  项目建构筑物情况组成一览表</w:t>
      </w:r>
    </w:p>
    <w:tbl>
      <w:tblPr>
        <w:tblStyle w:val="18"/>
        <w:tblW w:w="0" w:type="auto"/>
        <w:jc w:val="center"/>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204"/>
        <w:gridCol w:w="2417"/>
        <w:gridCol w:w="4441"/>
        <w:gridCol w:w="18"/>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8" w:hRule="atLeast"/>
          <w:jc w:val="center"/>
        </w:trPr>
        <w:tc>
          <w:tcPr>
            <w:tcW w:w="2204" w:type="dxa"/>
            <w:noWrap w:val="0"/>
            <w:vAlign w:val="center"/>
          </w:tcPr>
          <w:p>
            <w:pPr>
              <w:snapToGrid w:val="0"/>
              <w:spacing w:line="240" w:lineRule="auto"/>
              <w:jc w:val="center"/>
              <w:rPr>
                <w:rFonts w:ascii="Times New Roman" w:hAnsi="Times New Roman"/>
                <w:sz w:val="21"/>
                <w:szCs w:val="21"/>
              </w:rPr>
            </w:pPr>
            <w:r>
              <w:rPr>
                <w:rFonts w:ascii="Times New Roman" w:hAnsi="Times New Roman"/>
                <w:sz w:val="21"/>
                <w:szCs w:val="21"/>
              </w:rPr>
              <w:t>项目类别</w:t>
            </w:r>
          </w:p>
        </w:tc>
        <w:tc>
          <w:tcPr>
            <w:tcW w:w="2417" w:type="dxa"/>
            <w:noWrap w:val="0"/>
            <w:vAlign w:val="center"/>
          </w:tcPr>
          <w:p>
            <w:pPr>
              <w:snapToGrid w:val="0"/>
              <w:spacing w:line="240" w:lineRule="auto"/>
              <w:jc w:val="center"/>
              <w:rPr>
                <w:rFonts w:ascii="Times New Roman" w:hAnsi="Times New Roman"/>
                <w:sz w:val="21"/>
                <w:szCs w:val="21"/>
              </w:rPr>
            </w:pPr>
            <w:r>
              <w:rPr>
                <w:rFonts w:ascii="Times New Roman" w:hAnsi="Times New Roman"/>
                <w:sz w:val="21"/>
                <w:szCs w:val="21"/>
              </w:rPr>
              <w:t>项目内容</w:t>
            </w:r>
          </w:p>
        </w:tc>
        <w:tc>
          <w:tcPr>
            <w:tcW w:w="4459" w:type="dxa"/>
            <w:gridSpan w:val="2"/>
            <w:noWrap w:val="0"/>
            <w:vAlign w:val="center"/>
          </w:tcPr>
          <w:p>
            <w:pPr>
              <w:snapToGrid w:val="0"/>
              <w:spacing w:line="240" w:lineRule="auto"/>
              <w:jc w:val="center"/>
              <w:rPr>
                <w:rFonts w:ascii="Times New Roman" w:hAnsi="Times New Roman"/>
                <w:sz w:val="21"/>
                <w:szCs w:val="21"/>
              </w:rPr>
            </w:pPr>
            <w:r>
              <w:rPr>
                <w:rFonts w:ascii="Times New Roman" w:hAnsi="Times New Roman"/>
                <w:sz w:val="21"/>
                <w:szCs w:val="21"/>
              </w:rPr>
              <w:t>备注</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8" w:type="dxa"/>
          <w:trHeight w:val="717" w:hRule="atLeast"/>
          <w:jc w:val="center"/>
        </w:trPr>
        <w:tc>
          <w:tcPr>
            <w:tcW w:w="2204" w:type="dxa"/>
            <w:vMerge w:val="restart"/>
            <w:noWrap w:val="0"/>
            <w:vAlign w:val="center"/>
          </w:tcPr>
          <w:p>
            <w:pPr>
              <w:snapToGrid w:val="0"/>
              <w:spacing w:line="240" w:lineRule="auto"/>
              <w:jc w:val="center"/>
              <w:rPr>
                <w:rFonts w:ascii="Times New Roman" w:hAnsi="Times New Roman"/>
                <w:sz w:val="21"/>
                <w:szCs w:val="21"/>
              </w:rPr>
            </w:pPr>
            <w:r>
              <w:rPr>
                <w:rFonts w:ascii="Times New Roman" w:hAnsi="Times New Roman"/>
                <w:sz w:val="21"/>
                <w:szCs w:val="21"/>
              </w:rPr>
              <w:t>主体</w:t>
            </w:r>
          </w:p>
          <w:p>
            <w:pPr>
              <w:snapToGrid w:val="0"/>
              <w:spacing w:line="240" w:lineRule="auto"/>
              <w:jc w:val="center"/>
              <w:rPr>
                <w:rFonts w:ascii="Times New Roman" w:hAnsi="Times New Roman"/>
                <w:sz w:val="21"/>
                <w:szCs w:val="21"/>
                <w:highlight w:val="yellow"/>
              </w:rPr>
            </w:pPr>
            <w:r>
              <w:rPr>
                <w:rFonts w:ascii="Times New Roman" w:hAnsi="Times New Roman"/>
                <w:sz w:val="21"/>
                <w:szCs w:val="21"/>
              </w:rPr>
              <w:t>工程</w:t>
            </w:r>
          </w:p>
        </w:tc>
        <w:tc>
          <w:tcPr>
            <w:tcW w:w="2417" w:type="dxa"/>
            <w:noWrap w:val="0"/>
            <w:vAlign w:val="center"/>
          </w:tcPr>
          <w:p>
            <w:pPr>
              <w:snapToGrid w:val="0"/>
              <w:spacing w:line="240" w:lineRule="auto"/>
              <w:jc w:val="center"/>
              <w:rPr>
                <w:rFonts w:hint="eastAsia" w:ascii="Times New Roman" w:hAnsi="Times New Roman"/>
                <w:sz w:val="21"/>
                <w:szCs w:val="21"/>
                <w:highlight w:val="yellow"/>
              </w:rPr>
            </w:pPr>
            <w:r>
              <w:rPr>
                <w:rFonts w:hint="eastAsia" w:ascii="Times New Roman" w:hAnsi="Times New Roman"/>
                <w:sz w:val="21"/>
                <w:szCs w:val="21"/>
              </w:rPr>
              <w:t>生产</w:t>
            </w:r>
            <w:r>
              <w:rPr>
                <w:rFonts w:hint="eastAsia" w:ascii="Times New Roman" w:hAnsi="Times New Roman"/>
                <w:sz w:val="21"/>
                <w:szCs w:val="21"/>
                <w:lang w:eastAsia="zh-CN"/>
              </w:rPr>
              <w:t>搅拌楼</w:t>
            </w:r>
          </w:p>
        </w:tc>
        <w:tc>
          <w:tcPr>
            <w:tcW w:w="4441" w:type="dxa"/>
            <w:noWrap w:val="0"/>
            <w:vAlign w:val="center"/>
          </w:tcPr>
          <w:p>
            <w:pPr>
              <w:snapToGrid w:val="0"/>
              <w:spacing w:line="240" w:lineRule="auto"/>
              <w:jc w:val="center"/>
              <w:rPr>
                <w:rFonts w:ascii="Times New Roman" w:hAnsi="Times New Roman"/>
                <w:sz w:val="21"/>
                <w:szCs w:val="21"/>
                <w:highlight w:val="yellow"/>
              </w:rPr>
            </w:pPr>
            <w:r>
              <w:rPr>
                <w:rFonts w:hint="eastAsia" w:ascii="Times New Roman" w:hAnsi="Times New Roman"/>
                <w:sz w:val="21"/>
                <w:szCs w:val="21"/>
                <w:highlight w:val="none"/>
                <w:lang w:val="en-US" w:eastAsia="zh-CN"/>
              </w:rPr>
              <w:t>一层，建筑面积500m2</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8" w:type="dxa"/>
          <w:trHeight w:val="473" w:hRule="atLeast"/>
          <w:jc w:val="center"/>
        </w:trPr>
        <w:tc>
          <w:tcPr>
            <w:tcW w:w="2204" w:type="dxa"/>
            <w:vMerge w:val="continue"/>
            <w:noWrap w:val="0"/>
            <w:vAlign w:val="center"/>
          </w:tcPr>
          <w:p>
            <w:pPr>
              <w:snapToGrid w:val="0"/>
              <w:spacing w:line="240" w:lineRule="auto"/>
              <w:jc w:val="center"/>
              <w:rPr>
                <w:rFonts w:ascii="Times New Roman" w:hAnsi="Times New Roman"/>
                <w:sz w:val="21"/>
                <w:szCs w:val="21"/>
              </w:rPr>
            </w:pPr>
          </w:p>
        </w:tc>
        <w:tc>
          <w:tcPr>
            <w:tcW w:w="2417" w:type="dxa"/>
            <w:noWrap w:val="0"/>
            <w:vAlign w:val="center"/>
          </w:tcPr>
          <w:p>
            <w:pPr>
              <w:snapToGrid w:val="0"/>
              <w:spacing w:line="240" w:lineRule="auto"/>
              <w:jc w:val="center"/>
              <w:rPr>
                <w:rFonts w:hint="eastAsia" w:ascii="Times New Roman" w:hAnsi="Times New Roman" w:eastAsia="宋体"/>
                <w:sz w:val="21"/>
                <w:szCs w:val="21"/>
                <w:lang w:eastAsia="zh-CN"/>
              </w:rPr>
            </w:pPr>
            <w:r>
              <w:rPr>
                <w:rFonts w:hint="eastAsia" w:ascii="Times New Roman" w:hAnsi="Times New Roman"/>
                <w:sz w:val="21"/>
                <w:szCs w:val="21"/>
                <w:lang w:eastAsia="zh-CN"/>
              </w:rPr>
              <w:t>原材料堆库</w:t>
            </w:r>
          </w:p>
        </w:tc>
        <w:tc>
          <w:tcPr>
            <w:tcW w:w="4441" w:type="dxa"/>
            <w:noWrap w:val="0"/>
            <w:vAlign w:val="center"/>
          </w:tcPr>
          <w:p>
            <w:pPr>
              <w:snapToGrid w:val="0"/>
              <w:spacing w:line="240" w:lineRule="auto"/>
              <w:jc w:val="center"/>
              <w:rPr>
                <w:rFonts w:hint="eastAsia" w:ascii="Times New Roman" w:hAnsi="Times New Roman"/>
                <w:sz w:val="21"/>
                <w:szCs w:val="21"/>
              </w:rPr>
            </w:pPr>
            <w:r>
              <w:rPr>
                <w:rFonts w:hint="eastAsia" w:ascii="Times New Roman" w:hAnsi="Times New Roman"/>
                <w:sz w:val="21"/>
                <w:szCs w:val="21"/>
                <w:highlight w:val="none"/>
                <w:lang w:val="en-US" w:eastAsia="zh-CN"/>
              </w:rPr>
              <w:t>一层，建筑面积5044m2</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8" w:type="dxa"/>
          <w:trHeight w:val="307" w:hRule="atLeast"/>
          <w:jc w:val="center"/>
        </w:trPr>
        <w:tc>
          <w:tcPr>
            <w:tcW w:w="2204" w:type="dxa"/>
            <w:vMerge w:val="continue"/>
            <w:noWrap w:val="0"/>
            <w:vAlign w:val="center"/>
          </w:tcPr>
          <w:p>
            <w:pPr>
              <w:snapToGrid w:val="0"/>
              <w:spacing w:line="240" w:lineRule="auto"/>
              <w:jc w:val="center"/>
              <w:rPr>
                <w:rFonts w:ascii="Times New Roman" w:hAnsi="Times New Roman"/>
                <w:sz w:val="21"/>
                <w:szCs w:val="21"/>
              </w:rPr>
            </w:pPr>
          </w:p>
        </w:tc>
        <w:tc>
          <w:tcPr>
            <w:tcW w:w="2417" w:type="dxa"/>
            <w:noWrap w:val="0"/>
            <w:vAlign w:val="center"/>
          </w:tcPr>
          <w:p>
            <w:pPr>
              <w:snapToGrid w:val="0"/>
              <w:spacing w:line="240" w:lineRule="auto"/>
              <w:jc w:val="center"/>
              <w:rPr>
                <w:rFonts w:hint="eastAsia" w:ascii="Times New Roman" w:hAnsi="Times New Roman" w:eastAsia="宋体"/>
                <w:sz w:val="21"/>
                <w:szCs w:val="21"/>
                <w:lang w:eastAsia="zh-CN"/>
              </w:rPr>
            </w:pPr>
            <w:r>
              <w:rPr>
                <w:rFonts w:hint="eastAsia" w:ascii="Times New Roman" w:hAnsi="Times New Roman"/>
                <w:sz w:val="21"/>
                <w:szCs w:val="21"/>
                <w:lang w:eastAsia="zh-CN"/>
              </w:rPr>
              <w:t>门卫</w:t>
            </w:r>
          </w:p>
        </w:tc>
        <w:tc>
          <w:tcPr>
            <w:tcW w:w="4441" w:type="dxa"/>
            <w:noWrap w:val="0"/>
            <w:vAlign w:val="center"/>
          </w:tcPr>
          <w:p>
            <w:pPr>
              <w:snapToGrid w:val="0"/>
              <w:spacing w:line="240" w:lineRule="auto"/>
              <w:jc w:val="center"/>
              <w:rPr>
                <w:rFonts w:ascii="Times New Roman" w:hAnsi="Times New Roman"/>
                <w:sz w:val="21"/>
                <w:szCs w:val="21"/>
              </w:rPr>
            </w:pPr>
            <w:r>
              <w:rPr>
                <w:rFonts w:hint="eastAsia" w:ascii="Times New Roman" w:hAnsi="Times New Roman"/>
                <w:sz w:val="21"/>
                <w:szCs w:val="21"/>
                <w:highlight w:val="none"/>
                <w:lang w:val="en-US" w:eastAsia="zh-CN"/>
              </w:rPr>
              <w:t>一层，建筑面积28m2</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8" w:type="dxa"/>
          <w:trHeight w:val="428" w:hRule="atLeast"/>
          <w:jc w:val="center"/>
        </w:trPr>
        <w:tc>
          <w:tcPr>
            <w:tcW w:w="2204" w:type="dxa"/>
            <w:vMerge w:val="continue"/>
            <w:noWrap w:val="0"/>
            <w:vAlign w:val="center"/>
          </w:tcPr>
          <w:p>
            <w:pPr>
              <w:snapToGrid w:val="0"/>
              <w:spacing w:line="240" w:lineRule="auto"/>
              <w:jc w:val="center"/>
              <w:rPr>
                <w:rFonts w:ascii="Times New Roman" w:hAnsi="Times New Roman"/>
                <w:sz w:val="21"/>
                <w:szCs w:val="21"/>
              </w:rPr>
            </w:pPr>
          </w:p>
        </w:tc>
        <w:tc>
          <w:tcPr>
            <w:tcW w:w="2417" w:type="dxa"/>
            <w:noWrap w:val="0"/>
            <w:vAlign w:val="center"/>
          </w:tcPr>
          <w:p>
            <w:pPr>
              <w:snapToGrid w:val="0"/>
              <w:spacing w:line="240" w:lineRule="auto"/>
              <w:jc w:val="center"/>
              <w:rPr>
                <w:rFonts w:hint="eastAsia" w:ascii="Times New Roman" w:hAnsi="Times New Roman" w:eastAsia="宋体"/>
                <w:sz w:val="21"/>
                <w:szCs w:val="21"/>
                <w:lang w:eastAsia="zh-CN"/>
              </w:rPr>
            </w:pPr>
            <w:r>
              <w:rPr>
                <w:rFonts w:hint="eastAsia" w:ascii="Times New Roman" w:hAnsi="Times New Roman" w:eastAsia="宋体"/>
                <w:sz w:val="21"/>
                <w:szCs w:val="21"/>
                <w:lang w:eastAsia="zh-CN"/>
              </w:rPr>
              <w:t>综合楼</w:t>
            </w:r>
          </w:p>
        </w:tc>
        <w:tc>
          <w:tcPr>
            <w:tcW w:w="4441" w:type="dxa"/>
            <w:noWrap w:val="0"/>
            <w:vAlign w:val="center"/>
          </w:tcPr>
          <w:p>
            <w:pPr>
              <w:snapToGrid w:val="0"/>
              <w:spacing w:line="240" w:lineRule="auto"/>
              <w:jc w:val="center"/>
              <w:rPr>
                <w:rFonts w:ascii="Times New Roman" w:hAnsi="Times New Roman"/>
                <w:sz w:val="21"/>
                <w:szCs w:val="21"/>
              </w:rPr>
            </w:pPr>
            <w:r>
              <w:rPr>
                <w:rFonts w:hint="eastAsia" w:ascii="Times New Roman" w:hAnsi="Times New Roman"/>
                <w:sz w:val="21"/>
                <w:szCs w:val="21"/>
                <w:highlight w:val="none"/>
                <w:lang w:val="en-US" w:eastAsia="zh-CN"/>
              </w:rPr>
              <w:t>三层，建筑面积2557m2</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8" w:type="dxa"/>
          <w:trHeight w:val="540" w:hRule="atLeast"/>
          <w:jc w:val="center"/>
        </w:trPr>
        <w:tc>
          <w:tcPr>
            <w:tcW w:w="2204" w:type="dxa"/>
            <w:vMerge w:val="continue"/>
            <w:noWrap w:val="0"/>
            <w:vAlign w:val="center"/>
          </w:tcPr>
          <w:p>
            <w:pPr>
              <w:snapToGrid w:val="0"/>
              <w:spacing w:line="240" w:lineRule="auto"/>
              <w:jc w:val="center"/>
              <w:rPr>
                <w:rFonts w:ascii="Times New Roman" w:hAnsi="Times New Roman"/>
                <w:sz w:val="21"/>
                <w:szCs w:val="21"/>
              </w:rPr>
            </w:pPr>
          </w:p>
        </w:tc>
        <w:tc>
          <w:tcPr>
            <w:tcW w:w="2417" w:type="dxa"/>
            <w:noWrap w:val="0"/>
            <w:vAlign w:val="center"/>
          </w:tcPr>
          <w:p>
            <w:pPr>
              <w:snapToGrid w:val="0"/>
              <w:spacing w:line="240" w:lineRule="auto"/>
              <w:jc w:val="center"/>
              <w:rPr>
                <w:rFonts w:hint="eastAsia" w:ascii="Times New Roman" w:hAnsi="Times New Roman"/>
                <w:sz w:val="21"/>
                <w:szCs w:val="21"/>
                <w:lang w:eastAsia="zh-CN"/>
              </w:rPr>
            </w:pPr>
            <w:r>
              <w:rPr>
                <w:rFonts w:hint="eastAsia" w:ascii="Times New Roman" w:hAnsi="Times New Roman"/>
                <w:sz w:val="21"/>
                <w:szCs w:val="21"/>
                <w:lang w:eastAsia="zh-CN"/>
              </w:rPr>
              <w:t>工具间</w:t>
            </w:r>
          </w:p>
        </w:tc>
        <w:tc>
          <w:tcPr>
            <w:tcW w:w="4441" w:type="dxa"/>
            <w:noWrap w:val="0"/>
            <w:vAlign w:val="center"/>
          </w:tcPr>
          <w:p>
            <w:pPr>
              <w:snapToGrid w:val="0"/>
              <w:spacing w:line="240" w:lineRule="auto"/>
              <w:jc w:val="center"/>
              <w:rPr>
                <w:rFonts w:hint="eastAsia" w:ascii="Times New Roman" w:hAnsi="Times New Roman"/>
                <w:sz w:val="21"/>
                <w:szCs w:val="21"/>
                <w:highlight w:val="none"/>
                <w:lang w:eastAsia="zh-CN"/>
              </w:rPr>
            </w:pPr>
            <w:r>
              <w:rPr>
                <w:rFonts w:hint="eastAsia" w:ascii="Times New Roman" w:hAnsi="Times New Roman"/>
                <w:sz w:val="21"/>
                <w:szCs w:val="21"/>
                <w:highlight w:val="none"/>
                <w:lang w:val="en-US" w:eastAsia="zh-CN"/>
              </w:rPr>
              <w:t>一层，建筑面积67m2</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8" w:type="dxa"/>
          <w:trHeight w:val="456" w:hRule="atLeast"/>
          <w:jc w:val="center"/>
        </w:trPr>
        <w:tc>
          <w:tcPr>
            <w:tcW w:w="2204" w:type="dxa"/>
            <w:vMerge w:val="continue"/>
            <w:noWrap w:val="0"/>
            <w:vAlign w:val="center"/>
          </w:tcPr>
          <w:p>
            <w:pPr>
              <w:snapToGrid w:val="0"/>
              <w:spacing w:line="240" w:lineRule="auto"/>
              <w:jc w:val="center"/>
              <w:rPr>
                <w:rFonts w:ascii="Times New Roman" w:hAnsi="Times New Roman"/>
                <w:sz w:val="21"/>
                <w:szCs w:val="21"/>
              </w:rPr>
            </w:pPr>
          </w:p>
        </w:tc>
        <w:tc>
          <w:tcPr>
            <w:tcW w:w="2417" w:type="dxa"/>
            <w:noWrap w:val="0"/>
            <w:vAlign w:val="center"/>
          </w:tcPr>
          <w:p>
            <w:pPr>
              <w:snapToGrid w:val="0"/>
              <w:spacing w:line="240" w:lineRule="auto"/>
              <w:jc w:val="center"/>
              <w:rPr>
                <w:rFonts w:hint="eastAsia" w:ascii="Times New Roman" w:hAnsi="Times New Roman"/>
                <w:sz w:val="21"/>
                <w:szCs w:val="21"/>
                <w:lang w:eastAsia="zh-CN"/>
              </w:rPr>
            </w:pPr>
            <w:r>
              <w:rPr>
                <w:rFonts w:hint="eastAsia" w:ascii="Times New Roman" w:hAnsi="Times New Roman"/>
                <w:sz w:val="21"/>
                <w:szCs w:val="21"/>
                <w:lang w:eastAsia="zh-CN"/>
              </w:rPr>
              <w:t>配电室</w:t>
            </w:r>
          </w:p>
        </w:tc>
        <w:tc>
          <w:tcPr>
            <w:tcW w:w="4441" w:type="dxa"/>
            <w:noWrap w:val="0"/>
            <w:vAlign w:val="center"/>
          </w:tcPr>
          <w:p>
            <w:pPr>
              <w:snapToGrid w:val="0"/>
              <w:spacing w:line="240" w:lineRule="auto"/>
              <w:jc w:val="center"/>
              <w:rPr>
                <w:rFonts w:hint="eastAsia" w:ascii="Times New Roman" w:hAnsi="Times New Roman"/>
                <w:sz w:val="21"/>
                <w:szCs w:val="21"/>
                <w:highlight w:val="none"/>
                <w:lang w:val="en-US" w:eastAsia="zh-CN"/>
              </w:rPr>
            </w:pPr>
            <w:r>
              <w:rPr>
                <w:rFonts w:hint="eastAsia" w:ascii="Times New Roman" w:hAnsi="Times New Roman"/>
                <w:sz w:val="21"/>
                <w:szCs w:val="21"/>
                <w:highlight w:val="none"/>
                <w:lang w:val="en-US" w:eastAsia="zh-CN"/>
              </w:rPr>
              <w:t>一层，建筑面积32m2</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8" w:type="dxa"/>
          <w:trHeight w:val="442" w:hRule="atLeast"/>
          <w:jc w:val="center"/>
        </w:trPr>
        <w:tc>
          <w:tcPr>
            <w:tcW w:w="2204" w:type="dxa"/>
            <w:vMerge w:val="restart"/>
            <w:noWrap w:val="0"/>
            <w:vAlign w:val="center"/>
          </w:tcPr>
          <w:p>
            <w:pPr>
              <w:snapToGrid w:val="0"/>
              <w:spacing w:line="240" w:lineRule="auto"/>
              <w:jc w:val="center"/>
              <w:rPr>
                <w:rFonts w:ascii="Times New Roman" w:hAnsi="Times New Roman"/>
                <w:sz w:val="21"/>
                <w:szCs w:val="21"/>
              </w:rPr>
            </w:pPr>
            <w:r>
              <w:rPr>
                <w:rFonts w:ascii="Times New Roman" w:hAnsi="Times New Roman"/>
                <w:sz w:val="21"/>
                <w:szCs w:val="21"/>
              </w:rPr>
              <w:t>公用</w:t>
            </w:r>
          </w:p>
          <w:p>
            <w:pPr>
              <w:snapToGrid w:val="0"/>
              <w:spacing w:line="240" w:lineRule="auto"/>
              <w:jc w:val="center"/>
              <w:rPr>
                <w:rFonts w:ascii="Times New Roman" w:hAnsi="Times New Roman"/>
                <w:sz w:val="21"/>
                <w:szCs w:val="21"/>
              </w:rPr>
            </w:pPr>
            <w:r>
              <w:rPr>
                <w:rFonts w:ascii="Times New Roman" w:hAnsi="Times New Roman"/>
                <w:sz w:val="21"/>
                <w:szCs w:val="21"/>
              </w:rPr>
              <w:t>工程</w:t>
            </w:r>
          </w:p>
        </w:tc>
        <w:tc>
          <w:tcPr>
            <w:tcW w:w="2417" w:type="dxa"/>
            <w:noWrap w:val="0"/>
            <w:vAlign w:val="center"/>
          </w:tcPr>
          <w:p>
            <w:pPr>
              <w:snapToGrid w:val="0"/>
              <w:spacing w:line="240" w:lineRule="auto"/>
              <w:jc w:val="center"/>
              <w:rPr>
                <w:rFonts w:ascii="Times New Roman" w:hAnsi="Times New Roman"/>
                <w:sz w:val="21"/>
                <w:szCs w:val="21"/>
              </w:rPr>
            </w:pPr>
            <w:r>
              <w:rPr>
                <w:rFonts w:ascii="Times New Roman" w:hAnsi="Times New Roman"/>
                <w:sz w:val="21"/>
                <w:szCs w:val="21"/>
              </w:rPr>
              <w:t>供水系统</w:t>
            </w:r>
          </w:p>
        </w:tc>
        <w:tc>
          <w:tcPr>
            <w:tcW w:w="4441" w:type="dxa"/>
            <w:noWrap w:val="0"/>
            <w:vAlign w:val="center"/>
          </w:tcPr>
          <w:p>
            <w:pPr>
              <w:snapToGrid w:val="0"/>
              <w:spacing w:line="240" w:lineRule="auto"/>
              <w:jc w:val="center"/>
              <w:rPr>
                <w:rFonts w:ascii="Times New Roman" w:hAnsi="Times New Roman"/>
                <w:sz w:val="21"/>
                <w:szCs w:val="21"/>
              </w:rPr>
            </w:pPr>
            <w:r>
              <w:rPr>
                <w:rFonts w:ascii="Times New Roman" w:hAnsi="Times New Roman"/>
                <w:sz w:val="21"/>
                <w:szCs w:val="21"/>
              </w:rPr>
              <w:t>用水取自市政管网</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8" w:type="dxa"/>
          <w:trHeight w:val="340" w:hRule="atLeast"/>
          <w:jc w:val="center"/>
        </w:trPr>
        <w:tc>
          <w:tcPr>
            <w:tcW w:w="2204" w:type="dxa"/>
            <w:vMerge w:val="continue"/>
            <w:noWrap w:val="0"/>
            <w:vAlign w:val="center"/>
          </w:tcPr>
          <w:p>
            <w:pPr>
              <w:snapToGrid w:val="0"/>
              <w:spacing w:line="240" w:lineRule="auto"/>
              <w:jc w:val="center"/>
              <w:rPr>
                <w:rFonts w:ascii="Times New Roman" w:hAnsi="Times New Roman"/>
                <w:color w:val="FF0000"/>
                <w:sz w:val="21"/>
                <w:szCs w:val="21"/>
              </w:rPr>
            </w:pPr>
          </w:p>
        </w:tc>
        <w:tc>
          <w:tcPr>
            <w:tcW w:w="2417" w:type="dxa"/>
            <w:noWrap w:val="0"/>
            <w:vAlign w:val="center"/>
          </w:tcPr>
          <w:p>
            <w:pPr>
              <w:snapToGrid w:val="0"/>
              <w:spacing w:line="240" w:lineRule="auto"/>
              <w:jc w:val="center"/>
              <w:rPr>
                <w:rFonts w:ascii="Times New Roman" w:hAnsi="Times New Roman"/>
                <w:sz w:val="21"/>
                <w:szCs w:val="21"/>
              </w:rPr>
            </w:pPr>
            <w:r>
              <w:rPr>
                <w:rFonts w:ascii="Times New Roman" w:hAnsi="Times New Roman"/>
                <w:sz w:val="21"/>
                <w:szCs w:val="21"/>
              </w:rPr>
              <w:t>排水工程</w:t>
            </w:r>
          </w:p>
        </w:tc>
        <w:tc>
          <w:tcPr>
            <w:tcW w:w="4441" w:type="dxa"/>
            <w:noWrap w:val="0"/>
            <w:vAlign w:val="center"/>
          </w:tcPr>
          <w:p>
            <w:pPr>
              <w:snapToGrid w:val="0"/>
              <w:spacing w:line="240" w:lineRule="auto"/>
              <w:jc w:val="center"/>
              <w:rPr>
                <w:rFonts w:hint="eastAsia" w:ascii="Times New Roman" w:hAnsi="Times New Roman" w:eastAsia="微软雅黑"/>
                <w:sz w:val="21"/>
                <w:szCs w:val="21"/>
                <w:lang w:eastAsia="zh-CN"/>
              </w:rPr>
            </w:pPr>
            <w:r>
              <w:rPr>
                <w:rFonts w:ascii="Times New Roman" w:hAnsi="Times New Roman"/>
                <w:sz w:val="21"/>
                <w:szCs w:val="21"/>
              </w:rPr>
              <w:t>雨污分流系统，</w:t>
            </w:r>
            <w:r>
              <w:rPr>
                <w:rFonts w:hint="eastAsia" w:ascii="Times New Roman" w:hAnsi="Times New Roman"/>
                <w:sz w:val="21"/>
                <w:szCs w:val="21"/>
                <w:lang w:eastAsia="zh-CN"/>
              </w:rPr>
              <w:t>污水回收系统、</w:t>
            </w:r>
            <w:r>
              <w:rPr>
                <w:rFonts w:ascii="Times New Roman" w:hAnsi="Times New Roman"/>
                <w:sz w:val="21"/>
                <w:szCs w:val="21"/>
              </w:rPr>
              <w:t>生产无废水排放</w:t>
            </w:r>
            <w:r>
              <w:rPr>
                <w:rFonts w:hint="eastAsia" w:ascii="Times New Roman" w:hAnsi="Times New Roman"/>
                <w:sz w:val="21"/>
                <w:szCs w:val="21"/>
                <w:lang w:eastAsia="zh-CN"/>
              </w:rPr>
              <w:t>。</w:t>
            </w:r>
            <w:r>
              <w:rPr>
                <w:rFonts w:ascii="Times New Roman" w:hAnsi="Times New Roman"/>
                <w:sz w:val="21"/>
                <w:szCs w:val="21"/>
              </w:rPr>
              <w:t>排放废水为生活污水</w:t>
            </w:r>
            <w:r>
              <w:rPr>
                <w:rFonts w:hint="eastAsia" w:ascii="Times New Roman" w:hAnsi="Times New Roman"/>
                <w:sz w:val="21"/>
                <w:szCs w:val="21"/>
                <w:lang w:eastAsia="zh-CN"/>
              </w:rPr>
              <w:t>。</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8" w:type="dxa"/>
          <w:trHeight w:val="493" w:hRule="atLeast"/>
          <w:jc w:val="center"/>
        </w:trPr>
        <w:tc>
          <w:tcPr>
            <w:tcW w:w="2204" w:type="dxa"/>
            <w:vMerge w:val="continue"/>
            <w:noWrap w:val="0"/>
            <w:vAlign w:val="center"/>
          </w:tcPr>
          <w:p>
            <w:pPr>
              <w:snapToGrid w:val="0"/>
              <w:spacing w:line="240" w:lineRule="auto"/>
              <w:jc w:val="center"/>
              <w:rPr>
                <w:rFonts w:ascii="Times New Roman" w:hAnsi="Times New Roman"/>
                <w:color w:val="FF0000"/>
                <w:sz w:val="21"/>
                <w:szCs w:val="21"/>
              </w:rPr>
            </w:pPr>
          </w:p>
        </w:tc>
        <w:tc>
          <w:tcPr>
            <w:tcW w:w="2417" w:type="dxa"/>
            <w:noWrap w:val="0"/>
            <w:vAlign w:val="center"/>
          </w:tcPr>
          <w:p>
            <w:pPr>
              <w:snapToGrid w:val="0"/>
              <w:spacing w:line="240" w:lineRule="auto"/>
              <w:jc w:val="center"/>
              <w:rPr>
                <w:rFonts w:ascii="Times New Roman" w:hAnsi="Times New Roman"/>
                <w:sz w:val="21"/>
                <w:szCs w:val="21"/>
              </w:rPr>
            </w:pPr>
            <w:r>
              <w:rPr>
                <w:rFonts w:ascii="Times New Roman" w:hAnsi="Times New Roman"/>
                <w:sz w:val="21"/>
                <w:szCs w:val="21"/>
              </w:rPr>
              <w:t>供电</w:t>
            </w:r>
          </w:p>
        </w:tc>
        <w:tc>
          <w:tcPr>
            <w:tcW w:w="4441" w:type="dxa"/>
            <w:noWrap w:val="0"/>
            <w:vAlign w:val="center"/>
          </w:tcPr>
          <w:p>
            <w:pPr>
              <w:snapToGrid w:val="0"/>
              <w:spacing w:line="240" w:lineRule="auto"/>
              <w:jc w:val="center"/>
              <w:rPr>
                <w:rFonts w:ascii="Times New Roman" w:hAnsi="Times New Roman"/>
                <w:sz w:val="21"/>
                <w:szCs w:val="21"/>
              </w:rPr>
            </w:pPr>
            <w:r>
              <w:rPr>
                <w:rFonts w:ascii="Times New Roman" w:hAnsi="Times New Roman"/>
                <w:sz w:val="21"/>
                <w:szCs w:val="21"/>
              </w:rPr>
              <w:t>市政供电</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8" w:type="dxa"/>
          <w:trHeight w:val="591" w:hRule="atLeast"/>
          <w:jc w:val="center"/>
        </w:trPr>
        <w:tc>
          <w:tcPr>
            <w:tcW w:w="2204" w:type="dxa"/>
            <w:vMerge w:val="restart"/>
            <w:noWrap w:val="0"/>
            <w:vAlign w:val="center"/>
          </w:tcPr>
          <w:p>
            <w:pPr>
              <w:snapToGrid w:val="0"/>
              <w:spacing w:line="240" w:lineRule="auto"/>
              <w:jc w:val="center"/>
              <w:rPr>
                <w:rFonts w:ascii="Times New Roman" w:hAnsi="Times New Roman"/>
                <w:color w:val="FF0000"/>
                <w:sz w:val="21"/>
                <w:szCs w:val="21"/>
              </w:rPr>
            </w:pPr>
            <w:r>
              <w:rPr>
                <w:rFonts w:ascii="Times New Roman" w:hAnsi="Times New Roman"/>
                <w:sz w:val="21"/>
                <w:szCs w:val="21"/>
              </w:rPr>
              <w:t>环保工程</w:t>
            </w:r>
          </w:p>
        </w:tc>
        <w:tc>
          <w:tcPr>
            <w:tcW w:w="2417" w:type="dxa"/>
            <w:noWrap w:val="0"/>
            <w:vAlign w:val="center"/>
          </w:tcPr>
          <w:p>
            <w:pPr>
              <w:pStyle w:val="43"/>
              <w:tabs>
                <w:tab w:val="left" w:pos="851"/>
                <w:tab w:val="left" w:pos="5961"/>
                <w:tab w:val="left" w:pos="8975"/>
              </w:tabs>
              <w:snapToGrid w:val="0"/>
              <w:spacing w:before="0" w:line="240" w:lineRule="auto"/>
              <w:rPr>
                <w:rFonts w:ascii="Times New Roman" w:hAnsi="Times New Roman"/>
                <w:sz w:val="21"/>
                <w:szCs w:val="21"/>
              </w:rPr>
            </w:pPr>
            <w:r>
              <w:rPr>
                <w:rFonts w:cs="Times New Roman"/>
                <w:color w:val="auto"/>
                <w:w w:val="100"/>
                <w:sz w:val="21"/>
                <w:szCs w:val="21"/>
              </w:rPr>
              <w:t>污水处理设施</w:t>
            </w:r>
          </w:p>
        </w:tc>
        <w:tc>
          <w:tcPr>
            <w:tcW w:w="4441" w:type="dxa"/>
            <w:noWrap w:val="0"/>
            <w:vAlign w:val="center"/>
          </w:tcPr>
          <w:p>
            <w:pPr>
              <w:pStyle w:val="43"/>
              <w:tabs>
                <w:tab w:val="left" w:pos="851"/>
                <w:tab w:val="left" w:pos="5961"/>
                <w:tab w:val="left" w:pos="8975"/>
              </w:tabs>
              <w:snapToGrid w:val="0"/>
              <w:spacing w:before="0" w:line="240" w:lineRule="auto"/>
              <w:rPr>
                <w:rFonts w:hint="eastAsia" w:ascii="Times New Roman" w:hAnsi="Times New Roman" w:eastAsia="微软雅黑"/>
                <w:sz w:val="21"/>
                <w:szCs w:val="21"/>
                <w:lang w:eastAsia="zh-CN"/>
              </w:rPr>
            </w:pPr>
            <w:r>
              <w:rPr>
                <w:rFonts w:cs="Times New Roman"/>
                <w:color w:val="auto"/>
                <w:w w:val="100"/>
                <w:sz w:val="21"/>
                <w:szCs w:val="21"/>
              </w:rPr>
              <w:t>地埋式一体化生活污水处理设施</w:t>
            </w:r>
            <w:r>
              <w:rPr>
                <w:rFonts w:hint="eastAsia" w:cs="Times New Roman"/>
                <w:color w:val="auto"/>
                <w:w w:val="100"/>
                <w:sz w:val="21"/>
                <w:szCs w:val="21"/>
                <w:lang w:eastAsia="zh-CN"/>
              </w:rPr>
              <w:t>、污水回收系统。</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8" w:type="dxa"/>
          <w:trHeight w:val="489" w:hRule="atLeast"/>
          <w:jc w:val="center"/>
        </w:trPr>
        <w:tc>
          <w:tcPr>
            <w:tcW w:w="2204" w:type="dxa"/>
            <w:vMerge w:val="continue"/>
            <w:noWrap w:val="0"/>
            <w:vAlign w:val="center"/>
          </w:tcPr>
          <w:p>
            <w:pPr>
              <w:snapToGrid w:val="0"/>
              <w:spacing w:line="240" w:lineRule="auto"/>
              <w:jc w:val="center"/>
              <w:rPr>
                <w:rFonts w:ascii="Times New Roman" w:hAnsi="Times New Roman"/>
                <w:sz w:val="21"/>
                <w:szCs w:val="21"/>
              </w:rPr>
            </w:pPr>
          </w:p>
        </w:tc>
        <w:tc>
          <w:tcPr>
            <w:tcW w:w="2417" w:type="dxa"/>
            <w:noWrap w:val="0"/>
            <w:vAlign w:val="center"/>
          </w:tcPr>
          <w:p>
            <w:pPr>
              <w:pStyle w:val="43"/>
              <w:tabs>
                <w:tab w:val="left" w:pos="851"/>
                <w:tab w:val="left" w:pos="5961"/>
                <w:tab w:val="left" w:pos="8975"/>
              </w:tabs>
              <w:snapToGrid w:val="0"/>
              <w:spacing w:before="0" w:line="240" w:lineRule="auto"/>
              <w:rPr>
                <w:rFonts w:cs="Times New Roman"/>
                <w:color w:val="auto"/>
                <w:w w:val="100"/>
                <w:sz w:val="21"/>
                <w:szCs w:val="21"/>
              </w:rPr>
            </w:pPr>
            <w:r>
              <w:rPr>
                <w:rFonts w:hint="eastAsia" w:cs="Times New Roman"/>
                <w:color w:val="auto"/>
                <w:w w:val="100"/>
                <w:sz w:val="21"/>
                <w:szCs w:val="21"/>
                <w:lang w:eastAsia="zh-CN"/>
              </w:rPr>
              <w:t>扬尘</w:t>
            </w:r>
            <w:r>
              <w:rPr>
                <w:rFonts w:cs="Times New Roman"/>
                <w:color w:val="auto"/>
                <w:w w:val="100"/>
                <w:sz w:val="21"/>
                <w:szCs w:val="21"/>
              </w:rPr>
              <w:t>处理设施</w:t>
            </w:r>
          </w:p>
        </w:tc>
        <w:tc>
          <w:tcPr>
            <w:tcW w:w="4441" w:type="dxa"/>
            <w:noWrap w:val="0"/>
            <w:vAlign w:val="center"/>
          </w:tcPr>
          <w:p>
            <w:pPr>
              <w:pStyle w:val="43"/>
              <w:tabs>
                <w:tab w:val="left" w:pos="851"/>
                <w:tab w:val="left" w:pos="5961"/>
                <w:tab w:val="left" w:pos="8975"/>
              </w:tabs>
              <w:snapToGrid w:val="0"/>
              <w:spacing w:before="0" w:line="240" w:lineRule="auto"/>
              <w:rPr>
                <w:rFonts w:hint="default" w:cs="Times New Roman"/>
                <w:color w:val="auto"/>
                <w:w w:val="100"/>
                <w:sz w:val="21"/>
                <w:szCs w:val="21"/>
                <w:lang w:val="en-US"/>
              </w:rPr>
            </w:pPr>
            <w:r>
              <w:rPr>
                <w:rFonts w:hint="eastAsia" w:cs="Times New Roman"/>
                <w:color w:val="auto"/>
                <w:w w:val="100"/>
                <w:sz w:val="21"/>
                <w:szCs w:val="21"/>
                <w:lang w:eastAsia="zh-CN"/>
              </w:rPr>
              <w:t>脉冲式除尘机</w:t>
            </w:r>
            <w:r>
              <w:rPr>
                <w:rFonts w:hint="eastAsia" w:cs="Times New Roman"/>
                <w:color w:val="auto"/>
                <w:w w:val="100"/>
                <w:sz w:val="21"/>
                <w:szCs w:val="21"/>
                <w:lang w:val="en-US" w:eastAsia="zh-CN"/>
              </w:rPr>
              <w:t>11台，喷淋系统</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8" w:type="dxa"/>
          <w:trHeight w:val="421" w:hRule="atLeast"/>
          <w:jc w:val="center"/>
        </w:trPr>
        <w:tc>
          <w:tcPr>
            <w:tcW w:w="2204" w:type="dxa"/>
            <w:vMerge w:val="continue"/>
            <w:noWrap w:val="0"/>
            <w:vAlign w:val="center"/>
          </w:tcPr>
          <w:p>
            <w:pPr>
              <w:snapToGrid w:val="0"/>
              <w:spacing w:line="240" w:lineRule="auto"/>
              <w:jc w:val="center"/>
              <w:rPr>
                <w:rFonts w:ascii="Times New Roman" w:hAnsi="Times New Roman"/>
                <w:color w:val="FF0000"/>
                <w:sz w:val="21"/>
                <w:szCs w:val="21"/>
                <w:highlight w:val="yellow"/>
              </w:rPr>
            </w:pPr>
          </w:p>
        </w:tc>
        <w:tc>
          <w:tcPr>
            <w:tcW w:w="2417" w:type="dxa"/>
            <w:noWrap w:val="0"/>
            <w:vAlign w:val="center"/>
          </w:tcPr>
          <w:p>
            <w:pPr>
              <w:pStyle w:val="43"/>
              <w:tabs>
                <w:tab w:val="left" w:pos="851"/>
                <w:tab w:val="left" w:pos="5961"/>
                <w:tab w:val="left" w:pos="8975"/>
              </w:tabs>
              <w:snapToGrid w:val="0"/>
              <w:spacing w:before="0" w:line="240" w:lineRule="auto"/>
              <w:rPr>
                <w:rFonts w:cs="Times New Roman"/>
                <w:color w:val="auto"/>
                <w:w w:val="100"/>
                <w:sz w:val="21"/>
                <w:szCs w:val="21"/>
              </w:rPr>
            </w:pPr>
            <w:r>
              <w:rPr>
                <w:rFonts w:cs="Times New Roman"/>
                <w:color w:val="auto"/>
                <w:w w:val="100"/>
                <w:sz w:val="21"/>
                <w:szCs w:val="21"/>
              </w:rPr>
              <w:t>固废处理设施</w:t>
            </w:r>
          </w:p>
        </w:tc>
        <w:tc>
          <w:tcPr>
            <w:tcW w:w="4441" w:type="dxa"/>
            <w:noWrap w:val="0"/>
            <w:vAlign w:val="center"/>
          </w:tcPr>
          <w:p>
            <w:pPr>
              <w:snapToGrid w:val="0"/>
              <w:spacing w:line="240" w:lineRule="auto"/>
              <w:jc w:val="center"/>
              <w:textAlignment w:val="baseline"/>
              <w:rPr>
                <w:rFonts w:cs="Times New Roman"/>
                <w:color w:val="auto"/>
                <w:w w:val="100"/>
                <w:sz w:val="21"/>
                <w:szCs w:val="21"/>
              </w:rPr>
            </w:pPr>
            <w:r>
              <w:rPr>
                <w:rFonts w:ascii="Times New Roman" w:hAnsi="Times New Roman"/>
                <w:sz w:val="21"/>
                <w:szCs w:val="21"/>
              </w:rPr>
              <w:t>垃圾筒、一般固废暂存间</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8" w:type="dxa"/>
          <w:trHeight w:val="430" w:hRule="atLeast"/>
          <w:jc w:val="center"/>
        </w:trPr>
        <w:tc>
          <w:tcPr>
            <w:tcW w:w="2204" w:type="dxa"/>
            <w:vMerge w:val="continue"/>
            <w:noWrap w:val="0"/>
            <w:vAlign w:val="center"/>
          </w:tcPr>
          <w:p>
            <w:pPr>
              <w:snapToGrid w:val="0"/>
              <w:spacing w:line="240" w:lineRule="auto"/>
              <w:jc w:val="center"/>
              <w:rPr>
                <w:rFonts w:ascii="Times New Roman" w:hAnsi="Times New Roman"/>
                <w:color w:val="FF0000"/>
                <w:sz w:val="21"/>
                <w:szCs w:val="21"/>
                <w:highlight w:val="yellow"/>
              </w:rPr>
            </w:pPr>
          </w:p>
        </w:tc>
        <w:tc>
          <w:tcPr>
            <w:tcW w:w="2417" w:type="dxa"/>
            <w:noWrap w:val="0"/>
            <w:vAlign w:val="center"/>
          </w:tcPr>
          <w:p>
            <w:pPr>
              <w:pStyle w:val="43"/>
              <w:tabs>
                <w:tab w:val="left" w:pos="851"/>
                <w:tab w:val="left" w:pos="5961"/>
                <w:tab w:val="left" w:pos="8975"/>
              </w:tabs>
              <w:snapToGrid w:val="0"/>
              <w:spacing w:before="0" w:line="240" w:lineRule="auto"/>
              <w:rPr>
                <w:rFonts w:cs="Times New Roman"/>
                <w:color w:val="auto"/>
                <w:w w:val="100"/>
                <w:sz w:val="21"/>
                <w:szCs w:val="21"/>
              </w:rPr>
            </w:pPr>
            <w:r>
              <w:rPr>
                <w:rFonts w:cs="Times New Roman"/>
                <w:color w:val="auto"/>
                <w:w w:val="100"/>
                <w:sz w:val="21"/>
                <w:szCs w:val="21"/>
              </w:rPr>
              <w:t>噪声处理设施</w:t>
            </w:r>
          </w:p>
        </w:tc>
        <w:tc>
          <w:tcPr>
            <w:tcW w:w="4441" w:type="dxa"/>
            <w:noWrap w:val="0"/>
            <w:vAlign w:val="center"/>
          </w:tcPr>
          <w:p>
            <w:pPr>
              <w:pStyle w:val="43"/>
              <w:tabs>
                <w:tab w:val="left" w:pos="851"/>
                <w:tab w:val="left" w:pos="5961"/>
                <w:tab w:val="left" w:pos="8975"/>
              </w:tabs>
              <w:snapToGrid w:val="0"/>
              <w:spacing w:before="0" w:line="240" w:lineRule="auto"/>
              <w:rPr>
                <w:rFonts w:cs="Times New Roman"/>
                <w:color w:val="auto"/>
                <w:w w:val="100"/>
                <w:sz w:val="21"/>
                <w:szCs w:val="21"/>
              </w:rPr>
            </w:pPr>
            <w:r>
              <w:rPr>
                <w:rFonts w:cs="Times New Roman"/>
                <w:color w:val="auto"/>
                <w:w w:val="100"/>
                <w:sz w:val="21"/>
                <w:szCs w:val="21"/>
              </w:rPr>
              <w:t>隔音、消声、减振</w:t>
            </w:r>
          </w:p>
        </w:tc>
      </w:tr>
    </w:tbl>
    <w:p>
      <w:pPr>
        <w:pStyle w:val="6"/>
      </w:pPr>
      <w:r>
        <w:rPr>
          <w:rFonts w:hint="eastAsia"/>
          <w:lang w:eastAsia="zh-CN"/>
        </w:rPr>
        <w:t>工艺流程简介</w:t>
      </w:r>
    </w:p>
    <w:p>
      <w:pPr>
        <w:spacing w:line="360" w:lineRule="auto"/>
        <w:ind w:firstLine="480" w:firstLineChars="200"/>
        <w:rPr>
          <w:rFonts w:ascii="Times New Roman" w:hAnsi="Times New Roman"/>
          <w:sz w:val="24"/>
        </w:rPr>
      </w:pPr>
      <w:r>
        <w:rPr>
          <w:rFonts w:ascii="Times New Roman" w:hAnsi="Times New Roman"/>
          <w:sz w:val="24"/>
        </w:rPr>
        <w:t>工艺流程说明：</w:t>
      </w:r>
    </w:p>
    <w:p>
      <w:pPr>
        <w:spacing w:line="360" w:lineRule="auto"/>
        <w:ind w:firstLine="480" w:firstLineChars="200"/>
        <w:rPr>
          <w:rFonts w:hint="eastAsia" w:ascii="Times New Roman" w:hAnsi="Times New Roman" w:eastAsia="微软雅黑"/>
          <w:sz w:val="24"/>
          <w:lang w:eastAsia="zh-CN"/>
        </w:rPr>
      </w:pPr>
      <w:r>
        <w:rPr>
          <w:rFonts w:hint="eastAsia" w:ascii="Times New Roman" w:hAnsi="Times New Roman"/>
          <w:sz w:val="24"/>
          <w:lang w:eastAsia="zh-CN"/>
        </w:rPr>
        <w:t>商品混凝土</w:t>
      </w:r>
      <w:r>
        <w:rPr>
          <w:rFonts w:hint="eastAsia" w:ascii="Times New Roman" w:hAnsi="Times New Roman"/>
          <w:sz w:val="24"/>
        </w:rPr>
        <w:t>主要生产工艺</w:t>
      </w:r>
      <w:r>
        <w:rPr>
          <w:rFonts w:hint="eastAsia" w:ascii="Times New Roman" w:hAnsi="Times New Roman"/>
          <w:sz w:val="24"/>
          <w:lang w:eastAsia="zh-CN"/>
        </w:rPr>
        <w:t>比较简单，所有工序均为物理搅拌过程，首先将各种原材料计量配送，然后进行重量配料，进行一系列的精细的配比和调整从而保证混凝土的品质，之后进行计量泵送入混凝土车，最后送建筑工地。</w:t>
      </w:r>
    </w:p>
    <w:p>
      <w:pPr>
        <w:jc w:val="both"/>
        <w:rPr>
          <w:rFonts w:ascii="Times New Roman" w:hAnsi="Times New Roman"/>
          <w:b/>
          <w:bCs/>
          <w:sz w:val="24"/>
        </w:rPr>
      </w:pPr>
    </w:p>
    <w:p>
      <w:pPr>
        <w:keepNext/>
        <w:keepLines w:val="0"/>
        <w:pageBreakBefore w:val="0"/>
        <w:widowControl w:val="0"/>
        <w:kinsoku/>
        <w:wordWrap/>
        <w:overflowPunct/>
        <w:topLinePunct w:val="0"/>
        <w:autoSpaceDE/>
        <w:autoSpaceDN/>
        <w:bidi w:val="0"/>
        <w:adjustRightInd/>
        <w:snapToGrid/>
        <w:ind w:firstLine="0" w:firstLineChars="0"/>
        <w:jc w:val="left"/>
        <w:textAlignment w:val="auto"/>
      </w:pPr>
      <w:r>
        <w:rPr>
          <w:rFonts w:hint="eastAsia" w:ascii="Times New Roman" w:hAnsi="Times New Roman" w:eastAsia="微软雅黑"/>
          <w:b/>
          <w:bCs/>
          <w:sz w:val="24"/>
          <w:lang w:eastAsia="zh-CN"/>
        </w:rPr>
        <w:drawing>
          <wp:inline distT="0" distB="0" distL="114300" distR="114300">
            <wp:extent cx="5480050" cy="4486910"/>
            <wp:effectExtent l="0" t="0" r="6350" b="8890"/>
            <wp:docPr id="5" name="图片 1" descr="1585748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1585748216(1)"/>
                    <pic:cNvPicPr>
                      <a:picLocks noChangeAspect="1"/>
                    </pic:cNvPicPr>
                  </pic:nvPicPr>
                  <pic:blipFill>
                    <a:blip r:embed="rId14"/>
                    <a:stretch>
                      <a:fillRect/>
                    </a:stretch>
                  </pic:blipFill>
                  <pic:spPr>
                    <a:xfrm>
                      <a:off x="0" y="0"/>
                      <a:ext cx="5480050" cy="4486910"/>
                    </a:xfrm>
                    <a:prstGeom prst="rect">
                      <a:avLst/>
                    </a:prstGeom>
                    <a:noFill/>
                    <a:ln>
                      <a:noFill/>
                    </a:ln>
                  </pic:spPr>
                </pic:pic>
              </a:graphicData>
            </a:graphic>
          </wp:inline>
        </w:drawing>
      </w:r>
    </w:p>
    <w:p>
      <w:pPr>
        <w:pStyle w:val="10"/>
      </w:pPr>
      <w:r>
        <w:rPr>
          <w:rFonts w:hint="eastAsia"/>
        </w:rPr>
        <w:t xml:space="preserve">图 </w:t>
      </w:r>
      <w:r>
        <w:fldChar w:fldCharType="begin"/>
      </w:r>
      <w:r>
        <w:instrText xml:space="preserve"> </w:instrText>
      </w:r>
      <w:r>
        <w:rPr>
          <w:rFonts w:hint="eastAsia"/>
        </w:rPr>
        <w:instrText xml:space="preserve">STYLEREF 1 \s</w:instrText>
      </w:r>
      <w:r>
        <w:instrText xml:space="preserve"> </w:instrText>
      </w:r>
      <w:r>
        <w:fldChar w:fldCharType="separate"/>
      </w:r>
      <w:r>
        <w:t>3</w:t>
      </w:r>
      <w:r>
        <w:fldChar w:fldCharType="end"/>
      </w:r>
      <w:r>
        <w:noBreakHyphen/>
      </w:r>
      <w:r>
        <w:rPr>
          <w:rFonts w:hint="eastAsia"/>
          <w:lang w:val="en-US" w:eastAsia="zh-CN"/>
        </w:rPr>
        <w:t>2商品混凝土</w:t>
      </w:r>
      <w:r>
        <w:rPr>
          <w:rFonts w:hint="eastAsia"/>
        </w:rPr>
        <w:t>生产工艺流程图</w:t>
      </w:r>
    </w:p>
    <w:p>
      <w:pPr>
        <w:pStyle w:val="6"/>
      </w:pPr>
      <w:r>
        <w:rPr>
          <w:rFonts w:hint="eastAsia"/>
        </w:rPr>
        <w:t>主要设备</w:t>
      </w:r>
    </w:p>
    <w:p>
      <w:pPr>
        <w:ind w:firstLine="560"/>
      </w:pPr>
      <w:r>
        <w:t>本</w:t>
      </w:r>
      <w:r>
        <w:rPr>
          <w:rFonts w:hint="eastAsia"/>
        </w:rPr>
        <w:t>公司</w:t>
      </w:r>
      <w:r>
        <w:t>工程主要生产设备见</w:t>
      </w:r>
      <w:r>
        <w:fldChar w:fldCharType="begin"/>
      </w:r>
      <w:r>
        <w:instrText xml:space="preserve"> REF _Ref526611488 \h </w:instrText>
      </w:r>
      <w:r>
        <w:fldChar w:fldCharType="separate"/>
      </w:r>
      <w:r>
        <w:rPr>
          <w:rFonts w:hint="eastAsia"/>
        </w:rPr>
        <w:t xml:space="preserve">表 </w:t>
      </w:r>
      <w:r>
        <w:t>3</w:t>
      </w:r>
      <w:r>
        <w:noBreakHyphen/>
      </w:r>
      <w:r>
        <w:rPr>
          <w:rFonts w:hint="default"/>
          <w:lang w:val="en-US" w:eastAsia="zh-CN"/>
        </w:rPr>
        <w:t>5</w:t>
      </w:r>
      <w:r>
        <w:fldChar w:fldCharType="end"/>
      </w:r>
      <w:r>
        <w:t>。</w:t>
      </w:r>
    </w:p>
    <w:p>
      <w:pPr>
        <w:pStyle w:val="10"/>
        <w:keepNext/>
      </w:pPr>
      <w:bookmarkStart w:id="10" w:name="_Ref526611488"/>
      <w:r>
        <w:rPr>
          <w:rFonts w:hint="eastAsia"/>
        </w:rPr>
        <w:t xml:space="preserve">表 </w:t>
      </w:r>
      <w:r>
        <w:fldChar w:fldCharType="begin"/>
      </w:r>
      <w:r>
        <w:instrText xml:space="preserve"> </w:instrText>
      </w:r>
      <w:r>
        <w:rPr>
          <w:rFonts w:hint="eastAsia"/>
        </w:rPr>
        <w:instrText xml:space="preserve">STYLEREF 1 \s</w:instrText>
      </w:r>
      <w:r>
        <w:instrText xml:space="preserve"> </w:instrText>
      </w:r>
      <w:r>
        <w:fldChar w:fldCharType="separate"/>
      </w:r>
      <w:r>
        <w:t>3</w:t>
      </w:r>
      <w:r>
        <w:fldChar w:fldCharType="end"/>
      </w:r>
      <w:r>
        <w:noBreakHyphen/>
      </w:r>
      <w:bookmarkEnd w:id="10"/>
      <w:r>
        <w:rPr>
          <w:rFonts w:hint="default"/>
          <w:lang w:val="en-US" w:eastAsia="zh-CN"/>
        </w:rPr>
        <w:t xml:space="preserve">5 </w:t>
      </w:r>
      <w:r>
        <w:t>主要生产设备一览表</w:t>
      </w:r>
    </w:p>
    <w:tbl>
      <w:tblPr>
        <w:tblStyle w:val="18"/>
        <w:tblW w:w="0" w:type="auto"/>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72"/>
        <w:gridCol w:w="2201"/>
        <w:gridCol w:w="2715"/>
        <w:gridCol w:w="3110"/>
      </w:tblGrid>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序号</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设备名称</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型号</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实际数量</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搅拌主机</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HZS</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2台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2</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电机</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55KW</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3</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润滑系统</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p>
        </w:tc>
        <w:tc>
          <w:tcPr>
            <w:tcW w:w="3110"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1套</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4</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搅拌、计量台</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p>
        </w:tc>
        <w:tc>
          <w:tcPr>
            <w:tcW w:w="3110"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1个</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5</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接料斗</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带夹棍装置</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1个</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6</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控制室及装饰</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p>
        </w:tc>
        <w:tc>
          <w:tcPr>
            <w:tcW w:w="3110"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1套</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7</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每层附属楼梯</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p>
        </w:tc>
        <w:tc>
          <w:tcPr>
            <w:tcW w:w="3110"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4台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8</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骨料缓存仓</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p>
        </w:tc>
        <w:tc>
          <w:tcPr>
            <w:tcW w:w="3110"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2台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9</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工控机</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P4</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2台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10</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打印机</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5340CII</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2台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11</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自动化控制软件</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12</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分体空调机</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1匹壁挂式</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13</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储料仓</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20（两石两砂）</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14</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电动滚筒</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rPr>
            </w:pP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4</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15</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计量斗</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16</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骨料输送系统</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17</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全自动压力试验机</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WYA-2000</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18</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全自动抗折抗压试验机</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WYA-300</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19</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养护室温湿度控制仪</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RTH-08</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20</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氯离子分析仪</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CCL-5</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21</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水泥胶砂振实台</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ZS-15</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22</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水泥胶砂搅拌机</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JJ-5</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23</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水泥净浆搅拌机</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NJ-160A</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24</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砼振动台</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ZT-0.8×0.8</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25</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强制式单卧砼搅拌机</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SJD-60</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26</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电热鼓风恒温干燥箱</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101-2A</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27</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混凝土渗透仪</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HS-4</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28</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箱式电阻炉</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SX2-4-10</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29</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手动混凝土贯入阻力仪</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ZC-1A</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30</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水泥稠度凝结时间测定仪</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维卡仪</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31</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沸煮箱</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FZ-31A</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32</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负压筛析仪</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FSY-150B</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33</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水泥胶砂流动度测定仪</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NLD-3</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34</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震击式标准振筛机</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ZBSX-92A</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35</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回弹仪</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ZC3-A</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36</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电子天平</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BS-30KA</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37</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电子天平</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FA2004</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38</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电子天平</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JE1002</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39</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电子计重秤</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XK3100</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40</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数控水泥砼标准养护箱</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SHBY-40B</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41</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kern w:val="0"/>
                <w:sz w:val="21"/>
                <w:szCs w:val="21"/>
              </w:rPr>
              <w:t>混凝土含气量测定仪</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 xml:space="preserve">GQC-I </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42</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sz w:val="21"/>
                <w:szCs w:val="21"/>
              </w:rPr>
              <w:t>石筛分析用标准筛</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Φ2.5～100mm</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43</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砂筛分析用标准筛</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Φ0.08～10mm</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44</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全自动比表面积测定仪</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FBT-9</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45</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针、片状规准仪</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46</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坍落度筒、捣棒</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46</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color w:val="000000"/>
                <w:kern w:val="0"/>
                <w:sz w:val="21"/>
                <w:szCs w:val="21"/>
                <w:lang w:eastAsia="zh-Hans"/>
              </w:rPr>
              <w:t>压碎指标值测定仪</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47</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eastAsia="宋体" w:cs="Times New Roman"/>
                <w:color w:val="000000"/>
                <w:kern w:val="0"/>
                <w:sz w:val="21"/>
                <w:szCs w:val="21"/>
              </w:rPr>
              <w:t>容量筒</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48</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eastAsia="宋体" w:cs="Times New Roman"/>
                <w:color w:val="000000"/>
                <w:kern w:val="0"/>
                <w:sz w:val="21"/>
                <w:szCs w:val="21"/>
              </w:rPr>
              <w:t>抗压夹具</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49</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eastAsia="宋体" w:cs="Times New Roman"/>
                <w:sz w:val="21"/>
                <w:szCs w:val="21"/>
              </w:rPr>
              <w:t>温、湿度计</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50</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混凝土、胶砂试模</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51</w:t>
            </w:r>
          </w:p>
        </w:tc>
        <w:tc>
          <w:tcPr>
            <w:tcW w:w="2201"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雷氏夹</w:t>
            </w:r>
          </w:p>
        </w:tc>
        <w:tc>
          <w:tcPr>
            <w:tcW w:w="2715"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LD-50</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bl>
    <w:p>
      <w:pPr>
        <w:numPr>
          <w:ilvl w:val="0"/>
          <w:numId w:val="2"/>
        </w:num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主要原辅料消耗</w:t>
      </w:r>
    </w:p>
    <w:p>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项目原辅材料及能耗用量见下表。</w:t>
      </w:r>
    </w:p>
    <w:p>
      <w:pPr>
        <w:spacing w:line="480" w:lineRule="exact"/>
        <w:ind w:firstLine="0" w:firstLineChars="0"/>
        <w:jc w:val="center"/>
        <w:rPr>
          <w:rFonts w:ascii="Times New Roman" w:hAnsi="Times New Roman" w:eastAsia="宋体" w:cs="Times New Roman"/>
          <w:b/>
          <w:bCs/>
          <w:sz w:val="24"/>
          <w:szCs w:val="24"/>
        </w:rPr>
      </w:pPr>
      <w:r>
        <w:rPr>
          <w:rFonts w:ascii="Times New Roman" w:hAnsi="Times New Roman" w:eastAsia="宋体" w:cs="Times New Roman"/>
          <w:b/>
          <w:bCs/>
          <w:sz w:val="24"/>
          <w:szCs w:val="24"/>
        </w:rPr>
        <w:t>表3</w:t>
      </w:r>
      <w:r>
        <w:rPr>
          <w:rFonts w:hint="eastAsia" w:ascii="Times New Roman" w:hAnsi="Times New Roman" w:eastAsia="宋体" w:cs="Times New Roman"/>
          <w:b/>
          <w:bCs/>
          <w:sz w:val="24"/>
          <w:szCs w:val="24"/>
          <w:lang w:val="en-US" w:eastAsia="zh-CN"/>
        </w:rPr>
        <w:t>-</w:t>
      </w:r>
      <w:r>
        <w:rPr>
          <w:rFonts w:hint="default" w:cs="Times New Roman"/>
          <w:b/>
          <w:bCs/>
          <w:sz w:val="24"/>
          <w:szCs w:val="24"/>
          <w:lang w:val="en-US" w:eastAsia="zh-CN"/>
        </w:rPr>
        <w:t>6</w:t>
      </w:r>
      <w:r>
        <w:rPr>
          <w:rFonts w:ascii="Times New Roman" w:hAnsi="Times New Roman" w:eastAsia="宋体" w:cs="Times New Roman"/>
          <w:b/>
          <w:bCs/>
          <w:sz w:val="24"/>
          <w:szCs w:val="24"/>
        </w:rPr>
        <w:t xml:space="preserve"> 原辅材料消耗情况表</w:t>
      </w:r>
    </w:p>
    <w:tbl>
      <w:tblPr>
        <w:tblStyle w:val="18"/>
        <w:tblW w:w="0" w:type="auto"/>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1260"/>
        <w:gridCol w:w="2426"/>
        <w:gridCol w:w="992"/>
        <w:gridCol w:w="2308"/>
        <w:gridCol w:w="2085"/>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6" w:type="dxa"/>
            <w:gridSpan w:val="2"/>
            <w:noWrap w:val="0"/>
            <w:vAlign w:val="center"/>
          </w:tcPr>
          <w:p>
            <w:pPr>
              <w:widowControl w:val="0"/>
              <w:spacing w:line="360" w:lineRule="auto"/>
              <w:jc w:val="center"/>
              <w:rPr>
                <w:rFonts w:ascii="Times New Roman" w:hAnsi="Times New Roman" w:eastAsia="宋体" w:cs="Times New Roman"/>
                <w:kern w:val="2"/>
                <w:sz w:val="21"/>
                <w:szCs w:val="24"/>
                <w:lang w:val="en-US" w:eastAsia="zh-CN" w:bidi="ar-SA"/>
              </w:rPr>
            </w:pPr>
            <w:r>
              <w:rPr>
                <w:rFonts w:ascii="Times New Roman" w:hAnsi="Times New Roman" w:eastAsia="宋体" w:cs="Times New Roman"/>
                <w:kern w:val="2"/>
                <w:sz w:val="21"/>
                <w:szCs w:val="24"/>
                <w:lang w:val="en-US" w:eastAsia="zh-CN" w:bidi="ar-SA"/>
              </w:rPr>
              <w:t>类别</w:t>
            </w:r>
          </w:p>
        </w:tc>
        <w:tc>
          <w:tcPr>
            <w:tcW w:w="992" w:type="dxa"/>
            <w:noWrap w:val="0"/>
            <w:vAlign w:val="center"/>
          </w:tcPr>
          <w:p>
            <w:pPr>
              <w:widowControl w:val="0"/>
              <w:spacing w:line="360" w:lineRule="auto"/>
              <w:jc w:val="center"/>
              <w:rPr>
                <w:rFonts w:ascii="Times New Roman" w:hAnsi="Times New Roman" w:eastAsia="宋体" w:cs="Times New Roman"/>
                <w:kern w:val="2"/>
                <w:sz w:val="21"/>
                <w:szCs w:val="24"/>
                <w:lang w:val="en-US" w:eastAsia="zh-CN" w:bidi="ar-SA"/>
              </w:rPr>
            </w:pPr>
            <w:r>
              <w:rPr>
                <w:rFonts w:ascii="Times New Roman" w:hAnsi="Times New Roman" w:eastAsia="宋体" w:cs="Times New Roman"/>
                <w:kern w:val="2"/>
                <w:sz w:val="21"/>
                <w:szCs w:val="24"/>
                <w:lang w:val="en-US" w:eastAsia="zh-CN" w:bidi="ar-SA"/>
              </w:rPr>
              <w:t>单位</w:t>
            </w:r>
          </w:p>
        </w:tc>
        <w:tc>
          <w:tcPr>
            <w:tcW w:w="2308" w:type="dxa"/>
            <w:noWrap w:val="0"/>
            <w:vAlign w:val="center"/>
          </w:tcPr>
          <w:p>
            <w:pPr>
              <w:widowControl w:val="0"/>
              <w:spacing w:line="360" w:lineRule="auto"/>
              <w:jc w:val="center"/>
              <w:rPr>
                <w:rFonts w:ascii="Times New Roman" w:hAnsi="Times New Roman" w:eastAsia="宋体" w:cs="Times New Roman"/>
                <w:kern w:val="2"/>
                <w:sz w:val="21"/>
                <w:szCs w:val="24"/>
                <w:lang w:val="en-US" w:eastAsia="zh-CN" w:bidi="ar-SA"/>
              </w:rPr>
            </w:pPr>
            <w:r>
              <w:rPr>
                <w:rFonts w:ascii="Times New Roman" w:hAnsi="Times New Roman" w:eastAsia="宋体" w:cs="Times New Roman"/>
                <w:kern w:val="2"/>
                <w:sz w:val="21"/>
                <w:szCs w:val="24"/>
                <w:lang w:val="en-US" w:eastAsia="zh-CN" w:bidi="ar-SA"/>
              </w:rPr>
              <w:t>实际年用量</w:t>
            </w:r>
          </w:p>
        </w:tc>
        <w:tc>
          <w:tcPr>
            <w:tcW w:w="2085" w:type="dxa"/>
            <w:noWrap w:val="0"/>
            <w:vAlign w:val="center"/>
          </w:tcPr>
          <w:p>
            <w:pPr>
              <w:widowControl w:val="0"/>
              <w:spacing w:line="360" w:lineRule="auto"/>
              <w:jc w:val="center"/>
              <w:rPr>
                <w:rFonts w:ascii="Times New Roman" w:hAnsi="Times New Roman" w:eastAsia="宋体" w:cs="Times New Roman"/>
                <w:kern w:val="2"/>
                <w:sz w:val="21"/>
                <w:szCs w:val="24"/>
                <w:lang w:val="en-US" w:eastAsia="zh-CN" w:bidi="ar-SA"/>
              </w:rPr>
            </w:pPr>
            <w:r>
              <w:rPr>
                <w:rFonts w:ascii="Times New Roman" w:hAnsi="Times New Roman" w:eastAsia="宋体" w:cs="Times New Roman"/>
                <w:kern w:val="2"/>
                <w:sz w:val="21"/>
                <w:szCs w:val="24"/>
                <w:lang w:val="en-US" w:eastAsia="zh-CN" w:bidi="ar-SA"/>
              </w:rPr>
              <w:t>备注</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260" w:type="dxa"/>
            <w:tcBorders>
              <w:bottom w:val="single" w:color="auto" w:sz="4" w:space="0"/>
            </w:tcBorders>
            <w:noWrap w:val="0"/>
            <w:vAlign w:val="center"/>
          </w:tcPr>
          <w:p>
            <w:pPr>
              <w:widowControl w:val="0"/>
              <w:spacing w:line="360" w:lineRule="auto"/>
              <w:jc w:val="center"/>
              <w:rPr>
                <w:rFonts w:hint="eastAsia"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1</w:t>
            </w:r>
          </w:p>
        </w:tc>
        <w:tc>
          <w:tcPr>
            <w:tcW w:w="2426" w:type="dxa"/>
            <w:noWrap w:val="0"/>
            <w:vAlign w:val="center"/>
          </w:tcPr>
          <w:p>
            <w:pPr>
              <w:widowControl w:val="0"/>
              <w:spacing w:line="360" w:lineRule="auto"/>
              <w:jc w:val="center"/>
              <w:rPr>
                <w:rFonts w:hint="default"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水泥</w:t>
            </w:r>
          </w:p>
        </w:tc>
        <w:tc>
          <w:tcPr>
            <w:tcW w:w="992" w:type="dxa"/>
            <w:noWrap w:val="0"/>
            <w:vAlign w:val="center"/>
          </w:tcPr>
          <w:p>
            <w:pPr>
              <w:widowControl w:val="0"/>
              <w:spacing w:line="360" w:lineRule="auto"/>
              <w:jc w:val="center"/>
              <w:rPr>
                <w:rFonts w:hint="default"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T</w:t>
            </w:r>
          </w:p>
        </w:tc>
        <w:tc>
          <w:tcPr>
            <w:tcW w:w="2308" w:type="dxa"/>
            <w:noWrap w:val="0"/>
            <w:vAlign w:val="center"/>
          </w:tcPr>
          <w:p>
            <w:pPr>
              <w:widowControl w:val="0"/>
              <w:spacing w:line="360" w:lineRule="auto"/>
              <w:jc w:val="center"/>
              <w:rPr>
                <w:rFonts w:hint="default"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115000万吨</w:t>
            </w:r>
          </w:p>
        </w:tc>
        <w:tc>
          <w:tcPr>
            <w:tcW w:w="2085" w:type="dxa"/>
            <w:noWrap w:val="0"/>
            <w:vAlign w:val="center"/>
          </w:tcPr>
          <w:p>
            <w:pPr>
              <w:widowControl w:val="0"/>
              <w:spacing w:line="360" w:lineRule="auto"/>
              <w:jc w:val="center"/>
              <w:rPr>
                <w:rFonts w:hint="eastAsia"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内购</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260" w:type="dxa"/>
            <w:tcBorders>
              <w:top w:val="single" w:color="auto" w:sz="4" w:space="0"/>
            </w:tcBorders>
            <w:noWrap w:val="0"/>
            <w:vAlign w:val="center"/>
          </w:tcPr>
          <w:p>
            <w:pPr>
              <w:widowControl w:val="0"/>
              <w:spacing w:line="360" w:lineRule="auto"/>
              <w:jc w:val="center"/>
              <w:rPr>
                <w:rFonts w:hint="eastAsia"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2</w:t>
            </w:r>
          </w:p>
        </w:tc>
        <w:tc>
          <w:tcPr>
            <w:tcW w:w="2426" w:type="dxa"/>
            <w:noWrap w:val="0"/>
            <w:vAlign w:val="center"/>
          </w:tcPr>
          <w:p>
            <w:pPr>
              <w:widowControl w:val="0"/>
              <w:spacing w:line="360" w:lineRule="auto"/>
              <w:jc w:val="center"/>
              <w:rPr>
                <w:rFonts w:hint="eastAsia"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矿粉</w:t>
            </w:r>
          </w:p>
        </w:tc>
        <w:tc>
          <w:tcPr>
            <w:tcW w:w="992" w:type="dxa"/>
            <w:noWrap w:val="0"/>
            <w:vAlign w:val="center"/>
          </w:tcPr>
          <w:p>
            <w:pPr>
              <w:spacing w:line="360" w:lineRule="auto"/>
              <w:ind w:firstLine="0" w:firstLineChars="0"/>
              <w:jc w:val="center"/>
              <w:rPr>
                <w:rFonts w:ascii="Calibri" w:hAnsi="Calibri" w:eastAsia="宋体" w:cs="Times New Roman"/>
                <w:sz w:val="21"/>
                <w:szCs w:val="24"/>
              </w:rPr>
            </w:pPr>
            <w:r>
              <w:rPr>
                <w:rFonts w:hint="eastAsia" w:ascii="Calibri" w:hAnsi="Calibri" w:eastAsia="宋体" w:cs="Times New Roman"/>
                <w:sz w:val="21"/>
                <w:szCs w:val="24"/>
                <w:lang w:val="en-US" w:eastAsia="zh-CN"/>
              </w:rPr>
              <w:t>T</w:t>
            </w:r>
          </w:p>
        </w:tc>
        <w:tc>
          <w:tcPr>
            <w:tcW w:w="2308" w:type="dxa"/>
            <w:noWrap w:val="0"/>
            <w:vAlign w:val="center"/>
          </w:tcPr>
          <w:p>
            <w:pPr>
              <w:widowControl w:val="0"/>
              <w:spacing w:line="360" w:lineRule="auto"/>
              <w:jc w:val="center"/>
              <w:rPr>
                <w:rFonts w:hint="default"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300000万吨</w:t>
            </w:r>
          </w:p>
        </w:tc>
        <w:tc>
          <w:tcPr>
            <w:tcW w:w="2085" w:type="dxa"/>
            <w:noWrap w:val="0"/>
            <w:vAlign w:val="center"/>
          </w:tcPr>
          <w:p>
            <w:pPr>
              <w:spacing w:line="360" w:lineRule="auto"/>
              <w:ind w:firstLine="0" w:firstLineChars="0"/>
              <w:jc w:val="center"/>
              <w:rPr>
                <w:rFonts w:ascii="Calibri" w:hAnsi="Calibri" w:eastAsia="宋体" w:cs="Times New Roman"/>
                <w:sz w:val="21"/>
                <w:szCs w:val="24"/>
              </w:rPr>
            </w:pPr>
            <w:r>
              <w:rPr>
                <w:rFonts w:hint="eastAsia" w:ascii="Calibri" w:hAnsi="Calibri" w:eastAsia="宋体" w:cs="Times New Roman"/>
                <w:sz w:val="21"/>
                <w:szCs w:val="24"/>
                <w:lang w:eastAsia="zh-CN"/>
              </w:rPr>
              <w:t>内</w:t>
            </w:r>
            <w:r>
              <w:rPr>
                <w:rFonts w:ascii="Calibri" w:hAnsi="Calibri" w:eastAsia="宋体" w:cs="Times New Roman"/>
                <w:sz w:val="21"/>
                <w:szCs w:val="24"/>
              </w:rPr>
              <w:t>购</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72" w:hRule="atLeast"/>
          <w:jc w:val="center"/>
        </w:trPr>
        <w:tc>
          <w:tcPr>
            <w:tcW w:w="1260" w:type="dxa"/>
            <w:noWrap w:val="0"/>
            <w:vAlign w:val="center"/>
          </w:tcPr>
          <w:p>
            <w:pPr>
              <w:widowControl w:val="0"/>
              <w:spacing w:line="360" w:lineRule="auto"/>
              <w:jc w:val="center"/>
              <w:rPr>
                <w:rFonts w:hint="eastAsia"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3</w:t>
            </w:r>
          </w:p>
        </w:tc>
        <w:tc>
          <w:tcPr>
            <w:tcW w:w="2426" w:type="dxa"/>
            <w:noWrap w:val="0"/>
            <w:vAlign w:val="center"/>
          </w:tcPr>
          <w:p>
            <w:pPr>
              <w:widowControl w:val="0"/>
              <w:spacing w:line="360" w:lineRule="auto"/>
              <w:jc w:val="center"/>
              <w:rPr>
                <w:rFonts w:hint="default" w:ascii="Times New Roman" w:hAnsi="Times New Roman" w:eastAsia="宋体" w:cs="Times New Roman"/>
                <w:color w:val="FF0000"/>
                <w:kern w:val="2"/>
                <w:sz w:val="21"/>
                <w:szCs w:val="24"/>
                <w:lang w:val="en-US" w:eastAsia="zh-CN" w:bidi="ar-SA"/>
              </w:rPr>
            </w:pPr>
            <w:r>
              <w:rPr>
                <w:rFonts w:hint="eastAsia" w:ascii="Times New Roman" w:hAnsi="Times New Roman" w:eastAsia="宋体" w:cs="Times New Roman"/>
                <w:color w:val="auto"/>
                <w:kern w:val="2"/>
                <w:sz w:val="21"/>
                <w:szCs w:val="24"/>
                <w:lang w:val="en-US" w:eastAsia="zh-CN" w:bidi="ar-SA"/>
              </w:rPr>
              <w:t>粉煤灰</w:t>
            </w:r>
          </w:p>
        </w:tc>
        <w:tc>
          <w:tcPr>
            <w:tcW w:w="992" w:type="dxa"/>
            <w:noWrap w:val="0"/>
            <w:vAlign w:val="center"/>
          </w:tcPr>
          <w:p>
            <w:pPr>
              <w:spacing w:line="360" w:lineRule="auto"/>
              <w:ind w:firstLine="0" w:firstLineChars="0"/>
              <w:jc w:val="center"/>
              <w:rPr>
                <w:rFonts w:ascii="Calibri" w:hAnsi="Calibri" w:eastAsia="宋体" w:cs="Times New Roman"/>
                <w:color w:val="FF0000"/>
                <w:sz w:val="21"/>
                <w:szCs w:val="24"/>
              </w:rPr>
            </w:pPr>
            <w:r>
              <w:rPr>
                <w:rFonts w:hint="eastAsia" w:ascii="Calibri" w:hAnsi="Calibri" w:eastAsia="宋体" w:cs="Times New Roman"/>
                <w:sz w:val="21"/>
                <w:szCs w:val="24"/>
                <w:lang w:val="en-US" w:eastAsia="zh-CN"/>
              </w:rPr>
              <w:t>T</w:t>
            </w:r>
          </w:p>
        </w:tc>
        <w:tc>
          <w:tcPr>
            <w:tcW w:w="2308" w:type="dxa"/>
            <w:noWrap w:val="0"/>
            <w:vAlign w:val="center"/>
          </w:tcPr>
          <w:p>
            <w:pPr>
              <w:widowControl w:val="0"/>
              <w:spacing w:line="360" w:lineRule="auto"/>
              <w:ind w:firstLine="630" w:firstLineChars="300"/>
              <w:jc w:val="both"/>
              <w:rPr>
                <w:rFonts w:hint="default" w:ascii="Times New Roman" w:hAnsi="Times New Roman" w:eastAsia="宋体" w:cs="Times New Roman"/>
                <w:color w:val="FF0000"/>
                <w:kern w:val="2"/>
                <w:sz w:val="21"/>
                <w:szCs w:val="24"/>
                <w:lang w:val="en-US" w:eastAsia="zh-CN" w:bidi="ar-SA"/>
              </w:rPr>
            </w:pPr>
            <w:r>
              <w:rPr>
                <w:rFonts w:hint="eastAsia" w:ascii="Times New Roman" w:hAnsi="Times New Roman" w:eastAsia="宋体" w:cs="Times New Roman"/>
                <w:color w:val="auto"/>
                <w:kern w:val="2"/>
                <w:sz w:val="21"/>
                <w:szCs w:val="24"/>
                <w:lang w:val="en-US" w:eastAsia="zh-CN" w:bidi="ar-SA"/>
              </w:rPr>
              <w:t>300000万吨</w:t>
            </w:r>
          </w:p>
        </w:tc>
        <w:tc>
          <w:tcPr>
            <w:tcW w:w="2085" w:type="dxa"/>
            <w:noWrap w:val="0"/>
            <w:vAlign w:val="center"/>
          </w:tcPr>
          <w:p>
            <w:pPr>
              <w:spacing w:line="360" w:lineRule="auto"/>
              <w:ind w:firstLine="0" w:firstLineChars="0"/>
              <w:jc w:val="center"/>
              <w:rPr>
                <w:rFonts w:ascii="Calibri" w:hAnsi="Calibri" w:eastAsia="宋体" w:cs="Times New Roman"/>
                <w:color w:val="FF0000"/>
                <w:sz w:val="21"/>
                <w:szCs w:val="24"/>
              </w:rPr>
            </w:pPr>
            <w:r>
              <w:rPr>
                <w:rFonts w:ascii="Calibri" w:hAnsi="Calibri" w:eastAsia="宋体" w:cs="Times New Roman"/>
                <w:sz w:val="21"/>
                <w:szCs w:val="24"/>
              </w:rPr>
              <w:t>外购</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72" w:hRule="atLeast"/>
          <w:jc w:val="center"/>
        </w:trPr>
        <w:tc>
          <w:tcPr>
            <w:tcW w:w="1260" w:type="dxa"/>
            <w:noWrap w:val="0"/>
            <w:vAlign w:val="center"/>
          </w:tcPr>
          <w:p>
            <w:pPr>
              <w:spacing w:line="360" w:lineRule="auto"/>
              <w:ind w:firstLine="0" w:firstLineChars="0"/>
              <w:jc w:val="center"/>
              <w:rPr>
                <w:rFonts w:hint="eastAsia" w:ascii="Calibri" w:hAnsi="Calibri" w:eastAsia="宋体" w:cs="Times New Roman"/>
                <w:sz w:val="21"/>
                <w:szCs w:val="24"/>
                <w:lang w:eastAsia="zh-CN"/>
              </w:rPr>
            </w:pPr>
            <w:r>
              <w:rPr>
                <w:rFonts w:hint="eastAsia" w:ascii="Calibri" w:hAnsi="Calibri" w:eastAsia="宋体" w:cs="Times New Roman"/>
                <w:sz w:val="21"/>
                <w:szCs w:val="24"/>
                <w:lang w:val="en-US" w:eastAsia="zh-CN"/>
              </w:rPr>
              <w:t>4</w:t>
            </w:r>
          </w:p>
        </w:tc>
        <w:tc>
          <w:tcPr>
            <w:tcW w:w="2426" w:type="dxa"/>
            <w:noWrap w:val="0"/>
            <w:vAlign w:val="center"/>
          </w:tcPr>
          <w:p>
            <w:pPr>
              <w:widowControl w:val="0"/>
              <w:spacing w:line="360" w:lineRule="auto"/>
              <w:jc w:val="center"/>
              <w:rPr>
                <w:rFonts w:hint="eastAsia"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砂</w:t>
            </w:r>
          </w:p>
        </w:tc>
        <w:tc>
          <w:tcPr>
            <w:tcW w:w="992" w:type="dxa"/>
            <w:noWrap w:val="0"/>
            <w:vAlign w:val="center"/>
          </w:tcPr>
          <w:p>
            <w:pPr>
              <w:spacing w:line="360" w:lineRule="auto"/>
              <w:ind w:firstLine="0" w:firstLineChars="0"/>
              <w:jc w:val="center"/>
              <w:rPr>
                <w:rFonts w:ascii="Calibri" w:hAnsi="Calibri" w:eastAsia="宋体" w:cs="Times New Roman"/>
                <w:sz w:val="21"/>
                <w:szCs w:val="24"/>
              </w:rPr>
            </w:pPr>
            <w:r>
              <w:rPr>
                <w:rFonts w:hint="eastAsia" w:ascii="Calibri" w:hAnsi="Calibri" w:eastAsia="宋体" w:cs="Times New Roman"/>
                <w:sz w:val="21"/>
                <w:szCs w:val="24"/>
                <w:lang w:val="en-US" w:eastAsia="zh-CN"/>
              </w:rPr>
              <w:t>T</w:t>
            </w:r>
          </w:p>
        </w:tc>
        <w:tc>
          <w:tcPr>
            <w:tcW w:w="2308" w:type="dxa"/>
            <w:noWrap w:val="0"/>
            <w:vAlign w:val="center"/>
          </w:tcPr>
          <w:p>
            <w:pPr>
              <w:widowControl w:val="0"/>
              <w:spacing w:line="360" w:lineRule="auto"/>
              <w:jc w:val="center"/>
              <w:rPr>
                <w:rFonts w:hint="default"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450000万吨</w:t>
            </w:r>
          </w:p>
        </w:tc>
        <w:tc>
          <w:tcPr>
            <w:tcW w:w="2085" w:type="dxa"/>
            <w:noWrap w:val="0"/>
            <w:vAlign w:val="center"/>
          </w:tcPr>
          <w:p>
            <w:pPr>
              <w:spacing w:line="360" w:lineRule="auto"/>
              <w:ind w:firstLine="0" w:firstLineChars="0"/>
              <w:jc w:val="center"/>
              <w:rPr>
                <w:rFonts w:ascii="Calibri" w:hAnsi="Calibri" w:eastAsia="宋体" w:cs="Times New Roman"/>
                <w:sz w:val="21"/>
                <w:szCs w:val="24"/>
              </w:rPr>
            </w:pPr>
            <w:r>
              <w:rPr>
                <w:rFonts w:ascii="Calibri" w:hAnsi="Calibri" w:eastAsia="宋体" w:cs="Times New Roman"/>
                <w:sz w:val="21"/>
                <w:szCs w:val="24"/>
              </w:rPr>
              <w:t>外购</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72" w:hRule="atLeast"/>
          <w:jc w:val="center"/>
        </w:trPr>
        <w:tc>
          <w:tcPr>
            <w:tcW w:w="1260" w:type="dxa"/>
            <w:noWrap w:val="0"/>
            <w:vAlign w:val="center"/>
          </w:tcPr>
          <w:p>
            <w:pPr>
              <w:spacing w:line="360" w:lineRule="auto"/>
              <w:ind w:firstLine="0" w:firstLineChars="0"/>
              <w:jc w:val="center"/>
              <w:rPr>
                <w:rFonts w:hint="eastAsia" w:ascii="Calibri" w:hAnsi="Calibri" w:eastAsia="宋体" w:cs="Times New Roman"/>
                <w:sz w:val="21"/>
                <w:szCs w:val="24"/>
                <w:lang w:eastAsia="zh-CN"/>
              </w:rPr>
            </w:pPr>
            <w:r>
              <w:rPr>
                <w:rFonts w:hint="eastAsia" w:ascii="Calibri" w:hAnsi="Calibri" w:eastAsia="宋体" w:cs="Times New Roman"/>
                <w:sz w:val="21"/>
                <w:szCs w:val="24"/>
                <w:lang w:val="en-US" w:eastAsia="zh-CN"/>
              </w:rPr>
              <w:t>5</w:t>
            </w:r>
          </w:p>
        </w:tc>
        <w:tc>
          <w:tcPr>
            <w:tcW w:w="2426" w:type="dxa"/>
            <w:noWrap w:val="0"/>
            <w:vAlign w:val="center"/>
          </w:tcPr>
          <w:p>
            <w:pPr>
              <w:widowControl w:val="0"/>
              <w:spacing w:line="360" w:lineRule="auto"/>
              <w:jc w:val="center"/>
              <w:rPr>
                <w:rFonts w:hint="eastAsia"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碎石</w:t>
            </w:r>
          </w:p>
        </w:tc>
        <w:tc>
          <w:tcPr>
            <w:tcW w:w="992" w:type="dxa"/>
            <w:noWrap w:val="0"/>
            <w:vAlign w:val="center"/>
          </w:tcPr>
          <w:p>
            <w:pPr>
              <w:spacing w:line="360" w:lineRule="auto"/>
              <w:ind w:firstLine="0" w:firstLineChars="0"/>
              <w:jc w:val="center"/>
              <w:rPr>
                <w:rFonts w:ascii="Calibri" w:hAnsi="Calibri" w:eastAsia="宋体" w:cs="Times New Roman"/>
                <w:sz w:val="21"/>
                <w:szCs w:val="24"/>
              </w:rPr>
            </w:pPr>
            <w:r>
              <w:rPr>
                <w:rFonts w:hint="eastAsia" w:ascii="Calibri" w:hAnsi="Calibri" w:eastAsia="宋体" w:cs="Times New Roman"/>
                <w:sz w:val="21"/>
                <w:szCs w:val="24"/>
                <w:lang w:val="en-US" w:eastAsia="zh-CN"/>
              </w:rPr>
              <w:t>T</w:t>
            </w:r>
          </w:p>
        </w:tc>
        <w:tc>
          <w:tcPr>
            <w:tcW w:w="2308" w:type="dxa"/>
            <w:noWrap w:val="0"/>
            <w:vAlign w:val="center"/>
          </w:tcPr>
          <w:p>
            <w:pPr>
              <w:widowControl w:val="0"/>
              <w:spacing w:line="360" w:lineRule="auto"/>
              <w:jc w:val="center"/>
              <w:rPr>
                <w:rFonts w:hint="default"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50000万吨</w:t>
            </w:r>
          </w:p>
        </w:tc>
        <w:tc>
          <w:tcPr>
            <w:tcW w:w="2085" w:type="dxa"/>
            <w:noWrap w:val="0"/>
            <w:vAlign w:val="center"/>
          </w:tcPr>
          <w:p>
            <w:pPr>
              <w:spacing w:line="360" w:lineRule="auto"/>
              <w:ind w:firstLine="0" w:firstLineChars="0"/>
              <w:jc w:val="center"/>
              <w:rPr>
                <w:rFonts w:ascii="Calibri" w:hAnsi="Calibri" w:eastAsia="宋体" w:cs="Times New Roman"/>
                <w:sz w:val="21"/>
                <w:szCs w:val="24"/>
              </w:rPr>
            </w:pPr>
            <w:r>
              <w:rPr>
                <w:rFonts w:ascii="Calibri" w:hAnsi="Calibri" w:eastAsia="宋体" w:cs="Times New Roman"/>
                <w:sz w:val="21"/>
                <w:szCs w:val="24"/>
              </w:rPr>
              <w:t>外购</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72" w:hRule="atLeast"/>
          <w:jc w:val="center"/>
        </w:trPr>
        <w:tc>
          <w:tcPr>
            <w:tcW w:w="1260" w:type="dxa"/>
            <w:noWrap w:val="0"/>
            <w:vAlign w:val="center"/>
          </w:tcPr>
          <w:p>
            <w:pPr>
              <w:spacing w:line="360" w:lineRule="auto"/>
              <w:ind w:firstLine="0" w:firstLineChars="0"/>
              <w:jc w:val="center"/>
              <w:rPr>
                <w:rFonts w:hint="eastAsia" w:ascii="Calibri" w:hAnsi="Calibri" w:eastAsia="宋体" w:cs="Times New Roman"/>
                <w:sz w:val="21"/>
                <w:szCs w:val="24"/>
                <w:lang w:eastAsia="zh-CN"/>
              </w:rPr>
            </w:pPr>
            <w:r>
              <w:rPr>
                <w:rFonts w:hint="eastAsia" w:ascii="Calibri" w:hAnsi="Calibri" w:eastAsia="宋体" w:cs="Times New Roman"/>
                <w:sz w:val="21"/>
                <w:szCs w:val="24"/>
                <w:lang w:val="en-US" w:eastAsia="zh-CN"/>
              </w:rPr>
              <w:t>6</w:t>
            </w:r>
          </w:p>
        </w:tc>
        <w:tc>
          <w:tcPr>
            <w:tcW w:w="2426" w:type="dxa"/>
            <w:noWrap w:val="0"/>
            <w:vAlign w:val="center"/>
          </w:tcPr>
          <w:p>
            <w:pPr>
              <w:widowControl w:val="0"/>
              <w:spacing w:line="360" w:lineRule="auto"/>
              <w:jc w:val="center"/>
              <w:rPr>
                <w:rFonts w:hint="eastAsia"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减水剂</w:t>
            </w:r>
          </w:p>
        </w:tc>
        <w:tc>
          <w:tcPr>
            <w:tcW w:w="992" w:type="dxa"/>
            <w:noWrap w:val="0"/>
            <w:vAlign w:val="center"/>
          </w:tcPr>
          <w:p>
            <w:pPr>
              <w:spacing w:line="360" w:lineRule="auto"/>
              <w:ind w:firstLine="0" w:firstLineChars="0"/>
              <w:jc w:val="center"/>
              <w:rPr>
                <w:rFonts w:ascii="Calibri" w:hAnsi="Calibri" w:eastAsia="宋体" w:cs="Times New Roman"/>
                <w:sz w:val="21"/>
                <w:szCs w:val="24"/>
              </w:rPr>
            </w:pPr>
            <w:r>
              <w:rPr>
                <w:rFonts w:hint="eastAsia" w:ascii="Calibri" w:hAnsi="Calibri" w:eastAsia="宋体" w:cs="Times New Roman"/>
                <w:sz w:val="21"/>
                <w:szCs w:val="24"/>
                <w:lang w:val="en-US" w:eastAsia="zh-CN"/>
              </w:rPr>
              <w:t>T</w:t>
            </w:r>
          </w:p>
        </w:tc>
        <w:tc>
          <w:tcPr>
            <w:tcW w:w="2308" w:type="dxa"/>
            <w:noWrap w:val="0"/>
            <w:vAlign w:val="center"/>
          </w:tcPr>
          <w:p>
            <w:pPr>
              <w:widowControl w:val="0"/>
              <w:spacing w:line="360" w:lineRule="auto"/>
              <w:jc w:val="center"/>
              <w:rPr>
                <w:rFonts w:hint="default"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15000吨</w:t>
            </w:r>
          </w:p>
        </w:tc>
        <w:tc>
          <w:tcPr>
            <w:tcW w:w="2085" w:type="dxa"/>
            <w:noWrap w:val="0"/>
            <w:vAlign w:val="center"/>
          </w:tcPr>
          <w:p>
            <w:pPr>
              <w:spacing w:line="360" w:lineRule="auto"/>
              <w:ind w:firstLine="0" w:firstLineChars="0"/>
              <w:jc w:val="center"/>
              <w:rPr>
                <w:rFonts w:ascii="Calibri" w:hAnsi="Calibri" w:eastAsia="宋体" w:cs="Times New Roman"/>
                <w:sz w:val="21"/>
                <w:szCs w:val="24"/>
              </w:rPr>
            </w:pPr>
            <w:r>
              <w:rPr>
                <w:rFonts w:ascii="Calibri" w:hAnsi="Calibri" w:eastAsia="宋体" w:cs="Times New Roman"/>
                <w:sz w:val="21"/>
                <w:szCs w:val="24"/>
              </w:rPr>
              <w:t>外购</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72" w:hRule="atLeast"/>
          <w:jc w:val="center"/>
        </w:trPr>
        <w:tc>
          <w:tcPr>
            <w:tcW w:w="1260" w:type="dxa"/>
            <w:noWrap w:val="0"/>
            <w:vAlign w:val="center"/>
          </w:tcPr>
          <w:p>
            <w:pPr>
              <w:spacing w:line="360" w:lineRule="auto"/>
              <w:ind w:firstLine="0" w:firstLineChars="0"/>
              <w:jc w:val="center"/>
              <w:rPr>
                <w:rFonts w:hint="eastAsia" w:ascii="Calibri" w:hAnsi="Calibri" w:eastAsia="宋体" w:cs="Times New Roman"/>
                <w:sz w:val="21"/>
                <w:szCs w:val="24"/>
                <w:lang w:eastAsia="zh-CN"/>
              </w:rPr>
            </w:pPr>
            <w:r>
              <w:rPr>
                <w:rFonts w:hint="eastAsia" w:ascii="Calibri" w:hAnsi="Calibri" w:eastAsia="宋体" w:cs="Times New Roman"/>
                <w:sz w:val="21"/>
                <w:szCs w:val="24"/>
                <w:lang w:val="en-US" w:eastAsia="zh-CN"/>
              </w:rPr>
              <w:t>7</w:t>
            </w:r>
          </w:p>
        </w:tc>
        <w:tc>
          <w:tcPr>
            <w:tcW w:w="2426" w:type="dxa"/>
            <w:noWrap w:val="0"/>
            <w:vAlign w:val="center"/>
          </w:tcPr>
          <w:p>
            <w:pPr>
              <w:widowControl w:val="0"/>
              <w:spacing w:line="360" w:lineRule="auto"/>
              <w:jc w:val="center"/>
              <w:rPr>
                <w:rFonts w:hint="eastAsia"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生活用水</w:t>
            </w:r>
          </w:p>
        </w:tc>
        <w:tc>
          <w:tcPr>
            <w:tcW w:w="992" w:type="dxa"/>
            <w:noWrap w:val="0"/>
            <w:vAlign w:val="center"/>
          </w:tcPr>
          <w:p>
            <w:pPr>
              <w:spacing w:line="360" w:lineRule="auto"/>
              <w:ind w:firstLine="0" w:firstLineChars="0"/>
              <w:jc w:val="center"/>
              <w:rPr>
                <w:rFonts w:ascii="Calibri" w:hAnsi="Calibri" w:eastAsia="宋体" w:cs="Times New Roman"/>
                <w:sz w:val="21"/>
                <w:szCs w:val="24"/>
              </w:rPr>
            </w:pPr>
            <w:r>
              <w:rPr>
                <w:rFonts w:hint="eastAsia" w:ascii="Calibri" w:hAnsi="Calibri" w:eastAsia="宋体" w:cs="Times New Roman"/>
                <w:sz w:val="21"/>
                <w:szCs w:val="24"/>
                <w:lang w:val="en-US" w:eastAsia="zh-CN"/>
              </w:rPr>
              <w:t>T/a</w:t>
            </w:r>
          </w:p>
        </w:tc>
        <w:tc>
          <w:tcPr>
            <w:tcW w:w="2308" w:type="dxa"/>
            <w:noWrap w:val="0"/>
            <w:vAlign w:val="center"/>
          </w:tcPr>
          <w:p>
            <w:pPr>
              <w:widowControl w:val="0"/>
              <w:spacing w:line="360" w:lineRule="auto"/>
              <w:jc w:val="center"/>
              <w:rPr>
                <w:rFonts w:hint="default"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6000吨</w:t>
            </w:r>
          </w:p>
        </w:tc>
        <w:tc>
          <w:tcPr>
            <w:tcW w:w="2085" w:type="dxa"/>
            <w:noWrap w:val="0"/>
            <w:vAlign w:val="center"/>
          </w:tcPr>
          <w:p>
            <w:pPr>
              <w:spacing w:line="360" w:lineRule="auto"/>
              <w:ind w:firstLine="0" w:firstLineChars="0"/>
              <w:jc w:val="center"/>
              <w:rPr>
                <w:rFonts w:ascii="Calibri" w:hAnsi="Calibri" w:eastAsia="宋体" w:cs="Times New Roman"/>
                <w:sz w:val="21"/>
                <w:szCs w:val="24"/>
              </w:rPr>
            </w:pPr>
            <w:r>
              <w:rPr>
                <w:rFonts w:ascii="Calibri" w:hAnsi="Calibri" w:eastAsia="宋体" w:cs="Times New Roman"/>
                <w:sz w:val="21"/>
                <w:szCs w:val="24"/>
              </w:rPr>
              <w:t>外购</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72" w:hRule="atLeast"/>
          <w:jc w:val="center"/>
        </w:trPr>
        <w:tc>
          <w:tcPr>
            <w:tcW w:w="1260" w:type="dxa"/>
            <w:noWrap w:val="0"/>
            <w:vAlign w:val="center"/>
          </w:tcPr>
          <w:p>
            <w:pPr>
              <w:spacing w:line="360" w:lineRule="auto"/>
              <w:ind w:firstLine="0" w:firstLineChars="0"/>
              <w:jc w:val="center"/>
              <w:rPr>
                <w:rFonts w:hint="eastAsia" w:ascii="Calibri" w:hAnsi="Calibri" w:eastAsia="宋体" w:cs="Times New Roman"/>
                <w:sz w:val="21"/>
                <w:szCs w:val="24"/>
                <w:lang w:eastAsia="zh-CN"/>
              </w:rPr>
            </w:pPr>
            <w:r>
              <w:rPr>
                <w:rFonts w:hint="eastAsia" w:ascii="Calibri" w:hAnsi="Calibri" w:eastAsia="宋体" w:cs="Times New Roman"/>
                <w:sz w:val="21"/>
                <w:szCs w:val="24"/>
                <w:lang w:val="en-US" w:eastAsia="zh-CN"/>
              </w:rPr>
              <w:t>8</w:t>
            </w:r>
          </w:p>
        </w:tc>
        <w:tc>
          <w:tcPr>
            <w:tcW w:w="2426" w:type="dxa"/>
            <w:noWrap w:val="0"/>
            <w:vAlign w:val="center"/>
          </w:tcPr>
          <w:p>
            <w:pPr>
              <w:widowControl w:val="0"/>
              <w:spacing w:line="360" w:lineRule="auto"/>
              <w:jc w:val="center"/>
              <w:rPr>
                <w:rFonts w:hint="eastAsia"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生产用水</w:t>
            </w:r>
          </w:p>
        </w:tc>
        <w:tc>
          <w:tcPr>
            <w:tcW w:w="992" w:type="dxa"/>
            <w:noWrap w:val="0"/>
            <w:vAlign w:val="center"/>
          </w:tcPr>
          <w:p>
            <w:pPr>
              <w:widowControl w:val="0"/>
              <w:spacing w:line="360" w:lineRule="auto"/>
              <w:jc w:val="center"/>
              <w:rPr>
                <w:rFonts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T/a</w:t>
            </w:r>
          </w:p>
        </w:tc>
        <w:tc>
          <w:tcPr>
            <w:tcW w:w="2308" w:type="dxa"/>
            <w:noWrap w:val="0"/>
            <w:vAlign w:val="center"/>
          </w:tcPr>
          <w:p>
            <w:pPr>
              <w:widowControl w:val="0"/>
              <w:spacing w:line="360" w:lineRule="auto"/>
              <w:jc w:val="center"/>
              <w:rPr>
                <w:rFonts w:hint="default"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60000吨</w:t>
            </w:r>
          </w:p>
        </w:tc>
        <w:tc>
          <w:tcPr>
            <w:tcW w:w="2085" w:type="dxa"/>
            <w:noWrap w:val="0"/>
            <w:vAlign w:val="center"/>
          </w:tcPr>
          <w:p>
            <w:pPr>
              <w:spacing w:line="360" w:lineRule="auto"/>
              <w:ind w:firstLine="0" w:firstLineChars="0"/>
              <w:jc w:val="center"/>
              <w:rPr>
                <w:rFonts w:ascii="Calibri" w:hAnsi="Calibri" w:eastAsia="宋体" w:cs="Times New Roman"/>
                <w:sz w:val="21"/>
                <w:szCs w:val="24"/>
              </w:rPr>
            </w:pPr>
            <w:r>
              <w:rPr>
                <w:rFonts w:ascii="Calibri" w:hAnsi="Calibri" w:eastAsia="宋体" w:cs="Times New Roman"/>
                <w:sz w:val="21"/>
                <w:szCs w:val="24"/>
              </w:rPr>
              <w:t>外购</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72" w:hRule="atLeast"/>
          <w:jc w:val="center"/>
        </w:trPr>
        <w:tc>
          <w:tcPr>
            <w:tcW w:w="1260" w:type="dxa"/>
            <w:noWrap w:val="0"/>
            <w:vAlign w:val="center"/>
          </w:tcPr>
          <w:p>
            <w:pPr>
              <w:spacing w:line="360" w:lineRule="auto"/>
              <w:ind w:firstLine="0" w:firstLineChars="0"/>
              <w:jc w:val="center"/>
              <w:rPr>
                <w:rFonts w:hint="eastAsia" w:ascii="Calibri" w:hAnsi="Calibri" w:eastAsia="宋体" w:cs="Times New Roman"/>
                <w:sz w:val="21"/>
                <w:szCs w:val="24"/>
                <w:lang w:eastAsia="zh-CN"/>
              </w:rPr>
            </w:pPr>
            <w:r>
              <w:rPr>
                <w:rFonts w:hint="eastAsia" w:ascii="Calibri" w:hAnsi="Calibri" w:eastAsia="宋体" w:cs="Times New Roman"/>
                <w:sz w:val="21"/>
                <w:szCs w:val="24"/>
                <w:lang w:val="en-US" w:eastAsia="zh-CN"/>
              </w:rPr>
              <w:t>9</w:t>
            </w:r>
          </w:p>
        </w:tc>
        <w:tc>
          <w:tcPr>
            <w:tcW w:w="2426" w:type="dxa"/>
            <w:noWrap w:val="0"/>
            <w:vAlign w:val="center"/>
          </w:tcPr>
          <w:p>
            <w:pPr>
              <w:widowControl w:val="0"/>
              <w:spacing w:line="360" w:lineRule="auto"/>
              <w:jc w:val="center"/>
              <w:rPr>
                <w:rFonts w:hint="eastAsia"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电</w:t>
            </w:r>
          </w:p>
        </w:tc>
        <w:tc>
          <w:tcPr>
            <w:tcW w:w="992" w:type="dxa"/>
            <w:noWrap w:val="0"/>
            <w:vAlign w:val="center"/>
          </w:tcPr>
          <w:p>
            <w:pPr>
              <w:widowControl w:val="0"/>
              <w:spacing w:line="360" w:lineRule="auto"/>
              <w:jc w:val="center"/>
              <w:rPr>
                <w:rFonts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Kwh/a</w:t>
            </w:r>
          </w:p>
        </w:tc>
        <w:tc>
          <w:tcPr>
            <w:tcW w:w="2308" w:type="dxa"/>
            <w:noWrap w:val="0"/>
            <w:vAlign w:val="center"/>
          </w:tcPr>
          <w:p>
            <w:pPr>
              <w:widowControl w:val="0"/>
              <w:spacing w:line="360" w:lineRule="auto"/>
              <w:jc w:val="center"/>
              <w:rPr>
                <w:rFonts w:hint="default"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53</w:t>
            </w:r>
          </w:p>
        </w:tc>
        <w:tc>
          <w:tcPr>
            <w:tcW w:w="2085" w:type="dxa"/>
            <w:noWrap w:val="0"/>
            <w:vAlign w:val="center"/>
          </w:tcPr>
          <w:p>
            <w:pPr>
              <w:spacing w:line="360" w:lineRule="auto"/>
              <w:ind w:firstLine="0" w:firstLineChars="0"/>
              <w:jc w:val="center"/>
              <w:rPr>
                <w:rFonts w:ascii="Calibri" w:hAnsi="Calibri" w:eastAsia="宋体" w:cs="Times New Roman"/>
                <w:sz w:val="21"/>
                <w:szCs w:val="24"/>
              </w:rPr>
            </w:pPr>
            <w:r>
              <w:rPr>
                <w:rFonts w:ascii="Calibri" w:hAnsi="Calibri" w:eastAsia="宋体" w:cs="Times New Roman"/>
                <w:sz w:val="21"/>
                <w:szCs w:val="24"/>
              </w:rPr>
              <w:t>外购</w:t>
            </w:r>
          </w:p>
        </w:tc>
      </w:tr>
    </w:tbl>
    <w:p>
      <w:pPr>
        <w:pStyle w:val="6"/>
        <w:numPr>
          <w:numId w:val="0"/>
        </w:numPr>
        <w:ind w:leftChars="0"/>
        <w:rPr>
          <w:rFonts w:hint="default" w:ascii="Times New Roman" w:hAnsi="Times New Roman" w:eastAsia="宋体" w:cs="Times New Roman"/>
          <w:b w:val="0"/>
          <w:bCs w:val="0"/>
          <w:sz w:val="24"/>
          <w:szCs w:val="24"/>
          <w:lang w:val="en-US" w:eastAsia="zh-CN"/>
        </w:rPr>
      </w:pPr>
      <w:bookmarkStart w:id="92" w:name="_GoBack"/>
      <w:r>
        <w:rPr>
          <w:rFonts w:hint="default" w:ascii="Times New Roman" w:hAnsi="Times New Roman" w:eastAsia="宋体" w:cs="Times New Roman"/>
          <w:b w:val="0"/>
          <w:bCs w:val="0"/>
          <w:sz w:val="24"/>
          <w:szCs w:val="24"/>
          <w:lang w:val="en-US" w:eastAsia="zh-CN"/>
        </w:rPr>
        <w:t>减水剂理化特性：外观粉黄褐色粉状物 PH值7-9；液棕褐色液体密度，(g/Ml)1.20±0.02</w:t>
      </w:r>
    </w:p>
    <w:p>
      <w:pPr>
        <w:pStyle w:val="6"/>
        <w:numPr>
          <w:numId w:val="0"/>
        </w:numPr>
        <w:ind w:leftChars="0"/>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固体含水率≤10% 氯离子含量无；净浆流动度≥200mm</w:t>
      </w:r>
    </w:p>
    <w:bookmarkEnd w:id="92"/>
    <w:p>
      <w:pPr>
        <w:pStyle w:val="6"/>
        <w:rPr>
          <w:sz w:val="24"/>
          <w:szCs w:val="24"/>
        </w:rPr>
      </w:pPr>
      <w:r>
        <w:rPr>
          <w:rFonts w:hint="eastAsia"/>
          <w:sz w:val="24"/>
          <w:szCs w:val="24"/>
          <w:lang w:eastAsia="zh-CN"/>
        </w:rPr>
        <w:t>项目污染源及治理措施一览表</w:t>
      </w:r>
    </w:p>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eastAsia="宋体"/>
          <w:b/>
          <w:bCs/>
          <w:sz w:val="24"/>
          <w:szCs w:val="24"/>
          <w:lang w:eastAsia="zh-CN"/>
        </w:rPr>
      </w:pPr>
      <w:r>
        <w:rPr>
          <w:rFonts w:hint="eastAsia"/>
          <w:b/>
          <w:bCs/>
          <w:sz w:val="24"/>
          <w:szCs w:val="24"/>
        </w:rPr>
        <w:t xml:space="preserve">表 </w:t>
      </w:r>
      <w:r>
        <w:rPr>
          <w:b/>
          <w:bCs/>
          <w:sz w:val="24"/>
          <w:szCs w:val="24"/>
        </w:rPr>
        <w:fldChar w:fldCharType="begin"/>
      </w:r>
      <w:r>
        <w:rPr>
          <w:b/>
          <w:bCs/>
          <w:sz w:val="24"/>
          <w:szCs w:val="24"/>
        </w:rPr>
        <w:instrText xml:space="preserve"> </w:instrText>
      </w:r>
      <w:r>
        <w:rPr>
          <w:rFonts w:hint="eastAsia"/>
          <w:b/>
          <w:bCs/>
          <w:sz w:val="24"/>
          <w:szCs w:val="24"/>
        </w:rPr>
        <w:instrText xml:space="preserve">STYLEREF 1 \s</w:instrText>
      </w:r>
      <w:r>
        <w:rPr>
          <w:b/>
          <w:bCs/>
          <w:sz w:val="24"/>
          <w:szCs w:val="24"/>
        </w:rPr>
        <w:instrText xml:space="preserve"> </w:instrText>
      </w:r>
      <w:r>
        <w:rPr>
          <w:b/>
          <w:bCs/>
          <w:sz w:val="24"/>
          <w:szCs w:val="24"/>
        </w:rPr>
        <w:fldChar w:fldCharType="separate"/>
      </w:r>
      <w:r>
        <w:rPr>
          <w:b/>
          <w:bCs/>
          <w:sz w:val="24"/>
          <w:szCs w:val="24"/>
        </w:rPr>
        <w:t>3</w:t>
      </w:r>
      <w:r>
        <w:rPr>
          <w:b/>
          <w:bCs/>
          <w:sz w:val="24"/>
          <w:szCs w:val="24"/>
        </w:rPr>
        <w:fldChar w:fldCharType="end"/>
      </w:r>
      <w:r>
        <w:rPr>
          <w:b/>
          <w:bCs/>
          <w:sz w:val="24"/>
          <w:szCs w:val="24"/>
        </w:rPr>
        <w:noBreakHyphen/>
      </w:r>
      <w:r>
        <w:rPr>
          <w:rFonts w:hint="default"/>
          <w:b/>
          <w:bCs/>
          <w:sz w:val="24"/>
          <w:szCs w:val="24"/>
          <w:lang w:val="en-US" w:eastAsia="zh-CN"/>
        </w:rPr>
        <w:t>7</w:t>
      </w:r>
      <w:r>
        <w:rPr>
          <w:rFonts w:hint="eastAsia"/>
          <w:b/>
          <w:bCs/>
          <w:sz w:val="24"/>
          <w:szCs w:val="24"/>
          <w:lang w:eastAsia="zh-CN"/>
        </w:rPr>
        <w:t>项目污染源及污染措施</w:t>
      </w:r>
    </w:p>
    <w:tbl>
      <w:tblPr>
        <w:tblStyle w:val="1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6"/>
        <w:gridCol w:w="2067"/>
        <w:gridCol w:w="1733"/>
        <w:gridCol w:w="2798"/>
        <w:gridCol w:w="11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3" w:type="pct"/>
            <w:vAlign w:val="center"/>
          </w:tcPr>
          <w:p>
            <w:pPr>
              <w:widowControl/>
              <w:spacing w:line="240" w:lineRule="auto"/>
              <w:ind w:firstLine="0" w:firstLineChars="0"/>
              <w:jc w:val="center"/>
              <w:rPr>
                <w:rFonts w:hint="eastAsia" w:cs="Times New Roman"/>
                <w:color w:val="000000"/>
                <w:kern w:val="0"/>
                <w:sz w:val="21"/>
                <w:szCs w:val="21"/>
                <w:lang w:val="en-US" w:eastAsia="zh-CN"/>
              </w:rPr>
            </w:pPr>
            <w:r>
              <w:rPr>
                <w:rFonts w:hint="eastAsia" w:cs="Times New Roman"/>
                <w:color w:val="000000"/>
                <w:kern w:val="0"/>
                <w:sz w:val="21"/>
                <w:szCs w:val="21"/>
                <w:lang w:val="en-US" w:eastAsia="zh-CN"/>
              </w:rPr>
              <w:t>类型</w:t>
            </w:r>
          </w:p>
        </w:tc>
        <w:tc>
          <w:tcPr>
            <w:tcW w:w="1106" w:type="pct"/>
            <w:vAlign w:val="center"/>
          </w:tcPr>
          <w:p>
            <w:pPr>
              <w:widowControl/>
              <w:spacing w:line="240" w:lineRule="auto"/>
              <w:ind w:firstLine="0" w:firstLineChars="0"/>
              <w:jc w:val="center"/>
              <w:rPr>
                <w:rFonts w:hint="eastAsia" w:cs="Times New Roman"/>
                <w:color w:val="000000"/>
                <w:kern w:val="0"/>
                <w:sz w:val="21"/>
                <w:szCs w:val="21"/>
                <w:lang w:val="en-US" w:eastAsia="zh-CN"/>
              </w:rPr>
            </w:pPr>
            <w:r>
              <w:rPr>
                <w:rFonts w:hint="eastAsia" w:cs="Times New Roman"/>
                <w:color w:val="000000"/>
                <w:kern w:val="0"/>
                <w:sz w:val="21"/>
                <w:szCs w:val="21"/>
                <w:lang w:val="en-US" w:eastAsia="zh-CN"/>
              </w:rPr>
              <w:t>产生工段</w:t>
            </w:r>
          </w:p>
        </w:tc>
        <w:tc>
          <w:tcPr>
            <w:tcW w:w="927" w:type="pct"/>
            <w:vAlign w:val="center"/>
          </w:tcPr>
          <w:p>
            <w:pPr>
              <w:widowControl/>
              <w:spacing w:line="240" w:lineRule="auto"/>
              <w:ind w:firstLine="0" w:firstLineChars="0"/>
              <w:jc w:val="center"/>
              <w:rPr>
                <w:rFonts w:hint="eastAsia" w:cs="Times New Roman"/>
                <w:color w:val="000000"/>
                <w:kern w:val="0"/>
                <w:sz w:val="21"/>
                <w:szCs w:val="21"/>
                <w:lang w:val="en-US" w:eastAsia="zh-CN"/>
              </w:rPr>
            </w:pPr>
            <w:r>
              <w:rPr>
                <w:rFonts w:hint="eastAsia" w:cs="Times New Roman"/>
                <w:color w:val="000000"/>
                <w:kern w:val="0"/>
                <w:sz w:val="21"/>
                <w:szCs w:val="21"/>
                <w:lang w:val="en-US" w:eastAsia="zh-CN"/>
              </w:rPr>
              <w:t>污染物</w:t>
            </w:r>
          </w:p>
        </w:tc>
        <w:tc>
          <w:tcPr>
            <w:tcW w:w="1497" w:type="pct"/>
            <w:vAlign w:val="center"/>
          </w:tcPr>
          <w:p>
            <w:pPr>
              <w:widowControl/>
              <w:spacing w:line="240" w:lineRule="auto"/>
              <w:ind w:firstLine="0" w:firstLineChars="0"/>
              <w:jc w:val="center"/>
              <w:rPr>
                <w:rFonts w:hint="eastAsia" w:cs="Times New Roman"/>
                <w:color w:val="000000"/>
                <w:kern w:val="0"/>
                <w:sz w:val="21"/>
                <w:szCs w:val="21"/>
                <w:lang w:val="en-US" w:eastAsia="zh-CN"/>
              </w:rPr>
            </w:pPr>
            <w:r>
              <w:rPr>
                <w:rFonts w:hint="eastAsia" w:cs="Times New Roman"/>
                <w:color w:val="000000"/>
                <w:kern w:val="0"/>
                <w:sz w:val="21"/>
                <w:szCs w:val="21"/>
                <w:lang w:val="en-US" w:eastAsia="zh-CN"/>
              </w:rPr>
              <w:t>治理措施</w:t>
            </w:r>
          </w:p>
        </w:tc>
        <w:tc>
          <w:tcPr>
            <w:tcW w:w="625" w:type="pct"/>
            <w:vAlign w:val="center"/>
          </w:tcPr>
          <w:p>
            <w:pPr>
              <w:widowControl/>
              <w:spacing w:line="240" w:lineRule="auto"/>
              <w:ind w:firstLine="0" w:firstLineChars="0"/>
              <w:jc w:val="center"/>
              <w:rPr>
                <w:rFonts w:hint="eastAsia" w:cs="Times New Roman"/>
                <w:color w:val="000000"/>
                <w:kern w:val="0"/>
                <w:sz w:val="21"/>
                <w:szCs w:val="21"/>
                <w:lang w:val="en-US" w:eastAsia="zh-CN"/>
              </w:rPr>
            </w:pPr>
            <w:r>
              <w:rPr>
                <w:rFonts w:hint="eastAsia" w:cs="Times New Roman"/>
                <w:color w:val="000000"/>
                <w:kern w:val="0"/>
                <w:sz w:val="21"/>
                <w:szCs w:val="21"/>
                <w:lang w:val="en-US" w:eastAsia="zh-CN"/>
              </w:rPr>
              <w:t>排放情况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3" w:type="pct"/>
            <w:vAlign w:val="center"/>
          </w:tcPr>
          <w:p>
            <w:pPr>
              <w:widowControl/>
              <w:spacing w:line="240" w:lineRule="auto"/>
              <w:ind w:firstLine="0" w:firstLineChars="0"/>
              <w:jc w:val="center"/>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rPr>
              <w:t>无组织废气</w:t>
            </w:r>
          </w:p>
        </w:tc>
        <w:tc>
          <w:tcPr>
            <w:tcW w:w="1106" w:type="pct"/>
            <w:vAlign w:val="center"/>
          </w:tcPr>
          <w:p>
            <w:pPr>
              <w:widowControl/>
              <w:spacing w:line="240" w:lineRule="auto"/>
              <w:ind w:firstLine="0" w:firstLineChars="0"/>
              <w:jc w:val="center"/>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rPr>
              <w:t>车间</w:t>
            </w:r>
          </w:p>
        </w:tc>
        <w:tc>
          <w:tcPr>
            <w:tcW w:w="927" w:type="pct"/>
            <w:vAlign w:val="center"/>
          </w:tcPr>
          <w:p>
            <w:pPr>
              <w:widowControl/>
              <w:spacing w:line="240" w:lineRule="auto"/>
              <w:ind w:firstLine="0" w:firstLineChars="0"/>
              <w:jc w:val="center"/>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rPr>
              <w:t>颗粒物</w:t>
            </w:r>
          </w:p>
        </w:tc>
        <w:tc>
          <w:tcPr>
            <w:tcW w:w="1497" w:type="pct"/>
            <w:vAlign w:val="center"/>
          </w:tcPr>
          <w:p>
            <w:pPr>
              <w:widowControl/>
              <w:spacing w:line="240" w:lineRule="auto"/>
              <w:ind w:firstLine="0" w:firstLineChars="0"/>
              <w:jc w:val="center"/>
              <w:rPr>
                <w:rFonts w:hint="default" w:cs="Times New Roman"/>
                <w:color w:val="000000"/>
                <w:kern w:val="0"/>
                <w:sz w:val="21"/>
                <w:szCs w:val="21"/>
                <w:lang w:val="en-US" w:eastAsia="zh-CN"/>
              </w:rPr>
            </w:pPr>
            <w:r>
              <w:rPr>
                <w:rFonts w:hint="eastAsia" w:cs="Times New Roman"/>
                <w:color w:val="000000"/>
                <w:kern w:val="0"/>
                <w:sz w:val="21"/>
                <w:szCs w:val="21"/>
                <w:lang w:val="en-US" w:eastAsia="zh-CN"/>
              </w:rPr>
              <w:t>布袋除尘</w:t>
            </w:r>
          </w:p>
        </w:tc>
        <w:tc>
          <w:tcPr>
            <w:tcW w:w="625" w:type="pct"/>
            <w:vAlign w:val="center"/>
          </w:tcPr>
          <w:p>
            <w:pPr>
              <w:widowControl/>
              <w:spacing w:line="240" w:lineRule="auto"/>
              <w:ind w:firstLine="0" w:firstLineChars="0"/>
              <w:jc w:val="center"/>
              <w:rPr>
                <w:rFonts w:hint="default" w:cs="Times New Roman"/>
                <w:color w:val="000000"/>
                <w:kern w:val="0"/>
                <w:sz w:val="21"/>
                <w:szCs w:val="21"/>
                <w:lang w:val="en-US" w:eastAsia="zh-CN"/>
              </w:rPr>
            </w:pPr>
            <w:r>
              <w:rPr>
                <w:rFonts w:hint="eastAsia" w:cs="Times New Roman"/>
                <w:color w:val="000000"/>
                <w:kern w:val="0"/>
                <w:sz w:val="21"/>
                <w:szCs w:val="21"/>
                <w:lang w:val="en-US" w:eastAsia="zh-CN"/>
              </w:rPr>
              <w:t>无组织排放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3" w:type="pct"/>
            <w:vMerge w:val="restart"/>
            <w:vAlign w:val="center"/>
          </w:tcPr>
          <w:p>
            <w:pPr>
              <w:widowControl/>
              <w:spacing w:line="240" w:lineRule="auto"/>
              <w:ind w:firstLine="0" w:firstLineChars="0"/>
              <w:jc w:val="center"/>
              <w:rPr>
                <w:rFonts w:hint="eastAsia" w:cs="Times New Roman"/>
                <w:color w:val="000000"/>
                <w:kern w:val="0"/>
                <w:sz w:val="21"/>
                <w:szCs w:val="21"/>
                <w:lang w:val="en-US" w:eastAsia="zh-CN"/>
              </w:rPr>
            </w:pPr>
            <w:r>
              <w:rPr>
                <w:rFonts w:hint="eastAsia" w:cs="Times New Roman"/>
                <w:color w:val="000000"/>
                <w:kern w:val="0"/>
                <w:sz w:val="21"/>
                <w:szCs w:val="21"/>
                <w:lang w:val="en-US" w:eastAsia="zh-CN"/>
              </w:rPr>
              <w:t>废水</w:t>
            </w:r>
          </w:p>
        </w:tc>
        <w:tc>
          <w:tcPr>
            <w:tcW w:w="1106" w:type="pct"/>
            <w:vAlign w:val="center"/>
          </w:tcPr>
          <w:p>
            <w:pPr>
              <w:widowControl/>
              <w:spacing w:line="240" w:lineRule="auto"/>
              <w:ind w:firstLine="0" w:firstLineChars="0"/>
              <w:jc w:val="center"/>
              <w:rPr>
                <w:rFonts w:hint="eastAsia" w:cs="Times New Roman"/>
                <w:color w:val="000000"/>
                <w:kern w:val="0"/>
                <w:sz w:val="21"/>
                <w:szCs w:val="21"/>
                <w:lang w:val="en-US" w:eastAsia="zh-CN"/>
              </w:rPr>
            </w:pPr>
            <w:r>
              <w:rPr>
                <w:rFonts w:hint="eastAsia" w:cs="Times New Roman"/>
                <w:color w:val="000000"/>
                <w:kern w:val="0"/>
                <w:sz w:val="21"/>
                <w:szCs w:val="21"/>
                <w:lang w:val="en-US" w:eastAsia="zh-CN"/>
              </w:rPr>
              <w:t>生活污水</w:t>
            </w:r>
          </w:p>
        </w:tc>
        <w:tc>
          <w:tcPr>
            <w:tcW w:w="927" w:type="pct"/>
            <w:vAlign w:val="center"/>
          </w:tcPr>
          <w:p>
            <w:pPr>
              <w:widowControl/>
              <w:spacing w:line="240" w:lineRule="auto"/>
              <w:ind w:firstLine="0" w:firstLineChars="0"/>
              <w:jc w:val="center"/>
              <w:rPr>
                <w:rFonts w:hint="default" w:cs="Times New Roman"/>
                <w:color w:val="000000"/>
                <w:kern w:val="0"/>
                <w:sz w:val="21"/>
                <w:szCs w:val="21"/>
                <w:lang w:val="en-US" w:eastAsia="zh-CN"/>
              </w:rPr>
            </w:pPr>
            <w:r>
              <w:rPr>
                <w:rFonts w:hint="eastAsia" w:cs="Times New Roman"/>
                <w:color w:val="000000"/>
                <w:kern w:val="0"/>
                <w:sz w:val="21"/>
                <w:szCs w:val="21"/>
                <w:lang w:val="en-US" w:eastAsia="zh-CN"/>
              </w:rPr>
              <w:t>COD、BOD</w:t>
            </w:r>
            <w:r>
              <w:rPr>
                <w:rFonts w:hint="eastAsia" w:cs="Times New Roman"/>
                <w:color w:val="000000"/>
                <w:kern w:val="0"/>
                <w:sz w:val="21"/>
                <w:szCs w:val="21"/>
                <w:vertAlign w:val="subscript"/>
                <w:lang w:val="en-US" w:eastAsia="zh-CN"/>
              </w:rPr>
              <w:t>5</w:t>
            </w:r>
            <w:r>
              <w:rPr>
                <w:rFonts w:hint="eastAsia" w:cs="Times New Roman"/>
                <w:color w:val="000000"/>
                <w:kern w:val="0"/>
                <w:sz w:val="21"/>
                <w:szCs w:val="21"/>
                <w:lang w:val="en-US" w:eastAsia="zh-CN"/>
              </w:rPr>
              <w:t>、SS、氨氮、动植物油</w:t>
            </w:r>
          </w:p>
        </w:tc>
        <w:tc>
          <w:tcPr>
            <w:tcW w:w="1497" w:type="pct"/>
            <w:vAlign w:val="center"/>
          </w:tcPr>
          <w:p>
            <w:pPr>
              <w:widowControl/>
              <w:spacing w:line="240" w:lineRule="auto"/>
              <w:ind w:firstLine="0" w:firstLineChars="0"/>
              <w:jc w:val="center"/>
              <w:rPr>
                <w:rFonts w:hint="default" w:cs="Times New Roman"/>
                <w:color w:val="000000"/>
                <w:kern w:val="0"/>
                <w:sz w:val="21"/>
                <w:szCs w:val="21"/>
                <w:lang w:val="en-US" w:eastAsia="zh-CN"/>
              </w:rPr>
            </w:pPr>
            <w:r>
              <w:rPr>
                <w:rFonts w:hint="eastAsia" w:cs="Times New Roman"/>
                <w:color w:val="000000"/>
                <w:kern w:val="0"/>
                <w:sz w:val="21"/>
                <w:szCs w:val="21"/>
                <w:lang w:val="en-US" w:eastAsia="zh-CN"/>
              </w:rPr>
              <w:t>化粪池</w:t>
            </w:r>
          </w:p>
        </w:tc>
        <w:tc>
          <w:tcPr>
            <w:tcW w:w="625" w:type="pct"/>
            <w:vAlign w:val="center"/>
          </w:tcPr>
          <w:p>
            <w:pPr>
              <w:widowControl/>
              <w:spacing w:line="240" w:lineRule="auto"/>
              <w:ind w:firstLine="0" w:firstLineChars="0"/>
              <w:jc w:val="center"/>
              <w:rPr>
                <w:rFonts w:hint="eastAsia" w:cs="Times New Roman"/>
                <w:color w:val="000000"/>
                <w:kern w:val="0"/>
                <w:sz w:val="21"/>
                <w:szCs w:val="21"/>
                <w:lang w:val="en-US" w:eastAsia="zh-CN"/>
              </w:rPr>
            </w:pPr>
            <w:r>
              <w:rPr>
                <w:rFonts w:hint="eastAsia" w:cs="Times New Roman"/>
                <w:color w:val="000000"/>
                <w:kern w:val="0"/>
                <w:sz w:val="21"/>
                <w:szCs w:val="21"/>
                <w:lang w:val="en-US" w:eastAsia="zh-CN"/>
              </w:rPr>
              <w:t>废水总排口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3" w:type="pct"/>
            <w:vMerge w:val="continue"/>
            <w:vAlign w:val="center"/>
          </w:tcPr>
          <w:p>
            <w:pPr>
              <w:widowControl/>
              <w:spacing w:line="240" w:lineRule="auto"/>
              <w:ind w:firstLine="0" w:firstLineChars="0"/>
              <w:jc w:val="center"/>
              <w:rPr>
                <w:rFonts w:hint="eastAsia" w:cs="Times New Roman"/>
                <w:color w:val="000000"/>
                <w:kern w:val="0"/>
                <w:sz w:val="21"/>
                <w:szCs w:val="21"/>
                <w:lang w:val="en-US" w:eastAsia="zh-CN"/>
              </w:rPr>
            </w:pPr>
          </w:p>
        </w:tc>
        <w:tc>
          <w:tcPr>
            <w:tcW w:w="1106" w:type="pct"/>
            <w:vAlign w:val="center"/>
          </w:tcPr>
          <w:p>
            <w:pPr>
              <w:widowControl/>
              <w:spacing w:line="240" w:lineRule="auto"/>
              <w:ind w:firstLine="0" w:firstLineChars="0"/>
              <w:jc w:val="center"/>
              <w:rPr>
                <w:rFonts w:hint="eastAsia" w:ascii="Times New Roman" w:hAnsi="Times New Roman" w:cs="Times New Roman"/>
                <w:color w:val="000000"/>
                <w:kern w:val="0"/>
                <w:sz w:val="21"/>
                <w:szCs w:val="21"/>
                <w:lang w:val="en-US" w:eastAsia="zh-CN"/>
              </w:rPr>
            </w:pPr>
            <w:r>
              <w:rPr>
                <w:rFonts w:hint="eastAsia" w:ascii="Times New Roman" w:hAnsi="Times New Roman" w:cs="Times New Roman"/>
                <w:color w:val="000000"/>
                <w:kern w:val="0"/>
                <w:sz w:val="21"/>
                <w:szCs w:val="21"/>
                <w:lang w:val="en-US" w:eastAsia="zh-CN"/>
              </w:rPr>
              <w:t>冲地水、洗车水、洗轮机水</w:t>
            </w:r>
          </w:p>
        </w:tc>
        <w:tc>
          <w:tcPr>
            <w:tcW w:w="927" w:type="pct"/>
            <w:vAlign w:val="center"/>
          </w:tcPr>
          <w:p>
            <w:pPr>
              <w:widowControl/>
              <w:spacing w:line="240" w:lineRule="auto"/>
              <w:ind w:firstLine="0" w:firstLineChars="0"/>
              <w:jc w:val="center"/>
              <w:rPr>
                <w:rFonts w:hint="eastAsia" w:cs="Times New Roman"/>
                <w:color w:val="000000"/>
                <w:kern w:val="0"/>
                <w:sz w:val="21"/>
                <w:szCs w:val="21"/>
                <w:lang w:val="en-US" w:eastAsia="zh-CN"/>
              </w:rPr>
            </w:pPr>
            <w:r>
              <w:rPr>
                <w:rFonts w:hint="eastAsia" w:cs="Times New Roman"/>
                <w:color w:val="000000"/>
                <w:kern w:val="0"/>
                <w:sz w:val="21"/>
                <w:szCs w:val="21"/>
                <w:lang w:val="en-US" w:eastAsia="zh-CN"/>
              </w:rPr>
              <w:t>悬浮颗粒物</w:t>
            </w:r>
          </w:p>
        </w:tc>
        <w:tc>
          <w:tcPr>
            <w:tcW w:w="1497" w:type="pct"/>
            <w:vAlign w:val="center"/>
          </w:tcPr>
          <w:p>
            <w:pPr>
              <w:widowControl/>
              <w:spacing w:line="240" w:lineRule="auto"/>
              <w:ind w:firstLine="0" w:firstLineChars="0"/>
              <w:jc w:val="center"/>
              <w:rPr>
                <w:rFonts w:hint="eastAsia" w:cs="Times New Roman"/>
                <w:color w:val="000000"/>
                <w:kern w:val="0"/>
                <w:sz w:val="21"/>
                <w:szCs w:val="21"/>
                <w:lang w:val="en-US" w:eastAsia="zh-CN"/>
              </w:rPr>
            </w:pPr>
            <w:r>
              <w:rPr>
                <w:rFonts w:hint="eastAsia" w:cs="Times New Roman"/>
                <w:color w:val="000000"/>
                <w:kern w:val="0"/>
                <w:sz w:val="21"/>
                <w:szCs w:val="21"/>
                <w:lang w:val="en-US" w:eastAsia="zh-CN"/>
              </w:rPr>
              <w:t>收集（3</w:t>
            </w:r>
            <w:r>
              <w:rPr>
                <w:rFonts w:hint="default" w:cs="Times New Roman"/>
                <w:color w:val="000000"/>
                <w:kern w:val="0"/>
                <w:sz w:val="21"/>
                <w:szCs w:val="21"/>
                <w:lang w:val="en-US" w:eastAsia="zh-CN"/>
              </w:rPr>
              <w:t>m</w:t>
            </w:r>
            <w:r>
              <w:rPr>
                <w:rFonts w:hint="default" w:ascii="Arial" w:hAnsi="Arial" w:cs="Arial"/>
                <w:color w:val="000000"/>
                <w:kern w:val="0"/>
                <w:sz w:val="21"/>
                <w:szCs w:val="21"/>
                <w:lang w:val="en-US" w:eastAsia="zh-CN"/>
              </w:rPr>
              <w:t>×</w:t>
            </w:r>
            <w:r>
              <w:rPr>
                <w:rFonts w:hint="eastAsia" w:cs="Times New Roman"/>
                <w:color w:val="000000"/>
                <w:kern w:val="0"/>
                <w:sz w:val="21"/>
                <w:szCs w:val="21"/>
                <w:lang w:val="en-US" w:eastAsia="zh-CN"/>
              </w:rPr>
              <w:t>3</w:t>
            </w:r>
            <w:r>
              <w:rPr>
                <w:rFonts w:hint="default" w:cs="Times New Roman"/>
                <w:color w:val="000000"/>
                <w:kern w:val="0"/>
                <w:sz w:val="21"/>
                <w:szCs w:val="21"/>
                <w:lang w:val="en-US" w:eastAsia="zh-CN"/>
              </w:rPr>
              <w:t>m</w:t>
            </w:r>
            <w:r>
              <w:rPr>
                <w:rFonts w:hint="default" w:ascii="Arial" w:hAnsi="Arial" w:cs="Arial"/>
                <w:color w:val="000000"/>
                <w:kern w:val="0"/>
                <w:sz w:val="21"/>
                <w:szCs w:val="21"/>
                <w:lang w:val="en-US" w:eastAsia="zh-CN"/>
              </w:rPr>
              <w:t>×</w:t>
            </w:r>
            <w:r>
              <w:rPr>
                <w:rFonts w:hint="eastAsia" w:cs="Times New Roman"/>
                <w:color w:val="000000"/>
                <w:kern w:val="0"/>
                <w:sz w:val="21"/>
                <w:szCs w:val="21"/>
                <w:lang w:val="en-US" w:eastAsia="zh-CN"/>
              </w:rPr>
              <w:t>2</w:t>
            </w:r>
            <w:r>
              <w:rPr>
                <w:rFonts w:hint="default" w:cs="Times New Roman"/>
                <w:color w:val="000000"/>
                <w:kern w:val="0"/>
                <w:sz w:val="21"/>
                <w:szCs w:val="21"/>
                <w:lang w:val="en-US" w:eastAsia="zh-CN"/>
              </w:rPr>
              <w:t>m</w:t>
            </w:r>
            <w:r>
              <w:rPr>
                <w:rFonts w:hint="eastAsia" w:cs="Times New Roman"/>
                <w:color w:val="000000"/>
                <w:kern w:val="0"/>
                <w:sz w:val="21"/>
                <w:szCs w:val="21"/>
                <w:lang w:val="en-US" w:eastAsia="zh-CN"/>
              </w:rPr>
              <w:t>，5个，6</w:t>
            </w:r>
            <w:r>
              <w:rPr>
                <w:rFonts w:hint="default" w:cs="Times New Roman"/>
                <w:color w:val="000000"/>
                <w:kern w:val="0"/>
                <w:sz w:val="21"/>
                <w:szCs w:val="21"/>
                <w:lang w:val="en-US" w:eastAsia="zh-CN"/>
              </w:rPr>
              <w:t>m</w:t>
            </w:r>
            <w:r>
              <w:rPr>
                <w:rFonts w:hint="default" w:ascii="Arial" w:hAnsi="Arial" w:cs="Arial"/>
                <w:color w:val="000000"/>
                <w:kern w:val="0"/>
                <w:sz w:val="21"/>
                <w:szCs w:val="21"/>
                <w:lang w:val="en-US" w:eastAsia="zh-CN"/>
              </w:rPr>
              <w:t>×1.5m×</w:t>
            </w:r>
            <w:r>
              <w:rPr>
                <w:rFonts w:hint="eastAsia" w:cs="Times New Roman"/>
                <w:color w:val="000000"/>
                <w:kern w:val="0"/>
                <w:sz w:val="21"/>
                <w:szCs w:val="21"/>
                <w:lang w:val="en-US" w:eastAsia="zh-CN"/>
              </w:rPr>
              <w:t>2</w:t>
            </w:r>
            <w:r>
              <w:rPr>
                <w:rFonts w:hint="default" w:cs="Times New Roman"/>
                <w:color w:val="000000"/>
                <w:kern w:val="0"/>
                <w:sz w:val="21"/>
                <w:szCs w:val="21"/>
                <w:lang w:val="en-US" w:eastAsia="zh-CN"/>
              </w:rPr>
              <w:t>m,1</w:t>
            </w:r>
            <w:r>
              <w:rPr>
                <w:rFonts w:hint="eastAsia" w:cs="Times New Roman"/>
                <w:color w:val="000000"/>
                <w:kern w:val="0"/>
                <w:sz w:val="21"/>
                <w:szCs w:val="21"/>
                <w:lang w:val="en-US" w:eastAsia="zh-CN"/>
              </w:rPr>
              <w:t>个）</w:t>
            </w:r>
          </w:p>
          <w:p>
            <w:pPr>
              <w:widowControl/>
              <w:spacing w:line="240" w:lineRule="auto"/>
              <w:ind w:firstLine="0" w:firstLineChars="0"/>
              <w:jc w:val="center"/>
              <w:rPr>
                <w:rFonts w:hint="default" w:cs="Times New Roman"/>
                <w:color w:val="000000"/>
                <w:kern w:val="0"/>
                <w:sz w:val="21"/>
                <w:szCs w:val="21"/>
                <w:lang w:val="en-US" w:eastAsia="zh-CN"/>
              </w:rPr>
            </w:pPr>
            <w:r>
              <w:rPr>
                <w:rFonts w:hint="eastAsia" w:cs="Times New Roman"/>
                <w:color w:val="000000"/>
                <w:kern w:val="0"/>
                <w:sz w:val="21"/>
                <w:szCs w:val="21"/>
                <w:lang w:val="en-US" w:eastAsia="zh-CN"/>
              </w:rPr>
              <w:t>沉淀池</w:t>
            </w:r>
            <w:r>
              <w:rPr>
                <w:rFonts w:hint="default" w:cs="Times New Roman"/>
                <w:color w:val="000000"/>
                <w:kern w:val="0"/>
                <w:sz w:val="21"/>
                <w:szCs w:val="21"/>
                <w:lang w:val="en-US" w:eastAsia="zh-CN"/>
              </w:rPr>
              <w:t>5</w:t>
            </w:r>
            <w:r>
              <w:rPr>
                <w:rFonts w:hint="eastAsia" w:cs="Times New Roman"/>
                <w:color w:val="000000"/>
                <w:kern w:val="0"/>
                <w:sz w:val="21"/>
                <w:szCs w:val="21"/>
                <w:lang w:val="en-US" w:eastAsia="zh-CN"/>
              </w:rPr>
              <w:t>个（6</w:t>
            </w:r>
            <w:r>
              <w:rPr>
                <w:rFonts w:hint="default" w:cs="Times New Roman"/>
                <w:color w:val="000000"/>
                <w:kern w:val="0"/>
                <w:sz w:val="21"/>
                <w:szCs w:val="21"/>
                <w:lang w:val="en-US" w:eastAsia="zh-CN"/>
              </w:rPr>
              <w:t>m</w:t>
            </w:r>
            <w:r>
              <w:rPr>
                <w:rFonts w:hint="default" w:ascii="Arial" w:hAnsi="Arial" w:cs="Arial"/>
                <w:color w:val="000000"/>
                <w:kern w:val="0"/>
                <w:sz w:val="21"/>
                <w:szCs w:val="21"/>
                <w:lang w:val="en-US" w:eastAsia="zh-CN"/>
              </w:rPr>
              <w:t>×</w:t>
            </w:r>
            <w:r>
              <w:rPr>
                <w:rFonts w:hint="eastAsia" w:cs="Times New Roman"/>
                <w:color w:val="000000"/>
                <w:kern w:val="0"/>
                <w:sz w:val="21"/>
                <w:szCs w:val="21"/>
                <w:lang w:val="en-US" w:eastAsia="zh-CN"/>
              </w:rPr>
              <w:t>3</w:t>
            </w:r>
            <w:r>
              <w:rPr>
                <w:rFonts w:hint="default" w:cs="Times New Roman"/>
                <w:color w:val="000000"/>
                <w:kern w:val="0"/>
                <w:sz w:val="21"/>
                <w:szCs w:val="21"/>
                <w:lang w:val="en-US" w:eastAsia="zh-CN"/>
              </w:rPr>
              <w:t>m</w:t>
            </w:r>
            <w:r>
              <w:rPr>
                <w:rFonts w:hint="eastAsia" w:cs="Times New Roman"/>
                <w:color w:val="000000"/>
                <w:kern w:val="0"/>
                <w:sz w:val="21"/>
                <w:szCs w:val="21"/>
                <w:lang w:val="en-US" w:eastAsia="zh-CN"/>
              </w:rPr>
              <w:t>x2</w:t>
            </w:r>
            <w:r>
              <w:rPr>
                <w:rFonts w:hint="default" w:cs="Times New Roman"/>
                <w:color w:val="000000"/>
                <w:kern w:val="0"/>
                <w:sz w:val="21"/>
                <w:szCs w:val="21"/>
                <w:lang w:val="en-US" w:eastAsia="zh-CN"/>
              </w:rPr>
              <w:t>m)</w:t>
            </w:r>
          </w:p>
        </w:tc>
        <w:tc>
          <w:tcPr>
            <w:tcW w:w="625" w:type="pct"/>
            <w:vAlign w:val="center"/>
          </w:tcPr>
          <w:p>
            <w:pPr>
              <w:widowControl/>
              <w:spacing w:line="240" w:lineRule="auto"/>
              <w:ind w:firstLine="0" w:firstLineChars="0"/>
              <w:jc w:val="center"/>
              <w:rPr>
                <w:rFonts w:hint="eastAsia" w:cs="Times New Roman"/>
                <w:color w:val="000000"/>
                <w:kern w:val="0"/>
                <w:sz w:val="21"/>
                <w:szCs w:val="21"/>
                <w:lang w:val="en-US" w:eastAsia="zh-CN"/>
              </w:rPr>
            </w:pPr>
            <w:r>
              <w:rPr>
                <w:rFonts w:hint="eastAsia" w:cs="Times New Roman"/>
                <w:color w:val="000000"/>
                <w:kern w:val="0"/>
                <w:sz w:val="21"/>
                <w:szCs w:val="21"/>
                <w:lang w:val="en-US" w:eastAsia="zh-CN"/>
              </w:rPr>
              <w:t>循环使用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3" w:type="pct"/>
            <w:vAlign w:val="center"/>
          </w:tcPr>
          <w:p>
            <w:pPr>
              <w:widowControl/>
              <w:spacing w:line="240" w:lineRule="auto"/>
              <w:ind w:firstLine="0" w:firstLineChars="0"/>
              <w:jc w:val="center"/>
              <w:rPr>
                <w:rFonts w:hint="eastAsia" w:cs="Times New Roman"/>
                <w:color w:val="000000"/>
                <w:kern w:val="0"/>
                <w:sz w:val="21"/>
                <w:szCs w:val="21"/>
                <w:lang w:val="en-US" w:eastAsia="zh-CN"/>
              </w:rPr>
            </w:pPr>
            <w:r>
              <w:rPr>
                <w:rFonts w:hint="eastAsia" w:cs="Times New Roman"/>
                <w:color w:val="000000"/>
                <w:kern w:val="0"/>
                <w:sz w:val="21"/>
                <w:szCs w:val="21"/>
                <w:lang w:val="en-US" w:eastAsia="zh-CN"/>
              </w:rPr>
              <w:t>噪声</w:t>
            </w:r>
          </w:p>
        </w:tc>
        <w:tc>
          <w:tcPr>
            <w:tcW w:w="2033" w:type="pct"/>
            <w:gridSpan w:val="2"/>
            <w:vAlign w:val="center"/>
          </w:tcPr>
          <w:p>
            <w:pPr>
              <w:widowControl/>
              <w:spacing w:line="240" w:lineRule="auto"/>
              <w:ind w:firstLine="0" w:firstLineChars="0"/>
              <w:jc w:val="center"/>
              <w:rPr>
                <w:rFonts w:hint="eastAsia" w:cs="Times New Roman"/>
                <w:color w:val="000000"/>
                <w:kern w:val="0"/>
                <w:sz w:val="21"/>
                <w:szCs w:val="21"/>
                <w:lang w:val="en-US" w:eastAsia="zh-CN"/>
              </w:rPr>
            </w:pPr>
            <w:r>
              <w:rPr>
                <w:rFonts w:hint="eastAsia" w:cs="Times New Roman"/>
                <w:color w:val="000000"/>
                <w:kern w:val="0"/>
                <w:sz w:val="21"/>
                <w:szCs w:val="21"/>
                <w:lang w:val="en-US" w:eastAsia="zh-CN"/>
              </w:rPr>
              <w:t>来源于风机、搅拌机等设备噪声</w:t>
            </w:r>
          </w:p>
        </w:tc>
        <w:tc>
          <w:tcPr>
            <w:tcW w:w="2122" w:type="pct"/>
            <w:gridSpan w:val="2"/>
            <w:vAlign w:val="center"/>
          </w:tcPr>
          <w:p>
            <w:pPr>
              <w:widowControl/>
              <w:spacing w:line="240" w:lineRule="auto"/>
              <w:ind w:firstLine="0" w:firstLineChars="0"/>
              <w:jc w:val="center"/>
              <w:rPr>
                <w:rFonts w:hint="eastAsia" w:cs="Times New Roman"/>
                <w:color w:val="000000"/>
                <w:kern w:val="0"/>
                <w:sz w:val="21"/>
                <w:szCs w:val="21"/>
                <w:lang w:val="en-US" w:eastAsia="zh-CN"/>
              </w:rPr>
            </w:pPr>
            <w:r>
              <w:rPr>
                <w:rFonts w:hint="eastAsia" w:cs="Times New Roman"/>
                <w:color w:val="000000"/>
                <w:kern w:val="0"/>
                <w:sz w:val="21"/>
                <w:szCs w:val="21"/>
                <w:lang w:val="en-US" w:eastAsia="zh-CN"/>
              </w:rPr>
              <w:t>防震、减震、消声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3" w:type="pct"/>
            <w:vAlign w:val="center"/>
          </w:tcPr>
          <w:p>
            <w:pPr>
              <w:widowControl/>
              <w:spacing w:line="240" w:lineRule="auto"/>
              <w:ind w:firstLine="0" w:firstLineChars="0"/>
              <w:jc w:val="center"/>
              <w:rPr>
                <w:rFonts w:hint="eastAsia" w:cs="Times New Roman"/>
                <w:color w:val="000000"/>
                <w:kern w:val="0"/>
                <w:sz w:val="21"/>
                <w:szCs w:val="21"/>
                <w:lang w:val="en-US" w:eastAsia="zh-CN"/>
              </w:rPr>
            </w:pPr>
            <w:r>
              <w:rPr>
                <w:rFonts w:hint="eastAsia" w:cs="Times New Roman"/>
                <w:color w:val="000000"/>
                <w:kern w:val="0"/>
                <w:sz w:val="21"/>
                <w:szCs w:val="21"/>
                <w:lang w:val="en-US" w:eastAsia="zh-CN"/>
              </w:rPr>
              <w:t>固废</w:t>
            </w:r>
          </w:p>
        </w:tc>
        <w:tc>
          <w:tcPr>
            <w:tcW w:w="4156" w:type="pct"/>
            <w:gridSpan w:val="4"/>
            <w:vAlign w:val="center"/>
          </w:tcPr>
          <w:p>
            <w:pPr>
              <w:widowControl/>
              <w:spacing w:line="240" w:lineRule="auto"/>
              <w:ind w:firstLine="0" w:firstLineChars="0"/>
              <w:jc w:val="left"/>
              <w:rPr>
                <w:rFonts w:hint="eastAsia" w:cs="Times New Roman"/>
                <w:color w:val="000000"/>
                <w:kern w:val="0"/>
                <w:sz w:val="21"/>
                <w:szCs w:val="21"/>
                <w:lang w:val="en-US" w:eastAsia="zh-CN"/>
              </w:rPr>
            </w:pPr>
            <w:r>
              <w:rPr>
                <w:rFonts w:hint="eastAsia" w:ascii="Times New Roman" w:hAnsi="Times New Roman" w:cs="Times New Roman"/>
                <w:color w:val="000000"/>
                <w:kern w:val="0"/>
                <w:sz w:val="21"/>
                <w:szCs w:val="21"/>
                <w:lang w:val="en-US" w:eastAsia="zh-CN"/>
              </w:rPr>
              <w:t>废渣（渣泥）、除尘灰自行利用加气块砖的制作，生活垃圾和除尘破损布袋由市政环卫部门统一收集处理。</w:t>
            </w:r>
          </w:p>
        </w:tc>
      </w:tr>
    </w:tbl>
    <w:p>
      <w:pPr>
        <w:pStyle w:val="44"/>
        <w:rPr>
          <w:rFonts w:hint="eastAsia"/>
        </w:rPr>
      </w:pPr>
    </w:p>
    <w:p>
      <w:pPr>
        <w:pStyle w:val="4"/>
        <w:rPr>
          <w:sz w:val="24"/>
          <w:szCs w:val="24"/>
        </w:rPr>
      </w:pPr>
      <w:bookmarkStart w:id="11" w:name="_Toc5799"/>
      <w:r>
        <w:rPr>
          <w:rFonts w:hint="eastAsia"/>
          <w:sz w:val="24"/>
          <w:szCs w:val="24"/>
        </w:rPr>
        <w:t>企业周边环境风险受体情况</w:t>
      </w:r>
      <w:bookmarkEnd w:id="11"/>
    </w:p>
    <w:p>
      <w:pPr>
        <w:ind w:firstLine="560"/>
        <w:rPr>
          <w:sz w:val="24"/>
          <w:szCs w:val="24"/>
        </w:rPr>
      </w:pPr>
      <w:r>
        <w:rPr>
          <w:rFonts w:hint="eastAsia"/>
          <w:sz w:val="24"/>
          <w:szCs w:val="24"/>
        </w:rPr>
        <w:t>环境风险受体分为大气环境风险受体、水环境风险受体。其中，大气环境风险受体主要包括：居住、医疗卫生、文化教育、科研、行政办公、重要基础设施、企业等主要功能区域内的人群、保护单位、植被等，按人口数量进行指标量化；水环境风险受体主要包括：饮用水水源保护区、自来水厂取水口、自然保护区、重要湿地、特殊生态系统、水产养殖区、鱼虾产卵场、天然渔场等区域，可按其脆弱性和敏感性进行级别划分。</w:t>
      </w:r>
    </w:p>
    <w:p>
      <w:pPr>
        <w:ind w:firstLine="560"/>
        <w:rPr>
          <w:sz w:val="24"/>
          <w:szCs w:val="24"/>
        </w:rPr>
      </w:pPr>
      <w:bookmarkStart w:id="12" w:name="_Hlk526951095"/>
      <w:r>
        <w:rPr>
          <w:rFonts w:hint="eastAsia"/>
          <w:sz w:val="24"/>
          <w:szCs w:val="24"/>
        </w:rPr>
        <w:t>现对周边环境受体进行现场调查，识别了水环境、声环境和大气环境保护目标</w:t>
      </w:r>
      <w:r>
        <w:rPr>
          <w:rFonts w:hint="eastAsia"/>
          <w:sz w:val="24"/>
          <w:szCs w:val="24"/>
          <w:lang w:eastAsia="zh-CN"/>
        </w:rPr>
        <w:t>，</w:t>
      </w:r>
      <w:r>
        <w:rPr>
          <w:rFonts w:hint="eastAsia"/>
          <w:sz w:val="24"/>
          <w:szCs w:val="24"/>
        </w:rPr>
        <w:t>详见</w:t>
      </w:r>
      <w:r>
        <w:rPr>
          <w:sz w:val="24"/>
          <w:szCs w:val="24"/>
        </w:rPr>
        <w:fldChar w:fldCharType="begin"/>
      </w:r>
      <w:r>
        <w:rPr>
          <w:sz w:val="24"/>
          <w:szCs w:val="24"/>
        </w:rPr>
        <w:instrText xml:space="preserve"> </w:instrText>
      </w:r>
      <w:r>
        <w:rPr>
          <w:rFonts w:hint="eastAsia"/>
          <w:sz w:val="24"/>
          <w:szCs w:val="24"/>
        </w:rPr>
        <w:instrText xml:space="preserve">REF _Ref526604123 \h</w:instrText>
      </w:r>
      <w:r>
        <w:rPr>
          <w:sz w:val="24"/>
          <w:szCs w:val="24"/>
        </w:rPr>
        <w:instrText xml:space="preserve"> </w:instrText>
      </w:r>
      <w:r>
        <w:rPr>
          <w:sz w:val="24"/>
          <w:szCs w:val="24"/>
        </w:rPr>
        <w:fldChar w:fldCharType="separate"/>
      </w:r>
      <w:r>
        <w:rPr>
          <w:rFonts w:hint="eastAsia"/>
          <w:sz w:val="24"/>
          <w:szCs w:val="24"/>
        </w:rPr>
        <w:t xml:space="preserve">表 </w:t>
      </w:r>
      <w:r>
        <w:rPr>
          <w:rFonts w:hint="default"/>
          <w:sz w:val="24"/>
          <w:szCs w:val="24"/>
          <w:lang w:val="en-US" w:eastAsia="zh-CN"/>
        </w:rPr>
        <w:t>3</w:t>
      </w:r>
      <w:r>
        <w:rPr>
          <w:sz w:val="24"/>
          <w:szCs w:val="24"/>
        </w:rPr>
        <w:fldChar w:fldCharType="end"/>
      </w:r>
      <w:r>
        <w:rPr>
          <w:rFonts w:hint="eastAsia"/>
          <w:sz w:val="24"/>
          <w:szCs w:val="24"/>
          <w:lang w:val="en-US" w:eastAsia="zh-CN"/>
        </w:rPr>
        <w:t>-</w:t>
      </w:r>
      <w:r>
        <w:rPr>
          <w:rFonts w:hint="default"/>
          <w:sz w:val="24"/>
          <w:szCs w:val="24"/>
          <w:lang w:val="en-US" w:eastAsia="zh-CN"/>
        </w:rPr>
        <w:t>8</w:t>
      </w:r>
      <w:r>
        <w:rPr>
          <w:rFonts w:hint="eastAsia"/>
          <w:sz w:val="24"/>
          <w:szCs w:val="24"/>
        </w:rPr>
        <w:t>，</w:t>
      </w:r>
      <w:r>
        <w:rPr>
          <w:rFonts w:hint="eastAsia"/>
          <w:sz w:val="24"/>
          <w:szCs w:val="24"/>
          <w:lang w:eastAsia="zh-CN"/>
        </w:rPr>
        <w:t>环境保护目标图</w:t>
      </w:r>
      <w:r>
        <w:rPr>
          <w:rFonts w:hint="eastAsia"/>
          <w:sz w:val="24"/>
          <w:szCs w:val="24"/>
        </w:rPr>
        <w:t>详见附图</w:t>
      </w:r>
      <w:r>
        <w:rPr>
          <w:sz w:val="24"/>
          <w:szCs w:val="24"/>
        </w:rPr>
        <w:t>3</w:t>
      </w:r>
      <w:r>
        <w:rPr>
          <w:rFonts w:hint="eastAsia"/>
          <w:sz w:val="24"/>
          <w:szCs w:val="24"/>
          <w:lang w:val="en-US" w:eastAsia="zh-CN"/>
        </w:rPr>
        <w:t xml:space="preserve"> 周边敏感点分布图</w:t>
      </w:r>
      <w:r>
        <w:rPr>
          <w:rFonts w:hint="eastAsia"/>
          <w:sz w:val="24"/>
          <w:szCs w:val="24"/>
        </w:rPr>
        <w:t>。</w:t>
      </w:r>
    </w:p>
    <w:p>
      <w:pPr>
        <w:pStyle w:val="10"/>
        <w:keepNext/>
        <w:rPr>
          <w:b/>
          <w:bCs/>
          <w:sz w:val="24"/>
          <w:szCs w:val="24"/>
        </w:rPr>
      </w:pPr>
      <w:bookmarkStart w:id="13" w:name="_Ref526604123"/>
      <w:r>
        <w:rPr>
          <w:rFonts w:hint="eastAsia"/>
          <w:b/>
          <w:bCs/>
          <w:sz w:val="24"/>
          <w:szCs w:val="24"/>
        </w:rPr>
        <w:t xml:space="preserve">表 </w:t>
      </w:r>
      <w:bookmarkEnd w:id="13"/>
      <w:r>
        <w:rPr>
          <w:rFonts w:hint="default"/>
          <w:b/>
          <w:bCs/>
          <w:sz w:val="24"/>
          <w:szCs w:val="24"/>
          <w:lang w:val="en-US" w:eastAsia="zh-CN"/>
        </w:rPr>
        <w:t>3</w:t>
      </w:r>
      <w:r>
        <w:rPr>
          <w:rFonts w:hint="eastAsia"/>
          <w:b/>
          <w:bCs/>
          <w:sz w:val="24"/>
          <w:szCs w:val="24"/>
          <w:lang w:val="en-US" w:eastAsia="zh-CN"/>
        </w:rPr>
        <w:t>-</w:t>
      </w:r>
      <w:r>
        <w:rPr>
          <w:rFonts w:hint="default"/>
          <w:b/>
          <w:bCs/>
          <w:sz w:val="24"/>
          <w:szCs w:val="24"/>
          <w:lang w:val="en-US" w:eastAsia="zh-CN"/>
        </w:rPr>
        <w:t>8</w:t>
      </w:r>
      <w:r>
        <w:rPr>
          <w:rFonts w:hint="eastAsia"/>
          <w:b/>
          <w:bCs/>
          <w:sz w:val="24"/>
          <w:szCs w:val="24"/>
          <w:lang w:eastAsia="zh-CN"/>
        </w:rPr>
        <w:t>环境保护目标分布</w:t>
      </w:r>
      <w:r>
        <w:rPr>
          <w:rFonts w:hint="eastAsia"/>
          <w:b/>
          <w:bCs/>
          <w:sz w:val="24"/>
          <w:szCs w:val="24"/>
        </w:rPr>
        <w:t>一览表</w:t>
      </w:r>
    </w:p>
    <w:tbl>
      <w:tblPr>
        <w:tblStyle w:val="18"/>
        <w:tblW w:w="4996"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76"/>
        <w:gridCol w:w="3061"/>
        <w:gridCol w:w="2172"/>
        <w:gridCol w:w="1507"/>
        <w:gridCol w:w="152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tblHeader/>
          <w:jc w:val="center"/>
        </w:trPr>
        <w:tc>
          <w:tcPr>
            <w:tcW w:w="576" w:type="pct"/>
            <w:shd w:val="clear" w:color="auto" w:fill="auto"/>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cs="Times New Roman"/>
                <w:color w:val="000000"/>
                <w:kern w:val="0"/>
                <w:sz w:val="21"/>
                <w:szCs w:val="21"/>
              </w:rPr>
            </w:pPr>
            <w:r>
              <w:rPr>
                <w:rFonts w:cs="Times New Roman"/>
                <w:color w:val="000000"/>
                <w:kern w:val="0"/>
                <w:sz w:val="21"/>
                <w:szCs w:val="21"/>
              </w:rPr>
              <w:t>序号</w:t>
            </w:r>
          </w:p>
        </w:tc>
        <w:tc>
          <w:tcPr>
            <w:tcW w:w="1639" w:type="pct"/>
            <w:shd w:val="clear" w:color="auto" w:fill="auto"/>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cs="Times New Roman"/>
                <w:color w:val="000000"/>
                <w:kern w:val="0"/>
                <w:sz w:val="21"/>
                <w:szCs w:val="21"/>
              </w:rPr>
            </w:pPr>
            <w:r>
              <w:rPr>
                <w:rFonts w:hint="eastAsia" w:cs="Times New Roman"/>
                <w:color w:val="000000"/>
                <w:kern w:val="0"/>
                <w:sz w:val="21"/>
                <w:szCs w:val="21"/>
                <w:lang w:eastAsia="zh-CN"/>
              </w:rPr>
              <w:t>环境</w:t>
            </w:r>
            <w:r>
              <w:rPr>
                <w:rFonts w:cs="Times New Roman"/>
                <w:color w:val="000000"/>
                <w:kern w:val="0"/>
                <w:sz w:val="21"/>
                <w:szCs w:val="21"/>
              </w:rPr>
              <w:t>保护对象</w:t>
            </w:r>
          </w:p>
        </w:tc>
        <w:tc>
          <w:tcPr>
            <w:tcW w:w="1163"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Times New Roman"/>
                <w:color w:val="000000"/>
                <w:kern w:val="0"/>
                <w:sz w:val="21"/>
                <w:szCs w:val="21"/>
                <w:lang w:eastAsia="zh-CN"/>
              </w:rPr>
            </w:pPr>
            <w:r>
              <w:rPr>
                <w:rFonts w:hint="eastAsia" w:cs="Times New Roman"/>
                <w:color w:val="000000"/>
                <w:kern w:val="0"/>
                <w:sz w:val="21"/>
                <w:szCs w:val="21"/>
              </w:rPr>
              <w:t>规模</w:t>
            </w:r>
            <w:r>
              <w:rPr>
                <w:rFonts w:hint="eastAsia" w:cs="Times New Roman"/>
                <w:color w:val="000000"/>
                <w:kern w:val="0"/>
                <w:sz w:val="21"/>
                <w:szCs w:val="21"/>
                <w:lang w:eastAsia="zh-CN"/>
              </w:rPr>
              <w:t>（人）</w:t>
            </w:r>
          </w:p>
        </w:tc>
        <w:tc>
          <w:tcPr>
            <w:tcW w:w="807"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cs="Times New Roman"/>
                <w:color w:val="000000"/>
                <w:kern w:val="0"/>
                <w:sz w:val="21"/>
                <w:szCs w:val="21"/>
              </w:rPr>
            </w:pPr>
            <w:r>
              <w:rPr>
                <w:rFonts w:cs="Times New Roman"/>
                <w:color w:val="000000"/>
                <w:kern w:val="0"/>
                <w:sz w:val="21"/>
                <w:szCs w:val="21"/>
              </w:rPr>
              <w:t>方位</w:t>
            </w:r>
          </w:p>
        </w:tc>
        <w:tc>
          <w:tcPr>
            <w:tcW w:w="814" w:type="pct"/>
            <w:shd w:val="clear" w:color="auto" w:fill="auto"/>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cs="Times New Roman"/>
                <w:color w:val="000000"/>
                <w:kern w:val="0"/>
                <w:sz w:val="21"/>
                <w:szCs w:val="21"/>
              </w:rPr>
            </w:pPr>
            <w:r>
              <w:rPr>
                <w:rFonts w:cs="Times New Roman"/>
                <w:color w:val="000000"/>
                <w:kern w:val="0"/>
                <w:sz w:val="21"/>
                <w:szCs w:val="21"/>
              </w:rPr>
              <w:t>距离（m）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jc w:val="center"/>
        </w:trPr>
        <w:tc>
          <w:tcPr>
            <w:tcW w:w="576"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ascii="Times New Roman" w:hAnsi="Times New Roman" w:eastAsia="宋体" w:cs="Times New Roman"/>
                <w:color w:val="000000"/>
                <w:kern w:val="0"/>
                <w:sz w:val="21"/>
                <w:szCs w:val="21"/>
                <w:lang w:val="en-US" w:eastAsia="zh-CN" w:bidi="ar-SA"/>
              </w:rPr>
            </w:pPr>
            <w:r>
              <w:rPr>
                <w:rFonts w:cs="Times New Roman"/>
                <w:color w:val="000000"/>
                <w:kern w:val="0"/>
                <w:sz w:val="21"/>
                <w:szCs w:val="21"/>
              </w:rPr>
              <w:t>1</w:t>
            </w:r>
          </w:p>
        </w:tc>
        <w:tc>
          <w:tcPr>
            <w:tcW w:w="1639"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润碧康城</w:t>
            </w:r>
          </w:p>
        </w:tc>
        <w:tc>
          <w:tcPr>
            <w:tcW w:w="1163"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160</w:t>
            </w:r>
          </w:p>
        </w:tc>
        <w:tc>
          <w:tcPr>
            <w:tcW w:w="807"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北</w:t>
            </w:r>
          </w:p>
        </w:tc>
        <w:tc>
          <w:tcPr>
            <w:tcW w:w="814"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398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jc w:val="center"/>
        </w:trPr>
        <w:tc>
          <w:tcPr>
            <w:tcW w:w="576"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ascii="Times New Roman" w:hAnsi="Times New Roman" w:eastAsia="宋体" w:cs="Times New Roman"/>
                <w:color w:val="000000"/>
                <w:kern w:val="0"/>
                <w:sz w:val="21"/>
                <w:szCs w:val="21"/>
                <w:lang w:val="en-US" w:eastAsia="zh-CN" w:bidi="ar-SA"/>
              </w:rPr>
            </w:pPr>
            <w:r>
              <w:rPr>
                <w:rFonts w:cs="Times New Roman"/>
                <w:color w:val="000000"/>
                <w:kern w:val="0"/>
                <w:sz w:val="21"/>
                <w:szCs w:val="21"/>
              </w:rPr>
              <w:t>2</w:t>
            </w:r>
          </w:p>
        </w:tc>
        <w:tc>
          <w:tcPr>
            <w:tcW w:w="1639"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金桥慧景</w:t>
            </w:r>
          </w:p>
        </w:tc>
        <w:tc>
          <w:tcPr>
            <w:tcW w:w="1163"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2000</w:t>
            </w:r>
          </w:p>
        </w:tc>
        <w:tc>
          <w:tcPr>
            <w:tcW w:w="807"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西北</w:t>
            </w:r>
          </w:p>
        </w:tc>
        <w:tc>
          <w:tcPr>
            <w:tcW w:w="814"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154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jc w:val="center"/>
        </w:trPr>
        <w:tc>
          <w:tcPr>
            <w:tcW w:w="576"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ascii="Times New Roman" w:hAnsi="Times New Roman" w:eastAsia="宋体" w:cs="Times New Roman"/>
                <w:color w:val="000000"/>
                <w:kern w:val="0"/>
                <w:sz w:val="21"/>
                <w:szCs w:val="21"/>
                <w:lang w:val="en-US" w:eastAsia="zh-CN" w:bidi="ar-SA"/>
              </w:rPr>
            </w:pPr>
            <w:r>
              <w:rPr>
                <w:rFonts w:cs="Times New Roman"/>
                <w:color w:val="000000"/>
                <w:kern w:val="0"/>
                <w:sz w:val="21"/>
                <w:szCs w:val="21"/>
              </w:rPr>
              <w:t>3</w:t>
            </w:r>
          </w:p>
        </w:tc>
        <w:tc>
          <w:tcPr>
            <w:tcW w:w="1639"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农民公寓</w:t>
            </w:r>
          </w:p>
        </w:tc>
        <w:tc>
          <w:tcPr>
            <w:tcW w:w="1163"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200</w:t>
            </w:r>
          </w:p>
        </w:tc>
        <w:tc>
          <w:tcPr>
            <w:tcW w:w="807"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北</w:t>
            </w:r>
          </w:p>
        </w:tc>
        <w:tc>
          <w:tcPr>
            <w:tcW w:w="814"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263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jc w:val="center"/>
        </w:trPr>
        <w:tc>
          <w:tcPr>
            <w:tcW w:w="576"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ascii="Times New Roman" w:hAnsi="Times New Roman" w:eastAsia="宋体" w:cs="Times New Roman"/>
                <w:color w:val="000000"/>
                <w:kern w:val="0"/>
                <w:sz w:val="21"/>
                <w:szCs w:val="21"/>
                <w:lang w:val="en-US" w:eastAsia="zh-CN" w:bidi="ar-SA"/>
              </w:rPr>
            </w:pPr>
            <w:r>
              <w:rPr>
                <w:rFonts w:cs="Times New Roman"/>
                <w:color w:val="000000"/>
                <w:kern w:val="0"/>
                <w:sz w:val="21"/>
                <w:szCs w:val="21"/>
              </w:rPr>
              <w:t>4</w:t>
            </w:r>
          </w:p>
        </w:tc>
        <w:tc>
          <w:tcPr>
            <w:tcW w:w="1639"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公园一号</w:t>
            </w:r>
          </w:p>
        </w:tc>
        <w:tc>
          <w:tcPr>
            <w:tcW w:w="1163"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300</w:t>
            </w:r>
          </w:p>
        </w:tc>
        <w:tc>
          <w:tcPr>
            <w:tcW w:w="807"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东</w:t>
            </w:r>
          </w:p>
        </w:tc>
        <w:tc>
          <w:tcPr>
            <w:tcW w:w="814"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653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jc w:val="center"/>
        </w:trPr>
        <w:tc>
          <w:tcPr>
            <w:tcW w:w="576"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ascii="Times New Roman" w:hAnsi="Times New Roman" w:eastAsia="宋体" w:cs="Times New Roman"/>
                <w:color w:val="000000"/>
                <w:kern w:val="0"/>
                <w:sz w:val="21"/>
                <w:szCs w:val="21"/>
                <w:lang w:val="en-US" w:eastAsia="zh-CN" w:bidi="ar-SA"/>
              </w:rPr>
            </w:pPr>
            <w:r>
              <w:rPr>
                <w:rFonts w:cs="Times New Roman"/>
                <w:color w:val="000000"/>
                <w:kern w:val="0"/>
                <w:sz w:val="21"/>
                <w:szCs w:val="21"/>
              </w:rPr>
              <w:t>5</w:t>
            </w:r>
          </w:p>
        </w:tc>
        <w:tc>
          <w:tcPr>
            <w:tcW w:w="1639"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南昌市第一中等专科学校</w:t>
            </w:r>
          </w:p>
        </w:tc>
        <w:tc>
          <w:tcPr>
            <w:tcW w:w="1163"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6000</w:t>
            </w:r>
          </w:p>
        </w:tc>
        <w:tc>
          <w:tcPr>
            <w:tcW w:w="807"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东北</w:t>
            </w:r>
          </w:p>
        </w:tc>
        <w:tc>
          <w:tcPr>
            <w:tcW w:w="814"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272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jc w:val="center"/>
        </w:trPr>
        <w:tc>
          <w:tcPr>
            <w:tcW w:w="576"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rPr>
              <w:t>6</w:t>
            </w:r>
          </w:p>
        </w:tc>
        <w:tc>
          <w:tcPr>
            <w:tcW w:w="1639"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江西财经大学</w:t>
            </w:r>
          </w:p>
        </w:tc>
        <w:tc>
          <w:tcPr>
            <w:tcW w:w="1163"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30000</w:t>
            </w:r>
          </w:p>
        </w:tc>
        <w:tc>
          <w:tcPr>
            <w:tcW w:w="807"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北</w:t>
            </w:r>
          </w:p>
        </w:tc>
        <w:tc>
          <w:tcPr>
            <w:tcW w:w="814"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445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jc w:val="center"/>
        </w:trPr>
        <w:tc>
          <w:tcPr>
            <w:tcW w:w="576"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rPr>
              <w:t>7</w:t>
            </w:r>
          </w:p>
        </w:tc>
        <w:tc>
          <w:tcPr>
            <w:tcW w:w="1639"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厚溪陈家</w:t>
            </w:r>
          </w:p>
        </w:tc>
        <w:tc>
          <w:tcPr>
            <w:tcW w:w="1163"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154</w:t>
            </w:r>
          </w:p>
        </w:tc>
        <w:tc>
          <w:tcPr>
            <w:tcW w:w="807"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西南</w:t>
            </w:r>
          </w:p>
        </w:tc>
        <w:tc>
          <w:tcPr>
            <w:tcW w:w="814"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957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jc w:val="center"/>
        </w:trPr>
        <w:tc>
          <w:tcPr>
            <w:tcW w:w="576"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rPr>
              <w:t>8</w:t>
            </w:r>
          </w:p>
        </w:tc>
        <w:tc>
          <w:tcPr>
            <w:tcW w:w="1639"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东华理工大学</w:t>
            </w:r>
          </w:p>
        </w:tc>
        <w:tc>
          <w:tcPr>
            <w:tcW w:w="1163"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200</w:t>
            </w:r>
          </w:p>
        </w:tc>
        <w:tc>
          <w:tcPr>
            <w:tcW w:w="807"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西南</w:t>
            </w:r>
          </w:p>
        </w:tc>
        <w:tc>
          <w:tcPr>
            <w:tcW w:w="814"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1100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jc w:val="center"/>
        </w:trPr>
        <w:tc>
          <w:tcPr>
            <w:tcW w:w="576"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Times New Roman"/>
                <w:color w:val="000000"/>
                <w:kern w:val="0"/>
                <w:sz w:val="21"/>
                <w:szCs w:val="21"/>
                <w:lang w:val="en-US" w:eastAsia="zh-CN"/>
              </w:rPr>
            </w:pPr>
            <w:r>
              <w:rPr>
                <w:rFonts w:hint="eastAsia" w:cs="Times New Roman"/>
                <w:color w:val="000000"/>
                <w:kern w:val="0"/>
                <w:sz w:val="21"/>
                <w:szCs w:val="21"/>
                <w:lang w:val="en-US" w:eastAsia="zh-CN"/>
              </w:rPr>
              <w:t>9</w:t>
            </w:r>
          </w:p>
        </w:tc>
        <w:tc>
          <w:tcPr>
            <w:tcW w:w="1639"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cs="Times New Roman"/>
                <w:color w:val="000000"/>
                <w:kern w:val="0"/>
                <w:sz w:val="21"/>
                <w:szCs w:val="21"/>
                <w:lang w:val="en-US" w:eastAsia="zh-CN" w:bidi="ar-SA"/>
              </w:rPr>
            </w:pPr>
            <w:r>
              <w:rPr>
                <w:rFonts w:hint="eastAsia" w:cs="Times New Roman"/>
                <w:color w:val="000000"/>
                <w:kern w:val="0"/>
                <w:sz w:val="21"/>
                <w:szCs w:val="21"/>
                <w:lang w:val="en-US" w:eastAsia="zh-CN" w:bidi="ar-SA"/>
              </w:rPr>
              <w:t>范家新村</w:t>
            </w:r>
          </w:p>
        </w:tc>
        <w:tc>
          <w:tcPr>
            <w:tcW w:w="1163"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Times New Roman"/>
                <w:color w:val="000000"/>
                <w:kern w:val="0"/>
                <w:sz w:val="21"/>
                <w:szCs w:val="21"/>
                <w:lang w:val="en-US" w:eastAsia="zh-CN" w:bidi="ar-SA"/>
              </w:rPr>
            </w:pPr>
            <w:r>
              <w:rPr>
                <w:rFonts w:hint="eastAsia" w:cs="Times New Roman"/>
                <w:color w:val="000000"/>
                <w:kern w:val="0"/>
                <w:sz w:val="21"/>
                <w:szCs w:val="21"/>
                <w:lang w:val="en-US" w:eastAsia="zh-CN" w:bidi="ar-SA"/>
              </w:rPr>
              <w:t>2000</w:t>
            </w:r>
          </w:p>
        </w:tc>
        <w:tc>
          <w:tcPr>
            <w:tcW w:w="807"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cs="Times New Roman"/>
                <w:color w:val="000000"/>
                <w:kern w:val="0"/>
                <w:sz w:val="21"/>
                <w:szCs w:val="21"/>
                <w:lang w:val="en-US" w:eastAsia="zh-CN" w:bidi="ar-SA"/>
              </w:rPr>
            </w:pPr>
            <w:r>
              <w:rPr>
                <w:rFonts w:hint="eastAsia" w:cs="Times New Roman"/>
                <w:color w:val="000000"/>
                <w:kern w:val="0"/>
                <w:sz w:val="21"/>
                <w:szCs w:val="21"/>
                <w:lang w:val="en-US" w:eastAsia="zh-CN" w:bidi="ar-SA"/>
              </w:rPr>
              <w:t>西南</w:t>
            </w:r>
          </w:p>
        </w:tc>
        <w:tc>
          <w:tcPr>
            <w:tcW w:w="814"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Times New Roman"/>
                <w:color w:val="000000"/>
                <w:kern w:val="0"/>
                <w:sz w:val="21"/>
                <w:szCs w:val="21"/>
                <w:lang w:val="en-US" w:eastAsia="zh-CN" w:bidi="ar-SA"/>
              </w:rPr>
            </w:pPr>
            <w:r>
              <w:rPr>
                <w:rFonts w:hint="eastAsia" w:cs="Times New Roman"/>
                <w:color w:val="000000"/>
                <w:kern w:val="0"/>
                <w:sz w:val="21"/>
                <w:szCs w:val="21"/>
                <w:lang w:val="en-US" w:eastAsia="zh-CN" w:bidi="ar-SA"/>
              </w:rPr>
              <w:t>1049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jc w:val="center"/>
        </w:trPr>
        <w:tc>
          <w:tcPr>
            <w:tcW w:w="576"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Times New Roman"/>
                <w:color w:val="000000"/>
                <w:kern w:val="0"/>
                <w:sz w:val="21"/>
                <w:szCs w:val="21"/>
                <w:lang w:val="en-US" w:eastAsia="zh-CN"/>
              </w:rPr>
            </w:pPr>
            <w:r>
              <w:rPr>
                <w:rFonts w:hint="eastAsia" w:cs="Times New Roman"/>
                <w:color w:val="000000"/>
                <w:kern w:val="0"/>
                <w:sz w:val="21"/>
                <w:szCs w:val="21"/>
                <w:lang w:val="en-US" w:eastAsia="zh-CN"/>
              </w:rPr>
              <w:t>10</w:t>
            </w:r>
          </w:p>
        </w:tc>
        <w:tc>
          <w:tcPr>
            <w:tcW w:w="1639"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cs="Times New Roman"/>
                <w:color w:val="000000"/>
                <w:kern w:val="0"/>
                <w:sz w:val="21"/>
                <w:szCs w:val="21"/>
                <w:lang w:val="en-US" w:eastAsia="zh-CN" w:bidi="ar-SA"/>
              </w:rPr>
            </w:pPr>
            <w:r>
              <w:rPr>
                <w:rFonts w:hint="eastAsia" w:cs="Times New Roman"/>
                <w:color w:val="000000"/>
                <w:kern w:val="0"/>
                <w:sz w:val="21"/>
                <w:szCs w:val="21"/>
                <w:lang w:val="en-US" w:eastAsia="zh-CN" w:bidi="ar-SA"/>
              </w:rPr>
              <w:t>赣江北支</w:t>
            </w:r>
          </w:p>
        </w:tc>
        <w:tc>
          <w:tcPr>
            <w:tcW w:w="1163"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cs="Times New Roman"/>
                <w:color w:val="000000"/>
                <w:kern w:val="0"/>
                <w:sz w:val="21"/>
                <w:szCs w:val="21"/>
                <w:lang w:val="en-US" w:eastAsia="zh-CN" w:bidi="ar-SA"/>
              </w:rPr>
            </w:pPr>
            <w:r>
              <w:rPr>
                <w:rFonts w:hint="eastAsia" w:cs="Times New Roman"/>
                <w:color w:val="000000"/>
                <w:kern w:val="0"/>
                <w:sz w:val="21"/>
                <w:szCs w:val="21"/>
                <w:lang w:val="en-US" w:eastAsia="zh-CN" w:bidi="ar-SA"/>
              </w:rPr>
              <w:t>大河</w:t>
            </w:r>
          </w:p>
        </w:tc>
        <w:tc>
          <w:tcPr>
            <w:tcW w:w="807"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cs="Times New Roman"/>
                <w:color w:val="000000"/>
                <w:kern w:val="0"/>
                <w:sz w:val="21"/>
                <w:szCs w:val="21"/>
                <w:lang w:val="en-US" w:eastAsia="zh-CN" w:bidi="ar-SA"/>
              </w:rPr>
            </w:pPr>
            <w:r>
              <w:rPr>
                <w:rFonts w:hint="eastAsia" w:cs="Times New Roman"/>
                <w:color w:val="000000"/>
                <w:kern w:val="0"/>
                <w:sz w:val="21"/>
                <w:szCs w:val="21"/>
                <w:lang w:val="en-US" w:eastAsia="zh-CN" w:bidi="ar-SA"/>
              </w:rPr>
              <w:t>东</w:t>
            </w:r>
          </w:p>
        </w:tc>
        <w:tc>
          <w:tcPr>
            <w:tcW w:w="814"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Times New Roman"/>
                <w:color w:val="000000"/>
                <w:kern w:val="0"/>
                <w:sz w:val="21"/>
                <w:szCs w:val="21"/>
                <w:lang w:val="en-US" w:eastAsia="zh-CN" w:bidi="ar-SA"/>
              </w:rPr>
            </w:pPr>
            <w:r>
              <w:rPr>
                <w:rFonts w:hint="eastAsia" w:cs="Times New Roman"/>
                <w:color w:val="000000"/>
                <w:kern w:val="0"/>
                <w:sz w:val="21"/>
                <w:szCs w:val="21"/>
                <w:lang w:val="en-US" w:eastAsia="zh-CN" w:bidi="ar-SA"/>
              </w:rPr>
              <w:t>3100</w:t>
            </w:r>
          </w:p>
        </w:tc>
      </w:tr>
      <w:bookmarkEnd w:id="12"/>
    </w:tbl>
    <w:p>
      <w:pPr>
        <w:ind w:firstLine="560"/>
        <w:rPr>
          <w:sz w:val="24"/>
          <w:szCs w:val="24"/>
        </w:rPr>
      </w:pPr>
      <w:bookmarkStart w:id="14" w:name="_Ref526621239"/>
      <w:r>
        <w:rPr>
          <w:rFonts w:hint="eastAsia" w:ascii="Times New Roman" w:hAnsi="Times New Roman"/>
          <w:sz w:val="24"/>
          <w:szCs w:val="24"/>
        </w:rPr>
        <w:t>企业周边5公里范围内居住区、医疗卫生机构、文化教育机构、科研单位、行政机关、企事业单位、商场、公园等人口总数5万人以上，或企业周边500米范围内人口总数1000人以上</w:t>
      </w:r>
      <w:r>
        <w:rPr>
          <w:rFonts w:hint="eastAsia" w:ascii="Times New Roman" w:hAnsi="Times New Roman"/>
          <w:sz w:val="24"/>
          <w:szCs w:val="24"/>
          <w:lang w:val="en-US" w:eastAsia="zh-CN"/>
        </w:rPr>
        <w:t>；</w:t>
      </w:r>
      <w:r>
        <w:rPr>
          <w:rFonts w:hint="eastAsia" w:ascii="Times New Roman" w:hAnsi="Times New Roman"/>
          <w:sz w:val="24"/>
          <w:szCs w:val="24"/>
        </w:rPr>
        <w:t>参照《企业突发环境事件风险分级方法》表4（即</w:t>
      </w:r>
      <w:r>
        <w:rPr>
          <w:rFonts w:hint="eastAsia" w:ascii="Times New Roman" w:hAnsi="Times New Roman"/>
          <w:sz w:val="24"/>
          <w:szCs w:val="24"/>
        </w:rPr>
        <w:fldChar w:fldCharType="begin"/>
      </w:r>
      <w:r>
        <w:rPr>
          <w:rFonts w:hint="eastAsia" w:ascii="Times New Roman" w:hAnsi="Times New Roman"/>
          <w:sz w:val="24"/>
          <w:szCs w:val="24"/>
        </w:rPr>
        <w:instrText xml:space="preserve"> REF _Ref526621239 \h </w:instrText>
      </w:r>
      <w:r>
        <w:rPr>
          <w:rFonts w:hint="eastAsia" w:ascii="Times New Roman" w:hAnsi="Times New Roman"/>
          <w:sz w:val="24"/>
          <w:szCs w:val="24"/>
        </w:rPr>
        <w:fldChar w:fldCharType="separate"/>
      </w:r>
      <w:r>
        <w:rPr>
          <w:rFonts w:hint="eastAsia" w:ascii="Times New Roman" w:hAnsi="Times New Roman"/>
          <w:sz w:val="24"/>
          <w:szCs w:val="24"/>
        </w:rPr>
        <w:t xml:space="preserve">表 </w:t>
      </w:r>
      <w:r>
        <w:rPr>
          <w:rFonts w:hint="eastAsia" w:ascii="Times New Roman" w:hAnsi="Times New Roman"/>
          <w:sz w:val="24"/>
          <w:szCs w:val="24"/>
          <w:lang w:val="en-US" w:eastAsia="zh-CN"/>
        </w:rPr>
        <w:t>2</w:t>
      </w:r>
      <w:r>
        <w:rPr>
          <w:rFonts w:hint="eastAsia" w:ascii="Times New Roman" w:hAnsi="Times New Roman"/>
          <w:sz w:val="24"/>
          <w:szCs w:val="24"/>
        </w:rPr>
        <w:fldChar w:fldCharType="end"/>
      </w:r>
      <w:r>
        <w:rPr>
          <w:rFonts w:hint="eastAsia" w:ascii="Times New Roman" w:hAnsi="Times New Roman"/>
          <w:sz w:val="24"/>
          <w:szCs w:val="24"/>
          <w:lang w:val="en-US" w:eastAsia="zh-CN"/>
        </w:rPr>
        <w:t>-6</w:t>
      </w:r>
      <w:r>
        <w:rPr>
          <w:rFonts w:hint="eastAsia" w:ascii="Times New Roman" w:hAnsi="Times New Roman"/>
          <w:sz w:val="24"/>
          <w:szCs w:val="24"/>
        </w:rPr>
        <w:t>），大气环境风险受体敏感程度类型划分，本公司大气环境风险受体为E</w:t>
      </w:r>
      <w:r>
        <w:rPr>
          <w:rFonts w:hint="eastAsia" w:ascii="Times New Roman" w:hAnsi="Times New Roman"/>
          <w:sz w:val="24"/>
          <w:szCs w:val="24"/>
          <w:lang w:val="en-US" w:eastAsia="zh-CN"/>
        </w:rPr>
        <w:t>1</w:t>
      </w:r>
      <w:r>
        <w:rPr>
          <w:rFonts w:hint="eastAsia" w:ascii="Times New Roman" w:hAnsi="Times New Roman"/>
          <w:sz w:val="24"/>
          <w:szCs w:val="24"/>
        </w:rPr>
        <w:t>型</w:t>
      </w:r>
      <w:r>
        <w:rPr>
          <w:rFonts w:hint="eastAsia"/>
          <w:sz w:val="24"/>
          <w:szCs w:val="24"/>
        </w:rPr>
        <w:t>。</w:t>
      </w:r>
    </w:p>
    <w:p>
      <w:pPr>
        <w:pStyle w:val="10"/>
        <w:keepNext/>
      </w:pPr>
      <w:r>
        <w:rPr>
          <w:rFonts w:hint="eastAsia"/>
        </w:rPr>
        <w:t xml:space="preserve">表 </w:t>
      </w:r>
      <w:r>
        <w:fldChar w:fldCharType="begin"/>
      </w:r>
      <w:r>
        <w:instrText xml:space="preserve"> </w:instrText>
      </w:r>
      <w:r>
        <w:rPr>
          <w:rFonts w:hint="eastAsia"/>
        </w:rPr>
        <w:instrText xml:space="preserve">STYLEREF 1 \s</w:instrText>
      </w:r>
      <w:r>
        <w:instrText xml:space="preserve"> </w:instrText>
      </w:r>
      <w:r>
        <w:fldChar w:fldCharType="separate"/>
      </w:r>
      <w:r>
        <w:t>3</w:t>
      </w:r>
      <w:r>
        <w:fldChar w:fldCharType="end"/>
      </w:r>
      <w:r>
        <w:noBreakHyphen/>
      </w:r>
      <w:bookmarkEnd w:id="14"/>
      <w:r>
        <w:rPr>
          <w:rFonts w:hint="default"/>
          <w:lang w:val="en-US" w:eastAsia="zh-CN"/>
        </w:rPr>
        <w:t>9</w:t>
      </w:r>
      <w:r>
        <w:rPr>
          <w:rFonts w:hint="eastAsia"/>
        </w:rPr>
        <w:t>企业周边大气环境风险受体情况划分</w:t>
      </w:r>
    </w:p>
    <w:tbl>
      <w:tblPr>
        <w:tblStyle w:val="18"/>
        <w:tblW w:w="5000" w:type="pct"/>
        <w:jc w:val="cente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Layout w:type="autofit"/>
        <w:tblCellMar>
          <w:top w:w="0" w:type="dxa"/>
          <w:left w:w="108" w:type="dxa"/>
          <w:bottom w:w="0" w:type="dxa"/>
          <w:right w:w="108" w:type="dxa"/>
        </w:tblCellMar>
      </w:tblPr>
      <w:tblGrid>
        <w:gridCol w:w="1076"/>
        <w:gridCol w:w="8268"/>
      </w:tblGrid>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425" w:hRule="atLeast"/>
          <w:tblHeader/>
          <w:jc w:val="center"/>
        </w:trPr>
        <w:tc>
          <w:tcPr>
            <w:tcW w:w="576" w:type="pct"/>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类别</w:t>
            </w:r>
          </w:p>
        </w:tc>
        <w:tc>
          <w:tcPr>
            <w:tcW w:w="4424" w:type="pct"/>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大气环境风险受体</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425" w:hRule="atLeast"/>
          <w:jc w:val="center"/>
        </w:trPr>
        <w:tc>
          <w:tcPr>
            <w:tcW w:w="576" w:type="pct"/>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类型1（E1）</w:t>
            </w:r>
          </w:p>
        </w:tc>
        <w:tc>
          <w:tcPr>
            <w:tcW w:w="4424" w:type="pct"/>
            <w:vAlign w:val="center"/>
          </w:tcPr>
          <w:p>
            <w:pPr>
              <w:widowControl/>
              <w:spacing w:line="240" w:lineRule="auto"/>
              <w:ind w:firstLine="0" w:firstLineChars="0"/>
              <w:jc w:val="left"/>
              <w:rPr>
                <w:rFonts w:cs="Times New Roman"/>
                <w:color w:val="000000"/>
                <w:kern w:val="0"/>
                <w:sz w:val="21"/>
                <w:szCs w:val="21"/>
              </w:rPr>
            </w:pPr>
            <w:r>
              <w:rPr>
                <w:rFonts w:hint="eastAsia" w:cs="Times New Roman"/>
                <w:color w:val="000000"/>
                <w:kern w:val="0"/>
                <w:sz w:val="21"/>
                <w:szCs w:val="21"/>
              </w:rPr>
              <w:t>1、企业周边5公里范围内居住区、医疗卫生机构、文化教育机构、科研单位、行政机关、企事业单位、商场、公园等人口总数5万人以上，或企业周边500米范围内人口总数1000人以上；</w:t>
            </w:r>
          </w:p>
          <w:p>
            <w:pPr>
              <w:widowControl/>
              <w:spacing w:line="240" w:lineRule="auto"/>
              <w:ind w:firstLine="0" w:firstLineChars="0"/>
              <w:jc w:val="left"/>
              <w:rPr>
                <w:rFonts w:cs="Times New Roman"/>
                <w:color w:val="000000"/>
                <w:kern w:val="0"/>
                <w:sz w:val="21"/>
                <w:szCs w:val="21"/>
              </w:rPr>
            </w:pPr>
            <w:r>
              <w:rPr>
                <w:rFonts w:cs="Times New Roman"/>
                <w:color w:val="000000"/>
                <w:kern w:val="0"/>
                <w:sz w:val="21"/>
                <w:szCs w:val="21"/>
              </w:rPr>
              <w:t>2</w:t>
            </w:r>
            <w:r>
              <w:rPr>
                <w:rFonts w:hint="eastAsia" w:cs="Times New Roman"/>
                <w:color w:val="000000"/>
                <w:kern w:val="0"/>
                <w:sz w:val="21"/>
                <w:szCs w:val="21"/>
              </w:rPr>
              <w:t>、或企业周边5公里涉及军事禁区、军事管理区、国家相关保密区域。</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425" w:hRule="atLeast"/>
          <w:jc w:val="center"/>
        </w:trPr>
        <w:tc>
          <w:tcPr>
            <w:tcW w:w="576" w:type="pct"/>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类型2（E2）</w:t>
            </w:r>
          </w:p>
        </w:tc>
        <w:tc>
          <w:tcPr>
            <w:tcW w:w="4424" w:type="pct"/>
            <w:vAlign w:val="center"/>
          </w:tcPr>
          <w:p>
            <w:pPr>
              <w:widowControl/>
              <w:spacing w:line="240" w:lineRule="auto"/>
              <w:ind w:firstLine="0" w:firstLineChars="0"/>
              <w:jc w:val="left"/>
              <w:rPr>
                <w:rFonts w:cs="Times New Roman"/>
                <w:color w:val="000000"/>
                <w:kern w:val="0"/>
                <w:sz w:val="21"/>
                <w:szCs w:val="21"/>
              </w:rPr>
            </w:pPr>
            <w:r>
              <w:rPr>
                <w:rFonts w:hint="eastAsia" w:cs="Times New Roman"/>
                <w:color w:val="000000"/>
                <w:kern w:val="0"/>
                <w:sz w:val="21"/>
                <w:szCs w:val="21"/>
              </w:rPr>
              <w:t>1、企业周边5公里范围内居住区、医疗卫生机构、文化教育机构、科研单位、行政机关、企事业单位、商场、公园等人口总数1万人以上、5万人以下；</w:t>
            </w:r>
          </w:p>
          <w:p>
            <w:pPr>
              <w:widowControl/>
              <w:spacing w:line="240" w:lineRule="auto"/>
              <w:ind w:firstLine="0" w:firstLineChars="0"/>
              <w:jc w:val="left"/>
              <w:rPr>
                <w:rFonts w:cs="Times New Roman"/>
                <w:color w:val="000000"/>
                <w:kern w:val="0"/>
                <w:sz w:val="21"/>
                <w:szCs w:val="21"/>
              </w:rPr>
            </w:pPr>
            <w:r>
              <w:rPr>
                <w:rFonts w:cs="Times New Roman"/>
                <w:color w:val="000000"/>
                <w:kern w:val="0"/>
                <w:sz w:val="21"/>
                <w:szCs w:val="21"/>
              </w:rPr>
              <w:t>2</w:t>
            </w:r>
            <w:r>
              <w:rPr>
                <w:rFonts w:hint="eastAsia" w:cs="Times New Roman"/>
                <w:color w:val="000000"/>
                <w:kern w:val="0"/>
                <w:sz w:val="21"/>
                <w:szCs w:val="21"/>
              </w:rPr>
              <w:t>、或企业周边500米范围内人口总数500人以上、1000人以下。</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425" w:hRule="atLeast"/>
          <w:jc w:val="center"/>
        </w:trPr>
        <w:tc>
          <w:tcPr>
            <w:tcW w:w="576" w:type="pct"/>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类型3（E3）</w:t>
            </w:r>
          </w:p>
        </w:tc>
        <w:tc>
          <w:tcPr>
            <w:tcW w:w="4424" w:type="pct"/>
            <w:vAlign w:val="center"/>
          </w:tcPr>
          <w:p>
            <w:pPr>
              <w:widowControl/>
              <w:spacing w:line="240" w:lineRule="auto"/>
              <w:ind w:firstLine="0" w:firstLineChars="0"/>
              <w:jc w:val="left"/>
              <w:rPr>
                <w:rFonts w:cs="Times New Roman"/>
                <w:color w:val="000000"/>
                <w:kern w:val="0"/>
                <w:sz w:val="21"/>
                <w:szCs w:val="21"/>
              </w:rPr>
            </w:pPr>
            <w:r>
              <w:rPr>
                <w:rFonts w:hint="eastAsia" w:cs="Times New Roman"/>
                <w:color w:val="000000"/>
                <w:kern w:val="0"/>
                <w:sz w:val="21"/>
                <w:szCs w:val="21"/>
              </w:rPr>
              <w:t>1、企业周边5公里范围内居住区、医疗卫生机构、文化教育机构、科研单位、行政机关、企事业单位、商场、公园等人口总数1万人以下，且企业周边500米范围内人口总数500人以下。</w:t>
            </w:r>
          </w:p>
        </w:tc>
      </w:tr>
    </w:tbl>
    <w:p>
      <w:pPr>
        <w:ind w:firstLine="560"/>
        <w:jc w:val="left"/>
        <w:rPr>
          <w:rFonts w:hint="eastAsia"/>
          <w:sz w:val="24"/>
          <w:szCs w:val="24"/>
        </w:rPr>
      </w:pPr>
      <w:bookmarkStart w:id="15" w:name="_Hlk526949900"/>
      <w:bookmarkStart w:id="16" w:name="_Ref526606226"/>
      <w:r>
        <w:rPr>
          <w:rFonts w:hint="eastAsia"/>
          <w:sz w:val="24"/>
          <w:szCs w:val="24"/>
        </w:rPr>
        <w:t>厂区雨污分流，雨水经雨水管网收集后直接排入厂外雨水管网；废水经</w:t>
      </w:r>
      <w:r>
        <w:rPr>
          <w:rFonts w:hint="eastAsia"/>
          <w:sz w:val="24"/>
          <w:szCs w:val="24"/>
          <w:lang w:eastAsia="zh-CN"/>
        </w:rPr>
        <w:t>隔油池</w:t>
      </w:r>
      <w:r>
        <w:rPr>
          <w:rFonts w:hint="eastAsia"/>
          <w:sz w:val="24"/>
          <w:szCs w:val="24"/>
          <w:lang w:val="en-US" w:eastAsia="zh-CN"/>
        </w:rPr>
        <w:t>+化粪池+生化</w:t>
      </w:r>
      <w:r>
        <w:rPr>
          <w:rFonts w:hint="eastAsia"/>
          <w:sz w:val="24"/>
          <w:szCs w:val="24"/>
        </w:rPr>
        <w:t>处理后通过污水管网排至</w:t>
      </w:r>
      <w:r>
        <w:rPr>
          <w:rFonts w:hint="eastAsia"/>
          <w:sz w:val="24"/>
          <w:szCs w:val="24"/>
          <w:lang w:eastAsia="zh-CN"/>
        </w:rPr>
        <w:t>红谷滩</w:t>
      </w:r>
      <w:r>
        <w:rPr>
          <w:rFonts w:hint="eastAsia"/>
          <w:sz w:val="24"/>
          <w:szCs w:val="24"/>
        </w:rPr>
        <w:t>污水处理厂</w:t>
      </w:r>
      <w:r>
        <w:rPr>
          <w:rFonts w:hint="eastAsia"/>
          <w:sz w:val="24"/>
          <w:szCs w:val="24"/>
        </w:rPr>
        <w:t>。</w:t>
      </w:r>
    </w:p>
    <w:bookmarkEnd w:id="15"/>
    <w:p>
      <w:pPr>
        <w:pStyle w:val="10"/>
        <w:keepNext/>
        <w:ind w:firstLine="720" w:firstLineChars="300"/>
        <w:jc w:val="left"/>
        <w:rPr>
          <w:rFonts w:hint="eastAsia"/>
          <w:sz w:val="24"/>
          <w:szCs w:val="24"/>
        </w:rPr>
      </w:pPr>
      <w:r>
        <w:rPr>
          <w:rFonts w:hint="eastAsia"/>
          <w:sz w:val="24"/>
          <w:szCs w:val="24"/>
        </w:rPr>
        <w:t>经调查雨水、污水排口下游10公里范围内不涉及《企业突发环境事件风险分级方法》表7（即</w:t>
      </w:r>
      <w:r>
        <w:rPr>
          <w:sz w:val="24"/>
          <w:szCs w:val="24"/>
        </w:rPr>
        <w:fldChar w:fldCharType="begin"/>
      </w:r>
      <w:r>
        <w:rPr>
          <w:sz w:val="24"/>
          <w:szCs w:val="24"/>
        </w:rPr>
        <w:instrText xml:space="preserve"> </w:instrText>
      </w:r>
      <w:r>
        <w:rPr>
          <w:rFonts w:hint="eastAsia"/>
          <w:sz w:val="24"/>
          <w:szCs w:val="24"/>
        </w:rPr>
        <w:instrText xml:space="preserve">REF _Ref526606226 \h</w:instrText>
      </w:r>
      <w:r>
        <w:rPr>
          <w:sz w:val="24"/>
          <w:szCs w:val="24"/>
        </w:rPr>
        <w:instrText xml:space="preserve"> </w:instrText>
      </w:r>
      <w:r>
        <w:rPr>
          <w:sz w:val="24"/>
          <w:szCs w:val="24"/>
        </w:rPr>
        <w:fldChar w:fldCharType="separate"/>
      </w:r>
      <w:r>
        <w:rPr>
          <w:rFonts w:hint="eastAsia"/>
          <w:sz w:val="24"/>
          <w:szCs w:val="24"/>
        </w:rPr>
        <w:t>表</w:t>
      </w:r>
      <w:r>
        <w:rPr>
          <w:rFonts w:hint="default"/>
          <w:sz w:val="24"/>
          <w:szCs w:val="24"/>
          <w:lang w:val="en-US"/>
        </w:rPr>
        <w:t>3</w:t>
      </w:r>
      <w:r>
        <w:rPr>
          <w:sz w:val="24"/>
          <w:szCs w:val="24"/>
        </w:rPr>
        <w:fldChar w:fldCharType="end"/>
      </w:r>
      <w:r>
        <w:rPr>
          <w:rFonts w:hint="eastAsia"/>
          <w:sz w:val="24"/>
          <w:szCs w:val="24"/>
          <w:lang w:val="en-US" w:eastAsia="zh-CN"/>
        </w:rPr>
        <w:t>-</w:t>
      </w:r>
      <w:r>
        <w:rPr>
          <w:rFonts w:hint="default"/>
          <w:sz w:val="24"/>
          <w:szCs w:val="24"/>
          <w:lang w:val="en-US" w:eastAsia="zh-CN"/>
        </w:rPr>
        <w:t>10</w:t>
      </w:r>
      <w:r>
        <w:rPr>
          <w:rFonts w:hint="eastAsia"/>
          <w:sz w:val="24"/>
          <w:szCs w:val="24"/>
        </w:rPr>
        <w:t>）中类型1和类型2的情况，属于类型E3。</w:t>
      </w:r>
    </w:p>
    <w:p>
      <w:pPr>
        <w:pStyle w:val="10"/>
        <w:keepNext/>
        <w:rPr>
          <w:b/>
          <w:bCs/>
          <w:sz w:val="24"/>
          <w:szCs w:val="24"/>
        </w:rPr>
      </w:pPr>
      <w:r>
        <w:rPr>
          <w:rFonts w:hint="eastAsia"/>
          <w:b/>
          <w:bCs/>
          <w:sz w:val="24"/>
          <w:szCs w:val="24"/>
        </w:rPr>
        <w:t xml:space="preserve">表 </w:t>
      </w:r>
      <w:r>
        <w:rPr>
          <w:b/>
          <w:bCs/>
          <w:sz w:val="24"/>
          <w:szCs w:val="24"/>
        </w:rPr>
        <w:fldChar w:fldCharType="begin"/>
      </w:r>
      <w:r>
        <w:rPr>
          <w:b/>
          <w:bCs/>
          <w:sz w:val="24"/>
          <w:szCs w:val="24"/>
        </w:rPr>
        <w:instrText xml:space="preserve"> </w:instrText>
      </w:r>
      <w:r>
        <w:rPr>
          <w:rFonts w:hint="eastAsia"/>
          <w:b/>
          <w:bCs/>
          <w:sz w:val="24"/>
          <w:szCs w:val="24"/>
        </w:rPr>
        <w:instrText xml:space="preserve">STYLEREF 1 \s</w:instrText>
      </w:r>
      <w:r>
        <w:rPr>
          <w:b/>
          <w:bCs/>
          <w:sz w:val="24"/>
          <w:szCs w:val="24"/>
        </w:rPr>
        <w:instrText xml:space="preserve"> </w:instrText>
      </w:r>
      <w:r>
        <w:rPr>
          <w:b/>
          <w:bCs/>
          <w:sz w:val="24"/>
          <w:szCs w:val="24"/>
        </w:rPr>
        <w:fldChar w:fldCharType="separate"/>
      </w:r>
      <w:r>
        <w:rPr>
          <w:b/>
          <w:bCs/>
          <w:sz w:val="24"/>
          <w:szCs w:val="24"/>
        </w:rPr>
        <w:t>3</w:t>
      </w:r>
      <w:r>
        <w:rPr>
          <w:b/>
          <w:bCs/>
          <w:sz w:val="24"/>
          <w:szCs w:val="24"/>
        </w:rPr>
        <w:fldChar w:fldCharType="end"/>
      </w:r>
      <w:r>
        <w:rPr>
          <w:b/>
          <w:bCs/>
          <w:sz w:val="24"/>
          <w:szCs w:val="24"/>
        </w:rPr>
        <w:noBreakHyphen/>
      </w:r>
      <w:bookmarkEnd w:id="16"/>
      <w:r>
        <w:rPr>
          <w:rFonts w:hint="eastAsia"/>
          <w:b/>
          <w:bCs/>
          <w:sz w:val="24"/>
          <w:szCs w:val="24"/>
          <w:lang w:val="en-US" w:eastAsia="zh-CN"/>
        </w:rPr>
        <w:t>10</w:t>
      </w:r>
      <w:r>
        <w:rPr>
          <w:rFonts w:hint="eastAsia"/>
          <w:b/>
          <w:bCs/>
          <w:sz w:val="24"/>
          <w:szCs w:val="24"/>
        </w:rPr>
        <w:t>企业周边水环境风险受体情况划分</w:t>
      </w:r>
    </w:p>
    <w:tbl>
      <w:tblPr>
        <w:tblStyle w:val="18"/>
        <w:tblW w:w="5000" w:type="pct"/>
        <w:jc w:val="cente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Layout w:type="autofit"/>
        <w:tblCellMar>
          <w:top w:w="0" w:type="dxa"/>
          <w:left w:w="108" w:type="dxa"/>
          <w:bottom w:w="0" w:type="dxa"/>
          <w:right w:w="108" w:type="dxa"/>
        </w:tblCellMar>
      </w:tblPr>
      <w:tblGrid>
        <w:gridCol w:w="1076"/>
        <w:gridCol w:w="8268"/>
      </w:tblGrid>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425" w:hRule="atLeast"/>
          <w:tblHeader/>
          <w:jc w:val="center"/>
        </w:trPr>
        <w:tc>
          <w:tcPr>
            <w:tcW w:w="576" w:type="pct"/>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类别</w:t>
            </w:r>
          </w:p>
        </w:tc>
        <w:tc>
          <w:tcPr>
            <w:tcW w:w="4424" w:type="pct"/>
            <w:vAlign w:val="center"/>
          </w:tcPr>
          <w:p>
            <w:pPr>
              <w:widowControl/>
              <w:spacing w:line="240" w:lineRule="auto"/>
              <w:ind w:firstLine="0" w:firstLineChars="0"/>
              <w:jc w:val="center"/>
              <w:rPr>
                <w:rFonts w:cs="Times New Roman"/>
                <w:color w:val="000000"/>
                <w:kern w:val="0"/>
                <w:sz w:val="21"/>
                <w:szCs w:val="21"/>
              </w:rPr>
            </w:pPr>
            <w:r>
              <w:rPr>
                <w:rFonts w:hint="eastAsia" w:cs="Times New Roman"/>
                <w:color w:val="000000"/>
                <w:kern w:val="0"/>
                <w:sz w:val="21"/>
                <w:szCs w:val="21"/>
              </w:rPr>
              <w:t>水</w:t>
            </w:r>
            <w:r>
              <w:rPr>
                <w:rFonts w:cs="Times New Roman"/>
                <w:color w:val="000000"/>
                <w:kern w:val="0"/>
                <w:sz w:val="21"/>
                <w:szCs w:val="21"/>
              </w:rPr>
              <w:t>环境风险受体</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425" w:hRule="atLeast"/>
          <w:jc w:val="center"/>
        </w:trPr>
        <w:tc>
          <w:tcPr>
            <w:tcW w:w="576" w:type="pct"/>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类型1（E1）</w:t>
            </w:r>
          </w:p>
        </w:tc>
        <w:tc>
          <w:tcPr>
            <w:tcW w:w="4424" w:type="pct"/>
            <w:vAlign w:val="center"/>
          </w:tcPr>
          <w:p>
            <w:pPr>
              <w:widowControl/>
              <w:spacing w:line="240" w:lineRule="auto"/>
              <w:ind w:firstLine="0" w:firstLineChars="0"/>
              <w:jc w:val="left"/>
              <w:rPr>
                <w:rFonts w:cs="Times New Roman"/>
                <w:color w:val="000000"/>
                <w:kern w:val="0"/>
                <w:sz w:val="21"/>
                <w:szCs w:val="21"/>
              </w:rPr>
            </w:pPr>
            <w:r>
              <w:rPr>
                <w:rFonts w:cs="Times New Roman"/>
                <w:color w:val="000000"/>
                <w:kern w:val="0"/>
                <w:sz w:val="21"/>
                <w:szCs w:val="21"/>
              </w:rPr>
              <w:t>1</w:t>
            </w:r>
            <w:r>
              <w:rPr>
                <w:rFonts w:hint="eastAsia" w:cs="Times New Roman"/>
                <w:color w:val="000000"/>
                <w:kern w:val="0"/>
                <w:sz w:val="21"/>
                <w:szCs w:val="21"/>
              </w:rPr>
              <w:t>、企业雨水排口、清净废水排口、污水排口下游10公里流经范围内有如下一类或多类环境风险受体：集中式地表水、地下水饮用水水源保护区(包括一级保护区、二级保护区及准保护区)：农村及分散式饮用水水源保护区；</w:t>
            </w:r>
          </w:p>
          <w:p>
            <w:pPr>
              <w:widowControl/>
              <w:spacing w:line="240" w:lineRule="auto"/>
              <w:ind w:firstLine="0" w:firstLineChars="0"/>
              <w:jc w:val="left"/>
              <w:rPr>
                <w:rFonts w:cs="Times New Roman"/>
                <w:color w:val="000000"/>
                <w:kern w:val="0"/>
                <w:sz w:val="21"/>
                <w:szCs w:val="21"/>
              </w:rPr>
            </w:pPr>
            <w:r>
              <w:rPr>
                <w:rFonts w:hint="eastAsia" w:cs="Times New Roman"/>
                <w:color w:val="000000"/>
                <w:kern w:val="0"/>
                <w:sz w:val="21"/>
                <w:szCs w:val="21"/>
              </w:rPr>
              <w:t>2、废水排入受纳水体后24小时流经范围(按受纳河流最大日均流速计算)内涉及跨国界的。</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425" w:hRule="atLeast"/>
          <w:jc w:val="center"/>
        </w:trPr>
        <w:tc>
          <w:tcPr>
            <w:tcW w:w="576" w:type="pct"/>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类型2（E2）</w:t>
            </w:r>
          </w:p>
        </w:tc>
        <w:tc>
          <w:tcPr>
            <w:tcW w:w="4424" w:type="pct"/>
            <w:vAlign w:val="center"/>
          </w:tcPr>
          <w:p>
            <w:pPr>
              <w:widowControl/>
              <w:spacing w:line="240" w:lineRule="auto"/>
              <w:ind w:firstLine="0" w:firstLineChars="0"/>
              <w:jc w:val="left"/>
              <w:rPr>
                <w:rFonts w:cs="Times New Roman"/>
                <w:color w:val="000000"/>
                <w:kern w:val="0"/>
                <w:sz w:val="21"/>
                <w:szCs w:val="21"/>
              </w:rPr>
            </w:pPr>
            <w:r>
              <w:rPr>
                <w:rFonts w:hint="eastAsia" w:cs="Times New Roman"/>
                <w:color w:val="000000"/>
                <w:kern w:val="0"/>
                <w:sz w:val="21"/>
                <w:szCs w:val="21"/>
              </w:rPr>
              <w:t>1、企业雨水排口、清净废水排口、污水排口下游10公里流经范围内有生态保护红线划定的或具有水生态服务功能的其他水生态环境敏感区和脆弱区，如国家公园，国家级和省级水产种质资源保护区，水产养殖区，天然渔场，海水浴场，盐场保护区，国家重要湿地，国家级和地方级海洋特别保护区，国家级和地方级海洋自然保护区，生物多样性保护优先区域，国家级和地方级自然保护区，国家级和省级风景名胜区，世界文化和自然遗产地，国家级和省级森林公园，世界、国家和省级地质公园，基本农田保护区，基本草原；</w:t>
            </w:r>
          </w:p>
          <w:p>
            <w:pPr>
              <w:widowControl/>
              <w:spacing w:line="240" w:lineRule="auto"/>
              <w:ind w:firstLine="0" w:firstLineChars="0"/>
              <w:jc w:val="left"/>
              <w:rPr>
                <w:rFonts w:cs="Times New Roman"/>
                <w:color w:val="000000"/>
                <w:kern w:val="0"/>
                <w:sz w:val="21"/>
                <w:szCs w:val="21"/>
              </w:rPr>
            </w:pPr>
            <w:r>
              <w:rPr>
                <w:rFonts w:hint="eastAsia" w:cs="Times New Roman"/>
                <w:color w:val="000000"/>
                <w:kern w:val="0"/>
                <w:sz w:val="21"/>
                <w:szCs w:val="21"/>
              </w:rPr>
              <w:t>2、企业雨水排口、清净废水排口、污水排口下游10公里流经范围内涉及跨省界的；</w:t>
            </w:r>
          </w:p>
          <w:p>
            <w:pPr>
              <w:widowControl/>
              <w:spacing w:line="240" w:lineRule="auto"/>
              <w:ind w:firstLine="0" w:firstLineChars="0"/>
              <w:jc w:val="left"/>
              <w:rPr>
                <w:rFonts w:cs="Times New Roman"/>
                <w:color w:val="000000"/>
                <w:kern w:val="0"/>
                <w:sz w:val="21"/>
                <w:szCs w:val="21"/>
              </w:rPr>
            </w:pPr>
            <w:r>
              <w:rPr>
                <w:rFonts w:cs="Times New Roman"/>
                <w:color w:val="000000"/>
                <w:kern w:val="0"/>
                <w:sz w:val="21"/>
                <w:szCs w:val="21"/>
              </w:rPr>
              <w:t>3</w:t>
            </w:r>
            <w:r>
              <w:rPr>
                <w:rFonts w:hint="eastAsia" w:cs="Times New Roman"/>
                <w:color w:val="000000"/>
                <w:kern w:val="0"/>
                <w:sz w:val="21"/>
                <w:szCs w:val="21"/>
              </w:rPr>
              <w:t>、企业位于溶岩地貌、泄洪区、泥石流多发等地区。</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425" w:hRule="atLeast"/>
          <w:jc w:val="center"/>
        </w:trPr>
        <w:tc>
          <w:tcPr>
            <w:tcW w:w="576" w:type="pct"/>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类型3（E3）</w:t>
            </w:r>
          </w:p>
        </w:tc>
        <w:tc>
          <w:tcPr>
            <w:tcW w:w="4424" w:type="pct"/>
            <w:vAlign w:val="center"/>
          </w:tcPr>
          <w:p>
            <w:pPr>
              <w:widowControl/>
              <w:spacing w:line="240" w:lineRule="auto"/>
              <w:ind w:firstLine="0" w:firstLineChars="0"/>
              <w:jc w:val="left"/>
              <w:rPr>
                <w:rFonts w:cs="Times New Roman"/>
                <w:color w:val="000000"/>
                <w:kern w:val="0"/>
                <w:sz w:val="21"/>
                <w:szCs w:val="21"/>
              </w:rPr>
            </w:pPr>
            <w:r>
              <w:rPr>
                <w:rFonts w:hint="eastAsia" w:cs="Times New Roman"/>
                <w:color w:val="000000"/>
                <w:kern w:val="0"/>
                <w:sz w:val="21"/>
                <w:szCs w:val="21"/>
              </w:rPr>
              <w:t>不涉及类型1和类型2情况。</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425" w:hRule="atLeast"/>
          <w:jc w:val="center"/>
        </w:trPr>
        <w:tc>
          <w:tcPr>
            <w:tcW w:w="5000" w:type="pct"/>
            <w:gridSpan w:val="2"/>
            <w:vAlign w:val="center"/>
          </w:tcPr>
          <w:p>
            <w:pPr>
              <w:widowControl/>
              <w:spacing w:line="240" w:lineRule="auto"/>
              <w:ind w:firstLine="0" w:firstLineChars="0"/>
              <w:jc w:val="left"/>
              <w:rPr>
                <w:rFonts w:cs="Times New Roman"/>
                <w:color w:val="000000"/>
                <w:kern w:val="0"/>
                <w:sz w:val="21"/>
                <w:szCs w:val="21"/>
              </w:rPr>
            </w:pPr>
            <w:r>
              <w:rPr>
                <w:rFonts w:hint="eastAsia" w:cs="Times New Roman"/>
                <w:color w:val="000000"/>
                <w:kern w:val="0"/>
                <w:sz w:val="21"/>
                <w:szCs w:val="21"/>
              </w:rPr>
              <w:t>注：本表中规定的距离范围以到各类水环境保护目标或保护区域的边界为准。</w:t>
            </w:r>
          </w:p>
        </w:tc>
      </w:tr>
    </w:tbl>
    <w:p>
      <w:pPr>
        <w:pStyle w:val="4"/>
        <w:rPr>
          <w:sz w:val="24"/>
          <w:szCs w:val="24"/>
        </w:rPr>
      </w:pPr>
      <w:bookmarkStart w:id="17" w:name="_Toc10986"/>
      <w:r>
        <w:rPr>
          <w:rFonts w:hint="eastAsia"/>
          <w:sz w:val="24"/>
          <w:szCs w:val="24"/>
        </w:rPr>
        <w:t>涉及环境风险物质情况</w:t>
      </w:r>
      <w:bookmarkEnd w:id="17"/>
    </w:p>
    <w:p>
      <w:pPr>
        <w:pStyle w:val="6"/>
        <w:rPr>
          <w:sz w:val="24"/>
          <w:szCs w:val="24"/>
        </w:rPr>
      </w:pPr>
      <w:r>
        <w:rPr>
          <w:rFonts w:hint="eastAsia"/>
          <w:sz w:val="24"/>
          <w:szCs w:val="24"/>
        </w:rPr>
        <w:t>风险物质识别</w:t>
      </w:r>
    </w:p>
    <w:p>
      <w:pPr>
        <w:pStyle w:val="7"/>
        <w:ind w:left="0" w:leftChars="0" w:firstLine="480" w:firstLineChars="200"/>
        <w:rPr>
          <w:color w:val="auto"/>
          <w:sz w:val="24"/>
          <w:szCs w:val="24"/>
          <w:lang w:val="zh-CN"/>
        </w:rPr>
      </w:pPr>
      <w:bookmarkStart w:id="18" w:name="_Hlk526950103"/>
      <w:r>
        <w:rPr>
          <w:color w:val="auto"/>
          <w:sz w:val="24"/>
          <w:szCs w:val="24"/>
          <w:lang w:val="zh-CN"/>
        </w:rPr>
        <w:t>按照《危险化学品名录》（2015版）、《建设项目环境风险评价技术导则》（HJ/T 169-20</w:t>
      </w:r>
      <w:r>
        <w:rPr>
          <w:rFonts w:hint="eastAsia"/>
          <w:color w:val="auto"/>
          <w:sz w:val="24"/>
          <w:szCs w:val="24"/>
          <w:lang w:val="en-US" w:eastAsia="zh-CN"/>
        </w:rPr>
        <w:t>18</w:t>
      </w:r>
      <w:r>
        <w:rPr>
          <w:color w:val="auto"/>
          <w:sz w:val="24"/>
          <w:szCs w:val="24"/>
          <w:lang w:val="zh-CN"/>
        </w:rPr>
        <w:t>）附录A.1中表1“物质危险性标准”、《企业突发环境事件风险评估指南（试行）》（环办 [2014]34号）附录B中“化学物质及临界量清单”和《危险化学品重大危险源辨识》（GB 18218-20</w:t>
      </w:r>
      <w:r>
        <w:rPr>
          <w:rFonts w:hint="eastAsia"/>
          <w:color w:val="auto"/>
          <w:sz w:val="24"/>
          <w:szCs w:val="24"/>
          <w:lang w:val="en-US" w:eastAsia="zh-CN"/>
        </w:rPr>
        <w:t>18</w:t>
      </w:r>
      <w:r>
        <w:rPr>
          <w:color w:val="auto"/>
          <w:sz w:val="24"/>
          <w:szCs w:val="24"/>
          <w:lang w:val="zh-CN"/>
        </w:rPr>
        <w:t>），结合各种物质的理化性质及毒理毒性，可识别出厂内的环境风险物质。</w:t>
      </w:r>
    </w:p>
    <w:p>
      <w:pPr>
        <w:pStyle w:val="7"/>
        <w:ind w:left="0" w:leftChars="0" w:firstLine="480" w:firstLineChars="200"/>
        <w:rPr>
          <w:rFonts w:hint="eastAsia"/>
          <w:color w:val="auto"/>
          <w:sz w:val="24"/>
          <w:szCs w:val="24"/>
          <w:lang w:val="zh-CN"/>
        </w:rPr>
      </w:pPr>
      <w:r>
        <w:rPr>
          <w:rFonts w:hint="eastAsia"/>
          <w:color w:val="auto"/>
          <w:sz w:val="24"/>
          <w:szCs w:val="24"/>
          <w:lang w:val="zh-CN"/>
        </w:rPr>
        <w:t>公司主要产品为混凝土，主要使用水泥、砂子和石子为原料。生产原辅料中不含有危险化学品等风险物质。公司车辆在附近加油站加油，故不设有柴油储存点，整个厂区内没有风险物质，但存在能够导致环境事件的污染物，若发生地震，就会引起筒仓倾倒，后果严重。</w:t>
      </w:r>
    </w:p>
    <w:p>
      <w:pPr>
        <w:pStyle w:val="7"/>
        <w:ind w:left="0" w:leftChars="0" w:firstLine="480" w:firstLineChars="200"/>
        <w:rPr>
          <w:rFonts w:hint="eastAsia"/>
          <w:color w:val="auto"/>
          <w:sz w:val="24"/>
          <w:szCs w:val="24"/>
          <w:lang w:val="en-US" w:eastAsia="zh-CN"/>
        </w:rPr>
      </w:pPr>
      <w:r>
        <w:rPr>
          <w:rFonts w:hint="eastAsia"/>
          <w:color w:val="auto"/>
          <w:sz w:val="24"/>
          <w:szCs w:val="24"/>
          <w:lang w:val="zh-CN"/>
        </w:rPr>
        <w:t>根据各生产环境节涉及的物质，厂区存在物质风险的识别结果见表</w:t>
      </w:r>
      <w:r>
        <w:rPr>
          <w:rFonts w:hint="eastAsia"/>
          <w:color w:val="auto"/>
          <w:sz w:val="24"/>
          <w:szCs w:val="24"/>
          <w:lang w:val="en-US" w:eastAsia="zh-CN"/>
        </w:rPr>
        <w:t>3-11。</w:t>
      </w:r>
    </w:p>
    <w:p>
      <w:pPr>
        <w:pStyle w:val="7"/>
        <w:ind w:left="0" w:leftChars="0" w:firstLine="482" w:firstLineChars="200"/>
        <w:jc w:val="center"/>
        <w:rPr>
          <w:rFonts w:hint="eastAsia"/>
          <w:b/>
          <w:bCs/>
          <w:color w:val="auto"/>
          <w:sz w:val="24"/>
          <w:szCs w:val="24"/>
          <w:lang w:val="en-US" w:eastAsia="zh-CN"/>
        </w:rPr>
      </w:pPr>
      <w:r>
        <w:rPr>
          <w:rFonts w:hint="eastAsia"/>
          <w:b/>
          <w:bCs/>
          <w:color w:val="auto"/>
          <w:sz w:val="24"/>
          <w:szCs w:val="24"/>
          <w:lang w:val="en-US" w:eastAsia="zh-CN"/>
        </w:rPr>
        <w:t>表3-11 厂区物质风险识别</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95"/>
        <w:gridCol w:w="1333"/>
        <w:gridCol w:w="1433"/>
        <w:gridCol w:w="1217"/>
        <w:gridCol w:w="2608"/>
        <w:gridCol w:w="15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3" w:hRule="atLeast"/>
          <w:jc w:val="center"/>
        </w:trPr>
        <w:tc>
          <w:tcPr>
            <w:tcW w:w="1195" w:type="dxa"/>
          </w:tcPr>
          <w:p>
            <w:pPr>
              <w:pStyle w:val="7"/>
              <w:spacing w:line="240" w:lineRule="auto"/>
              <w:rPr>
                <w:rFonts w:hint="default" w:ascii="Times New Roman" w:hAnsi="Times New Roman" w:eastAsia="仿宋" w:cs="Times New Roman"/>
                <w:color w:val="auto"/>
                <w:sz w:val="21"/>
                <w:szCs w:val="21"/>
                <w:vertAlign w:val="baseline"/>
                <w:lang w:val="en-US" w:eastAsia="zh-CN"/>
              </w:rPr>
            </w:pPr>
            <w:r>
              <w:rPr>
                <w:rFonts w:hint="default" w:ascii="Times New Roman" w:hAnsi="Times New Roman" w:eastAsia="仿宋" w:cs="Times New Roman"/>
                <w:color w:val="auto"/>
                <w:sz w:val="21"/>
                <w:szCs w:val="21"/>
                <w:vertAlign w:val="baseline"/>
                <w:lang w:val="en-US" w:eastAsia="zh-CN"/>
              </w:rPr>
              <w:t>类别</w:t>
            </w:r>
          </w:p>
        </w:tc>
        <w:tc>
          <w:tcPr>
            <w:tcW w:w="1333" w:type="dxa"/>
          </w:tcPr>
          <w:p>
            <w:pPr>
              <w:pStyle w:val="7"/>
              <w:spacing w:line="240" w:lineRule="auto"/>
              <w:jc w:val="center"/>
              <w:rPr>
                <w:rFonts w:hint="default" w:ascii="Times New Roman" w:hAnsi="Times New Roman" w:eastAsia="仿宋" w:cs="Times New Roman"/>
                <w:color w:val="auto"/>
                <w:sz w:val="21"/>
                <w:szCs w:val="21"/>
                <w:vertAlign w:val="baseline"/>
                <w:lang w:val="en-US" w:eastAsia="zh-CN"/>
              </w:rPr>
            </w:pPr>
            <w:r>
              <w:rPr>
                <w:rFonts w:hint="default" w:ascii="Times New Roman" w:hAnsi="Times New Roman" w:eastAsia="仿宋" w:cs="Times New Roman"/>
                <w:color w:val="auto"/>
                <w:sz w:val="21"/>
                <w:szCs w:val="21"/>
                <w:vertAlign w:val="baseline"/>
                <w:lang w:val="en-US" w:eastAsia="zh-CN"/>
              </w:rPr>
              <w:t>物质名称</w:t>
            </w:r>
          </w:p>
        </w:tc>
        <w:tc>
          <w:tcPr>
            <w:tcW w:w="1433" w:type="dxa"/>
          </w:tcPr>
          <w:p>
            <w:pPr>
              <w:pStyle w:val="7"/>
              <w:spacing w:line="240" w:lineRule="auto"/>
              <w:ind w:left="0" w:leftChars="0" w:firstLine="0" w:firstLineChars="0"/>
              <w:rPr>
                <w:rFonts w:hint="default" w:ascii="Times New Roman" w:hAnsi="Times New Roman" w:eastAsia="仿宋" w:cs="Times New Roman"/>
                <w:color w:val="auto"/>
                <w:sz w:val="21"/>
                <w:szCs w:val="21"/>
                <w:vertAlign w:val="baseline"/>
                <w:lang w:val="en-US" w:eastAsia="zh-CN"/>
              </w:rPr>
            </w:pPr>
            <w:r>
              <w:rPr>
                <w:rFonts w:hint="default" w:ascii="Times New Roman" w:hAnsi="Times New Roman" w:eastAsia="仿宋" w:cs="Times New Roman"/>
                <w:color w:val="auto"/>
                <w:sz w:val="21"/>
                <w:szCs w:val="21"/>
                <w:vertAlign w:val="baseline"/>
                <w:lang w:val="en-US" w:eastAsia="zh-CN"/>
              </w:rPr>
              <w:t>最大储量</w:t>
            </w:r>
          </w:p>
        </w:tc>
        <w:tc>
          <w:tcPr>
            <w:tcW w:w="1217" w:type="dxa"/>
          </w:tcPr>
          <w:p>
            <w:pPr>
              <w:pStyle w:val="7"/>
              <w:spacing w:line="240" w:lineRule="auto"/>
              <w:ind w:left="0" w:leftChars="0" w:firstLine="0" w:firstLineChars="0"/>
              <w:rPr>
                <w:rFonts w:hint="default" w:ascii="Times New Roman" w:hAnsi="Times New Roman" w:eastAsia="仿宋" w:cs="Times New Roman"/>
                <w:color w:val="auto"/>
                <w:sz w:val="21"/>
                <w:szCs w:val="21"/>
                <w:vertAlign w:val="baseline"/>
                <w:lang w:val="en-US" w:eastAsia="zh-CN"/>
              </w:rPr>
            </w:pPr>
            <w:r>
              <w:rPr>
                <w:rFonts w:hint="default" w:ascii="Times New Roman" w:hAnsi="Times New Roman" w:eastAsia="仿宋" w:cs="Times New Roman"/>
                <w:color w:val="auto"/>
                <w:sz w:val="21"/>
                <w:szCs w:val="21"/>
                <w:vertAlign w:val="baseline"/>
                <w:lang w:val="en-US" w:eastAsia="zh-CN"/>
              </w:rPr>
              <w:t>风险类型</w:t>
            </w:r>
          </w:p>
        </w:tc>
        <w:tc>
          <w:tcPr>
            <w:tcW w:w="2608" w:type="dxa"/>
          </w:tcPr>
          <w:p>
            <w:pPr>
              <w:pStyle w:val="7"/>
              <w:spacing w:line="240" w:lineRule="auto"/>
              <w:ind w:left="0" w:leftChars="0" w:firstLine="0" w:firstLineChars="0"/>
              <w:jc w:val="center"/>
              <w:rPr>
                <w:rFonts w:hint="default" w:ascii="Times New Roman" w:hAnsi="Times New Roman" w:eastAsia="仿宋" w:cs="Times New Roman"/>
                <w:color w:val="auto"/>
                <w:sz w:val="21"/>
                <w:szCs w:val="21"/>
                <w:vertAlign w:val="baseline"/>
                <w:lang w:val="en-US" w:eastAsia="zh-CN"/>
              </w:rPr>
            </w:pPr>
            <w:r>
              <w:rPr>
                <w:rFonts w:hint="default" w:ascii="Times New Roman" w:hAnsi="Times New Roman" w:eastAsia="仿宋" w:cs="Times New Roman"/>
                <w:color w:val="auto"/>
                <w:sz w:val="21"/>
                <w:szCs w:val="21"/>
                <w:vertAlign w:val="baseline"/>
                <w:lang w:val="en-US" w:eastAsia="zh-CN"/>
              </w:rPr>
              <w:t>是否能够发生</w:t>
            </w:r>
          </w:p>
          <w:p>
            <w:pPr>
              <w:pStyle w:val="7"/>
              <w:spacing w:line="240" w:lineRule="auto"/>
              <w:ind w:left="0" w:leftChars="0" w:firstLine="0" w:firstLineChars="0"/>
              <w:jc w:val="center"/>
              <w:rPr>
                <w:rFonts w:hint="default" w:ascii="Times New Roman" w:hAnsi="Times New Roman" w:eastAsia="仿宋" w:cs="Times New Roman"/>
                <w:color w:val="auto"/>
                <w:sz w:val="21"/>
                <w:szCs w:val="21"/>
                <w:vertAlign w:val="baseline"/>
                <w:lang w:val="en-US" w:eastAsia="zh-CN"/>
              </w:rPr>
            </w:pPr>
            <w:r>
              <w:rPr>
                <w:rFonts w:hint="default" w:ascii="Times New Roman" w:hAnsi="Times New Roman" w:eastAsia="仿宋" w:cs="Times New Roman"/>
                <w:color w:val="auto"/>
                <w:sz w:val="21"/>
                <w:szCs w:val="21"/>
                <w:vertAlign w:val="baseline"/>
                <w:lang w:val="en-US" w:eastAsia="zh-CN"/>
              </w:rPr>
              <w:t>突发环境事件</w:t>
            </w:r>
          </w:p>
        </w:tc>
        <w:tc>
          <w:tcPr>
            <w:tcW w:w="1558" w:type="dxa"/>
          </w:tcPr>
          <w:p>
            <w:pPr>
              <w:pStyle w:val="7"/>
              <w:spacing w:line="240" w:lineRule="auto"/>
              <w:ind w:left="0" w:leftChars="0" w:firstLine="0" w:firstLineChars="0"/>
              <w:rPr>
                <w:rFonts w:hint="default" w:ascii="Times New Roman" w:hAnsi="Times New Roman" w:eastAsia="仿宋" w:cs="Times New Roman"/>
                <w:color w:val="auto"/>
                <w:sz w:val="21"/>
                <w:szCs w:val="21"/>
                <w:vertAlign w:val="baseline"/>
                <w:lang w:val="en-US" w:eastAsia="zh-CN"/>
              </w:rPr>
            </w:pPr>
            <w:r>
              <w:rPr>
                <w:rFonts w:hint="default" w:ascii="Times New Roman" w:hAnsi="Times New Roman" w:eastAsia="仿宋" w:cs="Times New Roman"/>
                <w:color w:val="auto"/>
                <w:sz w:val="21"/>
                <w:szCs w:val="21"/>
                <w:vertAlign w:val="baseline"/>
                <w:lang w:val="en-US" w:eastAsia="zh-CN"/>
              </w:rPr>
              <w:t>是否为环境风险物质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5" w:type="dxa"/>
            <w:vMerge w:val="restart"/>
          </w:tcPr>
          <w:p>
            <w:pPr>
              <w:pStyle w:val="7"/>
              <w:spacing w:line="240" w:lineRule="auto"/>
              <w:ind w:left="0" w:leftChars="0" w:firstLine="0" w:firstLineChars="0"/>
              <w:rPr>
                <w:rFonts w:hint="default" w:ascii="Times New Roman" w:hAnsi="Times New Roman" w:eastAsia="仿宋" w:cs="Times New Roman"/>
                <w:color w:val="auto"/>
                <w:sz w:val="21"/>
                <w:szCs w:val="21"/>
                <w:vertAlign w:val="baseline"/>
                <w:lang w:val="en-US" w:eastAsia="zh-CN"/>
              </w:rPr>
            </w:pPr>
            <w:r>
              <w:rPr>
                <w:rFonts w:hint="default" w:ascii="Times New Roman" w:hAnsi="Times New Roman" w:eastAsia="仿宋" w:cs="Times New Roman"/>
                <w:color w:val="auto"/>
                <w:sz w:val="21"/>
                <w:szCs w:val="21"/>
                <w:vertAlign w:val="baseline"/>
                <w:lang w:val="en-US" w:eastAsia="zh-CN"/>
              </w:rPr>
              <w:t>液态</w:t>
            </w:r>
          </w:p>
        </w:tc>
        <w:tc>
          <w:tcPr>
            <w:tcW w:w="1333" w:type="dxa"/>
            <w:vAlign w:val="center"/>
          </w:tcPr>
          <w:p>
            <w:pPr>
              <w:pStyle w:val="42"/>
              <w:spacing w:line="240" w:lineRule="auto"/>
              <w:ind w:left="0" w:leftChars="0" w:firstLine="0" w:firstLineChars="0"/>
              <w:jc w:val="center"/>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事故废水</w:t>
            </w:r>
          </w:p>
        </w:tc>
        <w:tc>
          <w:tcPr>
            <w:tcW w:w="1433" w:type="dxa"/>
          </w:tcPr>
          <w:p>
            <w:pPr>
              <w:pStyle w:val="7"/>
              <w:spacing w:line="240" w:lineRule="auto"/>
              <w:rPr>
                <w:rFonts w:hint="default" w:ascii="Times New Roman" w:hAnsi="Times New Roman" w:eastAsia="仿宋" w:cs="Times New Roman"/>
                <w:color w:val="auto"/>
                <w:sz w:val="21"/>
                <w:szCs w:val="21"/>
                <w:vertAlign w:val="baseline"/>
                <w:lang w:val="en-US" w:eastAsia="zh-CN"/>
              </w:rPr>
            </w:pPr>
            <w:r>
              <w:rPr>
                <w:rFonts w:hint="default" w:ascii="Times New Roman" w:hAnsi="Times New Roman" w:eastAsia="仿宋" w:cs="Times New Roman"/>
                <w:color w:val="auto"/>
                <w:sz w:val="21"/>
                <w:szCs w:val="21"/>
                <w:vertAlign w:val="baseline"/>
                <w:lang w:val="en-US" w:eastAsia="zh-CN"/>
              </w:rPr>
              <w:t>100m</w:t>
            </w:r>
            <w:r>
              <w:rPr>
                <w:rFonts w:hint="default" w:ascii="Times New Roman" w:hAnsi="Times New Roman" w:eastAsia="仿宋" w:cs="Times New Roman"/>
                <w:color w:val="auto"/>
                <w:sz w:val="21"/>
                <w:szCs w:val="21"/>
                <w:vertAlign w:val="superscript"/>
                <w:lang w:val="en-US" w:eastAsia="zh-CN"/>
              </w:rPr>
              <w:t>3</w:t>
            </w:r>
          </w:p>
        </w:tc>
        <w:tc>
          <w:tcPr>
            <w:tcW w:w="1217" w:type="dxa"/>
            <w:vAlign w:val="top"/>
          </w:tcPr>
          <w:p>
            <w:pPr>
              <w:pStyle w:val="7"/>
              <w:spacing w:line="240" w:lineRule="auto"/>
              <w:ind w:firstLine="210" w:firstLineChars="100"/>
              <w:rPr>
                <w:rFonts w:hint="default" w:ascii="Times New Roman" w:hAnsi="Times New Roman" w:eastAsia="仿宋" w:cs="Times New Roman"/>
                <w:color w:val="auto"/>
                <w:kern w:val="2"/>
                <w:sz w:val="21"/>
                <w:szCs w:val="21"/>
                <w:vertAlign w:val="baseline"/>
                <w:lang w:val="en-US" w:eastAsia="zh-CN" w:bidi="ar-SA"/>
              </w:rPr>
            </w:pPr>
            <w:r>
              <w:rPr>
                <w:rFonts w:hint="default" w:ascii="Times New Roman" w:hAnsi="Times New Roman" w:eastAsia="仿宋" w:cs="Times New Roman"/>
                <w:color w:val="auto"/>
                <w:sz w:val="21"/>
                <w:szCs w:val="21"/>
                <w:vertAlign w:val="baseline"/>
                <w:lang w:val="en-US" w:eastAsia="zh-CN"/>
              </w:rPr>
              <w:t>泄漏</w:t>
            </w:r>
          </w:p>
        </w:tc>
        <w:tc>
          <w:tcPr>
            <w:tcW w:w="2608" w:type="dxa"/>
            <w:vAlign w:val="top"/>
          </w:tcPr>
          <w:p>
            <w:pPr>
              <w:pStyle w:val="7"/>
              <w:spacing w:line="240" w:lineRule="auto"/>
              <w:ind w:firstLine="210" w:firstLineChars="100"/>
              <w:rPr>
                <w:rFonts w:hint="default" w:ascii="Times New Roman" w:hAnsi="Times New Roman" w:eastAsia="仿宋" w:cs="Times New Roman"/>
                <w:color w:val="auto"/>
                <w:kern w:val="2"/>
                <w:sz w:val="21"/>
                <w:szCs w:val="21"/>
                <w:vertAlign w:val="baseline"/>
                <w:lang w:val="en-US" w:eastAsia="zh-CN" w:bidi="ar-SA"/>
              </w:rPr>
            </w:pPr>
            <w:r>
              <w:rPr>
                <w:rFonts w:hint="default" w:ascii="Times New Roman" w:hAnsi="Times New Roman" w:eastAsia="仿宋" w:cs="Times New Roman"/>
                <w:color w:val="auto"/>
                <w:sz w:val="21"/>
                <w:szCs w:val="21"/>
                <w:vertAlign w:val="baseline"/>
                <w:lang w:val="en-US" w:eastAsia="zh-CN"/>
              </w:rPr>
              <w:t>是</w:t>
            </w:r>
          </w:p>
        </w:tc>
        <w:tc>
          <w:tcPr>
            <w:tcW w:w="1558" w:type="dxa"/>
            <w:vAlign w:val="top"/>
          </w:tcPr>
          <w:p>
            <w:pPr>
              <w:pStyle w:val="7"/>
              <w:spacing w:line="240" w:lineRule="auto"/>
              <w:ind w:firstLine="210" w:firstLineChars="100"/>
              <w:rPr>
                <w:rFonts w:hint="default" w:ascii="Times New Roman" w:hAnsi="Times New Roman" w:eastAsia="仿宋" w:cs="Times New Roman"/>
                <w:color w:val="auto"/>
                <w:kern w:val="2"/>
                <w:sz w:val="21"/>
                <w:szCs w:val="21"/>
                <w:vertAlign w:val="baseline"/>
                <w:lang w:val="en-US" w:eastAsia="zh-CN" w:bidi="ar-SA"/>
              </w:rPr>
            </w:pPr>
            <w:r>
              <w:rPr>
                <w:rFonts w:hint="default" w:ascii="Times New Roman" w:hAnsi="Times New Roman" w:eastAsia="仿宋" w:cs="Times New Roman"/>
                <w:color w:val="auto"/>
                <w:sz w:val="21"/>
                <w:szCs w:val="21"/>
                <w:vertAlign w:val="baseline"/>
                <w:lang w:val="en-US" w:eastAsia="zh-CN"/>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5" w:type="dxa"/>
            <w:vMerge w:val="continue"/>
          </w:tcPr>
          <w:p>
            <w:pPr>
              <w:pStyle w:val="7"/>
              <w:spacing w:line="240" w:lineRule="auto"/>
              <w:ind w:left="0" w:leftChars="0" w:firstLine="0" w:firstLineChars="0"/>
              <w:rPr>
                <w:rFonts w:hint="default" w:ascii="Times New Roman" w:hAnsi="Times New Roman" w:eastAsia="仿宋" w:cs="Times New Roman"/>
                <w:color w:val="auto"/>
                <w:sz w:val="21"/>
                <w:szCs w:val="21"/>
                <w:vertAlign w:val="baseline"/>
                <w:lang w:val="en-US" w:eastAsia="zh-CN"/>
              </w:rPr>
            </w:pPr>
          </w:p>
        </w:tc>
        <w:tc>
          <w:tcPr>
            <w:tcW w:w="1333" w:type="dxa"/>
            <w:vAlign w:val="center"/>
          </w:tcPr>
          <w:p>
            <w:pPr>
              <w:pStyle w:val="42"/>
              <w:spacing w:line="240" w:lineRule="auto"/>
              <w:ind w:left="0" w:leftChars="0" w:firstLine="0" w:firstLineChars="0"/>
              <w:jc w:val="center"/>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矿物油</w:t>
            </w:r>
          </w:p>
        </w:tc>
        <w:tc>
          <w:tcPr>
            <w:tcW w:w="1433" w:type="dxa"/>
          </w:tcPr>
          <w:p>
            <w:pPr>
              <w:pStyle w:val="7"/>
              <w:spacing w:line="240" w:lineRule="auto"/>
              <w:rPr>
                <w:rFonts w:hint="default" w:ascii="Times New Roman" w:hAnsi="Times New Roman" w:eastAsia="仿宋" w:cs="Times New Roman"/>
                <w:color w:val="auto"/>
                <w:sz w:val="21"/>
                <w:szCs w:val="21"/>
                <w:vertAlign w:val="baseline"/>
                <w:lang w:val="en-US" w:eastAsia="zh-CN"/>
              </w:rPr>
            </w:pPr>
            <w:r>
              <w:rPr>
                <w:rFonts w:hint="default" w:ascii="Times New Roman" w:hAnsi="Times New Roman" w:eastAsia="仿宋" w:cs="Times New Roman"/>
                <w:color w:val="auto"/>
                <w:sz w:val="21"/>
                <w:szCs w:val="21"/>
                <w:vertAlign w:val="baseline"/>
                <w:lang w:val="en-US" w:eastAsia="zh-CN"/>
              </w:rPr>
              <w:t>0.1</w:t>
            </w:r>
          </w:p>
        </w:tc>
        <w:tc>
          <w:tcPr>
            <w:tcW w:w="1217" w:type="dxa"/>
            <w:vAlign w:val="top"/>
          </w:tcPr>
          <w:p>
            <w:pPr>
              <w:pStyle w:val="7"/>
              <w:spacing w:line="240" w:lineRule="auto"/>
              <w:ind w:firstLine="210" w:firstLineChars="100"/>
              <w:rPr>
                <w:rFonts w:hint="default" w:ascii="Times New Roman" w:hAnsi="Times New Roman" w:eastAsia="仿宋" w:cs="Times New Roman"/>
                <w:color w:val="auto"/>
                <w:kern w:val="2"/>
                <w:sz w:val="21"/>
                <w:szCs w:val="21"/>
                <w:vertAlign w:val="baseline"/>
                <w:lang w:val="en-US" w:eastAsia="zh-CN" w:bidi="ar-SA"/>
              </w:rPr>
            </w:pPr>
            <w:r>
              <w:rPr>
                <w:rFonts w:hint="default" w:ascii="Times New Roman" w:hAnsi="Times New Roman" w:eastAsia="仿宋" w:cs="Times New Roman"/>
                <w:color w:val="auto"/>
                <w:sz w:val="21"/>
                <w:szCs w:val="21"/>
                <w:vertAlign w:val="baseline"/>
                <w:lang w:val="en-US" w:eastAsia="zh-CN"/>
              </w:rPr>
              <w:t>泄漏</w:t>
            </w:r>
          </w:p>
        </w:tc>
        <w:tc>
          <w:tcPr>
            <w:tcW w:w="2608" w:type="dxa"/>
            <w:vAlign w:val="top"/>
          </w:tcPr>
          <w:p>
            <w:pPr>
              <w:pStyle w:val="7"/>
              <w:spacing w:line="240" w:lineRule="auto"/>
              <w:ind w:firstLine="210" w:firstLineChars="100"/>
              <w:rPr>
                <w:rFonts w:hint="default" w:ascii="Times New Roman" w:hAnsi="Times New Roman" w:eastAsia="仿宋" w:cs="Times New Roman"/>
                <w:color w:val="auto"/>
                <w:kern w:val="2"/>
                <w:sz w:val="21"/>
                <w:szCs w:val="21"/>
                <w:vertAlign w:val="baseline"/>
                <w:lang w:val="en-US" w:eastAsia="zh-CN" w:bidi="ar-SA"/>
              </w:rPr>
            </w:pPr>
            <w:r>
              <w:rPr>
                <w:rFonts w:hint="default" w:ascii="Times New Roman" w:hAnsi="Times New Roman" w:eastAsia="仿宋" w:cs="Times New Roman"/>
                <w:color w:val="auto"/>
                <w:sz w:val="21"/>
                <w:szCs w:val="21"/>
                <w:vertAlign w:val="baseline"/>
                <w:lang w:val="en-US" w:eastAsia="zh-CN"/>
              </w:rPr>
              <w:t>是</w:t>
            </w:r>
          </w:p>
        </w:tc>
        <w:tc>
          <w:tcPr>
            <w:tcW w:w="1558" w:type="dxa"/>
            <w:vAlign w:val="top"/>
          </w:tcPr>
          <w:p>
            <w:pPr>
              <w:pStyle w:val="7"/>
              <w:spacing w:line="240" w:lineRule="auto"/>
              <w:ind w:firstLine="210" w:firstLineChars="100"/>
              <w:rPr>
                <w:rFonts w:hint="default" w:ascii="Times New Roman" w:hAnsi="Times New Roman" w:eastAsia="仿宋" w:cs="Times New Roman"/>
                <w:color w:val="auto"/>
                <w:kern w:val="2"/>
                <w:sz w:val="21"/>
                <w:szCs w:val="21"/>
                <w:vertAlign w:val="baseline"/>
                <w:lang w:val="en-US" w:eastAsia="zh-CN" w:bidi="ar-SA"/>
              </w:rPr>
            </w:pPr>
            <w:r>
              <w:rPr>
                <w:rFonts w:hint="default" w:ascii="Times New Roman" w:hAnsi="Times New Roman" w:eastAsia="仿宋" w:cs="Times New Roman"/>
                <w:color w:val="auto"/>
                <w:sz w:val="21"/>
                <w:szCs w:val="21"/>
                <w:vertAlign w:val="baseline"/>
                <w:lang w:val="en-US" w:eastAsia="zh-CN"/>
              </w:rPr>
              <w:t>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5" w:type="dxa"/>
            <w:vMerge w:val="restart"/>
          </w:tcPr>
          <w:p>
            <w:pPr>
              <w:pStyle w:val="7"/>
              <w:spacing w:line="240" w:lineRule="auto"/>
              <w:ind w:left="0" w:leftChars="0" w:firstLine="0" w:firstLineChars="0"/>
              <w:rPr>
                <w:rFonts w:hint="default" w:ascii="Times New Roman" w:hAnsi="Times New Roman" w:eastAsia="仿宋" w:cs="Times New Roman"/>
                <w:color w:val="auto"/>
                <w:sz w:val="21"/>
                <w:szCs w:val="21"/>
                <w:vertAlign w:val="baseline"/>
                <w:lang w:val="en-US" w:eastAsia="zh-CN"/>
              </w:rPr>
            </w:pPr>
            <w:r>
              <w:rPr>
                <w:rFonts w:hint="default" w:ascii="Times New Roman" w:hAnsi="Times New Roman" w:eastAsia="仿宋" w:cs="Times New Roman"/>
                <w:color w:val="auto"/>
                <w:sz w:val="21"/>
                <w:szCs w:val="21"/>
                <w:vertAlign w:val="baseline"/>
                <w:lang w:val="en-US" w:eastAsia="zh-CN"/>
              </w:rPr>
              <w:t>气态</w:t>
            </w:r>
          </w:p>
        </w:tc>
        <w:tc>
          <w:tcPr>
            <w:tcW w:w="1333" w:type="dxa"/>
            <w:vAlign w:val="center"/>
          </w:tcPr>
          <w:p>
            <w:pPr>
              <w:pStyle w:val="42"/>
              <w:spacing w:line="240" w:lineRule="auto"/>
              <w:ind w:left="0" w:leftChars="0" w:firstLine="0" w:firstLineChars="0"/>
              <w:jc w:val="center"/>
              <w:rPr>
                <w:rFonts w:hint="default" w:ascii="Times New Roman" w:hAnsi="Times New Roman" w:eastAsia="仿宋" w:cs="Times New Roman"/>
                <w:color w:val="auto"/>
                <w:sz w:val="21"/>
                <w:szCs w:val="21"/>
                <w:vertAlign w:val="baseline"/>
                <w:lang w:val="en-US" w:eastAsia="zh-CN"/>
              </w:rPr>
            </w:pPr>
            <w:r>
              <w:rPr>
                <w:rFonts w:hint="default" w:ascii="Times New Roman" w:hAnsi="Times New Roman" w:eastAsia="仿宋" w:cs="Times New Roman"/>
                <w:sz w:val="21"/>
                <w:szCs w:val="21"/>
                <w:lang w:val="en-US" w:eastAsia="zh-CN"/>
              </w:rPr>
              <w:t>水泥</w:t>
            </w:r>
          </w:p>
        </w:tc>
        <w:tc>
          <w:tcPr>
            <w:tcW w:w="1433" w:type="dxa"/>
          </w:tcPr>
          <w:p>
            <w:pPr>
              <w:pStyle w:val="7"/>
              <w:spacing w:line="240" w:lineRule="auto"/>
              <w:rPr>
                <w:rFonts w:hint="default" w:ascii="Times New Roman" w:hAnsi="Times New Roman" w:eastAsia="仿宋" w:cs="Times New Roman"/>
                <w:color w:val="auto"/>
                <w:sz w:val="21"/>
                <w:szCs w:val="21"/>
                <w:vertAlign w:val="baseline"/>
                <w:lang w:val="en-US" w:eastAsia="zh-CN"/>
              </w:rPr>
            </w:pPr>
            <w:r>
              <w:rPr>
                <w:rFonts w:hint="default" w:ascii="Times New Roman" w:hAnsi="Times New Roman" w:eastAsia="仿宋" w:cs="Times New Roman"/>
                <w:color w:val="auto"/>
                <w:sz w:val="21"/>
                <w:szCs w:val="21"/>
                <w:vertAlign w:val="baseline"/>
                <w:lang w:val="en-US" w:eastAsia="zh-CN"/>
              </w:rPr>
              <w:t>/</w:t>
            </w:r>
          </w:p>
        </w:tc>
        <w:tc>
          <w:tcPr>
            <w:tcW w:w="1217" w:type="dxa"/>
            <w:vAlign w:val="top"/>
          </w:tcPr>
          <w:p>
            <w:pPr>
              <w:pStyle w:val="7"/>
              <w:spacing w:line="240" w:lineRule="auto"/>
              <w:ind w:firstLine="210" w:firstLineChars="100"/>
              <w:rPr>
                <w:rFonts w:hint="default" w:ascii="Times New Roman" w:hAnsi="Times New Roman" w:eastAsia="仿宋" w:cs="Times New Roman"/>
                <w:color w:val="auto"/>
                <w:kern w:val="2"/>
                <w:sz w:val="21"/>
                <w:szCs w:val="21"/>
                <w:vertAlign w:val="baseline"/>
                <w:lang w:val="en-US" w:eastAsia="zh-CN" w:bidi="ar-SA"/>
              </w:rPr>
            </w:pPr>
            <w:r>
              <w:rPr>
                <w:rFonts w:hint="default" w:ascii="Times New Roman" w:hAnsi="Times New Roman" w:eastAsia="仿宋" w:cs="Times New Roman"/>
                <w:color w:val="auto"/>
                <w:sz w:val="21"/>
                <w:szCs w:val="21"/>
                <w:vertAlign w:val="baseline"/>
                <w:lang w:val="en-US" w:eastAsia="zh-CN"/>
              </w:rPr>
              <w:t>泄漏</w:t>
            </w:r>
          </w:p>
        </w:tc>
        <w:tc>
          <w:tcPr>
            <w:tcW w:w="2608" w:type="dxa"/>
          </w:tcPr>
          <w:p>
            <w:pPr>
              <w:pStyle w:val="7"/>
              <w:spacing w:line="240" w:lineRule="auto"/>
              <w:rPr>
                <w:rFonts w:hint="default" w:ascii="Times New Roman" w:hAnsi="Times New Roman" w:eastAsia="仿宋" w:cs="Times New Roman"/>
                <w:color w:val="auto"/>
                <w:sz w:val="21"/>
                <w:szCs w:val="21"/>
                <w:vertAlign w:val="baseline"/>
                <w:lang w:val="en-US" w:eastAsia="zh-CN"/>
              </w:rPr>
            </w:pPr>
            <w:r>
              <w:rPr>
                <w:rFonts w:hint="default" w:ascii="Times New Roman" w:hAnsi="Times New Roman" w:eastAsia="仿宋" w:cs="Times New Roman"/>
                <w:color w:val="auto"/>
                <w:sz w:val="21"/>
                <w:szCs w:val="21"/>
                <w:vertAlign w:val="baseline"/>
                <w:lang w:val="en-US" w:eastAsia="zh-CN"/>
              </w:rPr>
              <w:t>是</w:t>
            </w:r>
          </w:p>
        </w:tc>
        <w:tc>
          <w:tcPr>
            <w:tcW w:w="1558" w:type="dxa"/>
          </w:tcPr>
          <w:p>
            <w:pPr>
              <w:pStyle w:val="7"/>
              <w:spacing w:line="240" w:lineRule="auto"/>
              <w:rPr>
                <w:rFonts w:hint="default" w:ascii="Times New Roman" w:hAnsi="Times New Roman" w:eastAsia="仿宋" w:cs="Times New Roman"/>
                <w:color w:val="auto"/>
                <w:sz w:val="21"/>
                <w:szCs w:val="21"/>
                <w:vertAlign w:val="baseline"/>
                <w:lang w:val="en-US" w:eastAsia="zh-CN"/>
              </w:rPr>
            </w:pPr>
            <w:r>
              <w:rPr>
                <w:rFonts w:hint="default" w:ascii="Times New Roman" w:hAnsi="Times New Roman" w:eastAsia="仿宋" w:cs="Times New Roman"/>
                <w:color w:val="auto"/>
                <w:sz w:val="21"/>
                <w:szCs w:val="21"/>
                <w:vertAlign w:val="baseline"/>
                <w:lang w:val="en-US" w:eastAsia="zh-CN"/>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5" w:type="dxa"/>
            <w:vMerge w:val="continue"/>
          </w:tcPr>
          <w:p>
            <w:pPr>
              <w:pStyle w:val="7"/>
              <w:spacing w:line="240" w:lineRule="auto"/>
              <w:rPr>
                <w:rFonts w:hint="default" w:ascii="Times New Roman" w:hAnsi="Times New Roman" w:eastAsia="仿宋" w:cs="Times New Roman"/>
                <w:color w:val="auto"/>
                <w:sz w:val="21"/>
                <w:szCs w:val="21"/>
                <w:vertAlign w:val="baseline"/>
                <w:lang w:val="en-US" w:eastAsia="zh-CN"/>
              </w:rPr>
            </w:pPr>
          </w:p>
        </w:tc>
        <w:tc>
          <w:tcPr>
            <w:tcW w:w="1333" w:type="dxa"/>
            <w:vAlign w:val="center"/>
          </w:tcPr>
          <w:p>
            <w:pPr>
              <w:pStyle w:val="42"/>
              <w:spacing w:line="240" w:lineRule="auto"/>
              <w:ind w:left="0" w:leftChars="0" w:firstLine="0" w:firstLineChars="0"/>
              <w:jc w:val="center"/>
              <w:rPr>
                <w:rFonts w:hint="default" w:ascii="Times New Roman" w:hAnsi="Times New Roman" w:eastAsia="仿宋" w:cs="Times New Roman"/>
                <w:color w:val="auto"/>
                <w:sz w:val="21"/>
                <w:szCs w:val="21"/>
                <w:vertAlign w:val="baseline"/>
                <w:lang w:val="en-US" w:eastAsia="zh-CN"/>
              </w:rPr>
            </w:pPr>
            <w:r>
              <w:rPr>
                <w:rFonts w:hint="default" w:ascii="Times New Roman" w:hAnsi="Times New Roman" w:eastAsia="仿宋" w:cs="Times New Roman"/>
                <w:sz w:val="21"/>
                <w:szCs w:val="21"/>
                <w:lang w:eastAsia="zh-CN"/>
              </w:rPr>
              <w:t>矿粉</w:t>
            </w:r>
          </w:p>
        </w:tc>
        <w:tc>
          <w:tcPr>
            <w:tcW w:w="1433" w:type="dxa"/>
          </w:tcPr>
          <w:p>
            <w:pPr>
              <w:pStyle w:val="7"/>
              <w:spacing w:line="240" w:lineRule="auto"/>
              <w:rPr>
                <w:rFonts w:hint="default" w:ascii="Times New Roman" w:hAnsi="Times New Roman" w:eastAsia="仿宋" w:cs="Times New Roman"/>
                <w:color w:val="auto"/>
                <w:sz w:val="21"/>
                <w:szCs w:val="21"/>
                <w:vertAlign w:val="baseline"/>
                <w:lang w:val="en-US" w:eastAsia="zh-CN"/>
              </w:rPr>
            </w:pPr>
            <w:r>
              <w:rPr>
                <w:rFonts w:hint="default" w:ascii="Times New Roman" w:hAnsi="Times New Roman" w:eastAsia="仿宋" w:cs="Times New Roman"/>
                <w:color w:val="auto"/>
                <w:sz w:val="21"/>
                <w:szCs w:val="21"/>
                <w:vertAlign w:val="baseline"/>
                <w:lang w:val="en-US" w:eastAsia="zh-CN"/>
              </w:rPr>
              <w:t>/</w:t>
            </w:r>
          </w:p>
        </w:tc>
        <w:tc>
          <w:tcPr>
            <w:tcW w:w="1217" w:type="dxa"/>
            <w:vAlign w:val="top"/>
          </w:tcPr>
          <w:p>
            <w:pPr>
              <w:pStyle w:val="7"/>
              <w:spacing w:line="240" w:lineRule="auto"/>
              <w:ind w:firstLine="210" w:firstLineChars="100"/>
              <w:rPr>
                <w:rFonts w:hint="default" w:ascii="Times New Roman" w:hAnsi="Times New Roman" w:eastAsia="仿宋" w:cs="Times New Roman"/>
                <w:color w:val="auto"/>
                <w:kern w:val="2"/>
                <w:sz w:val="21"/>
                <w:szCs w:val="21"/>
                <w:vertAlign w:val="baseline"/>
                <w:lang w:val="en-US" w:eastAsia="zh-CN" w:bidi="ar-SA"/>
              </w:rPr>
            </w:pPr>
            <w:r>
              <w:rPr>
                <w:rFonts w:hint="default" w:ascii="Times New Roman" w:hAnsi="Times New Roman" w:eastAsia="仿宋" w:cs="Times New Roman"/>
                <w:color w:val="auto"/>
                <w:sz w:val="21"/>
                <w:szCs w:val="21"/>
                <w:vertAlign w:val="baseline"/>
                <w:lang w:val="en-US" w:eastAsia="zh-CN"/>
              </w:rPr>
              <w:t>泄漏</w:t>
            </w:r>
          </w:p>
        </w:tc>
        <w:tc>
          <w:tcPr>
            <w:tcW w:w="2608" w:type="dxa"/>
          </w:tcPr>
          <w:p>
            <w:pPr>
              <w:pStyle w:val="7"/>
              <w:spacing w:line="240" w:lineRule="auto"/>
              <w:rPr>
                <w:rFonts w:hint="default" w:ascii="Times New Roman" w:hAnsi="Times New Roman" w:eastAsia="仿宋" w:cs="Times New Roman"/>
                <w:color w:val="auto"/>
                <w:sz w:val="21"/>
                <w:szCs w:val="21"/>
                <w:vertAlign w:val="baseline"/>
                <w:lang w:val="en-US" w:eastAsia="zh-CN"/>
              </w:rPr>
            </w:pPr>
            <w:r>
              <w:rPr>
                <w:rFonts w:hint="default" w:ascii="Times New Roman" w:hAnsi="Times New Roman" w:eastAsia="仿宋" w:cs="Times New Roman"/>
                <w:color w:val="auto"/>
                <w:sz w:val="21"/>
                <w:szCs w:val="21"/>
                <w:vertAlign w:val="baseline"/>
                <w:lang w:val="en-US" w:eastAsia="zh-CN"/>
              </w:rPr>
              <w:t>是</w:t>
            </w:r>
          </w:p>
        </w:tc>
        <w:tc>
          <w:tcPr>
            <w:tcW w:w="1558" w:type="dxa"/>
          </w:tcPr>
          <w:p>
            <w:pPr>
              <w:pStyle w:val="7"/>
              <w:spacing w:line="240" w:lineRule="auto"/>
              <w:rPr>
                <w:rFonts w:hint="default" w:ascii="Times New Roman" w:hAnsi="Times New Roman" w:eastAsia="仿宋" w:cs="Times New Roman"/>
                <w:color w:val="auto"/>
                <w:sz w:val="21"/>
                <w:szCs w:val="21"/>
                <w:vertAlign w:val="baseline"/>
                <w:lang w:val="en-US" w:eastAsia="zh-CN"/>
              </w:rPr>
            </w:pPr>
            <w:r>
              <w:rPr>
                <w:rFonts w:hint="default" w:ascii="Times New Roman" w:hAnsi="Times New Roman" w:eastAsia="仿宋" w:cs="Times New Roman"/>
                <w:color w:val="auto"/>
                <w:sz w:val="21"/>
                <w:szCs w:val="21"/>
                <w:vertAlign w:val="baseline"/>
                <w:lang w:val="en-US" w:eastAsia="zh-CN"/>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5" w:type="dxa"/>
            <w:vMerge w:val="continue"/>
          </w:tcPr>
          <w:p>
            <w:pPr>
              <w:pStyle w:val="7"/>
              <w:spacing w:line="240" w:lineRule="auto"/>
              <w:rPr>
                <w:rFonts w:hint="default" w:ascii="Times New Roman" w:hAnsi="Times New Roman" w:eastAsia="仿宋" w:cs="Times New Roman"/>
                <w:color w:val="auto"/>
                <w:sz w:val="21"/>
                <w:szCs w:val="21"/>
                <w:vertAlign w:val="baseline"/>
                <w:lang w:val="en-US" w:eastAsia="zh-CN"/>
              </w:rPr>
            </w:pPr>
          </w:p>
        </w:tc>
        <w:tc>
          <w:tcPr>
            <w:tcW w:w="1333" w:type="dxa"/>
            <w:vAlign w:val="center"/>
          </w:tcPr>
          <w:p>
            <w:pPr>
              <w:pStyle w:val="42"/>
              <w:spacing w:line="240" w:lineRule="auto"/>
              <w:ind w:left="0" w:leftChars="0" w:firstLine="0" w:firstLineChars="0"/>
              <w:jc w:val="center"/>
              <w:rPr>
                <w:rFonts w:hint="default" w:ascii="Times New Roman" w:hAnsi="Times New Roman" w:eastAsia="仿宋" w:cs="Times New Roman"/>
                <w:color w:val="auto"/>
                <w:sz w:val="21"/>
                <w:szCs w:val="21"/>
                <w:vertAlign w:val="baseline"/>
                <w:lang w:val="en-US" w:eastAsia="zh-CN"/>
              </w:rPr>
            </w:pPr>
            <w:r>
              <w:rPr>
                <w:rFonts w:hint="default" w:ascii="Times New Roman" w:hAnsi="Times New Roman" w:eastAsia="仿宋" w:cs="Times New Roman"/>
                <w:color w:val="auto"/>
                <w:sz w:val="21"/>
                <w:szCs w:val="21"/>
                <w:lang w:val="en-US" w:eastAsia="zh-CN"/>
              </w:rPr>
              <w:t>粉煤灰</w:t>
            </w:r>
          </w:p>
        </w:tc>
        <w:tc>
          <w:tcPr>
            <w:tcW w:w="1433" w:type="dxa"/>
          </w:tcPr>
          <w:p>
            <w:pPr>
              <w:pStyle w:val="7"/>
              <w:spacing w:line="240" w:lineRule="auto"/>
              <w:rPr>
                <w:rFonts w:hint="default" w:ascii="Times New Roman" w:hAnsi="Times New Roman" w:eastAsia="仿宋" w:cs="Times New Roman"/>
                <w:color w:val="auto"/>
                <w:sz w:val="21"/>
                <w:szCs w:val="21"/>
                <w:vertAlign w:val="baseline"/>
                <w:lang w:val="en-US" w:eastAsia="zh-CN"/>
              </w:rPr>
            </w:pPr>
            <w:r>
              <w:rPr>
                <w:rFonts w:hint="default" w:ascii="Times New Roman" w:hAnsi="Times New Roman" w:eastAsia="仿宋" w:cs="Times New Roman"/>
                <w:color w:val="auto"/>
                <w:sz w:val="21"/>
                <w:szCs w:val="21"/>
                <w:vertAlign w:val="baseline"/>
                <w:lang w:val="en-US" w:eastAsia="zh-CN"/>
              </w:rPr>
              <w:t>/</w:t>
            </w:r>
          </w:p>
        </w:tc>
        <w:tc>
          <w:tcPr>
            <w:tcW w:w="1217" w:type="dxa"/>
            <w:vAlign w:val="top"/>
          </w:tcPr>
          <w:p>
            <w:pPr>
              <w:pStyle w:val="7"/>
              <w:spacing w:line="240" w:lineRule="auto"/>
              <w:ind w:firstLine="210" w:firstLineChars="100"/>
              <w:rPr>
                <w:rFonts w:hint="default" w:ascii="Times New Roman" w:hAnsi="Times New Roman" w:eastAsia="仿宋" w:cs="Times New Roman"/>
                <w:color w:val="auto"/>
                <w:kern w:val="2"/>
                <w:sz w:val="21"/>
                <w:szCs w:val="21"/>
                <w:vertAlign w:val="baseline"/>
                <w:lang w:val="en-US" w:eastAsia="zh-CN" w:bidi="ar-SA"/>
              </w:rPr>
            </w:pPr>
            <w:r>
              <w:rPr>
                <w:rFonts w:hint="default" w:ascii="Times New Roman" w:hAnsi="Times New Roman" w:eastAsia="仿宋" w:cs="Times New Roman"/>
                <w:color w:val="auto"/>
                <w:sz w:val="21"/>
                <w:szCs w:val="21"/>
                <w:vertAlign w:val="baseline"/>
                <w:lang w:val="en-US" w:eastAsia="zh-CN"/>
              </w:rPr>
              <w:t>泄漏</w:t>
            </w:r>
          </w:p>
        </w:tc>
        <w:tc>
          <w:tcPr>
            <w:tcW w:w="2608" w:type="dxa"/>
          </w:tcPr>
          <w:p>
            <w:pPr>
              <w:pStyle w:val="7"/>
              <w:spacing w:line="240" w:lineRule="auto"/>
              <w:rPr>
                <w:rFonts w:hint="default" w:ascii="Times New Roman" w:hAnsi="Times New Roman" w:eastAsia="仿宋" w:cs="Times New Roman"/>
                <w:color w:val="auto"/>
                <w:sz w:val="21"/>
                <w:szCs w:val="21"/>
                <w:vertAlign w:val="baseline"/>
                <w:lang w:val="en-US" w:eastAsia="zh-CN"/>
              </w:rPr>
            </w:pPr>
            <w:r>
              <w:rPr>
                <w:rFonts w:hint="default" w:ascii="Times New Roman" w:hAnsi="Times New Roman" w:eastAsia="仿宋" w:cs="Times New Roman"/>
                <w:color w:val="auto"/>
                <w:sz w:val="21"/>
                <w:szCs w:val="21"/>
                <w:vertAlign w:val="baseline"/>
                <w:lang w:val="en-US" w:eastAsia="zh-CN"/>
              </w:rPr>
              <w:t>是</w:t>
            </w:r>
          </w:p>
        </w:tc>
        <w:tc>
          <w:tcPr>
            <w:tcW w:w="1558" w:type="dxa"/>
            <w:vAlign w:val="top"/>
          </w:tcPr>
          <w:p>
            <w:pPr>
              <w:pStyle w:val="7"/>
              <w:spacing w:line="240" w:lineRule="auto"/>
              <w:ind w:firstLine="210" w:firstLineChars="100"/>
              <w:rPr>
                <w:rFonts w:hint="default" w:ascii="Times New Roman" w:hAnsi="Times New Roman" w:eastAsia="仿宋" w:cs="Times New Roman"/>
                <w:color w:val="auto"/>
                <w:kern w:val="2"/>
                <w:sz w:val="21"/>
                <w:szCs w:val="21"/>
                <w:vertAlign w:val="baseline"/>
                <w:lang w:val="en-US" w:eastAsia="zh-CN" w:bidi="ar-SA"/>
              </w:rPr>
            </w:pPr>
            <w:r>
              <w:rPr>
                <w:rFonts w:hint="default" w:ascii="Times New Roman" w:hAnsi="Times New Roman" w:eastAsia="仿宋" w:cs="Times New Roman"/>
                <w:color w:val="auto"/>
                <w:sz w:val="21"/>
                <w:szCs w:val="21"/>
                <w:vertAlign w:val="baseline"/>
                <w:lang w:val="en-US" w:eastAsia="zh-CN"/>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5" w:type="dxa"/>
            <w:vMerge w:val="continue"/>
          </w:tcPr>
          <w:p>
            <w:pPr>
              <w:pStyle w:val="7"/>
              <w:spacing w:line="240" w:lineRule="auto"/>
              <w:rPr>
                <w:rFonts w:hint="default" w:ascii="Times New Roman" w:hAnsi="Times New Roman" w:eastAsia="仿宋" w:cs="Times New Roman"/>
                <w:color w:val="auto"/>
                <w:sz w:val="21"/>
                <w:szCs w:val="21"/>
                <w:vertAlign w:val="baseline"/>
                <w:lang w:val="en-US" w:eastAsia="zh-CN"/>
              </w:rPr>
            </w:pPr>
          </w:p>
        </w:tc>
        <w:tc>
          <w:tcPr>
            <w:tcW w:w="1333" w:type="dxa"/>
          </w:tcPr>
          <w:p>
            <w:pPr>
              <w:pStyle w:val="7"/>
              <w:spacing w:line="240" w:lineRule="auto"/>
              <w:jc w:val="center"/>
              <w:rPr>
                <w:rFonts w:hint="default" w:ascii="Times New Roman" w:hAnsi="Times New Roman" w:eastAsia="仿宋" w:cs="Times New Roman"/>
                <w:color w:val="auto"/>
                <w:sz w:val="21"/>
                <w:szCs w:val="21"/>
                <w:vertAlign w:val="baseline"/>
                <w:lang w:val="en-US" w:eastAsia="zh-CN"/>
              </w:rPr>
            </w:pPr>
            <w:r>
              <w:rPr>
                <w:rFonts w:hint="default" w:ascii="Times New Roman" w:hAnsi="Times New Roman" w:eastAsia="仿宋" w:cs="Times New Roman"/>
                <w:color w:val="auto"/>
                <w:sz w:val="21"/>
                <w:szCs w:val="21"/>
                <w:vertAlign w:val="baseline"/>
                <w:lang w:val="en-US" w:eastAsia="zh-CN"/>
              </w:rPr>
              <w:t>粉尘</w:t>
            </w:r>
          </w:p>
        </w:tc>
        <w:tc>
          <w:tcPr>
            <w:tcW w:w="1433" w:type="dxa"/>
          </w:tcPr>
          <w:p>
            <w:pPr>
              <w:pStyle w:val="7"/>
              <w:spacing w:line="240" w:lineRule="auto"/>
              <w:rPr>
                <w:rFonts w:hint="default" w:ascii="Times New Roman" w:hAnsi="Times New Roman" w:eastAsia="仿宋" w:cs="Times New Roman"/>
                <w:color w:val="auto"/>
                <w:sz w:val="21"/>
                <w:szCs w:val="21"/>
                <w:vertAlign w:val="baseline"/>
                <w:lang w:val="en-US" w:eastAsia="zh-CN"/>
              </w:rPr>
            </w:pPr>
          </w:p>
        </w:tc>
        <w:tc>
          <w:tcPr>
            <w:tcW w:w="1217" w:type="dxa"/>
            <w:vAlign w:val="top"/>
          </w:tcPr>
          <w:p>
            <w:pPr>
              <w:pStyle w:val="7"/>
              <w:spacing w:line="240" w:lineRule="auto"/>
              <w:ind w:firstLine="210" w:firstLineChars="100"/>
              <w:rPr>
                <w:rFonts w:hint="default" w:ascii="Times New Roman" w:hAnsi="Times New Roman" w:eastAsia="仿宋" w:cs="Times New Roman"/>
                <w:color w:val="auto"/>
                <w:kern w:val="2"/>
                <w:sz w:val="21"/>
                <w:szCs w:val="21"/>
                <w:vertAlign w:val="baseline"/>
                <w:lang w:val="en-US" w:eastAsia="zh-CN" w:bidi="ar-SA"/>
              </w:rPr>
            </w:pPr>
            <w:r>
              <w:rPr>
                <w:rFonts w:hint="default" w:ascii="Times New Roman" w:hAnsi="Times New Roman" w:eastAsia="仿宋" w:cs="Times New Roman"/>
                <w:color w:val="auto"/>
                <w:sz w:val="21"/>
                <w:szCs w:val="21"/>
                <w:vertAlign w:val="baseline"/>
                <w:lang w:val="en-US" w:eastAsia="zh-CN"/>
              </w:rPr>
              <w:t>泄漏</w:t>
            </w:r>
          </w:p>
        </w:tc>
        <w:tc>
          <w:tcPr>
            <w:tcW w:w="2608" w:type="dxa"/>
          </w:tcPr>
          <w:p>
            <w:pPr>
              <w:pStyle w:val="7"/>
              <w:spacing w:line="240" w:lineRule="auto"/>
              <w:rPr>
                <w:rFonts w:hint="default" w:ascii="Times New Roman" w:hAnsi="Times New Roman" w:eastAsia="仿宋" w:cs="Times New Roman"/>
                <w:color w:val="auto"/>
                <w:sz w:val="21"/>
                <w:szCs w:val="21"/>
                <w:vertAlign w:val="baseline"/>
                <w:lang w:val="en-US" w:eastAsia="zh-CN"/>
              </w:rPr>
            </w:pPr>
            <w:r>
              <w:rPr>
                <w:rFonts w:hint="default" w:ascii="Times New Roman" w:hAnsi="Times New Roman" w:eastAsia="仿宋" w:cs="Times New Roman"/>
                <w:color w:val="auto"/>
                <w:sz w:val="21"/>
                <w:szCs w:val="21"/>
                <w:vertAlign w:val="baseline"/>
                <w:lang w:val="en-US" w:eastAsia="zh-CN"/>
              </w:rPr>
              <w:t>是</w:t>
            </w:r>
          </w:p>
        </w:tc>
        <w:tc>
          <w:tcPr>
            <w:tcW w:w="1558" w:type="dxa"/>
            <w:vAlign w:val="top"/>
          </w:tcPr>
          <w:p>
            <w:pPr>
              <w:pStyle w:val="7"/>
              <w:spacing w:line="240" w:lineRule="auto"/>
              <w:ind w:firstLine="210" w:firstLineChars="100"/>
              <w:rPr>
                <w:rFonts w:hint="default" w:ascii="Times New Roman" w:hAnsi="Times New Roman" w:eastAsia="仿宋" w:cs="Times New Roman"/>
                <w:color w:val="auto"/>
                <w:kern w:val="2"/>
                <w:sz w:val="21"/>
                <w:szCs w:val="21"/>
                <w:vertAlign w:val="baseline"/>
                <w:lang w:val="en-US" w:eastAsia="zh-CN" w:bidi="ar-SA"/>
              </w:rPr>
            </w:pPr>
            <w:r>
              <w:rPr>
                <w:rFonts w:hint="default" w:ascii="Times New Roman" w:hAnsi="Times New Roman" w:eastAsia="仿宋" w:cs="Times New Roman"/>
                <w:color w:val="auto"/>
                <w:sz w:val="21"/>
                <w:szCs w:val="21"/>
                <w:vertAlign w:val="baseline"/>
                <w:lang w:val="en-US" w:eastAsia="zh-CN"/>
              </w:rPr>
              <w:t>否</w:t>
            </w:r>
          </w:p>
        </w:tc>
      </w:tr>
    </w:tbl>
    <w:p>
      <w:pPr>
        <w:pStyle w:val="7"/>
        <w:ind w:left="0" w:leftChars="0" w:firstLine="480" w:firstLineChars="200"/>
        <w:rPr>
          <w:rFonts w:hint="eastAsia"/>
          <w:color w:val="auto"/>
          <w:sz w:val="24"/>
          <w:szCs w:val="24"/>
          <w:lang w:val="en-US" w:eastAsia="zh-CN"/>
        </w:rPr>
      </w:pPr>
      <w:r>
        <w:rPr>
          <w:rFonts w:hint="eastAsia"/>
          <w:color w:val="auto"/>
          <w:sz w:val="24"/>
          <w:szCs w:val="24"/>
          <w:lang w:val="en-US" w:eastAsia="zh-CN"/>
        </w:rPr>
        <w:t>根据上表的识别结果可知，厂内风险物质为矿物油，易导致环境污染事故的物质有：</w:t>
      </w:r>
    </w:p>
    <w:p>
      <w:pPr>
        <w:pStyle w:val="7"/>
        <w:numPr>
          <w:ilvl w:val="0"/>
          <w:numId w:val="3"/>
        </w:numPr>
        <w:ind w:left="0" w:leftChars="0" w:firstLine="480" w:firstLineChars="200"/>
        <w:rPr>
          <w:rFonts w:hint="default"/>
          <w:color w:val="auto"/>
          <w:sz w:val="24"/>
          <w:szCs w:val="24"/>
          <w:lang w:val="en-US" w:eastAsia="zh-CN"/>
        </w:rPr>
      </w:pPr>
      <w:r>
        <w:rPr>
          <w:rFonts w:hint="eastAsia"/>
          <w:color w:val="auto"/>
          <w:sz w:val="24"/>
          <w:szCs w:val="24"/>
          <w:lang w:val="en-US" w:eastAsia="zh-CN"/>
        </w:rPr>
        <w:t>液态污染物质：事故废水、矿物油</w:t>
      </w:r>
    </w:p>
    <w:p>
      <w:pPr>
        <w:pStyle w:val="7"/>
        <w:numPr>
          <w:ilvl w:val="0"/>
          <w:numId w:val="3"/>
        </w:numPr>
        <w:ind w:left="0" w:leftChars="0" w:firstLine="480" w:firstLineChars="200"/>
        <w:rPr>
          <w:rFonts w:hint="default"/>
          <w:color w:val="auto"/>
          <w:sz w:val="24"/>
          <w:szCs w:val="24"/>
          <w:lang w:val="en-US" w:eastAsia="zh-CN"/>
        </w:rPr>
      </w:pPr>
      <w:r>
        <w:rPr>
          <w:rFonts w:hint="eastAsia"/>
          <w:color w:val="auto"/>
          <w:sz w:val="24"/>
          <w:szCs w:val="24"/>
          <w:lang w:val="en-US" w:eastAsia="zh-CN"/>
        </w:rPr>
        <w:t>气态污染物质：水泥粉、矿粉、粉煤灰、粉尘</w:t>
      </w:r>
    </w:p>
    <w:bookmarkEnd w:id="18"/>
    <w:p>
      <w:pPr>
        <w:pStyle w:val="6"/>
        <w:spacing w:line="360" w:lineRule="auto"/>
        <w:rPr>
          <w:rFonts w:hint="eastAsia" w:ascii="Arial" w:hAnsi="Arial"/>
          <w:b/>
          <w:bCs/>
          <w:sz w:val="24"/>
          <w:szCs w:val="24"/>
          <w:lang w:val="en-US" w:eastAsia="zh-CN"/>
        </w:rPr>
      </w:pPr>
      <w:bookmarkStart w:id="19" w:name="_Toc14664"/>
      <w:bookmarkStart w:id="20" w:name="_Toc1782"/>
      <w:r>
        <w:rPr>
          <w:rFonts w:hint="eastAsia" w:ascii="Arial" w:hAnsi="Arial"/>
          <w:b/>
          <w:bCs/>
          <w:sz w:val="24"/>
          <w:szCs w:val="24"/>
          <w:lang w:val="en-US" w:eastAsia="zh-CN"/>
        </w:rPr>
        <w:t>生产设施风险识别</w:t>
      </w:r>
    </w:p>
    <w:p>
      <w:pPr>
        <w:pStyle w:val="7"/>
        <w:keepNext w:val="0"/>
        <w:keepLines w:val="0"/>
        <w:pageBreakBefore w:val="0"/>
        <w:widowControl w:val="0"/>
        <w:kinsoku/>
        <w:wordWrap/>
        <w:overflowPunct/>
        <w:topLinePunct w:val="0"/>
        <w:autoSpaceDE/>
        <w:autoSpaceDN/>
        <w:bidi w:val="0"/>
        <w:adjustRightInd/>
        <w:snapToGrid/>
        <w:spacing w:after="0"/>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生产设施风险识别范围包含主要涉及生产装置（水泥筒仓、矿粉筒仓、粉煤灰筒仓、布袋除尘器)和实验室机械设备以及沉淀池。</w:t>
      </w:r>
    </w:p>
    <w:p>
      <w:pPr>
        <w:pStyle w:val="7"/>
        <w:keepNext w:val="0"/>
        <w:keepLines w:val="0"/>
        <w:pageBreakBefore w:val="0"/>
        <w:widowControl w:val="0"/>
        <w:kinsoku/>
        <w:wordWrap/>
        <w:overflowPunct/>
        <w:topLinePunct w:val="0"/>
        <w:autoSpaceDE/>
        <w:autoSpaceDN/>
        <w:bidi w:val="0"/>
        <w:adjustRightInd/>
        <w:snapToGrid/>
        <w:spacing w:after="0"/>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根据公司生产特征，并结合物质风险识别。公司存在的风险生产设施详见表3-</w:t>
      </w:r>
      <w:r>
        <w:rPr>
          <w:rFonts w:hint="eastAsia" w:ascii="宋体" w:hAnsi="宋体" w:cs="宋体"/>
          <w:b w:val="0"/>
          <w:bCs w:val="0"/>
          <w:sz w:val="24"/>
          <w:szCs w:val="24"/>
          <w:lang w:val="en-US" w:eastAsia="zh-CN"/>
        </w:rPr>
        <w:t>12</w:t>
      </w:r>
      <w:r>
        <w:rPr>
          <w:rFonts w:hint="eastAsia" w:ascii="宋体" w:hAnsi="宋体" w:eastAsia="宋体" w:cs="宋体"/>
          <w:b w:val="0"/>
          <w:bCs w:val="0"/>
          <w:sz w:val="24"/>
          <w:szCs w:val="24"/>
          <w:lang w:val="en-US" w:eastAsia="zh-CN"/>
        </w:rPr>
        <w:t>。</w:t>
      </w:r>
    </w:p>
    <w:p>
      <w:pPr>
        <w:pStyle w:val="7"/>
        <w:keepNext w:val="0"/>
        <w:keepLines w:val="0"/>
        <w:pageBreakBefore w:val="0"/>
        <w:widowControl w:val="0"/>
        <w:kinsoku/>
        <w:wordWrap/>
        <w:overflowPunct/>
        <w:topLinePunct w:val="0"/>
        <w:autoSpaceDE/>
        <w:autoSpaceDN/>
        <w:bidi w:val="0"/>
        <w:adjustRightInd/>
        <w:snapToGrid/>
        <w:spacing w:after="0"/>
        <w:jc w:val="center"/>
        <w:textAlignment w:val="auto"/>
        <w:rPr>
          <w:rFonts w:hint="eastAsia" w:ascii="Arial" w:hAnsi="Arial"/>
          <w:b/>
          <w:bCs/>
          <w:lang w:val="en-US" w:eastAsia="zh-CN"/>
        </w:rPr>
      </w:pPr>
      <w:r>
        <w:rPr>
          <w:rFonts w:hint="eastAsia" w:ascii="Arial" w:hAnsi="Arial"/>
          <w:b/>
          <w:bCs/>
          <w:lang w:val="en-US" w:eastAsia="zh-CN"/>
        </w:rPr>
        <w:t>表3-12  生产设施风险识别</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2"/>
        <w:gridCol w:w="2083"/>
        <w:gridCol w:w="2217"/>
        <w:gridCol w:w="1700"/>
        <w:gridCol w:w="23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2" w:type="dxa"/>
          </w:tcPr>
          <w:p>
            <w:pPr>
              <w:pStyle w:val="7"/>
              <w:spacing w:line="240" w:lineRule="auto"/>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vertAlign w:val="baseline"/>
                <w:lang w:val="en-US" w:eastAsia="zh-CN"/>
              </w:rPr>
              <w:t>编号</w:t>
            </w:r>
          </w:p>
        </w:tc>
        <w:tc>
          <w:tcPr>
            <w:tcW w:w="2083" w:type="dxa"/>
          </w:tcPr>
          <w:p>
            <w:pPr>
              <w:pStyle w:val="7"/>
              <w:spacing w:line="240" w:lineRule="auto"/>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vertAlign w:val="baseline"/>
                <w:lang w:val="en-US" w:eastAsia="zh-CN"/>
              </w:rPr>
              <w:t>主要生产设施</w:t>
            </w:r>
          </w:p>
        </w:tc>
        <w:tc>
          <w:tcPr>
            <w:tcW w:w="2217" w:type="dxa"/>
          </w:tcPr>
          <w:p>
            <w:pPr>
              <w:pStyle w:val="7"/>
              <w:spacing w:line="240" w:lineRule="auto"/>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vertAlign w:val="baseline"/>
                <w:lang w:val="en-US" w:eastAsia="zh-CN"/>
              </w:rPr>
              <w:t>所含污染物质</w:t>
            </w:r>
          </w:p>
        </w:tc>
        <w:tc>
          <w:tcPr>
            <w:tcW w:w="1700" w:type="dxa"/>
          </w:tcPr>
          <w:p>
            <w:pPr>
              <w:pStyle w:val="7"/>
              <w:spacing w:line="240" w:lineRule="auto"/>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vertAlign w:val="baseline"/>
                <w:lang w:val="en-US" w:eastAsia="zh-CN"/>
              </w:rPr>
              <w:t>风险类型</w:t>
            </w:r>
          </w:p>
        </w:tc>
        <w:tc>
          <w:tcPr>
            <w:tcW w:w="2332" w:type="dxa"/>
          </w:tcPr>
          <w:p>
            <w:pPr>
              <w:pStyle w:val="7"/>
              <w:spacing w:line="240" w:lineRule="auto"/>
              <w:ind w:left="0" w:leftChars="0" w:firstLine="0" w:firstLineChars="0"/>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vertAlign w:val="baseline"/>
                <w:lang w:val="en-US" w:eastAsia="zh-CN"/>
              </w:rPr>
              <w:t>风险设施情况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 w:hRule="atLeast"/>
        </w:trPr>
        <w:tc>
          <w:tcPr>
            <w:tcW w:w="1012" w:type="dxa"/>
          </w:tcPr>
          <w:p>
            <w:pPr>
              <w:pStyle w:val="7"/>
              <w:spacing w:line="240" w:lineRule="auto"/>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vertAlign w:val="baseline"/>
                <w:lang w:val="en-US" w:eastAsia="zh-CN"/>
              </w:rPr>
              <w:t>1</w:t>
            </w:r>
          </w:p>
        </w:tc>
        <w:tc>
          <w:tcPr>
            <w:tcW w:w="2083" w:type="dxa"/>
          </w:tcPr>
          <w:p>
            <w:pPr>
              <w:pStyle w:val="7"/>
              <w:spacing w:line="240" w:lineRule="auto"/>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lang w:val="en-US" w:eastAsia="zh-CN"/>
              </w:rPr>
              <w:t>水泥筒仓</w:t>
            </w:r>
          </w:p>
        </w:tc>
        <w:tc>
          <w:tcPr>
            <w:tcW w:w="2217" w:type="dxa"/>
          </w:tcPr>
          <w:p>
            <w:pPr>
              <w:pStyle w:val="7"/>
              <w:spacing w:line="240" w:lineRule="auto"/>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vertAlign w:val="baseline"/>
                <w:lang w:val="en-US" w:eastAsia="zh-CN"/>
              </w:rPr>
              <w:t>水泥粉</w:t>
            </w:r>
          </w:p>
        </w:tc>
        <w:tc>
          <w:tcPr>
            <w:tcW w:w="1700" w:type="dxa"/>
          </w:tcPr>
          <w:p>
            <w:pPr>
              <w:pStyle w:val="7"/>
              <w:spacing w:line="240" w:lineRule="auto"/>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vertAlign w:val="baseline"/>
                <w:lang w:val="en-US" w:eastAsia="zh-CN"/>
              </w:rPr>
              <w:t>泄漏</w:t>
            </w:r>
          </w:p>
        </w:tc>
        <w:tc>
          <w:tcPr>
            <w:tcW w:w="2332" w:type="dxa"/>
          </w:tcPr>
          <w:p>
            <w:pPr>
              <w:pStyle w:val="7"/>
              <w:spacing w:line="240" w:lineRule="auto"/>
              <w:ind w:left="0" w:leftChars="0" w:firstLine="0" w:firstLineChars="0"/>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vertAlign w:val="baseline"/>
                <w:lang w:val="en-US" w:eastAsia="zh-CN"/>
              </w:rPr>
              <w:t>生产区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1012" w:type="dxa"/>
          </w:tcPr>
          <w:p>
            <w:pPr>
              <w:pStyle w:val="7"/>
              <w:spacing w:line="240" w:lineRule="auto"/>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vertAlign w:val="baseline"/>
                <w:lang w:val="en-US" w:eastAsia="zh-CN"/>
              </w:rPr>
              <w:t>2</w:t>
            </w:r>
          </w:p>
        </w:tc>
        <w:tc>
          <w:tcPr>
            <w:tcW w:w="2083" w:type="dxa"/>
          </w:tcPr>
          <w:p>
            <w:pPr>
              <w:pStyle w:val="7"/>
              <w:spacing w:line="240" w:lineRule="auto"/>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lang w:val="en-US" w:eastAsia="zh-CN"/>
              </w:rPr>
              <w:t>矿粉筒仓</w:t>
            </w:r>
          </w:p>
        </w:tc>
        <w:tc>
          <w:tcPr>
            <w:tcW w:w="2217" w:type="dxa"/>
          </w:tcPr>
          <w:p>
            <w:pPr>
              <w:pStyle w:val="7"/>
              <w:spacing w:line="240" w:lineRule="auto"/>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vertAlign w:val="baseline"/>
                <w:lang w:val="en-US" w:eastAsia="zh-CN"/>
              </w:rPr>
              <w:t>矿粉</w:t>
            </w:r>
          </w:p>
        </w:tc>
        <w:tc>
          <w:tcPr>
            <w:tcW w:w="1700" w:type="dxa"/>
          </w:tcPr>
          <w:p>
            <w:pPr>
              <w:pStyle w:val="7"/>
              <w:spacing w:line="240" w:lineRule="auto"/>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vertAlign w:val="baseline"/>
                <w:lang w:val="en-US" w:eastAsia="zh-CN"/>
              </w:rPr>
              <w:t>泄漏</w:t>
            </w:r>
          </w:p>
        </w:tc>
        <w:tc>
          <w:tcPr>
            <w:tcW w:w="2332" w:type="dxa"/>
          </w:tcPr>
          <w:p>
            <w:pPr>
              <w:spacing w:line="240" w:lineRule="auto"/>
              <w:ind w:left="0" w:leftChars="0" w:firstLine="0" w:firstLineChars="0"/>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vertAlign w:val="baseline"/>
                <w:lang w:val="en-US" w:eastAsia="zh-CN"/>
              </w:rPr>
              <w:t>生产区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2" w:type="dxa"/>
          </w:tcPr>
          <w:p>
            <w:pPr>
              <w:pStyle w:val="7"/>
              <w:spacing w:line="240" w:lineRule="auto"/>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vertAlign w:val="baseline"/>
                <w:lang w:val="en-US" w:eastAsia="zh-CN"/>
              </w:rPr>
              <w:t>3</w:t>
            </w:r>
          </w:p>
        </w:tc>
        <w:tc>
          <w:tcPr>
            <w:tcW w:w="2083" w:type="dxa"/>
          </w:tcPr>
          <w:p>
            <w:pPr>
              <w:pStyle w:val="7"/>
              <w:spacing w:line="240" w:lineRule="auto"/>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lang w:val="en-US" w:eastAsia="zh-CN"/>
              </w:rPr>
              <w:t>粉煤灰筒仓</w:t>
            </w:r>
          </w:p>
        </w:tc>
        <w:tc>
          <w:tcPr>
            <w:tcW w:w="2217" w:type="dxa"/>
          </w:tcPr>
          <w:p>
            <w:pPr>
              <w:pStyle w:val="7"/>
              <w:spacing w:line="240" w:lineRule="auto"/>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lang w:val="en-US" w:eastAsia="zh-CN"/>
              </w:rPr>
              <w:t>粉煤灰</w:t>
            </w:r>
          </w:p>
        </w:tc>
        <w:tc>
          <w:tcPr>
            <w:tcW w:w="1700" w:type="dxa"/>
          </w:tcPr>
          <w:p>
            <w:pPr>
              <w:pStyle w:val="7"/>
              <w:spacing w:line="240" w:lineRule="auto"/>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vertAlign w:val="baseline"/>
                <w:lang w:val="en-US" w:eastAsia="zh-CN"/>
              </w:rPr>
              <w:t>泄漏</w:t>
            </w:r>
          </w:p>
        </w:tc>
        <w:tc>
          <w:tcPr>
            <w:tcW w:w="2332" w:type="dxa"/>
          </w:tcPr>
          <w:p>
            <w:pPr>
              <w:spacing w:line="240" w:lineRule="auto"/>
              <w:ind w:left="0" w:leftChars="0" w:firstLine="0" w:firstLineChars="0"/>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vertAlign w:val="baseline"/>
                <w:lang w:val="en-US" w:eastAsia="zh-CN"/>
              </w:rPr>
              <w:t>生产区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2" w:type="dxa"/>
          </w:tcPr>
          <w:p>
            <w:pPr>
              <w:pStyle w:val="7"/>
              <w:spacing w:line="240" w:lineRule="auto"/>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vertAlign w:val="baseline"/>
                <w:lang w:val="en-US" w:eastAsia="zh-CN"/>
              </w:rPr>
              <w:t>4</w:t>
            </w:r>
          </w:p>
        </w:tc>
        <w:tc>
          <w:tcPr>
            <w:tcW w:w="2083" w:type="dxa"/>
          </w:tcPr>
          <w:p>
            <w:pPr>
              <w:pStyle w:val="7"/>
              <w:spacing w:line="240" w:lineRule="auto"/>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lang w:val="en-US" w:eastAsia="zh-CN"/>
              </w:rPr>
              <w:t>布袋除尘器</w:t>
            </w:r>
          </w:p>
        </w:tc>
        <w:tc>
          <w:tcPr>
            <w:tcW w:w="2217" w:type="dxa"/>
          </w:tcPr>
          <w:p>
            <w:pPr>
              <w:pStyle w:val="7"/>
              <w:spacing w:line="240" w:lineRule="auto"/>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vertAlign w:val="baseline"/>
                <w:lang w:val="en-US" w:eastAsia="zh-CN"/>
              </w:rPr>
              <w:t>粉尘</w:t>
            </w:r>
          </w:p>
        </w:tc>
        <w:tc>
          <w:tcPr>
            <w:tcW w:w="1700" w:type="dxa"/>
          </w:tcPr>
          <w:p>
            <w:pPr>
              <w:pStyle w:val="7"/>
              <w:spacing w:line="240" w:lineRule="auto"/>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vertAlign w:val="baseline"/>
                <w:lang w:val="en-US" w:eastAsia="zh-CN"/>
              </w:rPr>
              <w:t>泄漏</w:t>
            </w:r>
          </w:p>
        </w:tc>
        <w:tc>
          <w:tcPr>
            <w:tcW w:w="2332" w:type="dxa"/>
          </w:tcPr>
          <w:p>
            <w:pPr>
              <w:spacing w:line="240" w:lineRule="auto"/>
              <w:ind w:left="0" w:leftChars="0" w:firstLine="0" w:firstLineChars="0"/>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vertAlign w:val="baseline"/>
                <w:lang w:val="en-US" w:eastAsia="zh-CN"/>
              </w:rPr>
              <w:t>生产区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2" w:type="dxa"/>
          </w:tcPr>
          <w:p>
            <w:pPr>
              <w:pStyle w:val="7"/>
              <w:spacing w:line="240" w:lineRule="auto"/>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vertAlign w:val="baseline"/>
                <w:lang w:val="en-US" w:eastAsia="zh-CN"/>
              </w:rPr>
              <w:t>5</w:t>
            </w:r>
          </w:p>
        </w:tc>
        <w:tc>
          <w:tcPr>
            <w:tcW w:w="2083" w:type="dxa"/>
          </w:tcPr>
          <w:p>
            <w:pPr>
              <w:pStyle w:val="7"/>
              <w:spacing w:line="240" w:lineRule="auto"/>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lang w:val="en-US" w:eastAsia="zh-CN"/>
              </w:rPr>
              <w:t>机械设备</w:t>
            </w:r>
          </w:p>
        </w:tc>
        <w:tc>
          <w:tcPr>
            <w:tcW w:w="2217" w:type="dxa"/>
          </w:tcPr>
          <w:p>
            <w:pPr>
              <w:pStyle w:val="7"/>
              <w:spacing w:line="240" w:lineRule="auto"/>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vertAlign w:val="baseline"/>
                <w:lang w:val="en-US" w:eastAsia="zh-CN"/>
              </w:rPr>
              <w:t>矿物油</w:t>
            </w:r>
          </w:p>
        </w:tc>
        <w:tc>
          <w:tcPr>
            <w:tcW w:w="1700" w:type="dxa"/>
          </w:tcPr>
          <w:p>
            <w:pPr>
              <w:pStyle w:val="7"/>
              <w:spacing w:line="240" w:lineRule="auto"/>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vertAlign w:val="baseline"/>
                <w:lang w:val="en-US" w:eastAsia="zh-CN"/>
              </w:rPr>
              <w:t>泄漏</w:t>
            </w:r>
          </w:p>
        </w:tc>
        <w:tc>
          <w:tcPr>
            <w:tcW w:w="2332" w:type="dxa"/>
          </w:tcPr>
          <w:p>
            <w:pPr>
              <w:pStyle w:val="7"/>
              <w:spacing w:line="240" w:lineRule="auto"/>
              <w:ind w:left="0" w:leftChars="0" w:firstLine="0" w:firstLineChars="0"/>
              <w:jc w:val="both"/>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vertAlign w:val="baseline"/>
                <w:lang w:val="en-US" w:eastAsia="zh-CN"/>
              </w:rPr>
              <w:t>生产区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2" w:type="dxa"/>
          </w:tcPr>
          <w:p>
            <w:pPr>
              <w:pStyle w:val="7"/>
              <w:spacing w:line="240" w:lineRule="auto"/>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vertAlign w:val="baseline"/>
                <w:lang w:val="en-US" w:eastAsia="zh-CN"/>
              </w:rPr>
              <w:t>6</w:t>
            </w:r>
          </w:p>
        </w:tc>
        <w:tc>
          <w:tcPr>
            <w:tcW w:w="2083" w:type="dxa"/>
          </w:tcPr>
          <w:p>
            <w:pPr>
              <w:pStyle w:val="7"/>
              <w:spacing w:line="240" w:lineRule="auto"/>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lang w:val="en-US" w:eastAsia="zh-CN"/>
              </w:rPr>
              <w:t>沉淀池</w:t>
            </w:r>
          </w:p>
        </w:tc>
        <w:tc>
          <w:tcPr>
            <w:tcW w:w="2217" w:type="dxa"/>
          </w:tcPr>
          <w:p>
            <w:pPr>
              <w:pStyle w:val="7"/>
              <w:spacing w:line="240" w:lineRule="auto"/>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vertAlign w:val="baseline"/>
                <w:lang w:val="en-US" w:eastAsia="zh-CN"/>
              </w:rPr>
              <w:t>废水</w:t>
            </w:r>
          </w:p>
        </w:tc>
        <w:tc>
          <w:tcPr>
            <w:tcW w:w="1700" w:type="dxa"/>
          </w:tcPr>
          <w:p>
            <w:pPr>
              <w:pStyle w:val="7"/>
              <w:spacing w:line="240" w:lineRule="auto"/>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vertAlign w:val="baseline"/>
                <w:lang w:val="en-US" w:eastAsia="zh-CN"/>
              </w:rPr>
              <w:t>泄漏</w:t>
            </w:r>
          </w:p>
        </w:tc>
        <w:tc>
          <w:tcPr>
            <w:tcW w:w="2332" w:type="dxa"/>
          </w:tcPr>
          <w:p>
            <w:pPr>
              <w:pStyle w:val="7"/>
              <w:spacing w:line="240" w:lineRule="auto"/>
              <w:ind w:left="0" w:leftChars="0" w:firstLine="0" w:firstLineChars="0"/>
              <w:rPr>
                <w:rFonts w:hint="eastAsia" w:ascii="宋体" w:hAnsi="宋体" w:eastAsia="宋体" w:cs="宋体"/>
                <w:b w:val="0"/>
                <w:bCs w:val="0"/>
                <w:sz w:val="21"/>
                <w:szCs w:val="21"/>
                <w:vertAlign w:val="baseline"/>
                <w:lang w:val="en-US" w:eastAsia="zh-CN"/>
              </w:rPr>
            </w:pPr>
            <w:r>
              <w:rPr>
                <w:rFonts w:hint="eastAsia" w:ascii="宋体" w:hAnsi="宋体" w:eastAsia="宋体" w:cs="宋体"/>
                <w:b w:val="0"/>
                <w:bCs w:val="0"/>
                <w:sz w:val="21"/>
                <w:szCs w:val="21"/>
                <w:vertAlign w:val="baseline"/>
                <w:lang w:val="en-US" w:eastAsia="zh-CN"/>
              </w:rPr>
              <w:t>厂内</w:t>
            </w:r>
          </w:p>
        </w:tc>
      </w:tr>
    </w:tbl>
    <w:p>
      <w:pPr>
        <w:pStyle w:val="6"/>
        <w:spacing w:line="360" w:lineRule="auto"/>
        <w:rPr>
          <w:rFonts w:hint="eastAsia" w:ascii="Arial" w:hAnsi="Arial"/>
          <w:b/>
          <w:bCs/>
          <w:sz w:val="24"/>
          <w:szCs w:val="24"/>
          <w:lang w:val="en-US" w:eastAsia="zh-CN"/>
        </w:rPr>
      </w:pPr>
      <w:r>
        <w:rPr>
          <w:rFonts w:hint="eastAsia" w:ascii="Arial" w:hAnsi="Arial"/>
          <w:b/>
          <w:bCs/>
          <w:sz w:val="24"/>
          <w:szCs w:val="24"/>
          <w:lang w:val="en-US" w:eastAsia="zh-CN"/>
        </w:rPr>
        <w:t>重大危险源辨识</w:t>
      </w:r>
      <w:bookmarkEnd w:id="19"/>
      <w:bookmarkEnd w:id="20"/>
    </w:p>
    <w:p>
      <w:pPr>
        <w:spacing w:line="360" w:lineRule="auto"/>
        <w:ind w:firstLine="573"/>
        <w:rPr>
          <w:rFonts w:hint="eastAsia" w:hAnsi="宋体"/>
          <w:sz w:val="24"/>
          <w:lang w:val="zh-CN" w:eastAsia="zh-CN"/>
        </w:rPr>
      </w:pPr>
      <w:r>
        <w:rPr>
          <w:rFonts w:hint="eastAsia" w:hAnsi="宋体"/>
          <w:sz w:val="24"/>
          <w:lang w:val="zh-CN" w:eastAsia="zh-CN"/>
        </w:rPr>
        <w:t>（1）危险化学品重大危险源识别</w:t>
      </w:r>
    </w:p>
    <w:p>
      <w:pPr>
        <w:spacing w:line="360" w:lineRule="auto"/>
        <w:ind w:firstLine="573"/>
        <w:rPr>
          <w:rFonts w:hint="eastAsia" w:hAnsi="宋体"/>
          <w:sz w:val="24"/>
          <w:lang w:val="zh-CN" w:eastAsia="zh-CN"/>
        </w:rPr>
      </w:pPr>
      <w:r>
        <w:rPr>
          <w:rFonts w:hint="eastAsia" w:hAnsi="宋体"/>
          <w:sz w:val="24"/>
          <w:lang w:val="zh-CN" w:eastAsia="zh-CN"/>
        </w:rPr>
        <w:t>根据《危险化学品重大危险源辨识》（GB18218-20</w:t>
      </w:r>
      <w:r>
        <w:rPr>
          <w:rFonts w:hint="eastAsia" w:hAnsi="宋体"/>
          <w:sz w:val="24"/>
          <w:lang w:val="en-US" w:eastAsia="zh-CN"/>
        </w:rPr>
        <w:t>18</w:t>
      </w:r>
      <w:r>
        <w:rPr>
          <w:rFonts w:hint="eastAsia" w:hAnsi="宋体"/>
          <w:sz w:val="24"/>
          <w:lang w:val="zh-CN" w:eastAsia="zh-CN"/>
        </w:rPr>
        <w:t>）中的规定，危险化学品重大危险源的辨识依据是危险化学品的危险特性及其数量，具体见其附表1和附表2。其中：在表1范围内的危险化学品，其临界量按表1确定；未在表1范围内的危险化学品，依据其危险性，按表2确定临界量；若一种危险化学品具有多种危险性，按其中最低的临界量确定。</w:t>
      </w:r>
    </w:p>
    <w:p>
      <w:pPr>
        <w:spacing w:line="360" w:lineRule="auto"/>
        <w:ind w:firstLine="573"/>
        <w:rPr>
          <w:rFonts w:hint="eastAsia" w:hAnsi="宋体"/>
          <w:sz w:val="24"/>
          <w:lang w:val="zh-CN" w:eastAsia="zh-CN"/>
        </w:rPr>
      </w:pPr>
      <w:r>
        <w:rPr>
          <w:rFonts w:hint="eastAsia" w:hAnsi="宋体"/>
          <w:sz w:val="24"/>
          <w:lang w:val="zh-CN" w:eastAsia="zh-CN"/>
        </w:rPr>
        <w:t>生产单元、储存单元内存在危险化学品的数量等于或超过附表1、表2规定的临界量，即被定为重大危险源。单元内存在的危险化学品的数量根据处理危险化学品种类的多少区分为以下两种情况：</w:t>
      </w:r>
    </w:p>
    <w:p>
      <w:pPr>
        <w:spacing w:line="360" w:lineRule="auto"/>
        <w:ind w:firstLine="573"/>
        <w:rPr>
          <w:rFonts w:hint="eastAsia" w:hAnsi="宋体"/>
          <w:sz w:val="24"/>
          <w:lang w:val="zh-CN" w:eastAsia="zh-CN"/>
        </w:rPr>
      </w:pPr>
      <w:r>
        <w:rPr>
          <w:rFonts w:hint="eastAsia" w:hAnsi="宋体"/>
          <w:sz w:val="24"/>
          <w:lang w:val="zh-CN" w:eastAsia="zh-CN"/>
        </w:rPr>
        <w:t>①生产单元、储存单元内存在的危险化学品为单一品种，该危险化学品的数量即为单元内危险化学品的总量，若等于或超过相应的临界量，则定为重大危险源。</w:t>
      </w:r>
    </w:p>
    <w:p>
      <w:pPr>
        <w:spacing w:line="360" w:lineRule="auto"/>
        <w:ind w:firstLine="573"/>
        <w:rPr>
          <w:rFonts w:hint="eastAsia" w:hAnsi="宋体"/>
          <w:sz w:val="24"/>
          <w:lang w:val="zh-CN" w:eastAsia="zh-CN"/>
        </w:rPr>
      </w:pPr>
      <w:r>
        <w:rPr>
          <w:rFonts w:hint="eastAsia" w:hAnsi="宋体"/>
          <w:sz w:val="24"/>
          <w:lang w:val="zh-CN" w:eastAsia="zh-CN"/>
        </w:rPr>
        <w:t>②生产单元、储存单元内存在的危险化学品为多品种时，则式(1)计算，若满足式(1)，则定为重大危险源：</w:t>
      </w:r>
    </w:p>
    <w:p>
      <w:pPr>
        <w:pStyle w:val="11"/>
        <w:keepNext w:val="0"/>
        <w:keepLines w:val="0"/>
        <w:pageBreakBefore w:val="0"/>
        <w:widowControl/>
        <w:kinsoku/>
        <w:wordWrap/>
        <w:overflowPunct/>
        <w:topLinePunct w:val="0"/>
        <w:autoSpaceDE/>
        <w:autoSpaceDN/>
        <w:bidi w:val="0"/>
        <w:adjustRightInd w:val="0"/>
        <w:snapToGrid w:val="0"/>
        <w:spacing w:beforeAutospacing="0" w:afterAutospacing="0" w:line="360" w:lineRule="auto"/>
        <w:ind w:firstLine="482" w:firstLineChars="200"/>
        <w:jc w:val="center"/>
        <w:textAlignment w:val="auto"/>
        <w:rPr>
          <w:rFonts w:hint="default" w:ascii="Times New Roman" w:hAnsi="Times New Roman" w:cs="Times New Roman"/>
          <w:color w:val="auto"/>
          <w:sz w:val="24"/>
          <w:szCs w:val="24"/>
        </w:rPr>
      </w:pPr>
      <w:r>
        <w:rPr>
          <w:rFonts w:hint="default" w:ascii="Times New Roman" w:hAnsi="Times New Roman" w:cs="Times New Roman"/>
          <w:i/>
          <w:color w:val="auto"/>
          <w:position w:val="-30"/>
          <w:sz w:val="24"/>
          <w:szCs w:val="24"/>
        </w:rPr>
        <w:object>
          <v:shape id="_x0000_i1026" o:spt="75" type="#_x0000_t75" style="height:35.2pt;width:256.6pt;" o:ole="t" filled="f" o:preferrelative="t" stroked="f" coordsize="21600,21600">
            <v:path/>
            <v:fill on="f" focussize="0,0"/>
            <v:stroke on="f"/>
            <v:imagedata r:id="rId16" o:title=""/>
            <o:lock v:ext="edit" aspectratio="t"/>
            <w10:wrap type="none"/>
            <w10:anchorlock/>
          </v:shape>
          <o:OLEObject Type="Embed" ProgID="Equation.3" ShapeID="_x0000_i1026" DrawAspect="Content" ObjectID="_1468075726" r:id="rId15">
            <o:LockedField>false</o:LockedField>
          </o:OLEObject>
        </w:object>
      </w:r>
      <w:r>
        <w:rPr>
          <w:rFonts w:hint="default" w:ascii="Times New Roman" w:hAnsi="Times New Roman" w:cs="Times New Roman"/>
          <w:color w:val="auto"/>
          <w:sz w:val="24"/>
          <w:szCs w:val="24"/>
        </w:rPr>
        <w:t xml:space="preserve">          （1）</w:t>
      </w:r>
    </w:p>
    <w:p>
      <w:pPr>
        <w:pStyle w:val="17"/>
        <w:keepNext w:val="0"/>
        <w:keepLines w:val="0"/>
        <w:pageBreakBefore w:val="0"/>
        <w:kinsoku/>
        <w:wordWrap/>
        <w:overflowPunct/>
        <w:topLinePunct w:val="0"/>
        <w:autoSpaceDE/>
        <w:autoSpaceDN/>
        <w:bidi w:val="0"/>
        <w:adjustRightInd w:val="0"/>
        <w:snapToGrid w:val="0"/>
        <w:spacing w:before="0" w:beforeAutospacing="0" w:after="0" w:afterAutospacing="0" w:line="360" w:lineRule="auto"/>
        <w:ind w:firstLine="480" w:firstLineChars="200"/>
        <w:textAlignment w:val="auto"/>
        <w:rPr>
          <w:color w:val="auto"/>
          <w:kern w:val="0"/>
        </w:rPr>
      </w:pPr>
      <w:r>
        <w:rPr>
          <w:color w:val="auto"/>
          <w:kern w:val="0"/>
        </w:rPr>
        <w:t>式中：</w:t>
      </w:r>
    </w:p>
    <w:p>
      <w:pPr>
        <w:pStyle w:val="17"/>
        <w:keepNext w:val="0"/>
        <w:keepLines w:val="0"/>
        <w:pageBreakBefore w:val="0"/>
        <w:kinsoku/>
        <w:wordWrap/>
        <w:overflowPunct/>
        <w:topLinePunct w:val="0"/>
        <w:autoSpaceDE/>
        <w:autoSpaceDN/>
        <w:bidi w:val="0"/>
        <w:adjustRightInd w:val="0"/>
        <w:snapToGrid w:val="0"/>
        <w:spacing w:before="0" w:beforeAutospacing="0" w:after="0" w:afterAutospacing="0" w:line="360" w:lineRule="auto"/>
        <w:ind w:firstLine="480" w:firstLineChars="200"/>
        <w:textAlignment w:val="auto"/>
        <w:rPr>
          <w:rFonts w:hint="eastAsia" w:eastAsia="宋体"/>
          <w:color w:val="auto"/>
          <w:kern w:val="0"/>
          <w:lang w:val="en-US" w:eastAsia="zh-CN"/>
        </w:rPr>
      </w:pPr>
      <w:r>
        <w:rPr>
          <w:rFonts w:hint="eastAsia"/>
          <w:color w:val="auto"/>
          <w:kern w:val="0"/>
          <w:lang w:val="en-US" w:eastAsia="zh-CN"/>
        </w:rPr>
        <w:t xml:space="preserve">S         </w:t>
      </w:r>
      <w:r>
        <w:rPr>
          <w:color w:val="auto"/>
          <w:kern w:val="0"/>
        </w:rPr>
        <w:t>—</w:t>
      </w:r>
      <w:r>
        <w:rPr>
          <w:rFonts w:hint="eastAsia"/>
          <w:color w:val="auto"/>
          <w:kern w:val="0"/>
          <w:lang w:eastAsia="zh-CN"/>
        </w:rPr>
        <w:t>辨识指标；</w:t>
      </w:r>
    </w:p>
    <w:p>
      <w:pPr>
        <w:pStyle w:val="17"/>
        <w:keepNext w:val="0"/>
        <w:keepLines w:val="0"/>
        <w:pageBreakBefore w:val="0"/>
        <w:kinsoku/>
        <w:wordWrap/>
        <w:overflowPunct/>
        <w:topLinePunct w:val="0"/>
        <w:autoSpaceDE/>
        <w:autoSpaceDN/>
        <w:bidi w:val="0"/>
        <w:adjustRightInd w:val="0"/>
        <w:snapToGrid w:val="0"/>
        <w:spacing w:before="0" w:beforeAutospacing="0" w:after="0" w:afterAutospacing="0" w:line="360" w:lineRule="auto"/>
        <w:ind w:firstLine="480" w:firstLineChars="200"/>
        <w:textAlignment w:val="auto"/>
        <w:rPr>
          <w:color w:val="auto"/>
        </w:rPr>
      </w:pPr>
      <w:r>
        <w:rPr>
          <w:i/>
          <w:color w:val="auto"/>
          <w:kern w:val="0"/>
        </w:rPr>
        <w:t>q</w:t>
      </w:r>
      <w:r>
        <w:rPr>
          <w:i/>
          <w:color w:val="auto"/>
          <w:kern w:val="0"/>
          <w:vertAlign w:val="subscript"/>
        </w:rPr>
        <w:t>1,</w:t>
      </w:r>
      <w:r>
        <w:rPr>
          <w:i/>
          <w:color w:val="auto"/>
          <w:kern w:val="0"/>
        </w:rPr>
        <w:t>q</w:t>
      </w:r>
      <w:r>
        <w:rPr>
          <w:i/>
          <w:color w:val="auto"/>
          <w:kern w:val="0"/>
          <w:vertAlign w:val="subscript"/>
        </w:rPr>
        <w:t>2</w:t>
      </w:r>
      <w:r>
        <w:rPr>
          <w:i/>
          <w:color w:val="auto"/>
          <w:kern w:val="0"/>
        </w:rPr>
        <w:t>,</w:t>
      </w:r>
      <w:r>
        <w:rPr>
          <w:i/>
          <w:color w:val="auto"/>
          <w:kern w:val="0"/>
          <w:vertAlign w:val="subscript"/>
        </w:rPr>
        <w:t>。。。</w:t>
      </w:r>
      <w:r>
        <w:rPr>
          <w:i/>
          <w:color w:val="auto"/>
          <w:kern w:val="0"/>
        </w:rPr>
        <w:t>,q</w:t>
      </w:r>
      <w:r>
        <w:rPr>
          <w:i/>
          <w:color w:val="auto"/>
          <w:kern w:val="0"/>
          <w:vertAlign w:val="subscript"/>
        </w:rPr>
        <w:t>n</w:t>
      </w:r>
      <w:r>
        <w:rPr>
          <w:color w:val="auto"/>
          <w:kern w:val="0"/>
        </w:rPr>
        <w:t>—每种危险化学品实际存在量，单位为吨（t）；</w:t>
      </w:r>
    </w:p>
    <w:p>
      <w:pPr>
        <w:pStyle w:val="17"/>
        <w:keepNext w:val="0"/>
        <w:keepLines w:val="0"/>
        <w:pageBreakBefore w:val="0"/>
        <w:kinsoku/>
        <w:wordWrap/>
        <w:overflowPunct/>
        <w:topLinePunct w:val="0"/>
        <w:autoSpaceDE/>
        <w:autoSpaceDN/>
        <w:bidi w:val="0"/>
        <w:adjustRightInd w:val="0"/>
        <w:snapToGrid w:val="0"/>
        <w:spacing w:before="0" w:beforeAutospacing="0" w:after="0" w:afterAutospacing="0" w:line="360" w:lineRule="auto"/>
        <w:ind w:firstLine="480" w:firstLineChars="200"/>
        <w:textAlignment w:val="auto"/>
        <w:rPr>
          <w:color w:val="auto"/>
        </w:rPr>
      </w:pPr>
      <w:bookmarkStart w:id="21" w:name="_Ref390005849"/>
      <w:r>
        <w:rPr>
          <w:i/>
          <w:color w:val="auto"/>
          <w:kern w:val="0"/>
        </w:rPr>
        <w:t>Q</w:t>
      </w:r>
      <w:r>
        <w:rPr>
          <w:i/>
          <w:color w:val="auto"/>
          <w:kern w:val="0"/>
          <w:vertAlign w:val="subscript"/>
        </w:rPr>
        <w:t>1</w:t>
      </w:r>
      <w:r>
        <w:rPr>
          <w:i/>
          <w:color w:val="auto"/>
          <w:kern w:val="0"/>
        </w:rPr>
        <w:t>,Q</w:t>
      </w:r>
      <w:r>
        <w:rPr>
          <w:i/>
          <w:color w:val="auto"/>
          <w:kern w:val="0"/>
          <w:vertAlign w:val="subscript"/>
        </w:rPr>
        <w:t>2</w:t>
      </w:r>
      <w:r>
        <w:rPr>
          <w:i/>
          <w:color w:val="auto"/>
          <w:kern w:val="0"/>
        </w:rPr>
        <w:t>,</w:t>
      </w:r>
      <w:r>
        <w:rPr>
          <w:i/>
          <w:color w:val="auto"/>
          <w:kern w:val="0"/>
          <w:vertAlign w:val="subscript"/>
        </w:rPr>
        <w:t>.。。。</w:t>
      </w:r>
      <w:r>
        <w:rPr>
          <w:i/>
          <w:color w:val="auto"/>
          <w:kern w:val="0"/>
        </w:rPr>
        <w:t>,Q</w:t>
      </w:r>
      <w:r>
        <w:rPr>
          <w:i/>
          <w:color w:val="auto"/>
          <w:kern w:val="0"/>
          <w:vertAlign w:val="subscript"/>
        </w:rPr>
        <w:t>N</w:t>
      </w:r>
      <w:r>
        <w:rPr>
          <w:color w:val="auto"/>
          <w:kern w:val="0"/>
        </w:rPr>
        <w:t>—与</w:t>
      </w:r>
      <w:r>
        <w:rPr>
          <w:rFonts w:hint="eastAsia"/>
          <w:color w:val="auto"/>
          <w:kern w:val="0"/>
          <w:lang w:eastAsia="zh-CN"/>
        </w:rPr>
        <w:t>每种</w:t>
      </w:r>
      <w:r>
        <w:rPr>
          <w:color w:val="auto"/>
          <w:kern w:val="0"/>
        </w:rPr>
        <w:t>危险化学品相对应的临界量，单位为吨（t）；</w:t>
      </w:r>
    </w:p>
    <w:p>
      <w:pPr>
        <w:keepNext w:val="0"/>
        <w:keepLines w:val="0"/>
        <w:pageBreakBefore w:val="0"/>
        <w:kinsoku/>
        <w:wordWrap/>
        <w:overflowPunct/>
        <w:topLinePunct w:val="0"/>
        <w:autoSpaceDE/>
        <w:autoSpaceDN/>
        <w:bidi w:val="0"/>
        <w:spacing w:beforeAutospacing="0" w:afterAutospacing="0" w:line="360" w:lineRule="auto"/>
        <w:ind w:firstLine="480"/>
        <w:jc w:val="left"/>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经查《企业突发环境事件风险分级方法》（HJ 941-2018）附录A.突发环境事件风险物质及临界量清单，油类物质的临界量为2500t。</w:t>
      </w:r>
    </w:p>
    <w:p>
      <w:pPr>
        <w:pStyle w:val="17"/>
        <w:keepNext w:val="0"/>
        <w:keepLines w:val="0"/>
        <w:pageBreakBefore w:val="0"/>
        <w:widowControl/>
        <w:kinsoku/>
        <w:wordWrap/>
        <w:overflowPunct/>
        <w:topLinePunct w:val="0"/>
        <w:autoSpaceDE/>
        <w:autoSpaceDN/>
        <w:bidi w:val="0"/>
        <w:adjustRightInd w:val="0"/>
        <w:snapToGrid w:val="0"/>
        <w:spacing w:before="0" w:beforeAutospacing="0" w:after="0" w:afterAutospacing="0" w:line="360" w:lineRule="auto"/>
        <w:ind w:firstLine="480" w:firstLineChars="200"/>
        <w:textAlignment w:val="auto"/>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eastAsia="zh-CN"/>
        </w:rPr>
        <w:t>厂区</w:t>
      </w:r>
      <w:r>
        <w:rPr>
          <w:rFonts w:hint="default" w:ascii="Times New Roman" w:hAnsi="Times New Roman" w:cs="Times New Roman"/>
          <w:color w:val="auto"/>
          <w:kern w:val="0"/>
          <w:sz w:val="24"/>
          <w:szCs w:val="24"/>
        </w:rPr>
        <w:t>危险化学品进行重大危险源识别，详见表</w:t>
      </w:r>
      <w:r>
        <w:rPr>
          <w:rFonts w:hint="default" w:ascii="Times New Roman" w:hAnsi="Times New Roman" w:cs="Times New Roman"/>
          <w:color w:val="auto"/>
          <w:kern w:val="0"/>
          <w:sz w:val="24"/>
          <w:szCs w:val="24"/>
          <w:lang w:val="en-US" w:eastAsia="zh-CN"/>
        </w:rPr>
        <w:t>3-</w:t>
      </w:r>
      <w:r>
        <w:rPr>
          <w:rFonts w:hint="eastAsia" w:ascii="Times New Roman" w:hAnsi="Times New Roman" w:cs="Times New Roman"/>
          <w:color w:val="auto"/>
          <w:kern w:val="0"/>
          <w:sz w:val="24"/>
          <w:szCs w:val="24"/>
          <w:lang w:val="en-US" w:eastAsia="zh-CN"/>
        </w:rPr>
        <w:t>13</w:t>
      </w:r>
      <w:r>
        <w:rPr>
          <w:rFonts w:hint="default" w:ascii="Times New Roman" w:hAnsi="Times New Roman" w:cs="Times New Roman"/>
          <w:color w:val="auto"/>
          <w:kern w:val="0"/>
          <w:sz w:val="24"/>
          <w:szCs w:val="24"/>
        </w:rPr>
        <w:t>。</w:t>
      </w:r>
    </w:p>
    <w:p>
      <w:pPr>
        <w:keepNext w:val="0"/>
        <w:keepLines w:val="0"/>
        <w:pageBreakBefore w:val="0"/>
        <w:kinsoku/>
        <w:wordWrap/>
        <w:overflowPunct/>
        <w:topLinePunct w:val="0"/>
        <w:autoSpaceDE/>
        <w:autoSpaceDN/>
        <w:bidi w:val="0"/>
        <w:adjustRightInd/>
        <w:snapToGrid/>
        <w:jc w:val="center"/>
        <w:rPr>
          <w:rFonts w:hint="default" w:ascii="Times New Roman" w:hAnsi="Times New Roman" w:cs="Times New Roman"/>
          <w:b/>
          <w:bCs/>
          <w:color w:val="auto"/>
          <w:kern w:val="0"/>
          <w:sz w:val="24"/>
          <w:szCs w:val="24"/>
          <w:highlight w:val="none"/>
          <w:lang w:val="zh-CN"/>
        </w:rPr>
      </w:pPr>
      <w:r>
        <w:rPr>
          <w:rFonts w:hint="default" w:ascii="Times New Roman" w:hAnsi="Times New Roman" w:cs="Times New Roman"/>
          <w:b/>
          <w:bCs/>
          <w:color w:val="auto"/>
          <w:kern w:val="0"/>
          <w:sz w:val="24"/>
          <w:szCs w:val="24"/>
          <w:highlight w:val="none"/>
          <w:lang w:val="zh-CN"/>
        </w:rPr>
        <w:t xml:space="preserve">表 </w:t>
      </w:r>
      <w:r>
        <w:rPr>
          <w:rFonts w:hint="default" w:ascii="Times New Roman" w:hAnsi="Times New Roman" w:cs="Times New Roman"/>
          <w:b/>
          <w:bCs/>
          <w:color w:val="auto"/>
          <w:kern w:val="0"/>
          <w:sz w:val="24"/>
          <w:szCs w:val="24"/>
          <w:highlight w:val="none"/>
          <w:lang w:val="en-US" w:eastAsia="zh-CN"/>
        </w:rPr>
        <w:t>3</w:t>
      </w:r>
      <w:r>
        <w:rPr>
          <w:rFonts w:hint="default" w:ascii="Times New Roman" w:hAnsi="Times New Roman" w:cs="Times New Roman"/>
          <w:b/>
          <w:bCs/>
          <w:color w:val="auto"/>
          <w:kern w:val="0"/>
          <w:sz w:val="24"/>
          <w:szCs w:val="24"/>
          <w:highlight w:val="none"/>
          <w:lang w:val="zh-CN"/>
        </w:rPr>
        <w:t>-</w:t>
      </w:r>
      <w:r>
        <w:rPr>
          <w:rFonts w:hint="eastAsia" w:cs="Times New Roman"/>
          <w:b/>
          <w:bCs/>
          <w:color w:val="auto"/>
          <w:kern w:val="0"/>
          <w:sz w:val="24"/>
          <w:szCs w:val="24"/>
          <w:highlight w:val="none"/>
          <w:lang w:val="en-US" w:eastAsia="zh-CN"/>
        </w:rPr>
        <w:t>13</w:t>
      </w:r>
      <w:r>
        <w:rPr>
          <w:rFonts w:hint="default" w:ascii="Times New Roman" w:hAnsi="Times New Roman" w:cs="Times New Roman"/>
          <w:b/>
          <w:bCs/>
          <w:color w:val="auto"/>
          <w:kern w:val="0"/>
          <w:sz w:val="24"/>
          <w:szCs w:val="24"/>
          <w:highlight w:val="none"/>
          <w:lang w:val="zh-CN"/>
        </w:rPr>
        <w:t xml:space="preserve"> 危险化学品重大危险源识别</w:t>
      </w:r>
    </w:p>
    <w:tbl>
      <w:tblPr>
        <w:tblStyle w:val="18"/>
        <w:tblW w:w="91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10"/>
        <w:gridCol w:w="1679"/>
        <w:gridCol w:w="1451"/>
        <w:gridCol w:w="1495"/>
        <w:gridCol w:w="1325"/>
        <w:gridCol w:w="14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0" w:type="dxa"/>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exact"/>
              <w:ind w:left="0" w:right="0"/>
              <w:jc w:val="center"/>
              <w:rPr>
                <w:rFonts w:hint="default" w:ascii="Times New Roman" w:hAnsi="Times New Roman" w:eastAsia="仿宋" w:cs="Times New Roman"/>
                <w:b/>
                <w:bCs/>
                <w:color w:val="auto"/>
                <w:sz w:val="21"/>
                <w:szCs w:val="21"/>
                <w:highlight w:val="none"/>
              </w:rPr>
            </w:pPr>
            <w:bookmarkStart w:id="22" w:name="OLE_LINK9" w:colFirst="3" w:colLast="6"/>
            <w:bookmarkStart w:id="23" w:name="OLE_LINK10" w:colFirst="3" w:colLast="6"/>
            <w:bookmarkStart w:id="24" w:name="_Toc385598198"/>
            <w:bookmarkStart w:id="25" w:name="_Toc385345845"/>
            <w:bookmarkStart w:id="26" w:name="_Toc3571"/>
            <w:bookmarkStart w:id="27" w:name="_Toc400547437"/>
            <w:bookmarkStart w:id="28" w:name="_Toc459651066"/>
            <w:r>
              <w:rPr>
                <w:rFonts w:hint="default" w:ascii="Times New Roman" w:hAnsi="Times New Roman" w:eastAsia="仿宋" w:cs="Times New Roman"/>
                <w:b/>
                <w:bCs/>
                <w:color w:val="auto"/>
                <w:sz w:val="21"/>
                <w:szCs w:val="21"/>
                <w:highlight w:val="none"/>
              </w:rPr>
              <w:t>化学品</w:t>
            </w:r>
          </w:p>
        </w:tc>
        <w:tc>
          <w:tcPr>
            <w:tcW w:w="1679" w:type="dxa"/>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exact"/>
              <w:ind w:left="0" w:right="0"/>
              <w:jc w:val="center"/>
              <w:rPr>
                <w:rFonts w:hint="default" w:ascii="Times New Roman" w:hAnsi="Times New Roman" w:eastAsia="仿宋" w:cs="Times New Roman"/>
                <w:b/>
                <w:bCs/>
                <w:color w:val="auto"/>
                <w:sz w:val="21"/>
                <w:szCs w:val="21"/>
                <w:highlight w:val="none"/>
              </w:rPr>
            </w:pPr>
            <w:r>
              <w:rPr>
                <w:rFonts w:hint="default" w:ascii="Times New Roman" w:hAnsi="Times New Roman" w:eastAsia="仿宋" w:cs="Times New Roman"/>
                <w:b/>
                <w:bCs/>
                <w:color w:val="auto"/>
                <w:sz w:val="21"/>
                <w:szCs w:val="21"/>
                <w:highlight w:val="none"/>
              </w:rPr>
              <w:t>储存区</w:t>
            </w:r>
          </w:p>
        </w:tc>
        <w:tc>
          <w:tcPr>
            <w:tcW w:w="1451" w:type="dxa"/>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rPr>
                <w:rFonts w:hint="default" w:ascii="Times New Roman" w:hAnsi="Times New Roman" w:eastAsia="仿宋" w:cs="Times New Roman"/>
                <w:b/>
                <w:bCs/>
                <w:color w:val="auto"/>
                <w:sz w:val="21"/>
                <w:szCs w:val="21"/>
                <w:highlight w:val="none"/>
              </w:rPr>
            </w:pPr>
            <w:r>
              <w:rPr>
                <w:rFonts w:hint="default" w:ascii="Times New Roman" w:hAnsi="Times New Roman" w:eastAsia="仿宋" w:cs="Times New Roman"/>
                <w:b/>
                <w:bCs/>
                <w:color w:val="auto"/>
                <w:sz w:val="21"/>
                <w:szCs w:val="21"/>
                <w:highlight w:val="none"/>
              </w:rPr>
              <w:t>最大总储量qi（t）</w:t>
            </w:r>
          </w:p>
        </w:tc>
        <w:tc>
          <w:tcPr>
            <w:tcW w:w="1495" w:type="dxa"/>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exact"/>
              <w:ind w:left="0" w:right="0"/>
              <w:jc w:val="center"/>
              <w:rPr>
                <w:rFonts w:hint="default" w:ascii="Times New Roman" w:hAnsi="Times New Roman" w:eastAsia="仿宋" w:cs="Times New Roman"/>
                <w:b/>
                <w:bCs/>
                <w:color w:val="auto"/>
                <w:sz w:val="21"/>
                <w:szCs w:val="21"/>
                <w:highlight w:val="none"/>
              </w:rPr>
            </w:pPr>
            <w:r>
              <w:rPr>
                <w:rFonts w:hint="default" w:ascii="Times New Roman" w:hAnsi="Times New Roman" w:eastAsia="仿宋" w:cs="Times New Roman"/>
                <w:b/>
                <w:bCs/>
                <w:color w:val="auto"/>
                <w:sz w:val="21"/>
                <w:szCs w:val="21"/>
                <w:highlight w:val="none"/>
              </w:rPr>
              <w:t>临界量Qi（t）</w:t>
            </w:r>
          </w:p>
        </w:tc>
        <w:tc>
          <w:tcPr>
            <w:tcW w:w="1325" w:type="dxa"/>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exact"/>
              <w:ind w:left="0" w:right="0"/>
              <w:jc w:val="center"/>
              <w:rPr>
                <w:rFonts w:hint="default" w:ascii="Times New Roman" w:hAnsi="Times New Roman" w:eastAsia="仿宋" w:cs="Times New Roman"/>
                <w:b/>
                <w:bCs/>
                <w:color w:val="auto"/>
                <w:sz w:val="21"/>
                <w:szCs w:val="21"/>
                <w:highlight w:val="none"/>
              </w:rPr>
            </w:pPr>
            <w:r>
              <w:rPr>
                <w:rFonts w:hint="default" w:ascii="Times New Roman" w:hAnsi="Times New Roman" w:eastAsia="仿宋" w:cs="Times New Roman"/>
                <w:b/>
                <w:bCs/>
                <w:color w:val="auto"/>
                <w:sz w:val="21"/>
                <w:szCs w:val="21"/>
                <w:highlight w:val="none"/>
              </w:rPr>
              <w:t>qi/Qi</w:t>
            </w:r>
          </w:p>
        </w:tc>
        <w:tc>
          <w:tcPr>
            <w:tcW w:w="1413" w:type="dxa"/>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exact"/>
              <w:ind w:left="0" w:right="0"/>
              <w:jc w:val="center"/>
              <w:rPr>
                <w:rFonts w:hint="default" w:ascii="Times New Roman" w:hAnsi="Times New Roman" w:eastAsia="仿宋" w:cs="Times New Roman"/>
                <w:b/>
                <w:bCs/>
                <w:color w:val="auto"/>
                <w:sz w:val="21"/>
                <w:szCs w:val="21"/>
                <w:highlight w:val="none"/>
              </w:rPr>
            </w:pPr>
            <w:r>
              <w:rPr>
                <w:rFonts w:hint="default" w:ascii="Times New Roman" w:hAnsi="Times New Roman" w:eastAsia="仿宋" w:cs="Times New Roman"/>
                <w:b/>
                <w:bCs/>
                <w:color w:val="auto"/>
                <w:sz w:val="21"/>
                <w:szCs w:val="21"/>
                <w:highlight w:val="none"/>
              </w:rPr>
              <w:t>是否是重大危险源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0" w:type="dxa"/>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exact"/>
              <w:ind w:left="0" w:right="0"/>
              <w:jc w:val="center"/>
              <w:rPr>
                <w:rFonts w:hint="default" w:ascii="Times New Roman" w:hAnsi="Times New Roman" w:eastAsia="仿宋" w:cs="Times New Roman"/>
                <w:color w:val="auto"/>
                <w:sz w:val="21"/>
                <w:szCs w:val="21"/>
                <w:highlight w:val="none"/>
                <w:lang w:eastAsia="zh-CN"/>
              </w:rPr>
            </w:pPr>
            <w:r>
              <w:rPr>
                <w:rFonts w:hint="eastAsia" w:eastAsia="仿宋" w:cs="Times New Roman"/>
                <w:color w:val="auto"/>
                <w:sz w:val="21"/>
                <w:szCs w:val="21"/>
                <w:highlight w:val="none"/>
                <w:lang w:eastAsia="zh-CN"/>
              </w:rPr>
              <w:t>矿物油</w:t>
            </w:r>
          </w:p>
        </w:tc>
        <w:tc>
          <w:tcPr>
            <w:tcW w:w="1679" w:type="dxa"/>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exact"/>
              <w:ind w:left="0" w:right="0"/>
              <w:jc w:val="center"/>
              <w:rPr>
                <w:rFonts w:hint="default" w:ascii="Times New Roman" w:hAnsi="Times New Roman" w:eastAsia="仿宋" w:cs="Times New Roman"/>
                <w:color w:val="auto"/>
                <w:sz w:val="21"/>
                <w:szCs w:val="21"/>
                <w:highlight w:val="none"/>
                <w:lang w:val="de-DE" w:eastAsia="zh-CN"/>
              </w:rPr>
            </w:pPr>
            <w:r>
              <w:rPr>
                <w:rFonts w:hint="eastAsia" w:eastAsia="仿宋" w:cs="Times New Roman"/>
                <w:color w:val="auto"/>
                <w:sz w:val="21"/>
                <w:szCs w:val="21"/>
                <w:highlight w:val="none"/>
                <w:lang w:val="de-DE" w:eastAsia="zh-CN"/>
              </w:rPr>
              <w:t>车间</w:t>
            </w:r>
          </w:p>
        </w:tc>
        <w:tc>
          <w:tcPr>
            <w:tcW w:w="1451" w:type="dxa"/>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rPr>
                <w:rFonts w:hint="default" w:ascii="Times New Roman" w:hAnsi="Times New Roman" w:eastAsia="仿宋" w:cs="Times New Roman"/>
                <w:color w:val="auto"/>
                <w:sz w:val="21"/>
                <w:szCs w:val="21"/>
                <w:highlight w:val="none"/>
                <w:lang w:val="en-US" w:eastAsia="zh-CN"/>
              </w:rPr>
            </w:pPr>
            <w:r>
              <w:rPr>
                <w:rFonts w:hint="eastAsia" w:eastAsia="仿宋" w:cs="Times New Roman"/>
                <w:bCs/>
                <w:sz w:val="21"/>
                <w:szCs w:val="21"/>
                <w:lang w:val="en-US" w:eastAsia="zh-CN"/>
              </w:rPr>
              <w:t>0.1</w:t>
            </w:r>
            <w:r>
              <w:rPr>
                <w:rFonts w:hint="default" w:eastAsia="仿宋" w:cs="Times New Roman"/>
                <w:bCs/>
                <w:sz w:val="21"/>
                <w:szCs w:val="21"/>
                <w:lang w:val="en-US" w:eastAsia="zh-CN"/>
              </w:rPr>
              <w:t>t/</w:t>
            </w:r>
            <w:r>
              <w:rPr>
                <w:rFonts w:hint="default" w:ascii="Times New Roman" w:hAnsi="Times New Roman" w:eastAsia="仿宋" w:cs="Times New Roman"/>
                <w:bCs/>
                <w:sz w:val="21"/>
                <w:szCs w:val="21"/>
              </w:rPr>
              <w:t>a</w:t>
            </w:r>
          </w:p>
        </w:tc>
        <w:tc>
          <w:tcPr>
            <w:tcW w:w="1495" w:type="dxa"/>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rPr>
                <w:rFonts w:hint="default" w:ascii="Times New Roman" w:hAnsi="Times New Roman" w:eastAsia="仿宋" w:cs="Times New Roman"/>
                <w:color w:val="auto"/>
                <w:sz w:val="21"/>
                <w:szCs w:val="21"/>
                <w:highlight w:val="none"/>
                <w:lang w:val="en-US" w:eastAsia="zh-CN"/>
              </w:rPr>
            </w:pPr>
            <w:r>
              <w:rPr>
                <w:rFonts w:hint="eastAsia" w:eastAsia="仿宋" w:cs="Times New Roman"/>
                <w:color w:val="auto"/>
                <w:sz w:val="21"/>
                <w:szCs w:val="21"/>
                <w:highlight w:val="none"/>
                <w:lang w:val="en-US" w:eastAsia="zh-CN"/>
              </w:rPr>
              <w:t>2500</w:t>
            </w:r>
          </w:p>
        </w:tc>
        <w:tc>
          <w:tcPr>
            <w:tcW w:w="1325" w:type="dxa"/>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仿宋" w:cs="Times New Roman"/>
                <w:color w:val="auto"/>
                <w:sz w:val="21"/>
                <w:szCs w:val="21"/>
                <w:highlight w:val="none"/>
                <w:lang w:val="en-US" w:eastAsia="zh-CN"/>
              </w:rPr>
            </w:pPr>
            <w:r>
              <w:rPr>
                <w:rFonts w:hint="default" w:ascii="Times New Roman" w:hAnsi="Times New Roman" w:eastAsia="仿宋" w:cs="Times New Roman"/>
                <w:i w:val="0"/>
                <w:color w:val="000000"/>
                <w:kern w:val="0"/>
                <w:sz w:val="21"/>
                <w:szCs w:val="21"/>
                <w:u w:val="none"/>
                <w:lang w:val="en-US" w:eastAsia="zh-CN" w:bidi="ar"/>
              </w:rPr>
              <w:t>0.0</w:t>
            </w:r>
            <w:r>
              <w:rPr>
                <w:rFonts w:hint="default" w:eastAsia="仿宋" w:cs="Times New Roman"/>
                <w:i w:val="0"/>
                <w:color w:val="000000"/>
                <w:kern w:val="0"/>
                <w:sz w:val="21"/>
                <w:szCs w:val="21"/>
                <w:u w:val="none"/>
                <w:lang w:val="en-US" w:eastAsia="zh-CN" w:bidi="ar"/>
              </w:rPr>
              <w:t>0</w:t>
            </w:r>
            <w:r>
              <w:rPr>
                <w:rFonts w:hint="eastAsia" w:eastAsia="仿宋" w:cs="Times New Roman"/>
                <w:i w:val="0"/>
                <w:color w:val="000000"/>
                <w:kern w:val="0"/>
                <w:sz w:val="21"/>
                <w:szCs w:val="21"/>
                <w:u w:val="none"/>
                <w:lang w:val="en-US" w:eastAsia="zh-CN" w:bidi="ar"/>
              </w:rPr>
              <w:t>004</w:t>
            </w:r>
          </w:p>
        </w:tc>
        <w:tc>
          <w:tcPr>
            <w:tcW w:w="1413" w:type="dxa"/>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exact"/>
              <w:ind w:left="0" w:right="0"/>
              <w:jc w:val="center"/>
              <w:rPr>
                <w:rFonts w:hint="default" w:ascii="Times New Roman" w:hAnsi="Times New Roman" w:eastAsia="仿宋" w:cs="Times New Roman"/>
                <w:color w:val="auto"/>
                <w:sz w:val="21"/>
                <w:szCs w:val="21"/>
                <w:highlight w:val="none"/>
              </w:rPr>
            </w:pPr>
            <w:r>
              <w:rPr>
                <w:rFonts w:hint="default" w:ascii="Times New Roman" w:hAnsi="Times New Roman" w:eastAsia="仿宋" w:cs="Times New Roman"/>
                <w:color w:val="auto"/>
                <w:sz w:val="21"/>
                <w:szCs w:val="21"/>
                <w:highlight w:val="none"/>
              </w:rPr>
              <w:t>否</w:t>
            </w:r>
          </w:p>
        </w:tc>
      </w:tr>
      <w:bookmarkEnd w:id="22"/>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0" w:type="dxa"/>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rPr>
                <w:rFonts w:hint="default" w:ascii="Times New Roman" w:hAnsi="Times New Roman" w:eastAsia="仿宋" w:cs="Times New Roman"/>
                <w:color w:val="auto"/>
                <w:kern w:val="2"/>
                <w:sz w:val="21"/>
                <w:szCs w:val="21"/>
                <w:highlight w:val="none"/>
                <w:lang w:val="en-US" w:eastAsia="zh-CN" w:bidi="ar-SA"/>
              </w:rPr>
            </w:pPr>
            <w:r>
              <w:rPr>
                <w:rFonts w:hint="default" w:ascii="Times New Roman" w:hAnsi="Times New Roman" w:eastAsia="仿宋" w:cs="Times New Roman"/>
                <w:color w:val="auto"/>
                <w:sz w:val="21"/>
                <w:szCs w:val="21"/>
                <w:highlight w:val="none"/>
              </w:rPr>
              <w:t>合计</w:t>
            </w:r>
          </w:p>
        </w:tc>
        <w:tc>
          <w:tcPr>
            <w:tcW w:w="1679" w:type="dxa"/>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rPr>
                <w:rFonts w:hint="default" w:ascii="Times New Roman" w:hAnsi="Times New Roman" w:eastAsia="仿宋" w:cs="Times New Roman"/>
                <w:color w:val="auto"/>
                <w:kern w:val="2"/>
                <w:sz w:val="21"/>
                <w:szCs w:val="21"/>
                <w:highlight w:val="none"/>
                <w:lang w:val="de-DE" w:eastAsia="zh-CN" w:bidi="ar-SA"/>
              </w:rPr>
            </w:pPr>
          </w:p>
        </w:tc>
        <w:tc>
          <w:tcPr>
            <w:tcW w:w="1451" w:type="dxa"/>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rPr>
                <w:rFonts w:hint="default" w:ascii="Times New Roman" w:hAnsi="Times New Roman" w:eastAsia="仿宋" w:cs="Times New Roman"/>
                <w:color w:val="auto"/>
                <w:kern w:val="2"/>
                <w:sz w:val="21"/>
                <w:szCs w:val="21"/>
                <w:highlight w:val="none"/>
                <w:lang w:val="en-US" w:eastAsia="zh-CN" w:bidi="ar-SA"/>
              </w:rPr>
            </w:pPr>
          </w:p>
        </w:tc>
        <w:tc>
          <w:tcPr>
            <w:tcW w:w="1495" w:type="dxa"/>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rPr>
                <w:rFonts w:hint="default" w:ascii="Times New Roman" w:hAnsi="Times New Roman" w:eastAsia="仿宋" w:cs="Times New Roman"/>
                <w:color w:val="auto"/>
                <w:kern w:val="2"/>
                <w:sz w:val="21"/>
                <w:szCs w:val="21"/>
                <w:highlight w:val="none"/>
                <w:lang w:val="en-US" w:eastAsia="zh-CN" w:bidi="ar-SA"/>
              </w:rPr>
            </w:pPr>
          </w:p>
        </w:tc>
        <w:tc>
          <w:tcPr>
            <w:tcW w:w="1325" w:type="dxa"/>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仿宋" w:cs="Times New Roman"/>
                <w:color w:val="auto"/>
                <w:kern w:val="2"/>
                <w:sz w:val="21"/>
                <w:szCs w:val="21"/>
                <w:highlight w:val="none"/>
                <w:lang w:val="en-US" w:eastAsia="zh-CN" w:bidi="ar-SA"/>
              </w:rPr>
            </w:pPr>
            <w:r>
              <w:rPr>
                <w:rFonts w:hint="default" w:ascii="Times New Roman" w:hAnsi="Times New Roman" w:eastAsia="仿宋" w:cs="Times New Roman"/>
                <w:i w:val="0"/>
                <w:color w:val="000000"/>
                <w:kern w:val="0"/>
                <w:sz w:val="21"/>
                <w:szCs w:val="21"/>
                <w:u w:val="none"/>
                <w:lang w:val="en-US" w:eastAsia="zh-CN" w:bidi="ar"/>
              </w:rPr>
              <w:t>0.00</w:t>
            </w:r>
            <w:r>
              <w:rPr>
                <w:rFonts w:hint="eastAsia" w:eastAsia="仿宋" w:cs="Times New Roman"/>
                <w:i w:val="0"/>
                <w:color w:val="000000"/>
                <w:kern w:val="0"/>
                <w:sz w:val="21"/>
                <w:szCs w:val="21"/>
                <w:u w:val="none"/>
                <w:lang w:val="en-US" w:eastAsia="zh-CN" w:bidi="ar"/>
              </w:rPr>
              <w:t>004</w:t>
            </w:r>
          </w:p>
        </w:tc>
        <w:tc>
          <w:tcPr>
            <w:tcW w:w="1413" w:type="dxa"/>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rPr>
                <w:rFonts w:hint="default" w:ascii="Times New Roman" w:hAnsi="Times New Roman" w:eastAsia="仿宋" w:cs="Times New Roman"/>
                <w:color w:val="auto"/>
                <w:kern w:val="2"/>
                <w:sz w:val="21"/>
                <w:szCs w:val="21"/>
                <w:highlight w:val="none"/>
                <w:lang w:val="en-US" w:eastAsia="zh-CN" w:bidi="ar-SA"/>
              </w:rPr>
            </w:pPr>
            <w:r>
              <w:rPr>
                <w:rFonts w:hint="default" w:ascii="Times New Roman" w:hAnsi="Times New Roman" w:eastAsia="仿宋" w:cs="Times New Roman"/>
                <w:color w:val="auto"/>
                <w:sz w:val="21"/>
                <w:szCs w:val="21"/>
                <w:highlight w:val="none"/>
              </w:rPr>
              <w:t>否</w:t>
            </w:r>
          </w:p>
        </w:tc>
      </w:tr>
      <w:bookmarkEnd w:id="23"/>
      <w:bookmarkEnd w:id="24"/>
      <w:bookmarkEnd w:id="25"/>
      <w:bookmarkEnd w:id="26"/>
      <w:bookmarkEnd w:id="27"/>
      <w:bookmarkEnd w:id="28"/>
    </w:tbl>
    <w:p>
      <w:pPr>
        <w:pStyle w:val="17"/>
        <w:keepNext w:val="0"/>
        <w:keepLines w:val="0"/>
        <w:pageBreakBefore w:val="0"/>
        <w:kinsoku/>
        <w:wordWrap/>
        <w:overflowPunct/>
        <w:topLinePunct w:val="0"/>
        <w:autoSpaceDE/>
        <w:autoSpaceDN/>
        <w:bidi w:val="0"/>
        <w:adjustRightInd w:val="0"/>
        <w:snapToGrid w:val="0"/>
        <w:spacing w:before="0" w:beforeAutospacing="0" w:after="0" w:afterAutospacing="0" w:line="360" w:lineRule="auto"/>
        <w:ind w:firstLine="480" w:firstLineChars="200"/>
        <w:textAlignment w:val="auto"/>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由表</w:t>
      </w:r>
      <w:r>
        <w:rPr>
          <w:rFonts w:hint="default" w:ascii="Times New Roman" w:hAnsi="Times New Roman" w:cs="Times New Roman"/>
          <w:color w:val="auto"/>
          <w:kern w:val="0"/>
          <w:sz w:val="24"/>
          <w:szCs w:val="24"/>
          <w:highlight w:val="none"/>
          <w:lang w:val="en-US" w:eastAsia="zh-CN"/>
        </w:rPr>
        <w:t>3-4</w:t>
      </w:r>
      <w:r>
        <w:rPr>
          <w:rFonts w:hint="default" w:ascii="Times New Roman" w:hAnsi="Times New Roman" w:cs="Times New Roman"/>
          <w:color w:val="auto"/>
          <w:kern w:val="0"/>
          <w:sz w:val="24"/>
          <w:szCs w:val="24"/>
          <w:highlight w:val="none"/>
        </w:rPr>
        <w:t>可以看出，</w:t>
      </w:r>
      <w:r>
        <w:rPr>
          <w:rFonts w:hint="default" w:ascii="Times New Roman" w:hAnsi="Times New Roman" w:cs="Times New Roman"/>
          <w:color w:val="auto"/>
          <w:kern w:val="0"/>
          <w:sz w:val="24"/>
          <w:szCs w:val="24"/>
          <w:highlight w:val="none"/>
          <w:lang w:eastAsia="zh-CN"/>
        </w:rPr>
        <w:t>厂区</w:t>
      </w:r>
      <w:r>
        <w:rPr>
          <w:rFonts w:hint="default" w:ascii="Times New Roman" w:hAnsi="Times New Roman" w:cs="Times New Roman"/>
          <w:color w:val="auto"/>
          <w:kern w:val="0"/>
          <w:sz w:val="24"/>
          <w:szCs w:val="24"/>
          <w:highlight w:val="none"/>
        </w:rPr>
        <w:t>内各单项危险化学品的临界贮存量、q/Q值均不构成重大危险源，总的q/Q值各也小于1，因此，</w:t>
      </w:r>
      <w:r>
        <w:rPr>
          <w:rFonts w:hint="default" w:ascii="Times New Roman" w:hAnsi="Times New Roman" w:cs="Times New Roman"/>
          <w:color w:val="auto"/>
          <w:kern w:val="0"/>
          <w:sz w:val="24"/>
          <w:szCs w:val="24"/>
          <w:highlight w:val="none"/>
          <w:lang w:eastAsia="zh-CN"/>
        </w:rPr>
        <w:t>厂区</w:t>
      </w:r>
      <w:r>
        <w:rPr>
          <w:rFonts w:hint="default" w:ascii="Times New Roman" w:hAnsi="Times New Roman" w:cs="Times New Roman"/>
          <w:color w:val="auto"/>
          <w:kern w:val="0"/>
          <w:sz w:val="24"/>
          <w:szCs w:val="24"/>
          <w:highlight w:val="none"/>
        </w:rPr>
        <w:t>不存在重大危险源。</w:t>
      </w:r>
    </w:p>
    <w:p>
      <w:pPr>
        <w:keepNext w:val="0"/>
        <w:keepLines w:val="0"/>
        <w:pageBreakBefore w:val="0"/>
        <w:kinsoku/>
        <w:wordWrap/>
        <w:overflowPunct/>
        <w:topLinePunct w:val="0"/>
        <w:autoSpaceDE/>
        <w:autoSpaceDN/>
        <w:bidi w:val="0"/>
        <w:spacing w:beforeAutospacing="0" w:afterAutospacing="0" w:line="360" w:lineRule="auto"/>
        <w:textAlignment w:val="auto"/>
        <w:rPr>
          <w:rFonts w:hint="default" w:ascii="Times New Roman" w:hAnsi="Times New Roman" w:cs="Times New Roman"/>
          <w:sz w:val="24"/>
          <w:szCs w:val="24"/>
        </w:rPr>
      </w:pPr>
      <w:r>
        <w:rPr>
          <w:rFonts w:hint="default" w:ascii="Times New Roman" w:hAnsi="Times New Roman" w:cs="Times New Roman"/>
          <w:sz w:val="24"/>
          <w:szCs w:val="24"/>
        </w:rPr>
        <w:t>（2）生产工艺及设备类重大危险源辨识</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sz w:val="24"/>
          <w:szCs w:val="24"/>
        </w:rPr>
      </w:pPr>
      <w:r>
        <w:rPr>
          <w:sz w:val="24"/>
          <w:szCs w:val="24"/>
        </w:rPr>
        <w:t>生产设备设施是否为重大危险源，依照《关于开展重大危险源监督管理工作的指导意见》（安监管协调字[2004]56号，简称《意见》）中的有关规定判定，《意见》中的这些重大危险源设备设施也存在环境风险或能诱发次生环境风险。具体分析见表</w:t>
      </w:r>
      <w:r>
        <w:rPr>
          <w:rFonts w:hint="eastAsia"/>
          <w:sz w:val="24"/>
          <w:szCs w:val="24"/>
          <w:lang w:val="en-US" w:eastAsia="zh-CN"/>
        </w:rPr>
        <w:t>3</w:t>
      </w:r>
      <w:r>
        <w:rPr>
          <w:sz w:val="24"/>
          <w:szCs w:val="24"/>
        </w:rPr>
        <w:t>-</w:t>
      </w:r>
      <w:r>
        <w:rPr>
          <w:rFonts w:hint="eastAsia"/>
          <w:sz w:val="24"/>
          <w:szCs w:val="24"/>
          <w:lang w:val="en-US" w:eastAsia="zh-CN"/>
        </w:rPr>
        <w:t>14</w:t>
      </w:r>
      <w:r>
        <w:rPr>
          <w:sz w:val="24"/>
          <w:szCs w:val="24"/>
        </w:rPr>
        <w:t>所示。</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jc w:val="center"/>
        <w:textAlignment w:val="auto"/>
        <w:rPr>
          <w:b/>
          <w:bCs/>
          <w:sz w:val="24"/>
          <w:szCs w:val="24"/>
          <w:lang w:val="zh-CN"/>
        </w:rPr>
      </w:pPr>
      <w:r>
        <w:rPr>
          <w:b/>
          <w:bCs/>
          <w:sz w:val="24"/>
          <w:szCs w:val="24"/>
          <w:lang w:val="zh-CN"/>
        </w:rPr>
        <w:t>表</w:t>
      </w:r>
      <w:r>
        <w:rPr>
          <w:rFonts w:hint="eastAsia"/>
          <w:b/>
          <w:bCs/>
          <w:sz w:val="24"/>
          <w:szCs w:val="24"/>
          <w:lang w:val="en-US" w:eastAsia="zh-CN"/>
        </w:rPr>
        <w:t>3</w:t>
      </w:r>
      <w:r>
        <w:rPr>
          <w:b/>
          <w:bCs/>
          <w:sz w:val="24"/>
          <w:szCs w:val="24"/>
          <w:lang w:val="zh-CN"/>
        </w:rPr>
        <w:t>-</w:t>
      </w:r>
      <w:r>
        <w:rPr>
          <w:rFonts w:hint="eastAsia"/>
          <w:b/>
          <w:bCs/>
          <w:sz w:val="24"/>
          <w:szCs w:val="24"/>
          <w:lang w:val="en-US" w:eastAsia="zh-CN"/>
        </w:rPr>
        <w:t>14</w:t>
      </w:r>
      <w:r>
        <w:rPr>
          <w:b/>
          <w:bCs/>
          <w:sz w:val="24"/>
          <w:szCs w:val="24"/>
          <w:lang w:val="zh-CN"/>
        </w:rPr>
        <w:t xml:space="preserve">   设备类重大危险源辨识一览表</w:t>
      </w:r>
    </w:p>
    <w:tbl>
      <w:tblPr>
        <w:tblStyle w:val="18"/>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526"/>
        <w:gridCol w:w="738"/>
        <w:gridCol w:w="4845"/>
        <w:gridCol w:w="715"/>
        <w:gridCol w:w="1468"/>
        <w:gridCol w:w="88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6" w:type="dxa"/>
            <w:vMerge w:val="restart"/>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序</w:t>
            </w:r>
            <w:r>
              <w:rPr>
                <w:rFonts w:hint="eastAsia" w:ascii="宋体" w:hAnsi="宋体" w:cs="宋体"/>
                <w:color w:val="auto"/>
                <w:sz w:val="21"/>
                <w:szCs w:val="21"/>
                <w:lang w:eastAsia="zh-CN"/>
              </w:rPr>
              <w:t>序</w:t>
            </w:r>
            <w:r>
              <w:rPr>
                <w:rFonts w:hint="eastAsia" w:ascii="宋体" w:hAnsi="宋体" w:eastAsia="宋体" w:cs="宋体"/>
                <w:color w:val="auto"/>
                <w:sz w:val="21"/>
                <w:szCs w:val="21"/>
              </w:rPr>
              <w:t>号</w:t>
            </w:r>
          </w:p>
        </w:tc>
        <w:tc>
          <w:tcPr>
            <w:tcW w:w="5583" w:type="dxa"/>
            <w:gridSpan w:val="2"/>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《意见》规定设备、设施</w:t>
            </w:r>
          </w:p>
        </w:tc>
        <w:tc>
          <w:tcPr>
            <w:tcW w:w="2183" w:type="dxa"/>
            <w:gridSpan w:val="2"/>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本</w:t>
            </w:r>
            <w:r>
              <w:rPr>
                <w:rFonts w:hint="eastAsia" w:ascii="宋体" w:hAnsi="宋体" w:eastAsia="宋体" w:cs="宋体"/>
                <w:color w:val="auto"/>
                <w:sz w:val="21"/>
                <w:szCs w:val="21"/>
                <w:lang w:eastAsia="zh-CN"/>
              </w:rPr>
              <w:t>厂区</w:t>
            </w:r>
            <w:r>
              <w:rPr>
                <w:rFonts w:hint="eastAsia" w:ascii="宋体" w:hAnsi="宋体" w:eastAsia="宋体" w:cs="宋体"/>
                <w:color w:val="auto"/>
                <w:sz w:val="21"/>
                <w:szCs w:val="21"/>
              </w:rPr>
              <w:t>装置、设备</w:t>
            </w:r>
          </w:p>
        </w:tc>
        <w:tc>
          <w:tcPr>
            <w:tcW w:w="881" w:type="dxa"/>
            <w:vMerge w:val="restart"/>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辨识结果</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6" w:type="dxa"/>
            <w:vMerge w:val="continue"/>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textAlignment w:val="auto"/>
              <w:rPr>
                <w:rFonts w:hint="eastAsia" w:ascii="宋体" w:hAnsi="宋体" w:eastAsia="宋体" w:cs="宋体"/>
                <w:color w:val="auto"/>
                <w:sz w:val="21"/>
                <w:szCs w:val="21"/>
              </w:rPr>
            </w:pPr>
          </w:p>
        </w:tc>
        <w:tc>
          <w:tcPr>
            <w:tcW w:w="738" w:type="dxa"/>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名称</w:t>
            </w:r>
          </w:p>
        </w:tc>
        <w:tc>
          <w:tcPr>
            <w:tcW w:w="4845" w:type="dxa"/>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规格（指标）</w:t>
            </w:r>
          </w:p>
        </w:tc>
        <w:tc>
          <w:tcPr>
            <w:tcW w:w="715" w:type="dxa"/>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名称</w:t>
            </w:r>
          </w:p>
        </w:tc>
        <w:tc>
          <w:tcPr>
            <w:tcW w:w="1468" w:type="dxa"/>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规格型号</w:t>
            </w:r>
          </w:p>
        </w:tc>
        <w:tc>
          <w:tcPr>
            <w:tcW w:w="881" w:type="dxa"/>
            <w:vMerge w:val="continue"/>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textAlignment w:val="auto"/>
              <w:rPr>
                <w:rFonts w:hint="eastAsia" w:ascii="宋体" w:hAnsi="宋体" w:eastAsia="宋体" w:cs="宋体"/>
                <w:color w:val="auto"/>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24" w:hRule="atLeast"/>
        </w:trPr>
        <w:tc>
          <w:tcPr>
            <w:tcW w:w="526" w:type="dxa"/>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textAlignment w:val="auto"/>
              <w:rPr>
                <w:rFonts w:hint="eastAsia" w:ascii="宋体" w:hAnsi="宋体" w:eastAsia="宋体" w:cs="宋体"/>
                <w:color w:val="auto"/>
                <w:sz w:val="21"/>
                <w:szCs w:val="21"/>
              </w:rPr>
            </w:pPr>
            <w:r>
              <w:rPr>
                <w:rFonts w:hint="eastAsia" w:ascii="宋体" w:hAnsi="宋体" w:cs="宋体"/>
                <w:color w:val="auto"/>
                <w:sz w:val="21"/>
                <w:szCs w:val="21"/>
                <w:lang w:val="en-US" w:eastAsia="zh-CN"/>
              </w:rPr>
              <w:t>1</w:t>
            </w:r>
            <w:r>
              <w:rPr>
                <w:rFonts w:hint="eastAsia" w:ascii="宋体" w:hAnsi="宋体" w:eastAsia="宋体" w:cs="宋体"/>
                <w:color w:val="auto"/>
                <w:sz w:val="21"/>
                <w:szCs w:val="21"/>
              </w:rPr>
              <w:t>1</w:t>
            </w:r>
          </w:p>
        </w:tc>
        <w:tc>
          <w:tcPr>
            <w:tcW w:w="738" w:type="dxa"/>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蒸汽锅炉</w:t>
            </w:r>
          </w:p>
        </w:tc>
        <w:tc>
          <w:tcPr>
            <w:tcW w:w="4845" w:type="dxa"/>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left"/>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蒸汽锅炉：额定蒸汽压力大于2.5MPa，且额定蒸发量大于等于10t/h。</w:t>
            </w:r>
          </w:p>
        </w:tc>
        <w:tc>
          <w:tcPr>
            <w:tcW w:w="715" w:type="dxa"/>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无</w:t>
            </w:r>
          </w:p>
        </w:tc>
        <w:tc>
          <w:tcPr>
            <w:tcW w:w="1468" w:type="dxa"/>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无</w:t>
            </w:r>
          </w:p>
        </w:tc>
        <w:tc>
          <w:tcPr>
            <w:tcW w:w="881" w:type="dxa"/>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不属于</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109" w:hRule="atLeast"/>
        </w:trPr>
        <w:tc>
          <w:tcPr>
            <w:tcW w:w="526" w:type="dxa"/>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textAlignment w:val="auto"/>
              <w:rPr>
                <w:rFonts w:hint="eastAsia" w:ascii="宋体" w:hAnsi="宋体" w:eastAsia="宋体" w:cs="宋体"/>
                <w:color w:val="auto"/>
                <w:sz w:val="21"/>
                <w:szCs w:val="21"/>
              </w:rPr>
            </w:pPr>
            <w:r>
              <w:rPr>
                <w:rFonts w:hint="eastAsia" w:ascii="宋体" w:hAnsi="宋体" w:cs="宋体"/>
                <w:color w:val="auto"/>
                <w:sz w:val="21"/>
                <w:szCs w:val="21"/>
                <w:lang w:val="en-US" w:eastAsia="zh-CN"/>
              </w:rPr>
              <w:t>2</w:t>
            </w:r>
            <w:r>
              <w:rPr>
                <w:rFonts w:hint="eastAsia" w:ascii="宋体" w:hAnsi="宋体" w:eastAsia="宋体" w:cs="宋体"/>
                <w:color w:val="auto"/>
                <w:sz w:val="21"/>
                <w:szCs w:val="21"/>
              </w:rPr>
              <w:t>2</w:t>
            </w:r>
          </w:p>
        </w:tc>
        <w:tc>
          <w:tcPr>
            <w:tcW w:w="738" w:type="dxa"/>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压力容器</w:t>
            </w:r>
          </w:p>
        </w:tc>
        <w:tc>
          <w:tcPr>
            <w:tcW w:w="4845" w:type="dxa"/>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left"/>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①介质毒性程度为极度、高度或中度危害的三类压力容器；</w:t>
            </w:r>
          </w:p>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left"/>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②易燃介质，最高工作压力≥0.1MPa，且PV≥100MPa的压力容器。</w:t>
            </w:r>
          </w:p>
        </w:tc>
        <w:tc>
          <w:tcPr>
            <w:tcW w:w="715" w:type="dxa"/>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无</w:t>
            </w:r>
          </w:p>
        </w:tc>
        <w:tc>
          <w:tcPr>
            <w:tcW w:w="1468" w:type="dxa"/>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无</w:t>
            </w:r>
          </w:p>
        </w:tc>
        <w:tc>
          <w:tcPr>
            <w:tcW w:w="881" w:type="dxa"/>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不属于</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6" w:type="dxa"/>
            <w:vMerge w:val="restart"/>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textAlignment w:val="auto"/>
              <w:rPr>
                <w:rFonts w:hint="eastAsia" w:ascii="宋体" w:hAnsi="宋体" w:eastAsia="宋体" w:cs="宋体"/>
                <w:color w:val="auto"/>
                <w:sz w:val="21"/>
                <w:szCs w:val="21"/>
              </w:rPr>
            </w:pPr>
            <w:r>
              <w:rPr>
                <w:rFonts w:hint="eastAsia" w:ascii="宋体" w:hAnsi="宋体" w:cs="宋体"/>
                <w:color w:val="auto"/>
                <w:sz w:val="21"/>
                <w:szCs w:val="21"/>
                <w:lang w:val="en-US" w:eastAsia="zh-CN"/>
              </w:rPr>
              <w:t>3</w:t>
            </w:r>
            <w:r>
              <w:rPr>
                <w:rFonts w:hint="eastAsia" w:ascii="宋体" w:hAnsi="宋体" w:eastAsia="宋体" w:cs="宋体"/>
                <w:color w:val="auto"/>
                <w:sz w:val="21"/>
                <w:szCs w:val="21"/>
              </w:rPr>
              <w:t>3</w:t>
            </w:r>
          </w:p>
        </w:tc>
        <w:tc>
          <w:tcPr>
            <w:tcW w:w="738" w:type="dxa"/>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长输管道</w:t>
            </w:r>
          </w:p>
        </w:tc>
        <w:tc>
          <w:tcPr>
            <w:tcW w:w="4845" w:type="dxa"/>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left"/>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①输送有毒、可燃、易爆气体，且设计压力大于1.6MPa的管道；</w:t>
            </w:r>
          </w:p>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②输送有毒、可燃、易爆液体介质，输送距离大于等于200km且管道公称直径≥300mm的管道。</w:t>
            </w:r>
          </w:p>
        </w:tc>
        <w:tc>
          <w:tcPr>
            <w:tcW w:w="715" w:type="dxa"/>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无</w:t>
            </w:r>
          </w:p>
        </w:tc>
        <w:tc>
          <w:tcPr>
            <w:tcW w:w="1468" w:type="dxa"/>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无</w:t>
            </w:r>
          </w:p>
        </w:tc>
        <w:tc>
          <w:tcPr>
            <w:tcW w:w="881" w:type="dxa"/>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不属于</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6" w:type="dxa"/>
            <w:vMerge w:val="continue"/>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textAlignment w:val="auto"/>
              <w:rPr>
                <w:rFonts w:hint="eastAsia" w:ascii="宋体" w:hAnsi="宋体" w:eastAsia="宋体" w:cs="宋体"/>
                <w:color w:val="auto"/>
                <w:sz w:val="21"/>
                <w:szCs w:val="21"/>
              </w:rPr>
            </w:pPr>
          </w:p>
        </w:tc>
        <w:tc>
          <w:tcPr>
            <w:tcW w:w="738" w:type="dxa"/>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公用管道</w:t>
            </w:r>
          </w:p>
        </w:tc>
        <w:tc>
          <w:tcPr>
            <w:tcW w:w="4845" w:type="dxa"/>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left"/>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公用管道中压和高压燃气管道，且公称直径≥200mm。</w:t>
            </w:r>
          </w:p>
        </w:tc>
        <w:tc>
          <w:tcPr>
            <w:tcW w:w="715" w:type="dxa"/>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无</w:t>
            </w:r>
          </w:p>
        </w:tc>
        <w:tc>
          <w:tcPr>
            <w:tcW w:w="1468" w:type="dxa"/>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无</w:t>
            </w:r>
          </w:p>
        </w:tc>
        <w:tc>
          <w:tcPr>
            <w:tcW w:w="881" w:type="dxa"/>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不属于</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6" w:type="dxa"/>
            <w:vMerge w:val="continue"/>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textAlignment w:val="auto"/>
              <w:rPr>
                <w:rFonts w:hint="eastAsia" w:ascii="宋体" w:hAnsi="宋体" w:eastAsia="宋体" w:cs="宋体"/>
                <w:color w:val="auto"/>
                <w:sz w:val="21"/>
                <w:szCs w:val="21"/>
              </w:rPr>
            </w:pPr>
          </w:p>
        </w:tc>
        <w:tc>
          <w:tcPr>
            <w:tcW w:w="738" w:type="dxa"/>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工业管道</w:t>
            </w:r>
          </w:p>
        </w:tc>
        <w:tc>
          <w:tcPr>
            <w:tcW w:w="4845" w:type="dxa"/>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left"/>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①输送GB5044中，毒性程度为极度、高度危害气体、液化气体介质，且公称直径≥100mm的管道；</w:t>
            </w:r>
          </w:p>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left"/>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②输送GB5044中极度、高度危害液体介质、GB50160及GBJ16中规定的火灾危险性为甲、乙类可燃气体，或甲类可燃液体介质，且公称直径≥100mm，设计压力≥4MPa的管道；</w:t>
            </w:r>
          </w:p>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left"/>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③输送气体可燃、有毒流体介质，且公称直径≥100mm，设计压力≥4MPa，设计温度≥400℃的管道。</w:t>
            </w:r>
          </w:p>
        </w:tc>
        <w:tc>
          <w:tcPr>
            <w:tcW w:w="715" w:type="dxa"/>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无</w:t>
            </w:r>
          </w:p>
        </w:tc>
        <w:tc>
          <w:tcPr>
            <w:tcW w:w="1468" w:type="dxa"/>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无</w:t>
            </w:r>
          </w:p>
        </w:tc>
        <w:tc>
          <w:tcPr>
            <w:tcW w:w="881" w:type="dxa"/>
            <w:noWrap w:val="0"/>
            <w:vAlign w:val="center"/>
          </w:tcPr>
          <w:p>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不属于</w:t>
            </w:r>
          </w:p>
        </w:tc>
      </w:tr>
    </w:tbl>
    <w:p>
      <w:pPr>
        <w:pStyle w:val="17"/>
        <w:keepNext w:val="0"/>
        <w:keepLines w:val="0"/>
        <w:pageBreakBefore w:val="0"/>
        <w:widowControl/>
        <w:kinsoku/>
        <w:wordWrap/>
        <w:overflowPunct/>
        <w:topLinePunct w:val="0"/>
        <w:autoSpaceDE/>
        <w:autoSpaceDN/>
        <w:bidi w:val="0"/>
        <w:adjustRightInd w:val="0"/>
        <w:snapToGrid w:val="0"/>
        <w:spacing w:before="0" w:beforeAutospacing="0" w:after="0" w:afterAutospacing="0" w:line="360" w:lineRule="auto"/>
        <w:ind w:firstLine="480" w:firstLineChars="200"/>
        <w:textAlignment w:val="auto"/>
        <w:rPr>
          <w:color w:val="auto"/>
          <w:kern w:val="0"/>
        </w:rPr>
      </w:pPr>
      <w:r>
        <w:rPr>
          <w:color w:val="auto"/>
          <w:kern w:val="0"/>
        </w:rPr>
        <w:t>由上表可知，本</w:t>
      </w:r>
      <w:r>
        <w:rPr>
          <w:rFonts w:hint="eastAsia"/>
          <w:color w:val="auto"/>
          <w:kern w:val="0"/>
          <w:lang w:eastAsia="zh-CN"/>
        </w:rPr>
        <w:t>厂区</w:t>
      </w:r>
      <w:r>
        <w:rPr>
          <w:color w:val="auto"/>
          <w:kern w:val="0"/>
        </w:rPr>
        <w:t>设备、管道、容器不构成重大危险源。</w:t>
      </w:r>
      <w:bookmarkEnd w:id="21"/>
      <w:bookmarkStart w:id="29" w:name="_Toc421310434"/>
      <w:bookmarkStart w:id="30" w:name="_Toc10249"/>
    </w:p>
    <w:p>
      <w:pPr>
        <w:pStyle w:val="17"/>
        <w:keepLines w:val="0"/>
        <w:pageBreakBefore w:val="0"/>
        <w:kinsoku/>
        <w:wordWrap/>
        <w:overflowPunct/>
        <w:topLinePunct w:val="0"/>
        <w:autoSpaceDE/>
        <w:autoSpaceDN/>
        <w:bidi w:val="0"/>
        <w:adjustRightInd w:val="0"/>
        <w:snapToGrid w:val="0"/>
        <w:spacing w:before="0" w:beforeAutospacing="0" w:after="0" w:afterAutospacing="0" w:line="360" w:lineRule="auto"/>
        <w:ind w:firstLine="480" w:firstLineChars="200"/>
        <w:textAlignment w:val="auto"/>
        <w:rPr>
          <w:rFonts w:hint="default" w:ascii="Times New Roman" w:hAnsi="Times New Roman" w:cs="Times New Roman"/>
        </w:rPr>
      </w:pPr>
      <w:r>
        <w:rPr>
          <w:rFonts w:hint="eastAsia"/>
        </w:rPr>
        <w:t>根据《企业突发环境</w:t>
      </w:r>
      <w:r>
        <w:rPr>
          <w:rFonts w:hint="default" w:ascii="Times New Roman" w:hAnsi="Times New Roman" w:cs="Times New Roman"/>
        </w:rPr>
        <w:t>事件风险分级办法》（HJ 941-2018）中表1，企业生产工艺过程评估依据及得分情况见</w:t>
      </w:r>
      <w:r>
        <w:rPr>
          <w:rFonts w:hint="default" w:ascii="Times New Roman" w:hAnsi="Times New Roman" w:cs="Times New Roman"/>
        </w:rPr>
        <w:fldChar w:fldCharType="begin"/>
      </w:r>
      <w:r>
        <w:rPr>
          <w:rFonts w:hint="default" w:ascii="Times New Roman" w:hAnsi="Times New Roman" w:cs="Times New Roman"/>
        </w:rPr>
        <w:instrText xml:space="preserve"> REF _Ref526621948 \h </w:instrText>
      </w:r>
      <w:r>
        <w:rPr>
          <w:rFonts w:hint="default" w:ascii="Times New Roman" w:hAnsi="Times New Roman" w:cs="Times New Roman"/>
        </w:rPr>
        <w:fldChar w:fldCharType="separate"/>
      </w:r>
      <w:r>
        <w:rPr>
          <w:rFonts w:hint="default" w:ascii="Times New Roman" w:hAnsi="Times New Roman" w:cs="Times New Roman"/>
        </w:rPr>
        <w:t>表 3</w:t>
      </w:r>
      <w:r>
        <w:rPr>
          <w:rFonts w:hint="default" w:ascii="Times New Roman" w:hAnsi="Times New Roman" w:cs="Times New Roman"/>
        </w:rPr>
        <w:noBreakHyphen/>
      </w:r>
      <w:r>
        <w:rPr>
          <w:rFonts w:hint="eastAsia" w:ascii="Times New Roman" w:hAnsi="Times New Roman" w:cs="Times New Roman"/>
          <w:lang w:val="en-US" w:eastAsia="zh-CN"/>
        </w:rPr>
        <w:t>1</w:t>
      </w:r>
      <w:r>
        <w:rPr>
          <w:rFonts w:hint="default" w:ascii="Times New Roman" w:hAnsi="Times New Roman" w:cs="Times New Roman"/>
        </w:rPr>
        <w:fldChar w:fldCharType="end"/>
      </w:r>
      <w:r>
        <w:rPr>
          <w:rFonts w:hint="eastAsia" w:ascii="Times New Roman" w:hAnsi="Times New Roman" w:cs="Times New Roman"/>
          <w:lang w:val="en-US" w:eastAsia="zh-CN"/>
        </w:rPr>
        <w:t>5</w:t>
      </w:r>
      <w:r>
        <w:rPr>
          <w:rFonts w:hint="default" w:ascii="Times New Roman" w:hAnsi="Times New Roman" w:cs="Times New Roman"/>
        </w:rPr>
        <w:t>。</w:t>
      </w:r>
    </w:p>
    <w:p>
      <w:pPr>
        <w:pStyle w:val="10"/>
        <w:keepNext/>
        <w:keepLines w:val="0"/>
        <w:pageBreakBefore w:val="0"/>
        <w:widowControl w:val="0"/>
        <w:kinsoku/>
        <w:wordWrap/>
        <w:overflowPunct/>
        <w:topLinePunct w:val="0"/>
        <w:autoSpaceDE/>
        <w:autoSpaceDN/>
        <w:bidi w:val="0"/>
        <w:adjustRightInd/>
        <w:snapToGrid/>
        <w:spacing w:beforeAutospacing="0" w:afterAutospacing="0" w:line="240" w:lineRule="auto"/>
        <w:textAlignment w:val="auto"/>
        <w:rPr>
          <w:rFonts w:hint="default" w:ascii="Times New Roman" w:hAnsi="Times New Roman" w:cs="Times New Roman"/>
        </w:rPr>
      </w:pPr>
      <w:r>
        <w:rPr>
          <w:rFonts w:hint="default" w:ascii="Times New Roman" w:hAnsi="Times New Roman" w:cs="Times New Roman"/>
        </w:rPr>
        <w:t xml:space="preserve">表 </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3</w:t>
      </w:r>
      <w:r>
        <w:rPr>
          <w:rFonts w:hint="default" w:ascii="Times New Roman" w:hAnsi="Times New Roman" w:cs="Times New Roman"/>
        </w:rPr>
        <w:fldChar w:fldCharType="end"/>
      </w:r>
      <w:r>
        <w:rPr>
          <w:rFonts w:hint="default" w:ascii="Times New Roman" w:hAnsi="Times New Roman" w:cs="Times New Roman"/>
        </w:rPr>
        <w:noBreakHyphen/>
      </w:r>
      <w:r>
        <w:rPr>
          <w:rFonts w:hint="eastAsia" w:cs="Times New Roman"/>
          <w:lang w:val="en-US" w:eastAsia="zh-CN"/>
        </w:rPr>
        <w:t>15</w:t>
      </w:r>
      <w:r>
        <w:rPr>
          <w:rFonts w:hint="default" w:ascii="Times New Roman" w:hAnsi="Times New Roman" w:cs="Times New Roman"/>
        </w:rPr>
        <w:t>企业生产工艺过程评估</w:t>
      </w:r>
    </w:p>
    <w:tbl>
      <w:tblPr>
        <w:tblStyle w:val="18"/>
        <w:tblW w:w="5000" w:type="pct"/>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0" w:type="dxa"/>
          <w:bottom w:w="0" w:type="dxa"/>
          <w:right w:w="0" w:type="dxa"/>
        </w:tblCellMar>
      </w:tblPr>
      <w:tblGrid>
        <w:gridCol w:w="6043"/>
        <w:gridCol w:w="1067"/>
        <w:gridCol w:w="1361"/>
        <w:gridCol w:w="22"/>
        <w:gridCol w:w="655"/>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25" w:hRule="atLeast"/>
        </w:trPr>
        <w:tc>
          <w:tcPr>
            <w:tcW w:w="3303" w:type="pct"/>
            <w:tcBorders>
              <w:bottom w:val="single" w:color="000000" w:sz="4" w:space="0"/>
              <w:right w:val="single" w:color="000000" w:sz="4" w:space="0"/>
            </w:tcBorders>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评估依据</w:t>
            </w:r>
          </w:p>
        </w:tc>
        <w:tc>
          <w:tcPr>
            <w:tcW w:w="583" w:type="pct"/>
            <w:tcBorders>
              <w:left w:val="single" w:color="000000" w:sz="4" w:space="0"/>
              <w:bottom w:val="single" w:color="000000" w:sz="4" w:space="0"/>
              <w:right w:val="single" w:color="auto" w:sz="4" w:space="0"/>
            </w:tcBorders>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分值</w:t>
            </w:r>
          </w:p>
        </w:tc>
        <w:tc>
          <w:tcPr>
            <w:tcW w:w="744" w:type="pct"/>
            <w:tcBorders>
              <w:left w:val="single" w:color="auto" w:sz="4" w:space="0"/>
              <w:bottom w:val="single" w:color="000000" w:sz="4" w:space="0"/>
              <w:right w:val="single" w:color="auto" w:sz="4" w:space="0"/>
            </w:tcBorders>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说明</w:t>
            </w:r>
          </w:p>
        </w:tc>
        <w:tc>
          <w:tcPr>
            <w:tcW w:w="370" w:type="pct"/>
            <w:gridSpan w:val="2"/>
            <w:tcBorders>
              <w:left w:val="single" w:color="auto" w:sz="4" w:space="0"/>
              <w:bottom w:val="single" w:color="000000" w:sz="4" w:space="0"/>
            </w:tcBorders>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得分</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25" w:hRule="atLeast"/>
        </w:trPr>
        <w:tc>
          <w:tcPr>
            <w:tcW w:w="3303" w:type="pct"/>
            <w:tcBorders>
              <w:top w:val="single" w:color="000000" w:sz="4" w:space="0"/>
              <w:bottom w:val="single" w:color="000000" w:sz="4" w:space="0"/>
              <w:right w:val="single" w:color="000000" w:sz="4" w:space="0"/>
            </w:tcBorders>
            <w:vAlign w:val="center"/>
          </w:tcPr>
          <w:p>
            <w:pPr>
              <w:widowControl/>
              <w:spacing w:line="240" w:lineRule="auto"/>
              <w:ind w:firstLine="0" w:firstLineChars="0"/>
              <w:rPr>
                <w:rFonts w:cs="Times New Roman"/>
                <w:color w:val="000000"/>
                <w:kern w:val="0"/>
                <w:sz w:val="21"/>
                <w:szCs w:val="21"/>
              </w:rPr>
            </w:pPr>
            <w:r>
              <w:rPr>
                <w:rFonts w:cs="Times New Roman"/>
                <w:color w:val="000000"/>
                <w:kern w:val="0"/>
                <w:sz w:val="21"/>
                <w:szCs w:val="21"/>
              </w:rPr>
              <w:t>涉及光气及光气化工艺、电解工艺（氯碱）、氯化工艺、硝化工艺、合成氨工艺、裂解（裂化）工艺、氟化工艺、加氢工艺、重氮化工艺、氧化工艺、过氧化工艺、胺基化工艺、磺化工艺、聚合工艺、烷基化工艺、新型煤化工工艺、电石生产工艺、偶氮化工艺</w:t>
            </w:r>
          </w:p>
        </w:tc>
        <w:tc>
          <w:tcPr>
            <w:tcW w:w="583" w:type="pct"/>
            <w:tcBorders>
              <w:top w:val="single" w:color="000000" w:sz="4" w:space="0"/>
              <w:left w:val="single" w:color="000000" w:sz="4" w:space="0"/>
              <w:bottom w:val="single" w:color="000000" w:sz="4" w:space="0"/>
              <w:right w:val="single" w:color="auto" w:sz="4" w:space="0"/>
            </w:tcBorders>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10/每套</w:t>
            </w:r>
          </w:p>
        </w:tc>
        <w:tc>
          <w:tcPr>
            <w:tcW w:w="744" w:type="pct"/>
            <w:tcBorders>
              <w:top w:val="single" w:color="000000" w:sz="4" w:space="0"/>
              <w:left w:val="single" w:color="auto" w:sz="4" w:space="0"/>
              <w:bottom w:val="single" w:color="000000" w:sz="4" w:space="0"/>
              <w:right w:val="single" w:color="auto" w:sz="4" w:space="0"/>
            </w:tcBorders>
            <w:vAlign w:val="center"/>
          </w:tcPr>
          <w:p>
            <w:pPr>
              <w:widowControl/>
              <w:spacing w:line="240" w:lineRule="auto"/>
              <w:ind w:firstLine="0" w:firstLineChars="0"/>
              <w:jc w:val="center"/>
              <w:rPr>
                <w:rFonts w:hint="default" w:eastAsia="宋体" w:cs="Times New Roman"/>
                <w:color w:val="000000"/>
                <w:kern w:val="0"/>
                <w:sz w:val="21"/>
                <w:szCs w:val="21"/>
                <w:lang w:val="en-US" w:eastAsia="zh-CN"/>
              </w:rPr>
            </w:pPr>
          </w:p>
        </w:tc>
        <w:tc>
          <w:tcPr>
            <w:tcW w:w="370" w:type="pct"/>
            <w:gridSpan w:val="2"/>
            <w:tcBorders>
              <w:top w:val="single" w:color="000000" w:sz="4" w:space="0"/>
              <w:left w:val="single" w:color="auto" w:sz="4" w:space="0"/>
              <w:bottom w:val="single" w:color="000000" w:sz="4" w:space="0"/>
            </w:tcBorders>
            <w:vAlign w:val="center"/>
          </w:tcPr>
          <w:p>
            <w:pPr>
              <w:widowControl/>
              <w:spacing w:line="240" w:lineRule="auto"/>
              <w:ind w:firstLine="0" w:firstLineChars="0"/>
              <w:jc w:val="center"/>
              <w:rPr>
                <w:rFonts w:hint="default" w:eastAsia="宋体" w:cs="Times New Roman"/>
                <w:color w:val="000000"/>
                <w:kern w:val="0"/>
                <w:sz w:val="21"/>
                <w:szCs w:val="21"/>
                <w:lang w:val="en-US" w:eastAsia="zh-CN"/>
              </w:rPr>
            </w:pPr>
            <w:r>
              <w:rPr>
                <w:rFonts w:hint="eastAsia" w:cs="Times New Roman"/>
                <w:color w:val="000000"/>
                <w:kern w:val="0"/>
                <w:sz w:val="21"/>
                <w:szCs w:val="21"/>
                <w:lang w:val="en-US" w:eastAsia="zh-CN"/>
              </w:rPr>
              <w:t>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25" w:hRule="atLeast"/>
        </w:trPr>
        <w:tc>
          <w:tcPr>
            <w:tcW w:w="3303" w:type="pct"/>
            <w:tcBorders>
              <w:top w:val="single" w:color="000000" w:sz="4" w:space="0"/>
              <w:bottom w:val="single" w:color="000000" w:sz="4" w:space="0"/>
              <w:right w:val="single" w:color="000000" w:sz="4" w:space="0"/>
            </w:tcBorders>
            <w:vAlign w:val="center"/>
          </w:tcPr>
          <w:p>
            <w:pPr>
              <w:widowControl/>
              <w:spacing w:line="240" w:lineRule="auto"/>
              <w:ind w:firstLine="0" w:firstLineChars="0"/>
              <w:rPr>
                <w:rFonts w:cs="Times New Roman"/>
                <w:color w:val="000000"/>
                <w:kern w:val="0"/>
                <w:sz w:val="21"/>
                <w:szCs w:val="21"/>
              </w:rPr>
            </w:pPr>
            <w:r>
              <w:rPr>
                <w:rFonts w:cs="Times New Roman"/>
                <w:color w:val="000000"/>
                <w:kern w:val="0"/>
                <w:sz w:val="21"/>
                <w:szCs w:val="21"/>
              </w:rPr>
              <w:t>其他高温或高压、涉及易燃易爆等物质的工艺过程</w:t>
            </w:r>
            <w:r>
              <w:rPr>
                <w:rFonts w:cs="Times New Roman"/>
                <w:color w:val="000000"/>
                <w:kern w:val="0"/>
                <w:sz w:val="21"/>
                <w:szCs w:val="21"/>
                <w:vertAlign w:val="superscript"/>
              </w:rPr>
              <w:t>a</w:t>
            </w:r>
          </w:p>
        </w:tc>
        <w:tc>
          <w:tcPr>
            <w:tcW w:w="583" w:type="pct"/>
            <w:tcBorders>
              <w:top w:val="single" w:color="000000" w:sz="4" w:space="0"/>
              <w:left w:val="single" w:color="000000" w:sz="4" w:space="0"/>
              <w:bottom w:val="single" w:color="000000" w:sz="4" w:space="0"/>
              <w:right w:val="single" w:color="auto" w:sz="4" w:space="0"/>
            </w:tcBorders>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5/每套</w:t>
            </w:r>
          </w:p>
        </w:tc>
        <w:tc>
          <w:tcPr>
            <w:tcW w:w="744" w:type="pct"/>
            <w:tcBorders>
              <w:top w:val="single" w:color="000000" w:sz="4" w:space="0"/>
              <w:left w:val="single" w:color="auto" w:sz="4" w:space="0"/>
              <w:bottom w:val="single" w:color="000000" w:sz="4" w:space="0"/>
              <w:right w:val="single" w:color="auto" w:sz="4" w:space="0"/>
            </w:tcBorders>
            <w:vAlign w:val="center"/>
          </w:tcPr>
          <w:p>
            <w:pPr>
              <w:widowControl/>
              <w:spacing w:line="240" w:lineRule="auto"/>
              <w:ind w:firstLine="0" w:firstLineChars="0"/>
              <w:jc w:val="center"/>
              <w:rPr>
                <w:rFonts w:hint="eastAsia" w:eastAsia="宋体" w:cs="Times New Roman"/>
                <w:color w:val="000000"/>
                <w:kern w:val="0"/>
                <w:sz w:val="21"/>
                <w:szCs w:val="21"/>
                <w:lang w:val="en-US" w:eastAsia="zh-CN"/>
              </w:rPr>
            </w:pPr>
          </w:p>
        </w:tc>
        <w:tc>
          <w:tcPr>
            <w:tcW w:w="370" w:type="pct"/>
            <w:gridSpan w:val="2"/>
            <w:tcBorders>
              <w:top w:val="single" w:color="000000" w:sz="4" w:space="0"/>
              <w:left w:val="single" w:color="auto" w:sz="4" w:space="0"/>
              <w:bottom w:val="single" w:color="000000" w:sz="4" w:space="0"/>
            </w:tcBorders>
            <w:vAlign w:val="center"/>
          </w:tcPr>
          <w:p>
            <w:pPr>
              <w:widowControl/>
              <w:spacing w:line="240" w:lineRule="auto"/>
              <w:ind w:firstLine="0" w:firstLineChars="0"/>
              <w:jc w:val="center"/>
              <w:rPr>
                <w:rFonts w:hint="default" w:cs="Times New Roman"/>
                <w:color w:val="000000"/>
                <w:kern w:val="0"/>
                <w:sz w:val="21"/>
                <w:szCs w:val="21"/>
                <w:lang w:val="en-US"/>
              </w:rPr>
            </w:pPr>
            <w:r>
              <w:rPr>
                <w:rFonts w:hint="eastAsia" w:cs="Times New Roman"/>
                <w:color w:val="000000"/>
                <w:kern w:val="0"/>
                <w:sz w:val="21"/>
                <w:szCs w:val="21"/>
                <w:lang w:val="en-US" w:eastAsia="zh-CN"/>
              </w:rPr>
              <w:t>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25" w:hRule="atLeast"/>
        </w:trPr>
        <w:tc>
          <w:tcPr>
            <w:tcW w:w="3303" w:type="pct"/>
            <w:tcBorders>
              <w:top w:val="single" w:color="000000" w:sz="4" w:space="0"/>
              <w:bottom w:val="single" w:color="000000" w:sz="4" w:space="0"/>
              <w:right w:val="single" w:color="000000" w:sz="4" w:space="0"/>
            </w:tcBorders>
            <w:vAlign w:val="center"/>
          </w:tcPr>
          <w:p>
            <w:pPr>
              <w:widowControl/>
              <w:spacing w:line="240" w:lineRule="auto"/>
              <w:ind w:firstLine="0" w:firstLineChars="0"/>
              <w:rPr>
                <w:rFonts w:cs="Times New Roman"/>
                <w:color w:val="000000"/>
                <w:kern w:val="0"/>
                <w:sz w:val="21"/>
                <w:szCs w:val="21"/>
              </w:rPr>
            </w:pPr>
            <w:r>
              <w:rPr>
                <w:rFonts w:cs="Times New Roman"/>
                <w:color w:val="000000"/>
                <w:kern w:val="0"/>
                <w:sz w:val="21"/>
                <w:szCs w:val="21"/>
              </w:rPr>
              <w:t>具有国家规定限期淘汰的工艺名录和设备</w:t>
            </w:r>
            <w:r>
              <w:rPr>
                <w:rFonts w:cs="Times New Roman"/>
                <w:color w:val="000000"/>
                <w:kern w:val="0"/>
                <w:sz w:val="21"/>
                <w:szCs w:val="21"/>
                <w:vertAlign w:val="superscript"/>
              </w:rPr>
              <w:t>b</w:t>
            </w:r>
          </w:p>
        </w:tc>
        <w:tc>
          <w:tcPr>
            <w:tcW w:w="583" w:type="pct"/>
            <w:tcBorders>
              <w:top w:val="single" w:color="000000" w:sz="4" w:space="0"/>
              <w:left w:val="single" w:color="000000" w:sz="4" w:space="0"/>
              <w:bottom w:val="single" w:color="000000" w:sz="4" w:space="0"/>
              <w:right w:val="single" w:color="auto" w:sz="4" w:space="0"/>
            </w:tcBorders>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5/每套</w:t>
            </w:r>
          </w:p>
        </w:tc>
        <w:tc>
          <w:tcPr>
            <w:tcW w:w="744" w:type="pct"/>
            <w:tcBorders>
              <w:top w:val="single" w:color="000000" w:sz="4" w:space="0"/>
              <w:left w:val="single" w:color="auto" w:sz="4" w:space="0"/>
              <w:bottom w:val="single" w:color="000000" w:sz="4" w:space="0"/>
              <w:right w:val="single" w:color="auto" w:sz="4" w:space="0"/>
            </w:tcBorders>
            <w:vAlign w:val="center"/>
          </w:tcPr>
          <w:p>
            <w:pPr>
              <w:widowControl/>
              <w:spacing w:line="240" w:lineRule="auto"/>
              <w:ind w:firstLine="0" w:firstLineChars="0"/>
              <w:jc w:val="center"/>
              <w:rPr>
                <w:rFonts w:cs="Times New Roman"/>
                <w:color w:val="000000"/>
                <w:kern w:val="0"/>
                <w:sz w:val="21"/>
                <w:szCs w:val="21"/>
              </w:rPr>
            </w:pPr>
          </w:p>
        </w:tc>
        <w:tc>
          <w:tcPr>
            <w:tcW w:w="370" w:type="pct"/>
            <w:gridSpan w:val="2"/>
            <w:tcBorders>
              <w:top w:val="single" w:color="000000" w:sz="4" w:space="0"/>
              <w:left w:val="single" w:color="auto" w:sz="4" w:space="0"/>
              <w:bottom w:val="single" w:color="000000" w:sz="4" w:space="0"/>
            </w:tcBorders>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25" w:hRule="atLeast"/>
        </w:trPr>
        <w:tc>
          <w:tcPr>
            <w:tcW w:w="3303" w:type="pct"/>
            <w:tcBorders>
              <w:top w:val="single" w:color="000000" w:sz="4" w:space="0"/>
              <w:bottom w:val="single" w:color="000000" w:sz="4" w:space="0"/>
              <w:right w:val="single" w:color="000000" w:sz="4" w:space="0"/>
            </w:tcBorders>
            <w:vAlign w:val="center"/>
          </w:tcPr>
          <w:p>
            <w:pPr>
              <w:widowControl/>
              <w:spacing w:line="240" w:lineRule="auto"/>
              <w:ind w:firstLine="0" w:firstLineChars="0"/>
              <w:rPr>
                <w:rFonts w:cs="Times New Roman"/>
                <w:color w:val="000000"/>
                <w:kern w:val="0"/>
                <w:sz w:val="21"/>
                <w:szCs w:val="21"/>
              </w:rPr>
            </w:pPr>
            <w:r>
              <w:rPr>
                <w:rFonts w:cs="Times New Roman"/>
                <w:color w:val="000000"/>
                <w:kern w:val="0"/>
                <w:sz w:val="21"/>
                <w:szCs w:val="21"/>
              </w:rPr>
              <w:t>不涉及以上危险工艺过程或国家规定的禁用工艺/设备</w:t>
            </w:r>
          </w:p>
        </w:tc>
        <w:tc>
          <w:tcPr>
            <w:tcW w:w="583" w:type="pct"/>
            <w:tcBorders>
              <w:top w:val="single" w:color="000000" w:sz="4" w:space="0"/>
              <w:left w:val="single" w:color="000000" w:sz="4" w:space="0"/>
              <w:bottom w:val="single" w:color="000000" w:sz="4" w:space="0"/>
              <w:right w:val="single" w:color="auto" w:sz="4" w:space="0"/>
            </w:tcBorders>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0</w:t>
            </w:r>
          </w:p>
        </w:tc>
        <w:tc>
          <w:tcPr>
            <w:tcW w:w="744" w:type="pct"/>
            <w:tcBorders>
              <w:top w:val="single" w:color="000000" w:sz="4" w:space="0"/>
              <w:left w:val="single" w:color="auto" w:sz="4" w:space="0"/>
              <w:bottom w:val="single" w:color="000000" w:sz="4" w:space="0"/>
              <w:right w:val="single" w:color="auto" w:sz="4" w:space="0"/>
            </w:tcBorders>
            <w:vAlign w:val="center"/>
          </w:tcPr>
          <w:p>
            <w:pPr>
              <w:widowControl/>
              <w:spacing w:line="240" w:lineRule="auto"/>
              <w:ind w:firstLine="0" w:firstLineChars="0"/>
              <w:jc w:val="center"/>
              <w:rPr>
                <w:rFonts w:cs="Times New Roman"/>
                <w:color w:val="000000"/>
                <w:kern w:val="0"/>
                <w:sz w:val="21"/>
                <w:szCs w:val="21"/>
              </w:rPr>
            </w:pPr>
          </w:p>
        </w:tc>
        <w:tc>
          <w:tcPr>
            <w:tcW w:w="370" w:type="pct"/>
            <w:gridSpan w:val="2"/>
            <w:tcBorders>
              <w:top w:val="single" w:color="000000" w:sz="4" w:space="0"/>
              <w:left w:val="single" w:color="auto" w:sz="4" w:space="0"/>
              <w:bottom w:val="single" w:color="000000" w:sz="4" w:space="0"/>
            </w:tcBorders>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25" w:hRule="atLeast"/>
        </w:trPr>
        <w:tc>
          <w:tcPr>
            <w:tcW w:w="5000" w:type="pct"/>
            <w:gridSpan w:val="5"/>
            <w:tcBorders>
              <w:top w:val="single" w:color="000000" w:sz="4" w:space="0"/>
              <w:bottom w:val="single" w:color="000000" w:sz="4" w:space="0"/>
            </w:tcBorders>
            <w:vAlign w:val="center"/>
          </w:tcPr>
          <w:p>
            <w:pPr>
              <w:widowControl/>
              <w:spacing w:line="240" w:lineRule="auto"/>
              <w:ind w:firstLine="0" w:firstLineChars="0"/>
              <w:rPr>
                <w:rFonts w:cs="Times New Roman"/>
                <w:color w:val="000000"/>
                <w:kern w:val="0"/>
                <w:sz w:val="21"/>
                <w:szCs w:val="21"/>
              </w:rPr>
            </w:pPr>
            <w:r>
              <w:rPr>
                <w:rFonts w:cs="Times New Roman"/>
                <w:color w:val="000000"/>
                <w:kern w:val="0"/>
                <w:sz w:val="21"/>
                <w:szCs w:val="21"/>
              </w:rPr>
              <w:t>注：a 高温指工艺温度≥300℃，高压指压力容器的设计压力（p）≥10.0MPa，易燃易爆等物质是指按照 GB30000.2 至 GB30000.13 所确定的化学物质；b 指《产业结构调整指导目录》中有淘汰期限的淘汰类落后生产工艺装备</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25" w:hRule="atLeast"/>
        </w:trPr>
        <w:tc>
          <w:tcPr>
            <w:tcW w:w="4642" w:type="pct"/>
            <w:gridSpan w:val="4"/>
            <w:tcBorders>
              <w:top w:val="single" w:color="000000" w:sz="4" w:space="0"/>
              <w:right w:val="single" w:color="auto" w:sz="4" w:space="0"/>
            </w:tcBorders>
            <w:vAlign w:val="center"/>
          </w:tcPr>
          <w:p>
            <w:pPr>
              <w:widowControl/>
              <w:spacing w:line="240" w:lineRule="auto"/>
              <w:ind w:firstLine="0" w:firstLineChars="0"/>
              <w:jc w:val="center"/>
              <w:rPr>
                <w:rFonts w:hint="eastAsia" w:eastAsia="宋体" w:cs="Times New Roman"/>
                <w:color w:val="000000"/>
                <w:kern w:val="0"/>
                <w:sz w:val="21"/>
                <w:szCs w:val="21"/>
                <w:lang w:eastAsia="zh-CN"/>
              </w:rPr>
            </w:pPr>
            <w:r>
              <w:rPr>
                <w:rFonts w:cs="Times New Roman"/>
                <w:color w:val="000000"/>
                <w:kern w:val="0"/>
                <w:sz w:val="21"/>
                <w:szCs w:val="21"/>
              </w:rPr>
              <w:t>合计</w:t>
            </w:r>
            <w:r>
              <w:rPr>
                <w:rFonts w:hint="eastAsia" w:cs="Times New Roman"/>
                <w:color w:val="000000"/>
                <w:kern w:val="0"/>
                <w:sz w:val="21"/>
                <w:szCs w:val="21"/>
                <w:lang w:eastAsia="zh-CN"/>
              </w:rPr>
              <w:t>（最高</w:t>
            </w:r>
            <w:r>
              <w:rPr>
                <w:rFonts w:hint="eastAsia" w:cs="Times New Roman"/>
                <w:color w:val="000000"/>
                <w:kern w:val="0"/>
                <w:sz w:val="21"/>
                <w:szCs w:val="21"/>
                <w:lang w:val="en-US" w:eastAsia="zh-CN"/>
              </w:rPr>
              <w:t>30</w:t>
            </w:r>
            <w:r>
              <w:rPr>
                <w:rFonts w:hint="eastAsia" w:cs="Times New Roman"/>
                <w:color w:val="000000"/>
                <w:kern w:val="0"/>
                <w:sz w:val="21"/>
                <w:szCs w:val="21"/>
                <w:lang w:eastAsia="zh-CN"/>
              </w:rPr>
              <w:t>）</w:t>
            </w:r>
          </w:p>
        </w:tc>
        <w:tc>
          <w:tcPr>
            <w:tcW w:w="358" w:type="pct"/>
            <w:tcBorders>
              <w:top w:val="single" w:color="000000" w:sz="4" w:space="0"/>
              <w:left w:val="single" w:color="auto" w:sz="4" w:space="0"/>
            </w:tcBorders>
            <w:vAlign w:val="center"/>
          </w:tcPr>
          <w:p>
            <w:pPr>
              <w:widowControl/>
              <w:spacing w:line="240" w:lineRule="auto"/>
              <w:ind w:firstLine="0" w:firstLineChars="0"/>
              <w:jc w:val="center"/>
              <w:rPr>
                <w:rFonts w:hint="default" w:cs="Times New Roman"/>
                <w:color w:val="000000"/>
                <w:kern w:val="0"/>
                <w:sz w:val="21"/>
                <w:szCs w:val="21"/>
                <w:lang w:val="en-US"/>
              </w:rPr>
            </w:pPr>
            <w:r>
              <w:rPr>
                <w:rFonts w:hint="eastAsia" w:cs="Times New Roman"/>
                <w:color w:val="000000"/>
                <w:kern w:val="0"/>
                <w:sz w:val="21"/>
                <w:szCs w:val="21"/>
                <w:lang w:val="en-US" w:eastAsia="zh-CN"/>
              </w:rPr>
              <w:t>0</w:t>
            </w:r>
          </w:p>
        </w:tc>
      </w:tr>
      <w:bookmarkEnd w:id="29"/>
      <w:bookmarkEnd w:id="30"/>
    </w:tbl>
    <w:p>
      <w:pPr>
        <w:pStyle w:val="44"/>
        <w:rPr>
          <w:rFonts w:hint="default" w:ascii="Times New Roman" w:hAnsi="Times New Roman" w:cs="Times New Roman"/>
        </w:rPr>
      </w:pPr>
    </w:p>
    <w:p>
      <w:pPr>
        <w:pStyle w:val="44"/>
        <w:rPr>
          <w:rFonts w:hint="default" w:ascii="Times New Roman" w:hAnsi="Times New Roman" w:cs="Times New Roman"/>
        </w:rPr>
      </w:pPr>
    </w:p>
    <w:p>
      <w:pPr>
        <w:pStyle w:val="4"/>
        <w:rPr>
          <w:rFonts w:hint="eastAsia"/>
        </w:rPr>
      </w:pPr>
      <w:bookmarkStart w:id="31" w:name="_Toc11408"/>
      <w:r>
        <w:rPr>
          <w:rFonts w:hint="eastAsia"/>
        </w:rPr>
        <w:t>现有环境风险防控与突发环境事件发生情况</w:t>
      </w:r>
      <w:bookmarkEnd w:id="31"/>
    </w:p>
    <w:p>
      <w:pPr>
        <w:pStyle w:val="6"/>
        <w:rPr>
          <w:sz w:val="24"/>
          <w:szCs w:val="24"/>
        </w:rPr>
      </w:pPr>
      <w:r>
        <w:rPr>
          <w:rFonts w:hint="eastAsia"/>
          <w:sz w:val="24"/>
          <w:szCs w:val="24"/>
        </w:rPr>
        <w:t>环境风险防控与突发大气环境事件发生情况</w:t>
      </w:r>
    </w:p>
    <w:p>
      <w:pPr>
        <w:outlineLvl w:val="9"/>
        <w:rPr>
          <w:sz w:val="24"/>
          <w:szCs w:val="24"/>
        </w:rPr>
      </w:pPr>
      <w:r>
        <w:rPr>
          <w:rFonts w:hint="eastAsia"/>
          <w:sz w:val="24"/>
          <w:szCs w:val="24"/>
          <w:lang w:val="en-US" w:eastAsia="zh-CN"/>
        </w:rPr>
        <w:t>3.4.1.1</w:t>
      </w:r>
      <w:r>
        <w:rPr>
          <w:rFonts w:hint="eastAsia"/>
          <w:sz w:val="24"/>
          <w:szCs w:val="24"/>
        </w:rPr>
        <w:t>毒性气体泄漏紧急处置装置及监控预警措施</w:t>
      </w:r>
    </w:p>
    <w:p>
      <w:pPr>
        <w:ind w:firstLine="560"/>
        <w:outlineLvl w:val="9"/>
        <w:rPr>
          <w:sz w:val="24"/>
          <w:szCs w:val="24"/>
        </w:rPr>
      </w:pPr>
      <w:bookmarkStart w:id="32" w:name="_Hlk526950852"/>
      <w:r>
        <w:rPr>
          <w:sz w:val="24"/>
          <w:szCs w:val="24"/>
        </w:rPr>
        <w:t>1</w:t>
      </w:r>
      <w:r>
        <w:rPr>
          <w:rFonts w:hint="eastAsia"/>
          <w:sz w:val="24"/>
          <w:szCs w:val="24"/>
        </w:rPr>
        <w:t>、本公司生产经营过程中不涉及《企业突发环境事件风险分级办法》（HJ</w:t>
      </w:r>
      <w:r>
        <w:rPr>
          <w:sz w:val="24"/>
          <w:szCs w:val="24"/>
        </w:rPr>
        <w:t xml:space="preserve"> </w:t>
      </w:r>
      <w:r>
        <w:rPr>
          <w:rFonts w:hint="eastAsia"/>
          <w:sz w:val="24"/>
          <w:szCs w:val="24"/>
        </w:rPr>
        <w:t>941-2018）附录A中有毒有害气体；</w:t>
      </w:r>
    </w:p>
    <w:p>
      <w:pPr>
        <w:ind w:firstLine="560"/>
        <w:outlineLvl w:val="9"/>
        <w:rPr>
          <w:sz w:val="24"/>
          <w:szCs w:val="24"/>
        </w:rPr>
      </w:pPr>
      <w:r>
        <w:rPr>
          <w:sz w:val="24"/>
          <w:szCs w:val="24"/>
        </w:rPr>
        <w:t>2</w:t>
      </w:r>
      <w:r>
        <w:rPr>
          <w:rFonts w:hint="eastAsia"/>
          <w:sz w:val="24"/>
          <w:szCs w:val="24"/>
        </w:rPr>
        <w:t>、公司主道路、生产</w:t>
      </w:r>
      <w:r>
        <w:rPr>
          <w:rFonts w:hint="eastAsia"/>
          <w:sz w:val="24"/>
          <w:szCs w:val="24"/>
          <w:lang w:eastAsia="zh-CN"/>
        </w:rPr>
        <w:t>区和固废间</w:t>
      </w:r>
      <w:r>
        <w:rPr>
          <w:rFonts w:hint="eastAsia"/>
          <w:sz w:val="24"/>
          <w:szCs w:val="24"/>
        </w:rPr>
        <w:t>等重点及关键部位都安装了摄像头监控。</w:t>
      </w:r>
    </w:p>
    <w:bookmarkEnd w:id="32"/>
    <w:p>
      <w:pPr>
        <w:outlineLvl w:val="9"/>
        <w:rPr>
          <w:sz w:val="24"/>
          <w:szCs w:val="24"/>
        </w:rPr>
      </w:pPr>
      <w:bookmarkStart w:id="33" w:name="_Hlk526950857"/>
      <w:r>
        <w:rPr>
          <w:rFonts w:hint="eastAsia"/>
          <w:sz w:val="24"/>
          <w:szCs w:val="24"/>
          <w:lang w:val="en-US" w:eastAsia="zh-CN"/>
        </w:rPr>
        <w:t>3.4.1.2</w:t>
      </w:r>
      <w:r>
        <w:rPr>
          <w:rFonts w:hint="eastAsia"/>
          <w:sz w:val="24"/>
          <w:szCs w:val="24"/>
          <w:lang w:eastAsia="zh-CN"/>
        </w:rPr>
        <w:t>水泥粉、矿粉、粉煤灰泄漏事故风险防控措施</w:t>
      </w:r>
    </w:p>
    <w:p>
      <w:pPr>
        <w:outlineLvl w:val="9"/>
        <w:rPr>
          <w:rFonts w:hint="default"/>
          <w:sz w:val="24"/>
          <w:szCs w:val="24"/>
          <w:lang w:val="en-US" w:eastAsia="zh-CN"/>
        </w:rPr>
      </w:pPr>
      <w:r>
        <w:rPr>
          <w:rFonts w:hint="eastAsia"/>
          <w:sz w:val="24"/>
          <w:szCs w:val="24"/>
          <w:lang w:eastAsia="zh-CN"/>
        </w:rPr>
        <w:t>在水泥粉、矿粉、粉煤灰输送至筒仓之前，认真检查其接口是否被损坏；使用人员做好保养工作，保证设备的正常运行；每个筒仓都安装了布袋除尘器，以减少装料或使用过程筒仓内负压产生的粉尘外排污染事故；关注新闻，了解是否有地震等自然灾害</w:t>
      </w:r>
      <w:r>
        <w:rPr>
          <w:rFonts w:hint="eastAsia"/>
          <w:sz w:val="24"/>
          <w:szCs w:val="24"/>
          <w:lang w:eastAsia="zh-CN"/>
        </w:rPr>
        <w:t>，提前防止筒仓倾倒。</w:t>
      </w:r>
    </w:p>
    <w:p>
      <w:pPr>
        <w:ind w:firstLine="560"/>
        <w:outlineLvl w:val="9"/>
        <w:rPr>
          <w:sz w:val="24"/>
          <w:szCs w:val="24"/>
        </w:rPr>
      </w:pPr>
      <w:r>
        <w:rPr>
          <w:rFonts w:hint="eastAsia"/>
          <w:sz w:val="24"/>
          <w:szCs w:val="24"/>
        </w:rPr>
        <w:t>本公司项目环评报告及环评批复</w:t>
      </w:r>
      <w:r>
        <w:rPr>
          <w:rFonts w:hint="eastAsia"/>
          <w:sz w:val="24"/>
          <w:szCs w:val="24"/>
          <w:lang w:eastAsia="zh-CN"/>
        </w:rPr>
        <w:t>未设置</w:t>
      </w:r>
      <w:r>
        <w:rPr>
          <w:rFonts w:hint="eastAsia"/>
          <w:sz w:val="24"/>
          <w:szCs w:val="24"/>
        </w:rPr>
        <w:t>防护距离。</w:t>
      </w:r>
    </w:p>
    <w:bookmarkEnd w:id="33"/>
    <w:p>
      <w:pPr>
        <w:outlineLvl w:val="9"/>
        <w:rPr>
          <w:sz w:val="24"/>
          <w:szCs w:val="24"/>
        </w:rPr>
      </w:pPr>
      <w:r>
        <w:rPr>
          <w:rFonts w:hint="eastAsia"/>
          <w:sz w:val="24"/>
          <w:szCs w:val="24"/>
          <w:lang w:val="en-US" w:eastAsia="zh-CN"/>
        </w:rPr>
        <w:t>3.4.1.3</w:t>
      </w:r>
      <w:r>
        <w:rPr>
          <w:rFonts w:hint="eastAsia"/>
          <w:sz w:val="24"/>
          <w:szCs w:val="24"/>
          <w:lang w:eastAsia="zh-CN"/>
        </w:rPr>
        <w:t>除尘系统事故风险防控措施</w:t>
      </w:r>
    </w:p>
    <w:p>
      <w:pPr>
        <w:outlineLvl w:val="9"/>
        <w:rPr>
          <w:rFonts w:hint="default"/>
          <w:sz w:val="24"/>
          <w:szCs w:val="24"/>
          <w:lang w:val="en-US"/>
        </w:rPr>
      </w:pPr>
      <w:r>
        <w:rPr>
          <w:rFonts w:hint="eastAsia"/>
          <w:sz w:val="24"/>
          <w:szCs w:val="24"/>
          <w:lang w:eastAsia="zh-CN"/>
        </w:rPr>
        <w:t>公司平均每月更换一次布袋，确保布袋的除尘效果；定期检查布袋除尘情况并及时更换；注意排尘浓度是否正常，检查布袋是否泄漏。</w:t>
      </w:r>
    </w:p>
    <w:p>
      <w:pPr>
        <w:outlineLvl w:val="9"/>
        <w:rPr>
          <w:sz w:val="24"/>
          <w:szCs w:val="24"/>
        </w:rPr>
      </w:pPr>
      <w:r>
        <w:rPr>
          <w:rFonts w:hint="eastAsia"/>
          <w:sz w:val="24"/>
          <w:szCs w:val="24"/>
          <w:lang w:val="en-US" w:eastAsia="zh-CN"/>
        </w:rPr>
        <w:t>3.4.1.4</w:t>
      </w:r>
      <w:r>
        <w:rPr>
          <w:rFonts w:hint="eastAsia"/>
          <w:sz w:val="24"/>
          <w:szCs w:val="24"/>
        </w:rPr>
        <w:t>近3年内突发大气环境事件发生情况</w:t>
      </w:r>
    </w:p>
    <w:p>
      <w:pPr>
        <w:ind w:firstLine="560"/>
        <w:outlineLvl w:val="9"/>
        <w:rPr>
          <w:sz w:val="24"/>
          <w:szCs w:val="24"/>
        </w:rPr>
      </w:pPr>
      <w:bookmarkStart w:id="34" w:name="_Hlk526950868"/>
      <w:r>
        <w:rPr>
          <w:rFonts w:hint="eastAsia"/>
          <w:sz w:val="24"/>
          <w:szCs w:val="24"/>
        </w:rPr>
        <w:t>本公司近3年内未发生过突发大气环境事件。如若发生突发大气环境事件，立即启动公司应急预案，指挥中心做好事件报警、通报及处置工作。向周边企业、</w:t>
      </w:r>
      <w:r>
        <w:rPr>
          <w:rFonts w:hint="eastAsia"/>
          <w:sz w:val="24"/>
          <w:szCs w:val="24"/>
          <w:lang w:eastAsia="zh-CN"/>
        </w:rPr>
        <w:t>社区</w:t>
      </w:r>
      <w:r>
        <w:rPr>
          <w:rFonts w:hint="eastAsia"/>
          <w:sz w:val="24"/>
          <w:szCs w:val="24"/>
        </w:rPr>
        <w:t>提供本单位有关危险物质特性、应急救援、救援知识等；根据现场情况判断是否需要人员紧急疏散和抢救物资，如需紧急疏散须及时规定疏散路线和疏散路口，并及时协助厂内员工和周围人员及居民的紧急疏散工作。</w:t>
      </w:r>
    </w:p>
    <w:bookmarkEnd w:id="34"/>
    <w:p>
      <w:pPr>
        <w:pStyle w:val="6"/>
        <w:rPr>
          <w:sz w:val="24"/>
          <w:szCs w:val="24"/>
        </w:rPr>
      </w:pPr>
      <w:r>
        <w:rPr>
          <w:rFonts w:hint="eastAsia"/>
          <w:sz w:val="24"/>
          <w:szCs w:val="24"/>
        </w:rPr>
        <w:t>环境风险防控与突发</w:t>
      </w:r>
      <w:r>
        <w:rPr>
          <w:rFonts w:hint="eastAsia"/>
          <w:sz w:val="24"/>
          <w:szCs w:val="24"/>
          <w:lang w:eastAsia="zh-CN"/>
        </w:rPr>
        <w:t>水</w:t>
      </w:r>
      <w:r>
        <w:rPr>
          <w:rFonts w:hint="eastAsia"/>
          <w:sz w:val="24"/>
          <w:szCs w:val="24"/>
        </w:rPr>
        <w:t>环境事件发生情况</w:t>
      </w:r>
    </w:p>
    <w:p>
      <w:pPr>
        <w:pStyle w:val="9"/>
        <w:outlineLvl w:val="3"/>
        <w:rPr>
          <w:sz w:val="24"/>
          <w:szCs w:val="24"/>
        </w:rPr>
      </w:pPr>
      <w:r>
        <w:rPr>
          <w:rFonts w:hint="eastAsia"/>
          <w:sz w:val="24"/>
          <w:szCs w:val="24"/>
          <w:lang w:eastAsia="zh-CN"/>
        </w:rPr>
        <w:t>防渗</w:t>
      </w:r>
      <w:r>
        <w:rPr>
          <w:rFonts w:hint="eastAsia"/>
          <w:sz w:val="24"/>
          <w:szCs w:val="24"/>
        </w:rPr>
        <w:t>措施</w:t>
      </w:r>
    </w:p>
    <w:p>
      <w:pPr>
        <w:ind w:firstLine="560"/>
        <w:outlineLvl w:val="9"/>
        <w:rPr>
          <w:rFonts w:hint="eastAsia" w:eastAsia="宋体"/>
          <w:sz w:val="24"/>
          <w:szCs w:val="24"/>
          <w:lang w:eastAsia="zh-CN"/>
        </w:rPr>
      </w:pPr>
      <w:bookmarkStart w:id="35" w:name="_Hlk526950879"/>
      <w:r>
        <w:rPr>
          <w:rFonts w:hint="eastAsia"/>
          <w:sz w:val="24"/>
          <w:szCs w:val="24"/>
        </w:rPr>
        <w:t>本公司实际生产过程中，原</w:t>
      </w:r>
      <w:r>
        <w:rPr>
          <w:rFonts w:hint="eastAsia"/>
          <w:sz w:val="24"/>
          <w:szCs w:val="24"/>
          <w:lang w:eastAsia="zh-CN"/>
        </w:rPr>
        <w:t>辅</w:t>
      </w:r>
      <w:r>
        <w:rPr>
          <w:rFonts w:hint="eastAsia"/>
          <w:sz w:val="24"/>
          <w:szCs w:val="24"/>
        </w:rPr>
        <w:t>材料均为</w:t>
      </w:r>
      <w:r>
        <w:rPr>
          <w:rFonts w:hint="eastAsia"/>
          <w:sz w:val="24"/>
          <w:szCs w:val="24"/>
          <w:lang w:eastAsia="zh-CN"/>
        </w:rPr>
        <w:t>粉末或</w:t>
      </w:r>
      <w:r>
        <w:rPr>
          <w:rFonts w:hint="eastAsia"/>
          <w:sz w:val="24"/>
          <w:szCs w:val="24"/>
        </w:rPr>
        <w:t>固体，存放</w:t>
      </w:r>
      <w:r>
        <w:rPr>
          <w:rFonts w:hint="eastAsia"/>
          <w:sz w:val="24"/>
          <w:szCs w:val="24"/>
          <w:lang w:eastAsia="zh-CN"/>
        </w:rPr>
        <w:t>生产车间中；最终产品为固体，存放在生产车间内；废渣和除尘灰自行利用于加气块的制造</w:t>
      </w:r>
      <w:r>
        <w:rPr>
          <w:rFonts w:hint="eastAsia"/>
          <w:sz w:val="24"/>
          <w:szCs w:val="24"/>
        </w:rPr>
        <w:t>。</w:t>
      </w:r>
      <w:r>
        <w:rPr>
          <w:rFonts w:hint="eastAsia"/>
          <w:sz w:val="24"/>
          <w:szCs w:val="24"/>
          <w:lang w:eastAsia="zh-CN"/>
        </w:rPr>
        <w:t>循环水间接冷却，循环水池防腐防渗，生产区域地面硬化</w:t>
      </w:r>
      <w:r>
        <w:rPr>
          <w:rFonts w:hint="eastAsia"/>
          <w:sz w:val="24"/>
          <w:szCs w:val="24"/>
        </w:rPr>
        <w:t>。</w:t>
      </w:r>
      <w:r>
        <w:rPr>
          <w:rFonts w:hint="eastAsia"/>
          <w:sz w:val="24"/>
          <w:szCs w:val="24"/>
          <w:lang w:eastAsia="zh-CN"/>
        </w:rPr>
        <w:t>公司设置专人定期检查沉淀池是否有漏水现象，并定期清理池底沉渣。</w:t>
      </w:r>
    </w:p>
    <w:bookmarkEnd w:id="35"/>
    <w:p>
      <w:pPr>
        <w:pStyle w:val="9"/>
        <w:outlineLvl w:val="3"/>
        <w:rPr>
          <w:sz w:val="24"/>
          <w:szCs w:val="24"/>
        </w:rPr>
      </w:pPr>
      <w:r>
        <w:rPr>
          <w:rFonts w:hint="eastAsia"/>
          <w:sz w:val="24"/>
          <w:szCs w:val="24"/>
          <w:lang w:eastAsia="zh-CN"/>
        </w:rPr>
        <w:t>截流</w:t>
      </w:r>
      <w:r>
        <w:rPr>
          <w:rFonts w:hint="eastAsia"/>
          <w:sz w:val="24"/>
          <w:szCs w:val="24"/>
        </w:rPr>
        <w:t>措施</w:t>
      </w:r>
    </w:p>
    <w:p>
      <w:pPr>
        <w:ind w:firstLine="560"/>
        <w:outlineLvl w:val="9"/>
        <w:rPr>
          <w:rFonts w:hint="eastAsia"/>
          <w:sz w:val="24"/>
          <w:szCs w:val="24"/>
        </w:rPr>
      </w:pPr>
      <w:bookmarkStart w:id="36" w:name="_Hlk526950889"/>
      <w:r>
        <w:rPr>
          <w:rFonts w:hint="eastAsia"/>
          <w:sz w:val="24"/>
          <w:szCs w:val="24"/>
          <w:lang w:eastAsia="zh-CN"/>
        </w:rPr>
        <w:t>厂内有循环水池和沉淀池，以厂界围墙作为包围整个项目的围堰，有效截流事故废水，避免流出厂界污染周边土壤和地下水</w:t>
      </w:r>
      <w:r>
        <w:rPr>
          <w:rFonts w:hint="eastAsia"/>
          <w:sz w:val="24"/>
          <w:szCs w:val="24"/>
        </w:rPr>
        <w:t>。</w:t>
      </w:r>
    </w:p>
    <w:bookmarkEnd w:id="36"/>
    <w:p>
      <w:pPr>
        <w:pStyle w:val="9"/>
        <w:outlineLvl w:val="3"/>
        <w:rPr>
          <w:sz w:val="24"/>
          <w:szCs w:val="24"/>
        </w:rPr>
      </w:pPr>
      <w:r>
        <w:rPr>
          <w:rFonts w:hint="eastAsia"/>
          <w:sz w:val="24"/>
          <w:szCs w:val="24"/>
        </w:rPr>
        <w:t>雨水排水系统风险防控措施</w:t>
      </w:r>
    </w:p>
    <w:p>
      <w:pPr>
        <w:ind w:firstLine="560"/>
        <w:outlineLvl w:val="9"/>
        <w:rPr>
          <w:rFonts w:hint="eastAsia"/>
          <w:sz w:val="24"/>
          <w:szCs w:val="24"/>
          <w:lang w:eastAsia="zh-CN"/>
        </w:rPr>
      </w:pPr>
      <w:bookmarkStart w:id="37" w:name="_Hlk526950904"/>
      <w:r>
        <w:rPr>
          <w:rFonts w:hint="eastAsia"/>
          <w:sz w:val="24"/>
          <w:szCs w:val="24"/>
          <w:lang w:eastAsia="zh-CN"/>
        </w:rPr>
        <w:t>厂区排水系统采用雨污分流制，雨水采用重力流，经管网收集后就近排至厂区现有雨水管网，利用工业园排水管网将雨水排至城市管网。</w:t>
      </w:r>
      <w:r>
        <w:rPr>
          <w:rFonts w:hint="eastAsia"/>
          <w:sz w:val="24"/>
          <w:szCs w:val="24"/>
          <w:lang w:eastAsia="zh-CN"/>
        </w:rPr>
        <w:t>但雨水排口处</w:t>
      </w:r>
      <w:r>
        <w:rPr>
          <w:rFonts w:hint="eastAsia"/>
          <w:sz w:val="24"/>
          <w:szCs w:val="24"/>
          <w:lang w:eastAsia="zh-CN"/>
        </w:rPr>
        <w:t>未安装</w:t>
      </w:r>
      <w:r>
        <w:rPr>
          <w:rFonts w:hint="eastAsia"/>
          <w:sz w:val="24"/>
          <w:szCs w:val="24"/>
          <w:lang w:eastAsia="zh-CN"/>
        </w:rPr>
        <w:t>截止阀，事故废水直接进入园区管网。</w:t>
      </w:r>
    </w:p>
    <w:bookmarkEnd w:id="37"/>
    <w:p>
      <w:pPr>
        <w:pStyle w:val="9"/>
        <w:outlineLvl w:val="3"/>
        <w:rPr>
          <w:sz w:val="24"/>
          <w:szCs w:val="24"/>
        </w:rPr>
      </w:pPr>
      <w:r>
        <w:rPr>
          <w:rFonts w:hint="eastAsia"/>
          <w:sz w:val="24"/>
          <w:szCs w:val="24"/>
        </w:rPr>
        <w:t>生产废水处理系统风险防控措施</w:t>
      </w:r>
    </w:p>
    <w:p>
      <w:pPr>
        <w:ind w:firstLine="560"/>
        <w:outlineLvl w:val="9"/>
        <w:rPr>
          <w:rFonts w:hint="eastAsia"/>
          <w:sz w:val="24"/>
          <w:szCs w:val="24"/>
          <w:lang w:eastAsia="zh-CN"/>
        </w:rPr>
      </w:pPr>
      <w:bookmarkStart w:id="38" w:name="_Hlk526950913"/>
      <w:r>
        <w:rPr>
          <w:rFonts w:hint="eastAsia"/>
          <w:sz w:val="24"/>
          <w:szCs w:val="24"/>
          <w:lang w:eastAsia="zh-CN"/>
        </w:rPr>
        <w:t>本公司</w:t>
      </w:r>
      <w:r>
        <w:rPr>
          <w:rFonts w:hint="eastAsia"/>
          <w:sz w:val="24"/>
          <w:szCs w:val="24"/>
          <w:lang w:eastAsia="zh-CN"/>
        </w:rPr>
        <w:t>生产过程中产生的生产废水主要是冲地水、洗车水、洗轮机水，经沉淀池沉淀后循环使用。</w:t>
      </w:r>
    </w:p>
    <w:bookmarkEnd w:id="38"/>
    <w:p>
      <w:pPr>
        <w:pStyle w:val="9"/>
        <w:outlineLvl w:val="3"/>
        <w:rPr>
          <w:sz w:val="24"/>
          <w:szCs w:val="24"/>
        </w:rPr>
      </w:pPr>
      <w:r>
        <w:rPr>
          <w:rFonts w:hint="eastAsia"/>
          <w:sz w:val="24"/>
          <w:szCs w:val="24"/>
        </w:rPr>
        <w:t>废水排放去向</w:t>
      </w:r>
    </w:p>
    <w:p>
      <w:pPr>
        <w:ind w:firstLine="560"/>
        <w:outlineLvl w:val="9"/>
        <w:rPr>
          <w:rFonts w:hint="eastAsia"/>
          <w:sz w:val="24"/>
          <w:szCs w:val="24"/>
          <w:lang w:eastAsia="zh-CN"/>
        </w:rPr>
      </w:pPr>
      <w:bookmarkStart w:id="39" w:name="_Hlk526950952"/>
      <w:r>
        <w:rPr>
          <w:rFonts w:hint="eastAsia"/>
          <w:sz w:val="24"/>
          <w:szCs w:val="24"/>
          <w:lang w:eastAsia="zh-CN"/>
        </w:rPr>
        <w:t>本公司产生的</w:t>
      </w:r>
      <w:r>
        <w:rPr>
          <w:rFonts w:hint="eastAsia"/>
          <w:sz w:val="24"/>
          <w:szCs w:val="24"/>
          <w:lang w:eastAsia="zh-CN"/>
        </w:rPr>
        <w:t>生活污水经</w:t>
      </w:r>
      <w:r>
        <w:rPr>
          <w:rFonts w:hint="eastAsia"/>
          <w:sz w:val="24"/>
          <w:szCs w:val="24"/>
          <w:lang w:eastAsia="zh-CN"/>
        </w:rPr>
        <w:t>隔油池</w:t>
      </w:r>
      <w:r>
        <w:rPr>
          <w:rFonts w:hint="eastAsia"/>
          <w:sz w:val="24"/>
          <w:szCs w:val="24"/>
          <w:lang w:val="en-US" w:eastAsia="zh-CN"/>
        </w:rPr>
        <w:t>+</w:t>
      </w:r>
      <w:r>
        <w:rPr>
          <w:rFonts w:hint="eastAsia"/>
          <w:sz w:val="24"/>
          <w:szCs w:val="24"/>
          <w:lang w:eastAsia="zh-CN"/>
        </w:rPr>
        <w:t>化粪池</w:t>
      </w:r>
      <w:r>
        <w:rPr>
          <w:rFonts w:hint="eastAsia"/>
          <w:sz w:val="24"/>
          <w:szCs w:val="24"/>
          <w:lang w:val="en-US" w:eastAsia="zh-CN"/>
        </w:rPr>
        <w:t>+生化处理系统处理后经市政管网排放红谷滩污水处理厂处理后排入赣江北支</w:t>
      </w:r>
      <w:r>
        <w:rPr>
          <w:rFonts w:hint="eastAsia"/>
          <w:sz w:val="24"/>
          <w:szCs w:val="24"/>
          <w:lang w:eastAsia="zh-CN"/>
        </w:rPr>
        <w:t>。</w:t>
      </w:r>
    </w:p>
    <w:bookmarkEnd w:id="39"/>
    <w:p>
      <w:pPr>
        <w:pStyle w:val="9"/>
        <w:outlineLvl w:val="3"/>
        <w:rPr>
          <w:sz w:val="24"/>
          <w:szCs w:val="24"/>
        </w:rPr>
      </w:pPr>
      <w:r>
        <w:rPr>
          <w:rFonts w:hint="eastAsia"/>
          <w:sz w:val="24"/>
          <w:szCs w:val="24"/>
          <w:lang w:eastAsia="zh-CN"/>
        </w:rPr>
        <w:t>矿物油泄漏风险防控措施</w:t>
      </w:r>
    </w:p>
    <w:p>
      <w:pPr>
        <w:ind w:firstLine="560"/>
        <w:outlineLvl w:val="9"/>
        <w:rPr>
          <w:rFonts w:hint="eastAsia"/>
          <w:sz w:val="24"/>
          <w:szCs w:val="24"/>
          <w:lang w:eastAsia="zh-CN"/>
        </w:rPr>
      </w:pPr>
      <w:bookmarkStart w:id="40" w:name="_Hlk526950961"/>
      <w:r>
        <w:rPr>
          <w:rFonts w:hint="eastAsia"/>
          <w:sz w:val="24"/>
          <w:szCs w:val="24"/>
          <w:lang w:eastAsia="zh-CN"/>
        </w:rPr>
        <w:t>定期检查油桶情况，若发现问题，及时更换新的油桶。</w:t>
      </w:r>
    </w:p>
    <w:bookmarkEnd w:id="40"/>
    <w:p>
      <w:pPr>
        <w:pStyle w:val="9"/>
        <w:outlineLvl w:val="3"/>
        <w:rPr>
          <w:sz w:val="24"/>
          <w:szCs w:val="24"/>
        </w:rPr>
      </w:pPr>
      <w:r>
        <w:rPr>
          <w:rFonts w:hint="eastAsia"/>
          <w:sz w:val="24"/>
          <w:szCs w:val="24"/>
        </w:rPr>
        <w:t>近3年内突发</w:t>
      </w:r>
      <w:r>
        <w:rPr>
          <w:rFonts w:hint="eastAsia"/>
          <w:sz w:val="24"/>
          <w:szCs w:val="24"/>
          <w:lang w:eastAsia="zh-CN"/>
        </w:rPr>
        <w:t>水</w:t>
      </w:r>
      <w:r>
        <w:rPr>
          <w:rFonts w:hint="eastAsia"/>
          <w:sz w:val="24"/>
          <w:szCs w:val="24"/>
        </w:rPr>
        <w:t>环境事件发生情况</w:t>
      </w:r>
    </w:p>
    <w:p>
      <w:pPr>
        <w:ind w:firstLine="560"/>
        <w:outlineLvl w:val="9"/>
        <w:rPr>
          <w:rFonts w:hint="eastAsia"/>
          <w:sz w:val="24"/>
          <w:szCs w:val="24"/>
          <w:lang w:eastAsia="zh-CN"/>
        </w:rPr>
      </w:pPr>
      <w:r>
        <w:rPr>
          <w:rFonts w:hint="eastAsia"/>
          <w:sz w:val="24"/>
          <w:szCs w:val="24"/>
          <w:lang w:eastAsia="zh-CN"/>
        </w:rPr>
        <w:t>本公司近3年内未发生过突发环境事件。如若发生突发环境事件，立即启动公司应急预案，指挥中心做好事件报警、通报及处置工作。</w:t>
      </w:r>
    </w:p>
    <w:p>
      <w:pPr>
        <w:pStyle w:val="6"/>
        <w:rPr>
          <w:sz w:val="24"/>
          <w:szCs w:val="24"/>
        </w:rPr>
      </w:pPr>
      <w:r>
        <w:rPr>
          <w:rFonts w:hint="eastAsia"/>
          <w:sz w:val="24"/>
          <w:szCs w:val="24"/>
        </w:rPr>
        <w:t>环境风险防控措施评估</w:t>
      </w:r>
    </w:p>
    <w:p>
      <w:pPr>
        <w:pStyle w:val="9"/>
        <w:rPr>
          <w:sz w:val="24"/>
          <w:szCs w:val="24"/>
        </w:rPr>
      </w:pPr>
      <w:bookmarkStart w:id="41" w:name="_Ref526862891"/>
      <w:r>
        <w:rPr>
          <w:rFonts w:hint="eastAsia"/>
          <w:sz w:val="24"/>
          <w:szCs w:val="24"/>
        </w:rPr>
        <w:t>大气环境风险防控措施评估</w:t>
      </w:r>
      <w:bookmarkEnd w:id="41"/>
    </w:p>
    <w:p>
      <w:pPr>
        <w:ind w:firstLine="560"/>
        <w:rPr>
          <w:sz w:val="24"/>
          <w:szCs w:val="24"/>
        </w:rPr>
      </w:pPr>
      <w:bookmarkStart w:id="42" w:name="_Hlk526950982"/>
      <w:r>
        <w:rPr>
          <w:rFonts w:hint="eastAsia"/>
          <w:sz w:val="24"/>
          <w:szCs w:val="24"/>
        </w:rPr>
        <w:t>对照《企业突发环境事件风险分级方法》（HJ 941-2018）中表2，对企业大气环境风险防控措施及突发大气环境事件发生情况进行评估。对各项评估指标分别</w:t>
      </w:r>
      <w:r>
        <w:rPr>
          <w:rFonts w:hint="eastAsia"/>
          <w:sz w:val="24"/>
          <w:szCs w:val="24"/>
          <w:lang w:eastAsia="zh-CN"/>
        </w:rPr>
        <w:t>评</w:t>
      </w:r>
      <w:r>
        <w:rPr>
          <w:rFonts w:hint="eastAsia"/>
          <w:sz w:val="24"/>
          <w:szCs w:val="24"/>
        </w:rPr>
        <w:t>分，计算总和，评估结果</w:t>
      </w:r>
      <w:bookmarkEnd w:id="42"/>
      <w:r>
        <w:rPr>
          <w:rFonts w:hint="eastAsia"/>
          <w:sz w:val="24"/>
          <w:szCs w:val="24"/>
        </w:rPr>
        <w:t>详见</w:t>
      </w:r>
      <w:r>
        <w:rPr>
          <w:sz w:val="24"/>
          <w:szCs w:val="24"/>
        </w:rPr>
        <w:fldChar w:fldCharType="begin"/>
      </w:r>
      <w:r>
        <w:rPr>
          <w:sz w:val="24"/>
          <w:szCs w:val="24"/>
        </w:rPr>
        <w:instrText xml:space="preserve"> </w:instrText>
      </w:r>
      <w:r>
        <w:rPr>
          <w:rFonts w:hint="eastAsia"/>
          <w:sz w:val="24"/>
          <w:szCs w:val="24"/>
        </w:rPr>
        <w:instrText xml:space="preserve">REF _Ref526686000 \h</w:instrText>
      </w:r>
      <w:r>
        <w:rPr>
          <w:sz w:val="24"/>
          <w:szCs w:val="24"/>
        </w:rPr>
        <w:instrText xml:space="preserve"> </w:instrText>
      </w:r>
      <w:r>
        <w:rPr>
          <w:sz w:val="24"/>
          <w:szCs w:val="24"/>
        </w:rPr>
        <w:fldChar w:fldCharType="separate"/>
      </w:r>
      <w:r>
        <w:rPr>
          <w:rFonts w:hint="eastAsia"/>
          <w:sz w:val="24"/>
          <w:szCs w:val="24"/>
        </w:rPr>
        <w:t xml:space="preserve">表 </w:t>
      </w:r>
      <w:r>
        <w:rPr>
          <w:sz w:val="24"/>
          <w:szCs w:val="24"/>
        </w:rPr>
        <w:t>3</w:t>
      </w:r>
      <w:r>
        <w:rPr>
          <w:sz w:val="24"/>
          <w:szCs w:val="24"/>
        </w:rPr>
        <w:noBreakHyphen/>
      </w:r>
      <w:r>
        <w:rPr>
          <w:rFonts w:hint="eastAsia"/>
          <w:sz w:val="24"/>
          <w:szCs w:val="24"/>
          <w:lang w:val="en-US" w:eastAsia="zh-CN"/>
        </w:rPr>
        <w:t>1</w:t>
      </w:r>
      <w:r>
        <w:rPr>
          <w:sz w:val="24"/>
          <w:szCs w:val="24"/>
        </w:rPr>
        <w:fldChar w:fldCharType="end"/>
      </w:r>
      <w:r>
        <w:rPr>
          <w:rFonts w:hint="eastAsia"/>
          <w:sz w:val="24"/>
          <w:szCs w:val="24"/>
          <w:lang w:val="en-US" w:eastAsia="zh-CN"/>
        </w:rPr>
        <w:t>7</w:t>
      </w:r>
      <w:r>
        <w:rPr>
          <w:rFonts w:hint="eastAsia"/>
          <w:sz w:val="24"/>
          <w:szCs w:val="24"/>
        </w:rPr>
        <w:t>。</w:t>
      </w:r>
    </w:p>
    <w:p>
      <w:pPr>
        <w:pStyle w:val="10"/>
        <w:keepNext/>
        <w:rPr>
          <w:sz w:val="24"/>
          <w:szCs w:val="24"/>
        </w:rPr>
      </w:pPr>
      <w:bookmarkStart w:id="43" w:name="_Ref526686000"/>
      <w:r>
        <w:rPr>
          <w:rFonts w:hint="eastAsia"/>
          <w:sz w:val="24"/>
          <w:szCs w:val="24"/>
        </w:rPr>
        <w:t xml:space="preserve">表 </w:t>
      </w:r>
      <w:r>
        <w:rPr>
          <w:sz w:val="24"/>
          <w:szCs w:val="24"/>
        </w:rPr>
        <w:fldChar w:fldCharType="begin"/>
      </w:r>
      <w:r>
        <w:rPr>
          <w:sz w:val="24"/>
          <w:szCs w:val="24"/>
        </w:rPr>
        <w:instrText xml:space="preserve"> </w:instrText>
      </w:r>
      <w:r>
        <w:rPr>
          <w:rFonts w:hint="eastAsia"/>
          <w:sz w:val="24"/>
          <w:szCs w:val="24"/>
        </w:rPr>
        <w:instrText xml:space="preserve">STYLEREF 1 \s</w:instrText>
      </w:r>
      <w:r>
        <w:rPr>
          <w:sz w:val="24"/>
          <w:szCs w:val="24"/>
        </w:rPr>
        <w:instrText xml:space="preserve"> </w:instrText>
      </w:r>
      <w:r>
        <w:rPr>
          <w:sz w:val="24"/>
          <w:szCs w:val="24"/>
        </w:rPr>
        <w:fldChar w:fldCharType="separate"/>
      </w:r>
      <w:r>
        <w:rPr>
          <w:sz w:val="24"/>
          <w:szCs w:val="24"/>
        </w:rPr>
        <w:t>3</w:t>
      </w:r>
      <w:r>
        <w:rPr>
          <w:sz w:val="24"/>
          <w:szCs w:val="24"/>
        </w:rPr>
        <w:fldChar w:fldCharType="end"/>
      </w:r>
      <w:r>
        <w:rPr>
          <w:sz w:val="24"/>
          <w:szCs w:val="24"/>
        </w:rPr>
        <w:noBreakHyphen/>
      </w:r>
      <w:bookmarkEnd w:id="43"/>
      <w:r>
        <w:rPr>
          <w:rFonts w:hint="eastAsia"/>
          <w:sz w:val="24"/>
          <w:szCs w:val="24"/>
          <w:lang w:val="en-US" w:eastAsia="zh-CN"/>
        </w:rPr>
        <w:t>17</w:t>
      </w:r>
      <w:r>
        <w:rPr>
          <w:rFonts w:hint="eastAsia"/>
          <w:sz w:val="24"/>
          <w:szCs w:val="24"/>
        </w:rPr>
        <w:t>大气环境风险防控措施及突发大气环境事件发生情况评估表</w:t>
      </w:r>
    </w:p>
    <w:tbl>
      <w:tblPr>
        <w:tblStyle w:val="18"/>
        <w:tblW w:w="5000" w:type="pct"/>
        <w:jc w:val="cente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Layout w:type="autofit"/>
        <w:tblCellMar>
          <w:top w:w="0" w:type="dxa"/>
          <w:left w:w="28" w:type="dxa"/>
          <w:bottom w:w="0" w:type="dxa"/>
          <w:right w:w="28" w:type="dxa"/>
        </w:tblCellMar>
      </w:tblPr>
      <w:tblGrid>
        <w:gridCol w:w="1848"/>
        <w:gridCol w:w="5503"/>
        <w:gridCol w:w="845"/>
        <w:gridCol w:w="988"/>
      </w:tblGrid>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28" w:type="dxa"/>
            <w:bottom w:w="0" w:type="dxa"/>
            <w:right w:w="28" w:type="dxa"/>
          </w:tblCellMar>
        </w:tblPrEx>
        <w:trPr>
          <w:trHeight w:val="425" w:hRule="atLeast"/>
          <w:tblHeader/>
          <w:jc w:val="center"/>
        </w:trPr>
        <w:tc>
          <w:tcPr>
            <w:tcW w:w="1006" w:type="pct"/>
            <w:vAlign w:val="center"/>
          </w:tcPr>
          <w:p>
            <w:pPr>
              <w:autoSpaceDE w:val="0"/>
              <w:autoSpaceDN w:val="0"/>
              <w:adjustRightInd w:val="0"/>
              <w:snapToGrid w:val="0"/>
              <w:spacing w:line="240" w:lineRule="auto"/>
              <w:ind w:firstLine="0" w:firstLineChars="0"/>
              <w:jc w:val="center"/>
              <w:rPr>
                <w:rFonts w:cs="Times New Roman"/>
                <w:bCs/>
                <w:sz w:val="21"/>
                <w:szCs w:val="21"/>
              </w:rPr>
            </w:pPr>
            <w:r>
              <w:rPr>
                <w:rFonts w:cs="Times New Roman"/>
                <w:bCs/>
                <w:sz w:val="21"/>
                <w:szCs w:val="21"/>
              </w:rPr>
              <w:t>评估指标</w:t>
            </w:r>
          </w:p>
        </w:tc>
        <w:tc>
          <w:tcPr>
            <w:tcW w:w="2996" w:type="pct"/>
            <w:vAlign w:val="center"/>
          </w:tcPr>
          <w:p>
            <w:pPr>
              <w:autoSpaceDE w:val="0"/>
              <w:autoSpaceDN w:val="0"/>
              <w:adjustRightInd w:val="0"/>
              <w:snapToGrid w:val="0"/>
              <w:spacing w:line="240" w:lineRule="auto"/>
              <w:ind w:firstLine="0" w:firstLineChars="0"/>
              <w:jc w:val="center"/>
              <w:rPr>
                <w:rFonts w:cs="Times New Roman"/>
                <w:bCs/>
                <w:sz w:val="21"/>
                <w:szCs w:val="21"/>
              </w:rPr>
            </w:pPr>
            <w:r>
              <w:rPr>
                <w:rFonts w:cs="Times New Roman"/>
                <w:bCs/>
                <w:sz w:val="21"/>
                <w:szCs w:val="21"/>
              </w:rPr>
              <w:t>评估依据</w:t>
            </w:r>
          </w:p>
        </w:tc>
        <w:tc>
          <w:tcPr>
            <w:tcW w:w="460" w:type="pct"/>
            <w:vAlign w:val="center"/>
          </w:tcPr>
          <w:p>
            <w:pPr>
              <w:autoSpaceDE w:val="0"/>
              <w:autoSpaceDN w:val="0"/>
              <w:adjustRightInd w:val="0"/>
              <w:snapToGrid w:val="0"/>
              <w:spacing w:line="240" w:lineRule="auto"/>
              <w:ind w:firstLine="0" w:firstLineChars="0"/>
              <w:jc w:val="center"/>
              <w:rPr>
                <w:rFonts w:cs="Times New Roman"/>
                <w:bCs/>
                <w:sz w:val="21"/>
                <w:szCs w:val="21"/>
              </w:rPr>
            </w:pPr>
            <w:r>
              <w:rPr>
                <w:rFonts w:cs="Times New Roman"/>
                <w:bCs/>
                <w:sz w:val="21"/>
                <w:szCs w:val="21"/>
              </w:rPr>
              <w:t>分值</w:t>
            </w:r>
          </w:p>
        </w:tc>
        <w:tc>
          <w:tcPr>
            <w:tcW w:w="538" w:type="pct"/>
            <w:vAlign w:val="center"/>
          </w:tcPr>
          <w:p>
            <w:pPr>
              <w:autoSpaceDE w:val="0"/>
              <w:autoSpaceDN w:val="0"/>
              <w:adjustRightInd w:val="0"/>
              <w:snapToGrid w:val="0"/>
              <w:spacing w:line="240" w:lineRule="auto"/>
              <w:ind w:firstLine="0" w:firstLineChars="0"/>
              <w:jc w:val="center"/>
              <w:rPr>
                <w:rFonts w:cs="Times New Roman"/>
                <w:bCs/>
                <w:sz w:val="21"/>
                <w:szCs w:val="21"/>
              </w:rPr>
            </w:pPr>
            <w:r>
              <w:rPr>
                <w:rFonts w:cs="Times New Roman"/>
                <w:bCs/>
                <w:sz w:val="21"/>
                <w:szCs w:val="21"/>
              </w:rPr>
              <w:t>评分分数</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28" w:type="dxa"/>
            <w:bottom w:w="0" w:type="dxa"/>
            <w:right w:w="28" w:type="dxa"/>
          </w:tblCellMar>
        </w:tblPrEx>
        <w:trPr>
          <w:trHeight w:val="425" w:hRule="atLeast"/>
          <w:jc w:val="center"/>
        </w:trPr>
        <w:tc>
          <w:tcPr>
            <w:tcW w:w="1006"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毒性气体泄漏监控预警措施</w:t>
            </w:r>
          </w:p>
        </w:tc>
        <w:tc>
          <w:tcPr>
            <w:tcW w:w="2996" w:type="pct"/>
            <w:vAlign w:val="center"/>
          </w:tcPr>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（1）</w:t>
            </w:r>
            <w:r>
              <w:rPr>
                <w:rFonts w:cs="Times New Roman"/>
                <w:sz w:val="21"/>
                <w:szCs w:val="21"/>
              </w:rPr>
              <w:t>不涉及有毒有害气体的；或</w:t>
            </w:r>
          </w:p>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（2）</w:t>
            </w:r>
            <w:r>
              <w:rPr>
                <w:rFonts w:cs="Times New Roman"/>
                <w:sz w:val="21"/>
                <w:szCs w:val="21"/>
              </w:rPr>
              <w:t>根据实际情况，具有针对有毒有害气体（如硫化氢、氰化氢、氯化氢、光气、氯气、氨气、苯等）厂界泄漏监控预警</w:t>
            </w:r>
            <w:r>
              <w:rPr>
                <w:rFonts w:hint="eastAsia" w:cs="Times New Roman"/>
                <w:sz w:val="21"/>
                <w:szCs w:val="21"/>
              </w:rPr>
              <w:t>系统的</w:t>
            </w:r>
            <w:r>
              <w:rPr>
                <w:rFonts w:cs="Times New Roman"/>
                <w:sz w:val="21"/>
                <w:szCs w:val="21"/>
              </w:rPr>
              <w:t>。</w:t>
            </w:r>
          </w:p>
        </w:tc>
        <w:tc>
          <w:tcPr>
            <w:tcW w:w="460"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tc>
        <w:tc>
          <w:tcPr>
            <w:tcW w:w="538"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28" w:type="dxa"/>
            <w:bottom w:w="0" w:type="dxa"/>
            <w:right w:w="28" w:type="dxa"/>
          </w:tblCellMar>
        </w:tblPrEx>
        <w:trPr>
          <w:trHeight w:val="425" w:hRule="atLeast"/>
          <w:jc w:val="center"/>
        </w:trPr>
        <w:tc>
          <w:tcPr>
            <w:tcW w:w="1006"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2996" w:type="pct"/>
            <w:vAlign w:val="center"/>
          </w:tcPr>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不具备生产区域或厂界有毒有害气体泄漏监控预警措施的。</w:t>
            </w:r>
          </w:p>
        </w:tc>
        <w:tc>
          <w:tcPr>
            <w:tcW w:w="460"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25</w:t>
            </w:r>
          </w:p>
        </w:tc>
        <w:tc>
          <w:tcPr>
            <w:tcW w:w="538"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28" w:type="dxa"/>
            <w:bottom w:w="0" w:type="dxa"/>
            <w:right w:w="28" w:type="dxa"/>
          </w:tblCellMar>
        </w:tblPrEx>
        <w:trPr>
          <w:trHeight w:val="425" w:hRule="atLeast"/>
          <w:jc w:val="center"/>
        </w:trPr>
        <w:tc>
          <w:tcPr>
            <w:tcW w:w="1006"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符合防护距离情况</w:t>
            </w:r>
          </w:p>
        </w:tc>
        <w:tc>
          <w:tcPr>
            <w:tcW w:w="2996" w:type="pct"/>
            <w:vAlign w:val="center"/>
          </w:tcPr>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符合环评及批复防护距离要求的</w:t>
            </w:r>
          </w:p>
        </w:tc>
        <w:tc>
          <w:tcPr>
            <w:tcW w:w="460"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tc>
        <w:tc>
          <w:tcPr>
            <w:tcW w:w="538"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28" w:type="dxa"/>
            <w:bottom w:w="0" w:type="dxa"/>
            <w:right w:w="28" w:type="dxa"/>
          </w:tblCellMar>
        </w:tblPrEx>
        <w:trPr>
          <w:trHeight w:val="425" w:hRule="atLeast"/>
          <w:jc w:val="center"/>
        </w:trPr>
        <w:tc>
          <w:tcPr>
            <w:tcW w:w="1006"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2996" w:type="pct"/>
            <w:vAlign w:val="center"/>
          </w:tcPr>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不符合环评及批复防护距离要求的</w:t>
            </w:r>
          </w:p>
        </w:tc>
        <w:tc>
          <w:tcPr>
            <w:tcW w:w="460"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25</w:t>
            </w:r>
          </w:p>
        </w:tc>
        <w:tc>
          <w:tcPr>
            <w:tcW w:w="538"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28" w:type="dxa"/>
            <w:bottom w:w="0" w:type="dxa"/>
            <w:right w:w="28" w:type="dxa"/>
          </w:tblCellMar>
        </w:tblPrEx>
        <w:trPr>
          <w:trHeight w:val="425" w:hRule="atLeast"/>
          <w:jc w:val="center"/>
        </w:trPr>
        <w:tc>
          <w:tcPr>
            <w:tcW w:w="1006"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近3年内突发大气环境事件情况</w:t>
            </w:r>
          </w:p>
        </w:tc>
        <w:tc>
          <w:tcPr>
            <w:tcW w:w="2996" w:type="pct"/>
            <w:vAlign w:val="center"/>
          </w:tcPr>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发生过特别重大或重大</w:t>
            </w:r>
            <w:r>
              <w:rPr>
                <w:rFonts w:hint="eastAsia" w:cs="Times New Roman"/>
                <w:sz w:val="21"/>
                <w:szCs w:val="21"/>
              </w:rPr>
              <w:t>等</w:t>
            </w:r>
            <w:r>
              <w:rPr>
                <w:rFonts w:cs="Times New Roman"/>
                <w:sz w:val="21"/>
                <w:szCs w:val="21"/>
              </w:rPr>
              <w:t>级突发大气事件的</w:t>
            </w:r>
          </w:p>
        </w:tc>
        <w:tc>
          <w:tcPr>
            <w:tcW w:w="460"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20</w:t>
            </w:r>
          </w:p>
        </w:tc>
        <w:tc>
          <w:tcPr>
            <w:tcW w:w="538"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hint="eastAsia" w:cs="Times New Roman"/>
                <w:sz w:val="21"/>
                <w:szCs w:val="21"/>
              </w:rPr>
              <w:t>0</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28" w:type="dxa"/>
            <w:bottom w:w="0" w:type="dxa"/>
            <w:right w:w="28" w:type="dxa"/>
          </w:tblCellMar>
        </w:tblPrEx>
        <w:trPr>
          <w:trHeight w:val="425" w:hRule="atLeast"/>
          <w:jc w:val="center"/>
        </w:trPr>
        <w:tc>
          <w:tcPr>
            <w:tcW w:w="1006"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2996" w:type="pct"/>
            <w:vAlign w:val="center"/>
          </w:tcPr>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发生过较大</w:t>
            </w:r>
            <w:r>
              <w:rPr>
                <w:rFonts w:hint="eastAsia" w:cs="Times New Roman"/>
                <w:sz w:val="21"/>
                <w:szCs w:val="21"/>
              </w:rPr>
              <w:t>等级2</w:t>
            </w:r>
            <w:r>
              <w:rPr>
                <w:rFonts w:cs="Times New Roman"/>
                <w:sz w:val="21"/>
                <w:szCs w:val="21"/>
              </w:rPr>
              <w:t>突发大气事件的</w:t>
            </w:r>
          </w:p>
        </w:tc>
        <w:tc>
          <w:tcPr>
            <w:tcW w:w="460"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15</w:t>
            </w:r>
          </w:p>
        </w:tc>
        <w:tc>
          <w:tcPr>
            <w:tcW w:w="538"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28" w:type="dxa"/>
            <w:bottom w:w="0" w:type="dxa"/>
            <w:right w:w="28" w:type="dxa"/>
          </w:tblCellMar>
        </w:tblPrEx>
        <w:trPr>
          <w:trHeight w:val="425" w:hRule="atLeast"/>
          <w:jc w:val="center"/>
        </w:trPr>
        <w:tc>
          <w:tcPr>
            <w:tcW w:w="1006"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2996" w:type="pct"/>
            <w:vAlign w:val="center"/>
          </w:tcPr>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发生过一般等级突发大气事件的</w:t>
            </w:r>
          </w:p>
        </w:tc>
        <w:tc>
          <w:tcPr>
            <w:tcW w:w="460"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10</w:t>
            </w:r>
          </w:p>
        </w:tc>
        <w:tc>
          <w:tcPr>
            <w:tcW w:w="538"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28" w:type="dxa"/>
            <w:bottom w:w="0" w:type="dxa"/>
            <w:right w:w="28" w:type="dxa"/>
          </w:tblCellMar>
        </w:tblPrEx>
        <w:trPr>
          <w:trHeight w:val="425" w:hRule="atLeast"/>
          <w:jc w:val="center"/>
        </w:trPr>
        <w:tc>
          <w:tcPr>
            <w:tcW w:w="1006"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2996" w:type="pct"/>
            <w:vAlign w:val="center"/>
          </w:tcPr>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未发生过突发大气环境事件的</w:t>
            </w:r>
          </w:p>
        </w:tc>
        <w:tc>
          <w:tcPr>
            <w:tcW w:w="460"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tc>
        <w:tc>
          <w:tcPr>
            <w:tcW w:w="538"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28" w:type="dxa"/>
            <w:bottom w:w="0" w:type="dxa"/>
            <w:right w:w="28" w:type="dxa"/>
          </w:tblCellMar>
        </w:tblPrEx>
        <w:trPr>
          <w:trHeight w:val="425" w:hRule="atLeast"/>
          <w:jc w:val="center"/>
        </w:trPr>
        <w:tc>
          <w:tcPr>
            <w:tcW w:w="4462" w:type="pct"/>
            <w:gridSpan w:val="3"/>
            <w:vAlign w:val="center"/>
          </w:tcPr>
          <w:p>
            <w:pPr>
              <w:autoSpaceDE w:val="0"/>
              <w:autoSpaceDN w:val="0"/>
              <w:adjustRightInd w:val="0"/>
              <w:snapToGrid w:val="0"/>
              <w:spacing w:line="240" w:lineRule="auto"/>
              <w:ind w:firstLine="0" w:firstLineChars="0"/>
              <w:jc w:val="center"/>
              <w:rPr>
                <w:rFonts w:cs="Times New Roman"/>
                <w:sz w:val="21"/>
                <w:szCs w:val="21"/>
              </w:rPr>
            </w:pPr>
            <w:r>
              <w:rPr>
                <w:rFonts w:hint="eastAsia" w:cs="Times New Roman"/>
                <w:sz w:val="21"/>
                <w:szCs w:val="21"/>
              </w:rPr>
              <w:t>合计</w:t>
            </w:r>
          </w:p>
        </w:tc>
        <w:tc>
          <w:tcPr>
            <w:tcW w:w="538"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hint="eastAsia" w:cs="Times New Roman"/>
                <w:sz w:val="21"/>
                <w:szCs w:val="21"/>
              </w:rPr>
              <w:t>0</w:t>
            </w:r>
          </w:p>
        </w:tc>
      </w:tr>
    </w:tbl>
    <w:p>
      <w:pPr>
        <w:pStyle w:val="9"/>
        <w:rPr>
          <w:sz w:val="24"/>
          <w:szCs w:val="24"/>
        </w:rPr>
      </w:pPr>
      <w:bookmarkStart w:id="44" w:name="_Ref526864575"/>
      <w:r>
        <w:rPr>
          <w:rFonts w:hint="eastAsia"/>
          <w:sz w:val="24"/>
          <w:szCs w:val="24"/>
        </w:rPr>
        <w:t>水环境风险防控措施评估</w:t>
      </w:r>
      <w:bookmarkEnd w:id="44"/>
    </w:p>
    <w:p>
      <w:pPr>
        <w:ind w:firstLine="560"/>
        <w:rPr>
          <w:sz w:val="24"/>
          <w:szCs w:val="24"/>
        </w:rPr>
      </w:pPr>
      <w:bookmarkStart w:id="45" w:name="_Hlk526951007"/>
      <w:r>
        <w:rPr>
          <w:rFonts w:hint="eastAsia"/>
          <w:sz w:val="24"/>
          <w:szCs w:val="24"/>
        </w:rPr>
        <w:t>对照《企业突发环境事件风险分级方法》（HJ 941-2018）中表6，对企业水环境风险防控措施及突发水环境事件发生情况进行评估。对各项评估指标分别</w:t>
      </w:r>
      <w:r>
        <w:rPr>
          <w:rFonts w:hint="eastAsia"/>
          <w:sz w:val="24"/>
          <w:szCs w:val="24"/>
          <w:lang w:eastAsia="zh-CN"/>
        </w:rPr>
        <w:t>评</w:t>
      </w:r>
      <w:r>
        <w:rPr>
          <w:rFonts w:hint="eastAsia"/>
          <w:sz w:val="24"/>
          <w:szCs w:val="24"/>
        </w:rPr>
        <w:t>分，计算总和，评估结果</w:t>
      </w:r>
      <w:bookmarkEnd w:id="45"/>
      <w:r>
        <w:rPr>
          <w:rFonts w:hint="eastAsia"/>
          <w:sz w:val="24"/>
          <w:szCs w:val="24"/>
        </w:rPr>
        <w:t>详见</w:t>
      </w:r>
      <w:r>
        <w:rPr>
          <w:sz w:val="24"/>
          <w:szCs w:val="24"/>
        </w:rPr>
        <w:fldChar w:fldCharType="begin"/>
      </w:r>
      <w:r>
        <w:rPr>
          <w:sz w:val="24"/>
          <w:szCs w:val="24"/>
        </w:rPr>
        <w:instrText xml:space="preserve"> </w:instrText>
      </w:r>
      <w:r>
        <w:rPr>
          <w:rFonts w:hint="eastAsia"/>
          <w:sz w:val="24"/>
          <w:szCs w:val="24"/>
        </w:rPr>
        <w:instrText xml:space="preserve">REF _Ref526864681 \h</w:instrText>
      </w:r>
      <w:r>
        <w:rPr>
          <w:sz w:val="24"/>
          <w:szCs w:val="24"/>
        </w:rPr>
        <w:instrText xml:space="preserve"> </w:instrText>
      </w:r>
      <w:r>
        <w:rPr>
          <w:sz w:val="24"/>
          <w:szCs w:val="24"/>
        </w:rPr>
        <w:fldChar w:fldCharType="separate"/>
      </w:r>
      <w:r>
        <w:rPr>
          <w:rFonts w:hint="eastAsia"/>
          <w:sz w:val="24"/>
          <w:szCs w:val="24"/>
        </w:rPr>
        <w:t xml:space="preserve">表 </w:t>
      </w:r>
      <w:r>
        <w:rPr>
          <w:sz w:val="24"/>
          <w:szCs w:val="24"/>
        </w:rPr>
        <w:t>3</w:t>
      </w:r>
      <w:r>
        <w:rPr>
          <w:sz w:val="24"/>
          <w:szCs w:val="24"/>
        </w:rPr>
        <w:noBreakHyphen/>
      </w:r>
      <w:r>
        <w:rPr>
          <w:sz w:val="24"/>
          <w:szCs w:val="24"/>
        </w:rPr>
        <w:t>1</w:t>
      </w:r>
      <w:r>
        <w:rPr>
          <w:rFonts w:hint="eastAsia"/>
          <w:sz w:val="24"/>
          <w:szCs w:val="24"/>
          <w:lang w:val="en-US" w:eastAsia="zh-CN"/>
        </w:rPr>
        <w:t>8</w:t>
      </w:r>
      <w:r>
        <w:rPr>
          <w:sz w:val="24"/>
          <w:szCs w:val="24"/>
        </w:rPr>
        <w:fldChar w:fldCharType="end"/>
      </w:r>
      <w:r>
        <w:rPr>
          <w:rFonts w:hint="eastAsia"/>
          <w:sz w:val="24"/>
          <w:szCs w:val="24"/>
        </w:rPr>
        <w:t>。</w:t>
      </w:r>
    </w:p>
    <w:p>
      <w:pPr>
        <w:pStyle w:val="10"/>
        <w:keepNext/>
        <w:rPr>
          <w:sz w:val="24"/>
          <w:szCs w:val="24"/>
        </w:rPr>
      </w:pPr>
      <w:bookmarkStart w:id="46" w:name="_Ref526864681"/>
      <w:r>
        <w:rPr>
          <w:rFonts w:hint="eastAsia"/>
          <w:sz w:val="24"/>
          <w:szCs w:val="24"/>
        </w:rPr>
        <w:t xml:space="preserve">表 </w:t>
      </w:r>
      <w:r>
        <w:rPr>
          <w:sz w:val="24"/>
          <w:szCs w:val="24"/>
        </w:rPr>
        <w:fldChar w:fldCharType="begin"/>
      </w:r>
      <w:r>
        <w:rPr>
          <w:sz w:val="24"/>
          <w:szCs w:val="24"/>
        </w:rPr>
        <w:instrText xml:space="preserve"> </w:instrText>
      </w:r>
      <w:r>
        <w:rPr>
          <w:rFonts w:hint="eastAsia"/>
          <w:sz w:val="24"/>
          <w:szCs w:val="24"/>
        </w:rPr>
        <w:instrText xml:space="preserve">STYLEREF 1 \s</w:instrText>
      </w:r>
      <w:r>
        <w:rPr>
          <w:sz w:val="24"/>
          <w:szCs w:val="24"/>
        </w:rPr>
        <w:instrText xml:space="preserve"> </w:instrText>
      </w:r>
      <w:r>
        <w:rPr>
          <w:sz w:val="24"/>
          <w:szCs w:val="24"/>
        </w:rPr>
        <w:fldChar w:fldCharType="separate"/>
      </w:r>
      <w:r>
        <w:rPr>
          <w:sz w:val="24"/>
          <w:szCs w:val="24"/>
        </w:rPr>
        <w:t>3</w:t>
      </w:r>
      <w:r>
        <w:rPr>
          <w:sz w:val="24"/>
          <w:szCs w:val="24"/>
        </w:rPr>
        <w:fldChar w:fldCharType="end"/>
      </w:r>
      <w:r>
        <w:rPr>
          <w:sz w:val="24"/>
          <w:szCs w:val="24"/>
        </w:rPr>
        <w:noBreakHyphen/>
      </w:r>
      <w:r>
        <w:rPr>
          <w:sz w:val="24"/>
          <w:szCs w:val="24"/>
        </w:rPr>
        <w:fldChar w:fldCharType="begin"/>
      </w:r>
      <w:r>
        <w:rPr>
          <w:sz w:val="24"/>
          <w:szCs w:val="24"/>
        </w:rPr>
        <w:instrText xml:space="preserve"> </w:instrText>
      </w:r>
      <w:r>
        <w:rPr>
          <w:rFonts w:hint="eastAsia"/>
          <w:sz w:val="24"/>
          <w:szCs w:val="24"/>
        </w:rPr>
        <w:instrText xml:space="preserve">SEQ 表 \* ARABIC \s 1</w:instrText>
      </w:r>
      <w:r>
        <w:rPr>
          <w:sz w:val="24"/>
          <w:szCs w:val="24"/>
        </w:rPr>
        <w:instrText xml:space="preserve"> </w:instrText>
      </w:r>
      <w:r>
        <w:rPr>
          <w:sz w:val="24"/>
          <w:szCs w:val="24"/>
        </w:rPr>
        <w:fldChar w:fldCharType="separate"/>
      </w:r>
      <w:r>
        <w:rPr>
          <w:sz w:val="24"/>
          <w:szCs w:val="24"/>
        </w:rPr>
        <w:t>1</w:t>
      </w:r>
      <w:r>
        <w:rPr>
          <w:rFonts w:hint="eastAsia"/>
          <w:sz w:val="24"/>
          <w:szCs w:val="24"/>
          <w:lang w:val="en-US" w:eastAsia="zh-CN"/>
        </w:rPr>
        <w:t>8</w:t>
      </w:r>
      <w:r>
        <w:rPr>
          <w:sz w:val="24"/>
          <w:szCs w:val="24"/>
        </w:rPr>
        <w:fldChar w:fldCharType="end"/>
      </w:r>
      <w:bookmarkEnd w:id="46"/>
      <w:r>
        <w:rPr>
          <w:rFonts w:hint="eastAsia"/>
          <w:sz w:val="24"/>
          <w:szCs w:val="24"/>
        </w:rPr>
        <w:t>水环境风险防控措施及突发大气环境事件发生情况评估表</w:t>
      </w:r>
    </w:p>
    <w:tbl>
      <w:tblPr>
        <w:tblStyle w:val="18"/>
        <w:tblW w:w="5000" w:type="pct"/>
        <w:jc w:val="cente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Layout w:type="autofit"/>
        <w:tblCellMar>
          <w:top w:w="0" w:type="dxa"/>
          <w:left w:w="28" w:type="dxa"/>
          <w:bottom w:w="0" w:type="dxa"/>
          <w:right w:w="28" w:type="dxa"/>
        </w:tblCellMar>
      </w:tblPr>
      <w:tblGrid>
        <w:gridCol w:w="1272"/>
        <w:gridCol w:w="6150"/>
        <w:gridCol w:w="858"/>
        <w:gridCol w:w="904"/>
      </w:tblGrid>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28" w:type="dxa"/>
            <w:bottom w:w="0" w:type="dxa"/>
            <w:right w:w="28" w:type="dxa"/>
          </w:tblCellMar>
        </w:tblPrEx>
        <w:trPr>
          <w:trHeight w:val="425" w:hRule="atLeast"/>
          <w:tblHeader/>
          <w:jc w:val="center"/>
        </w:trPr>
        <w:tc>
          <w:tcPr>
            <w:tcW w:w="693"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评估指标</w:t>
            </w:r>
          </w:p>
        </w:tc>
        <w:tc>
          <w:tcPr>
            <w:tcW w:w="3348"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评估依据</w:t>
            </w:r>
          </w:p>
        </w:tc>
        <w:tc>
          <w:tcPr>
            <w:tcW w:w="467"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分值</w:t>
            </w:r>
          </w:p>
        </w:tc>
        <w:tc>
          <w:tcPr>
            <w:tcW w:w="492"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评分分值</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28" w:type="dxa"/>
            <w:bottom w:w="0" w:type="dxa"/>
            <w:right w:w="28" w:type="dxa"/>
          </w:tblCellMar>
        </w:tblPrEx>
        <w:trPr>
          <w:trHeight w:val="425" w:hRule="atLeast"/>
          <w:jc w:val="center"/>
        </w:trPr>
        <w:tc>
          <w:tcPr>
            <w:tcW w:w="693"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截流措施</w:t>
            </w:r>
          </w:p>
        </w:tc>
        <w:tc>
          <w:tcPr>
            <w:tcW w:w="3348" w:type="pct"/>
            <w:vAlign w:val="center"/>
          </w:tcPr>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w:t>
            </w:r>
            <w:r>
              <w:rPr>
                <w:rFonts w:cs="Times New Roman"/>
                <w:sz w:val="21"/>
                <w:szCs w:val="21"/>
              </w:rPr>
              <w:t>1</w:t>
            </w:r>
            <w:r>
              <w:rPr>
                <w:rFonts w:hint="eastAsia" w:cs="Times New Roman"/>
                <w:sz w:val="21"/>
                <w:szCs w:val="21"/>
              </w:rPr>
              <w:t>）</w:t>
            </w:r>
            <w:r>
              <w:rPr>
                <w:rFonts w:cs="Times New Roman"/>
                <w:sz w:val="21"/>
                <w:szCs w:val="21"/>
              </w:rPr>
              <w:t>环境风险单元设防渗漏、防腐蚀、防淋溶、防流失措施</w:t>
            </w:r>
            <w:r>
              <w:rPr>
                <w:rFonts w:hint="eastAsia" w:cs="Times New Roman"/>
                <w:sz w:val="21"/>
                <w:szCs w:val="21"/>
              </w:rPr>
              <w:t>；且</w:t>
            </w:r>
          </w:p>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（2）</w:t>
            </w:r>
            <w:r>
              <w:rPr>
                <w:rFonts w:cs="Times New Roman"/>
                <w:sz w:val="21"/>
                <w:szCs w:val="21"/>
              </w:rPr>
              <w:t>装置围堰与罐区防火堤（围堰）外设排水切换阀，正常情况下通向雨水系统的阀门关闭，通向事故存液池、应急事故水池、清净</w:t>
            </w:r>
            <w:r>
              <w:rPr>
                <w:rFonts w:hint="eastAsia" w:cs="Times New Roman"/>
                <w:sz w:val="21"/>
                <w:szCs w:val="21"/>
              </w:rPr>
              <w:t>废水</w:t>
            </w:r>
            <w:r>
              <w:rPr>
                <w:rFonts w:cs="Times New Roman"/>
                <w:sz w:val="21"/>
                <w:szCs w:val="21"/>
              </w:rPr>
              <w:t>排放缓冲池或污水处理系统的阀门打开；且</w:t>
            </w:r>
          </w:p>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（3）</w:t>
            </w:r>
            <w:r>
              <w:rPr>
                <w:rFonts w:cs="Times New Roman"/>
                <w:sz w:val="21"/>
                <w:szCs w:val="21"/>
              </w:rPr>
              <w:t>前述措施日常管理及维护良好，有专人负责阀门切换</w:t>
            </w:r>
            <w:r>
              <w:rPr>
                <w:rFonts w:hint="eastAsia" w:cs="Times New Roman"/>
                <w:sz w:val="21"/>
                <w:szCs w:val="21"/>
              </w:rPr>
              <w:t>或设置自动切换设施</w:t>
            </w:r>
            <w:r>
              <w:rPr>
                <w:rFonts w:cs="Times New Roman"/>
                <w:sz w:val="21"/>
                <w:szCs w:val="21"/>
              </w:rPr>
              <w:t>，保证初期雨水、泄漏物和受污染的消防水排入污水系统。</w:t>
            </w:r>
          </w:p>
        </w:tc>
        <w:tc>
          <w:tcPr>
            <w:tcW w:w="467"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tc>
        <w:tc>
          <w:tcPr>
            <w:tcW w:w="492" w:type="pct"/>
            <w:vMerge w:val="restart"/>
            <w:vAlign w:val="center"/>
          </w:tcPr>
          <w:p>
            <w:pPr>
              <w:autoSpaceDE w:val="0"/>
              <w:autoSpaceDN w:val="0"/>
              <w:adjustRightInd w:val="0"/>
              <w:snapToGrid w:val="0"/>
              <w:spacing w:line="240" w:lineRule="auto"/>
              <w:ind w:firstLine="0" w:firstLineChars="0"/>
              <w:jc w:val="center"/>
              <w:rPr>
                <w:rFonts w:hint="eastAsia" w:eastAsia="宋体" w:cs="Times New Roman"/>
                <w:sz w:val="21"/>
                <w:szCs w:val="21"/>
                <w:lang w:eastAsia="zh-CN"/>
              </w:rPr>
            </w:pPr>
            <w:r>
              <w:rPr>
                <w:rFonts w:hint="eastAsia" w:cs="Times New Roman"/>
                <w:sz w:val="21"/>
                <w:szCs w:val="21"/>
                <w:lang w:val="en-US" w:eastAsia="zh-CN"/>
              </w:rPr>
              <w:t>0</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28" w:type="dxa"/>
            <w:bottom w:w="0" w:type="dxa"/>
            <w:right w:w="28" w:type="dxa"/>
          </w:tblCellMar>
        </w:tblPrEx>
        <w:trPr>
          <w:trHeight w:val="425" w:hRule="atLeast"/>
          <w:jc w:val="center"/>
        </w:trPr>
        <w:tc>
          <w:tcPr>
            <w:tcW w:w="693"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3348" w:type="pct"/>
            <w:vAlign w:val="center"/>
          </w:tcPr>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有任意一个环境风险单元（包括可能发生液体泄漏或产生液体泄漏物的危险废物贮存场所）的截流措施不符合上述任意一条要求的</w:t>
            </w:r>
          </w:p>
        </w:tc>
        <w:tc>
          <w:tcPr>
            <w:tcW w:w="467"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8</w:t>
            </w:r>
          </w:p>
        </w:tc>
        <w:tc>
          <w:tcPr>
            <w:tcW w:w="492"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28" w:type="dxa"/>
            <w:bottom w:w="0" w:type="dxa"/>
            <w:right w:w="28" w:type="dxa"/>
          </w:tblCellMar>
        </w:tblPrEx>
        <w:trPr>
          <w:trHeight w:val="425" w:hRule="atLeast"/>
          <w:jc w:val="center"/>
        </w:trPr>
        <w:tc>
          <w:tcPr>
            <w:tcW w:w="693"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事故排水收集措施</w:t>
            </w:r>
          </w:p>
        </w:tc>
        <w:tc>
          <w:tcPr>
            <w:tcW w:w="3348" w:type="pct"/>
            <w:vAlign w:val="center"/>
          </w:tcPr>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（1）按相关设计规范设置应急事故水池、事故存液池或清净废水排放缓冲池等事故排水收集设施，并根据相关设计规范、下游环境风险受体敏感程度和易发生极端天气情况，设计事故排水收集设施的容量；且</w:t>
            </w:r>
          </w:p>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（2）确保事故排水收集设施在事故状态下能顺利收集泄漏物和消防水，日常保持足够的事故排水缓冲容量；且</w:t>
            </w:r>
          </w:p>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（3）通过协议单位或自建管线，能将所收集废水送至厂区内污水处理设施处理</w:t>
            </w:r>
            <w:r>
              <w:rPr>
                <w:rFonts w:cs="Times New Roman"/>
                <w:sz w:val="21"/>
                <w:szCs w:val="21"/>
              </w:rPr>
              <w:t>。</w:t>
            </w:r>
          </w:p>
        </w:tc>
        <w:tc>
          <w:tcPr>
            <w:tcW w:w="467"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tc>
        <w:tc>
          <w:tcPr>
            <w:tcW w:w="492"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hint="eastAsia" w:cs="Times New Roman"/>
                <w:sz w:val="21"/>
                <w:szCs w:val="21"/>
              </w:rPr>
              <w:t>0</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28" w:type="dxa"/>
            <w:bottom w:w="0" w:type="dxa"/>
            <w:right w:w="28" w:type="dxa"/>
          </w:tblCellMar>
        </w:tblPrEx>
        <w:trPr>
          <w:trHeight w:val="425" w:hRule="atLeast"/>
          <w:jc w:val="center"/>
        </w:trPr>
        <w:tc>
          <w:tcPr>
            <w:tcW w:w="693"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3348" w:type="pct"/>
            <w:vAlign w:val="center"/>
          </w:tcPr>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有任意一个环境风险单元（包括可能发生液体泄漏或产生液体泄漏物的危险废物贮存场所）的事故排水收集措施不符合上述任意一条要求的</w:t>
            </w:r>
            <w:r>
              <w:rPr>
                <w:rFonts w:cs="Times New Roman"/>
                <w:sz w:val="21"/>
                <w:szCs w:val="21"/>
              </w:rPr>
              <w:t>。</w:t>
            </w:r>
          </w:p>
        </w:tc>
        <w:tc>
          <w:tcPr>
            <w:tcW w:w="467"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8</w:t>
            </w:r>
          </w:p>
        </w:tc>
        <w:tc>
          <w:tcPr>
            <w:tcW w:w="492"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28" w:type="dxa"/>
            <w:bottom w:w="0" w:type="dxa"/>
            <w:right w:w="28" w:type="dxa"/>
          </w:tblCellMar>
        </w:tblPrEx>
        <w:trPr>
          <w:trHeight w:val="425" w:hRule="atLeast"/>
          <w:jc w:val="center"/>
        </w:trPr>
        <w:tc>
          <w:tcPr>
            <w:tcW w:w="693"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清净下水系统防控措施</w:t>
            </w:r>
          </w:p>
        </w:tc>
        <w:tc>
          <w:tcPr>
            <w:tcW w:w="3348" w:type="pct"/>
            <w:vAlign w:val="center"/>
          </w:tcPr>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（1）</w:t>
            </w:r>
            <w:r>
              <w:rPr>
                <w:rFonts w:cs="Times New Roman"/>
                <w:sz w:val="21"/>
                <w:szCs w:val="21"/>
              </w:rPr>
              <w:t>不涉及清净</w:t>
            </w:r>
            <w:r>
              <w:rPr>
                <w:rFonts w:hint="eastAsia" w:cs="Times New Roman"/>
                <w:sz w:val="21"/>
                <w:szCs w:val="21"/>
              </w:rPr>
              <w:t>废水</w:t>
            </w:r>
            <w:r>
              <w:rPr>
                <w:rFonts w:cs="Times New Roman"/>
                <w:sz w:val="21"/>
                <w:szCs w:val="21"/>
              </w:rPr>
              <w:t>；或</w:t>
            </w:r>
          </w:p>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（2）厂区内清净废水均可排入废水处理系统；或清污分流，且清净废水系统具有下述所有措施：</w:t>
            </w:r>
          </w:p>
          <w:p>
            <w:pPr>
              <w:autoSpaceDE w:val="0"/>
              <w:autoSpaceDN w:val="0"/>
              <w:adjustRightInd w:val="0"/>
              <w:snapToGrid w:val="0"/>
              <w:spacing w:line="240" w:lineRule="auto"/>
              <w:ind w:firstLine="399" w:firstLineChars="190"/>
              <w:rPr>
                <w:rFonts w:cs="Times New Roman"/>
                <w:sz w:val="21"/>
                <w:szCs w:val="21"/>
              </w:rPr>
            </w:pPr>
            <w:r>
              <w:rPr>
                <w:rFonts w:hint="eastAsia" w:cs="Times New Roman"/>
                <w:sz w:val="21"/>
                <w:szCs w:val="21"/>
              </w:rPr>
              <w:t>①具有收集受污染的清净废水的缓冲池（或收集池），池内日常保持足够的事故排水缓冲容量；池内设有提升设施或通过自流，能将所收集物送至厂区内污水处理设施处理；且</w:t>
            </w:r>
          </w:p>
          <w:p>
            <w:pPr>
              <w:autoSpaceDE w:val="0"/>
              <w:autoSpaceDN w:val="0"/>
              <w:adjustRightInd w:val="0"/>
              <w:snapToGrid w:val="0"/>
              <w:spacing w:line="240" w:lineRule="auto"/>
              <w:ind w:firstLine="399" w:firstLineChars="190"/>
              <w:rPr>
                <w:rFonts w:cs="Times New Roman"/>
                <w:sz w:val="21"/>
                <w:szCs w:val="21"/>
              </w:rPr>
            </w:pPr>
            <w:r>
              <w:rPr>
                <w:rFonts w:hint="eastAsia" w:cs="Times New Roman"/>
                <w:sz w:val="21"/>
                <w:szCs w:val="21"/>
              </w:rPr>
              <w:t>②具有清净废水系统的总排口监视及关闭设施，有专人负责在紧急情况下关闭清净废水总排口，防止受污染的清净废水和泄漏物进入外环境。</w:t>
            </w:r>
          </w:p>
        </w:tc>
        <w:tc>
          <w:tcPr>
            <w:tcW w:w="467"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tc>
        <w:tc>
          <w:tcPr>
            <w:tcW w:w="492"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28" w:type="dxa"/>
            <w:bottom w:w="0" w:type="dxa"/>
            <w:right w:w="28" w:type="dxa"/>
          </w:tblCellMar>
        </w:tblPrEx>
        <w:trPr>
          <w:trHeight w:val="425" w:hRule="atLeast"/>
          <w:jc w:val="center"/>
        </w:trPr>
        <w:tc>
          <w:tcPr>
            <w:tcW w:w="693"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3348" w:type="pct"/>
            <w:vAlign w:val="center"/>
          </w:tcPr>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涉及清净废水，有任意一个环境风险单元的清净废水系统风险防控措施不符合上述（2）要求的。</w:t>
            </w:r>
          </w:p>
        </w:tc>
        <w:tc>
          <w:tcPr>
            <w:tcW w:w="467"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8</w:t>
            </w:r>
          </w:p>
        </w:tc>
        <w:tc>
          <w:tcPr>
            <w:tcW w:w="492"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28" w:type="dxa"/>
            <w:bottom w:w="0" w:type="dxa"/>
            <w:right w:w="28" w:type="dxa"/>
          </w:tblCellMar>
        </w:tblPrEx>
        <w:trPr>
          <w:trHeight w:val="425" w:hRule="atLeast"/>
          <w:jc w:val="center"/>
        </w:trPr>
        <w:tc>
          <w:tcPr>
            <w:tcW w:w="693"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雨排水系统防控措施</w:t>
            </w:r>
          </w:p>
        </w:tc>
        <w:tc>
          <w:tcPr>
            <w:tcW w:w="3348" w:type="pct"/>
            <w:vAlign w:val="center"/>
          </w:tcPr>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（1）厂区内雨水均进入废水处理系统；或雨污分流，且雨水排水系统具有下述所有措施：</w:t>
            </w:r>
          </w:p>
          <w:p>
            <w:pPr>
              <w:autoSpaceDE w:val="0"/>
              <w:autoSpaceDN w:val="0"/>
              <w:adjustRightInd w:val="0"/>
              <w:snapToGrid w:val="0"/>
              <w:spacing w:line="240" w:lineRule="auto"/>
              <w:ind w:firstLine="399" w:firstLineChars="190"/>
              <w:rPr>
                <w:rFonts w:cs="Times New Roman"/>
                <w:sz w:val="21"/>
                <w:szCs w:val="21"/>
              </w:rPr>
            </w:pPr>
            <w:r>
              <w:rPr>
                <w:rFonts w:hint="eastAsia" w:cs="Times New Roman"/>
                <w:sz w:val="21"/>
                <w:szCs w:val="21"/>
              </w:rPr>
              <w:t>①具有收集初期雨水的收集池或雨水监控池；池出水管上设置切断阀，正常情况下阀门关闭，防止受污染的雨水外排；池内设有提升设施或通过自流，能将所收集物送至厂区内污水处理设施处理；</w:t>
            </w:r>
          </w:p>
          <w:p>
            <w:pPr>
              <w:autoSpaceDE w:val="0"/>
              <w:autoSpaceDN w:val="0"/>
              <w:adjustRightInd w:val="0"/>
              <w:snapToGrid w:val="0"/>
              <w:spacing w:line="240" w:lineRule="auto"/>
              <w:ind w:firstLine="399" w:firstLineChars="190"/>
              <w:rPr>
                <w:rFonts w:cs="Times New Roman"/>
                <w:sz w:val="21"/>
                <w:szCs w:val="21"/>
              </w:rPr>
            </w:pPr>
            <w:r>
              <w:rPr>
                <w:rFonts w:hint="eastAsia" w:cs="Times New Roman"/>
                <w:sz w:val="21"/>
                <w:szCs w:val="21"/>
              </w:rPr>
              <w:t>②具有雨水系统总排口（含泄洪渠）监视及关闭设施，在紧急情况下有专人负责关闭雨水系统总排口（含与清净废水共用一套排水系统情况），防止雨水、消防水和泄漏物进入外环境。</w:t>
            </w:r>
          </w:p>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（2）如果有排洪沟，排洪沟不得通过生产区和罐区，或具有防止泄漏物和受污染的消防水等流入区域排洪沟的措施。</w:t>
            </w:r>
          </w:p>
        </w:tc>
        <w:tc>
          <w:tcPr>
            <w:tcW w:w="467"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tc>
        <w:tc>
          <w:tcPr>
            <w:tcW w:w="492" w:type="pct"/>
            <w:vMerge w:val="restart"/>
            <w:vAlign w:val="center"/>
          </w:tcPr>
          <w:p>
            <w:pPr>
              <w:autoSpaceDE w:val="0"/>
              <w:autoSpaceDN w:val="0"/>
              <w:adjustRightInd w:val="0"/>
              <w:snapToGrid w:val="0"/>
              <w:spacing w:line="240" w:lineRule="auto"/>
              <w:ind w:firstLine="0" w:firstLineChars="0"/>
              <w:jc w:val="center"/>
              <w:rPr>
                <w:rFonts w:hint="eastAsia" w:eastAsia="宋体" w:cs="Times New Roman"/>
                <w:sz w:val="21"/>
                <w:szCs w:val="21"/>
                <w:lang w:eastAsia="zh-CN"/>
              </w:rPr>
            </w:pPr>
            <w:r>
              <w:rPr>
                <w:rFonts w:hint="eastAsia" w:cs="Times New Roman"/>
                <w:sz w:val="21"/>
                <w:szCs w:val="21"/>
                <w:lang w:val="en-US" w:eastAsia="zh-CN"/>
              </w:rPr>
              <w:t>8</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28" w:type="dxa"/>
            <w:bottom w:w="0" w:type="dxa"/>
            <w:right w:w="28" w:type="dxa"/>
          </w:tblCellMar>
        </w:tblPrEx>
        <w:trPr>
          <w:trHeight w:val="425" w:hRule="atLeast"/>
          <w:jc w:val="center"/>
        </w:trPr>
        <w:tc>
          <w:tcPr>
            <w:tcW w:w="693"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3348" w:type="pct"/>
            <w:vAlign w:val="center"/>
          </w:tcPr>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不符合上述要求的。</w:t>
            </w:r>
          </w:p>
        </w:tc>
        <w:tc>
          <w:tcPr>
            <w:tcW w:w="467"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8</w:t>
            </w:r>
          </w:p>
        </w:tc>
        <w:tc>
          <w:tcPr>
            <w:tcW w:w="492"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28" w:type="dxa"/>
            <w:bottom w:w="0" w:type="dxa"/>
            <w:right w:w="28" w:type="dxa"/>
          </w:tblCellMar>
        </w:tblPrEx>
        <w:trPr>
          <w:trHeight w:val="425" w:hRule="atLeast"/>
          <w:jc w:val="center"/>
        </w:trPr>
        <w:tc>
          <w:tcPr>
            <w:tcW w:w="693"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生产废水处理系统防控措施</w:t>
            </w:r>
          </w:p>
        </w:tc>
        <w:tc>
          <w:tcPr>
            <w:tcW w:w="3348" w:type="pct"/>
            <w:vAlign w:val="center"/>
          </w:tcPr>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（1）无生产废水产生或外排；或</w:t>
            </w:r>
          </w:p>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（2）有废水外排时：</w:t>
            </w:r>
          </w:p>
          <w:p>
            <w:pPr>
              <w:autoSpaceDE w:val="0"/>
              <w:autoSpaceDN w:val="0"/>
              <w:adjustRightInd w:val="0"/>
              <w:snapToGrid w:val="0"/>
              <w:spacing w:line="240" w:lineRule="auto"/>
              <w:ind w:firstLine="539" w:firstLineChars="257"/>
              <w:rPr>
                <w:rFonts w:cs="Times New Roman"/>
                <w:sz w:val="21"/>
                <w:szCs w:val="21"/>
              </w:rPr>
            </w:pPr>
            <w:r>
              <w:rPr>
                <w:rFonts w:hint="eastAsia" w:cs="Times New Roman"/>
                <w:sz w:val="21"/>
                <w:szCs w:val="21"/>
              </w:rPr>
              <w:t>①受污染的循环冷却水、雨水、消防水等排入生产废水系统或独立处理系统；</w:t>
            </w:r>
          </w:p>
          <w:p>
            <w:pPr>
              <w:autoSpaceDE w:val="0"/>
              <w:autoSpaceDN w:val="0"/>
              <w:adjustRightInd w:val="0"/>
              <w:snapToGrid w:val="0"/>
              <w:spacing w:line="240" w:lineRule="auto"/>
              <w:ind w:firstLine="539" w:firstLineChars="257"/>
              <w:rPr>
                <w:rFonts w:cs="Times New Roman"/>
                <w:sz w:val="21"/>
                <w:szCs w:val="21"/>
              </w:rPr>
            </w:pPr>
            <w:r>
              <w:rPr>
                <w:rFonts w:hint="eastAsia" w:cs="Times New Roman"/>
                <w:sz w:val="21"/>
                <w:szCs w:val="21"/>
              </w:rPr>
              <w:t>②生产废水排放前设监控池，能够将不合格废水送废水处理设施处理；</w:t>
            </w:r>
          </w:p>
          <w:p>
            <w:pPr>
              <w:autoSpaceDE w:val="0"/>
              <w:autoSpaceDN w:val="0"/>
              <w:adjustRightInd w:val="0"/>
              <w:snapToGrid w:val="0"/>
              <w:spacing w:line="240" w:lineRule="auto"/>
              <w:ind w:firstLine="539" w:firstLineChars="257"/>
              <w:rPr>
                <w:rFonts w:cs="Times New Roman"/>
                <w:sz w:val="21"/>
                <w:szCs w:val="21"/>
              </w:rPr>
            </w:pPr>
            <w:r>
              <w:rPr>
                <w:rFonts w:hint="eastAsia" w:cs="Times New Roman"/>
                <w:sz w:val="21"/>
                <w:szCs w:val="21"/>
              </w:rPr>
              <w:t>③如企业受污染的清净废水或雨水进入废水处理系统处理，则废水处理系统应设置事故水缓冲设施；</w:t>
            </w:r>
          </w:p>
          <w:p>
            <w:pPr>
              <w:autoSpaceDE w:val="0"/>
              <w:autoSpaceDN w:val="0"/>
              <w:adjustRightInd w:val="0"/>
              <w:snapToGrid w:val="0"/>
              <w:spacing w:line="240" w:lineRule="auto"/>
              <w:ind w:firstLine="539" w:firstLineChars="257"/>
              <w:rPr>
                <w:rFonts w:cs="Times New Roman"/>
                <w:sz w:val="21"/>
                <w:szCs w:val="21"/>
              </w:rPr>
            </w:pPr>
            <w:r>
              <w:rPr>
                <w:rFonts w:hint="eastAsia" w:cs="Times New Roman"/>
                <w:sz w:val="21"/>
                <w:szCs w:val="21"/>
              </w:rPr>
              <w:t>④具有生产废水总排口监视及关闭设施，有专人负责启闭，确保泄漏物、受污染的消防水、不合格废水不排出厂外。</w:t>
            </w:r>
          </w:p>
        </w:tc>
        <w:tc>
          <w:tcPr>
            <w:tcW w:w="467"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tc>
        <w:tc>
          <w:tcPr>
            <w:tcW w:w="492"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28" w:type="dxa"/>
            <w:bottom w:w="0" w:type="dxa"/>
            <w:right w:w="28" w:type="dxa"/>
          </w:tblCellMar>
        </w:tblPrEx>
        <w:trPr>
          <w:trHeight w:val="425" w:hRule="atLeast"/>
          <w:jc w:val="center"/>
        </w:trPr>
        <w:tc>
          <w:tcPr>
            <w:tcW w:w="693"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3348" w:type="pct"/>
            <w:vAlign w:val="center"/>
          </w:tcPr>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涉及废水外排，且不符合上述（2）中任意一条要求的</w:t>
            </w:r>
          </w:p>
        </w:tc>
        <w:tc>
          <w:tcPr>
            <w:tcW w:w="467"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8</w:t>
            </w:r>
          </w:p>
        </w:tc>
        <w:tc>
          <w:tcPr>
            <w:tcW w:w="492"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28" w:type="dxa"/>
            <w:bottom w:w="0" w:type="dxa"/>
            <w:right w:w="28" w:type="dxa"/>
          </w:tblCellMar>
        </w:tblPrEx>
        <w:trPr>
          <w:trHeight w:val="425" w:hRule="atLeast"/>
          <w:jc w:val="center"/>
        </w:trPr>
        <w:tc>
          <w:tcPr>
            <w:tcW w:w="693"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废水排放去向</w:t>
            </w:r>
          </w:p>
        </w:tc>
        <w:tc>
          <w:tcPr>
            <w:tcW w:w="3348" w:type="pct"/>
            <w:vAlign w:val="center"/>
          </w:tcPr>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无产生废水或外排</w:t>
            </w:r>
          </w:p>
        </w:tc>
        <w:tc>
          <w:tcPr>
            <w:tcW w:w="467"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tc>
        <w:tc>
          <w:tcPr>
            <w:tcW w:w="492" w:type="pct"/>
            <w:vMerge w:val="restart"/>
            <w:vAlign w:val="center"/>
          </w:tcPr>
          <w:p>
            <w:pPr>
              <w:autoSpaceDE w:val="0"/>
              <w:autoSpaceDN w:val="0"/>
              <w:adjustRightInd w:val="0"/>
              <w:snapToGrid w:val="0"/>
              <w:spacing w:line="240" w:lineRule="auto"/>
              <w:ind w:firstLine="0" w:firstLineChars="0"/>
              <w:jc w:val="center"/>
              <w:rPr>
                <w:rFonts w:hint="default" w:eastAsia="宋体" w:cs="Times New Roman"/>
                <w:sz w:val="21"/>
                <w:szCs w:val="21"/>
                <w:lang w:val="en-US" w:eastAsia="zh-CN"/>
              </w:rPr>
            </w:pPr>
            <w:r>
              <w:rPr>
                <w:rFonts w:hint="eastAsia" w:cs="Times New Roman"/>
                <w:sz w:val="21"/>
                <w:szCs w:val="21"/>
                <w:lang w:val="en-US" w:eastAsia="zh-CN"/>
              </w:rPr>
              <w:t>6</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28" w:type="dxa"/>
            <w:bottom w:w="0" w:type="dxa"/>
            <w:right w:w="28" w:type="dxa"/>
          </w:tblCellMar>
        </w:tblPrEx>
        <w:trPr>
          <w:trHeight w:val="425" w:hRule="atLeast"/>
          <w:jc w:val="center"/>
        </w:trPr>
        <w:tc>
          <w:tcPr>
            <w:tcW w:w="693"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3348" w:type="pct"/>
            <w:vAlign w:val="center"/>
          </w:tcPr>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（1）依法获取污水排入排水管网许可，进入城镇污水处理厂；或</w:t>
            </w:r>
          </w:p>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（2）进入工业废水集中处理厂；或</w:t>
            </w:r>
          </w:p>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（3）进入其他单位</w:t>
            </w:r>
          </w:p>
        </w:tc>
        <w:tc>
          <w:tcPr>
            <w:tcW w:w="467"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6</w:t>
            </w:r>
          </w:p>
        </w:tc>
        <w:tc>
          <w:tcPr>
            <w:tcW w:w="492"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28" w:type="dxa"/>
            <w:bottom w:w="0" w:type="dxa"/>
            <w:right w:w="28" w:type="dxa"/>
          </w:tblCellMar>
        </w:tblPrEx>
        <w:trPr>
          <w:trHeight w:val="425" w:hRule="atLeast"/>
          <w:jc w:val="center"/>
        </w:trPr>
        <w:tc>
          <w:tcPr>
            <w:tcW w:w="693"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3348" w:type="pct"/>
            <w:vAlign w:val="center"/>
          </w:tcPr>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1）直接进入海域，或进入江、河、湖、库等水环境；或</w:t>
            </w:r>
          </w:p>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2）进入城市下水道再入江、河、湖、库或在进入海域；或</w:t>
            </w:r>
          </w:p>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3）未依法取得污水排入排水管网许可，进入城镇污水处理厂；或</w:t>
            </w:r>
          </w:p>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4）直接进入污灌农田或蒸发地</w:t>
            </w:r>
          </w:p>
        </w:tc>
        <w:tc>
          <w:tcPr>
            <w:tcW w:w="467"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hint="eastAsia" w:cs="Times New Roman"/>
                <w:sz w:val="21"/>
                <w:szCs w:val="21"/>
              </w:rPr>
              <w:t>12</w:t>
            </w:r>
          </w:p>
        </w:tc>
        <w:tc>
          <w:tcPr>
            <w:tcW w:w="492"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28" w:type="dxa"/>
            <w:bottom w:w="0" w:type="dxa"/>
            <w:right w:w="28" w:type="dxa"/>
          </w:tblCellMar>
        </w:tblPrEx>
        <w:trPr>
          <w:trHeight w:val="425" w:hRule="atLeast"/>
          <w:jc w:val="center"/>
        </w:trPr>
        <w:tc>
          <w:tcPr>
            <w:tcW w:w="693"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厂内危险废物环境管理</w:t>
            </w:r>
          </w:p>
        </w:tc>
        <w:tc>
          <w:tcPr>
            <w:tcW w:w="3348" w:type="pct"/>
            <w:vAlign w:val="center"/>
          </w:tcPr>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（1）不涉及危险废物的；或</w:t>
            </w:r>
          </w:p>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（2）针对危险废物分区贮存、运输、利用、处置具有完善的专业设施和风险防控措施。</w:t>
            </w:r>
          </w:p>
        </w:tc>
        <w:tc>
          <w:tcPr>
            <w:tcW w:w="467"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tc>
        <w:tc>
          <w:tcPr>
            <w:tcW w:w="492"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28" w:type="dxa"/>
            <w:bottom w:w="0" w:type="dxa"/>
            <w:right w:w="28" w:type="dxa"/>
          </w:tblCellMar>
        </w:tblPrEx>
        <w:trPr>
          <w:trHeight w:val="425" w:hRule="atLeast"/>
          <w:jc w:val="center"/>
        </w:trPr>
        <w:tc>
          <w:tcPr>
            <w:tcW w:w="693"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3348" w:type="pct"/>
            <w:vAlign w:val="center"/>
          </w:tcPr>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不具备完善的危险废物贮存、运输、利用、处置设施和风险防控措施</w:t>
            </w:r>
            <w:r>
              <w:rPr>
                <w:rFonts w:hint="eastAsia" w:cs="Times New Roman"/>
                <w:sz w:val="21"/>
                <w:szCs w:val="21"/>
              </w:rPr>
              <w:t>。</w:t>
            </w:r>
          </w:p>
        </w:tc>
        <w:tc>
          <w:tcPr>
            <w:tcW w:w="467"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10</w:t>
            </w:r>
          </w:p>
        </w:tc>
        <w:tc>
          <w:tcPr>
            <w:tcW w:w="492"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28" w:type="dxa"/>
            <w:bottom w:w="0" w:type="dxa"/>
            <w:right w:w="28" w:type="dxa"/>
          </w:tblCellMar>
        </w:tblPrEx>
        <w:trPr>
          <w:trHeight w:val="425" w:hRule="atLeast"/>
          <w:jc w:val="center"/>
        </w:trPr>
        <w:tc>
          <w:tcPr>
            <w:tcW w:w="693"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近3年内突发水环境事件情况</w:t>
            </w:r>
          </w:p>
        </w:tc>
        <w:tc>
          <w:tcPr>
            <w:tcW w:w="3348" w:type="pct"/>
            <w:vAlign w:val="center"/>
          </w:tcPr>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发生过特别重大或重大等级突发水环境事件的</w:t>
            </w:r>
          </w:p>
        </w:tc>
        <w:tc>
          <w:tcPr>
            <w:tcW w:w="467"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8</w:t>
            </w:r>
          </w:p>
        </w:tc>
        <w:tc>
          <w:tcPr>
            <w:tcW w:w="492"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28" w:type="dxa"/>
            <w:bottom w:w="0" w:type="dxa"/>
            <w:right w:w="28" w:type="dxa"/>
          </w:tblCellMar>
        </w:tblPrEx>
        <w:trPr>
          <w:trHeight w:val="425" w:hRule="atLeast"/>
          <w:jc w:val="center"/>
        </w:trPr>
        <w:tc>
          <w:tcPr>
            <w:tcW w:w="693"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3348" w:type="pct"/>
            <w:vAlign w:val="center"/>
          </w:tcPr>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发生过较大等级突发水环境事件的</w:t>
            </w:r>
          </w:p>
        </w:tc>
        <w:tc>
          <w:tcPr>
            <w:tcW w:w="467"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6</w:t>
            </w:r>
          </w:p>
        </w:tc>
        <w:tc>
          <w:tcPr>
            <w:tcW w:w="492"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28" w:type="dxa"/>
            <w:bottom w:w="0" w:type="dxa"/>
            <w:right w:w="28" w:type="dxa"/>
          </w:tblCellMar>
        </w:tblPrEx>
        <w:trPr>
          <w:trHeight w:val="425" w:hRule="atLeast"/>
          <w:jc w:val="center"/>
        </w:trPr>
        <w:tc>
          <w:tcPr>
            <w:tcW w:w="693"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3348" w:type="pct"/>
            <w:vAlign w:val="center"/>
          </w:tcPr>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发生过一般等级突发水环境事件的</w:t>
            </w:r>
          </w:p>
        </w:tc>
        <w:tc>
          <w:tcPr>
            <w:tcW w:w="467"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4</w:t>
            </w:r>
          </w:p>
        </w:tc>
        <w:tc>
          <w:tcPr>
            <w:tcW w:w="492"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28" w:type="dxa"/>
            <w:bottom w:w="0" w:type="dxa"/>
            <w:right w:w="28" w:type="dxa"/>
          </w:tblCellMar>
        </w:tblPrEx>
        <w:trPr>
          <w:trHeight w:val="425" w:hRule="atLeast"/>
          <w:jc w:val="center"/>
        </w:trPr>
        <w:tc>
          <w:tcPr>
            <w:tcW w:w="693"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3348" w:type="pct"/>
            <w:vAlign w:val="center"/>
          </w:tcPr>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未发生过突发水环境事件的</w:t>
            </w:r>
          </w:p>
        </w:tc>
        <w:tc>
          <w:tcPr>
            <w:tcW w:w="467"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tc>
        <w:tc>
          <w:tcPr>
            <w:tcW w:w="492"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28" w:type="dxa"/>
            <w:bottom w:w="0" w:type="dxa"/>
            <w:right w:w="28" w:type="dxa"/>
          </w:tblCellMar>
        </w:tblPrEx>
        <w:trPr>
          <w:trHeight w:val="425" w:hRule="atLeast"/>
          <w:jc w:val="center"/>
        </w:trPr>
        <w:tc>
          <w:tcPr>
            <w:tcW w:w="4508" w:type="pct"/>
            <w:gridSpan w:val="3"/>
            <w:vAlign w:val="center"/>
          </w:tcPr>
          <w:p>
            <w:pPr>
              <w:autoSpaceDE w:val="0"/>
              <w:autoSpaceDN w:val="0"/>
              <w:adjustRightInd w:val="0"/>
              <w:snapToGrid w:val="0"/>
              <w:spacing w:line="240" w:lineRule="auto"/>
              <w:ind w:firstLine="0" w:firstLineChars="0"/>
              <w:jc w:val="center"/>
              <w:rPr>
                <w:rFonts w:cs="Times New Roman"/>
                <w:sz w:val="21"/>
                <w:szCs w:val="21"/>
              </w:rPr>
            </w:pPr>
            <w:r>
              <w:rPr>
                <w:rFonts w:hint="eastAsia" w:cs="Times New Roman"/>
                <w:sz w:val="21"/>
                <w:szCs w:val="21"/>
              </w:rPr>
              <w:t>合计</w:t>
            </w:r>
          </w:p>
        </w:tc>
        <w:tc>
          <w:tcPr>
            <w:tcW w:w="492" w:type="pct"/>
            <w:vAlign w:val="center"/>
          </w:tcPr>
          <w:p>
            <w:pPr>
              <w:autoSpaceDE w:val="0"/>
              <w:autoSpaceDN w:val="0"/>
              <w:adjustRightInd w:val="0"/>
              <w:snapToGrid w:val="0"/>
              <w:spacing w:line="240" w:lineRule="auto"/>
              <w:ind w:firstLine="0" w:firstLineChars="0"/>
              <w:jc w:val="center"/>
              <w:rPr>
                <w:rFonts w:hint="default" w:eastAsia="宋体" w:cs="Times New Roman"/>
                <w:sz w:val="21"/>
                <w:szCs w:val="21"/>
                <w:lang w:val="en-US" w:eastAsia="zh-CN"/>
              </w:rPr>
            </w:pPr>
            <w:r>
              <w:rPr>
                <w:rFonts w:hint="eastAsia" w:cs="Times New Roman"/>
                <w:sz w:val="21"/>
                <w:szCs w:val="21"/>
                <w:lang w:val="en-US" w:eastAsia="zh-CN"/>
              </w:rPr>
              <w:t>14</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28" w:type="dxa"/>
            <w:bottom w:w="0" w:type="dxa"/>
            <w:right w:w="28" w:type="dxa"/>
          </w:tblCellMar>
        </w:tblPrEx>
        <w:trPr>
          <w:trHeight w:val="425" w:hRule="atLeast"/>
          <w:jc w:val="center"/>
        </w:trPr>
        <w:tc>
          <w:tcPr>
            <w:tcW w:w="5000" w:type="pct"/>
            <w:gridSpan w:val="4"/>
            <w:vAlign w:val="center"/>
          </w:tcPr>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注：本表中相关规范具体指GB 50483、GB 50160、GB 50351、GB 50747、SH 3015</w:t>
            </w:r>
          </w:p>
        </w:tc>
      </w:tr>
    </w:tbl>
    <w:p>
      <w:pPr>
        <w:autoSpaceDE w:val="0"/>
        <w:autoSpaceDN w:val="0"/>
        <w:adjustRightInd w:val="0"/>
        <w:snapToGrid w:val="0"/>
        <w:spacing w:line="240" w:lineRule="auto"/>
        <w:ind w:firstLine="0" w:firstLineChars="0"/>
        <w:jc w:val="center"/>
        <w:rPr>
          <w:rFonts w:cs="Times New Roman"/>
          <w:sz w:val="21"/>
          <w:szCs w:val="21"/>
        </w:rPr>
      </w:pPr>
    </w:p>
    <w:p>
      <w:pPr>
        <w:pStyle w:val="4"/>
        <w:rPr>
          <w:rFonts w:hint="eastAsia"/>
          <w:sz w:val="24"/>
          <w:szCs w:val="24"/>
        </w:rPr>
      </w:pPr>
      <w:bookmarkStart w:id="47" w:name="_Toc27389"/>
      <w:r>
        <w:rPr>
          <w:rFonts w:hint="eastAsia"/>
          <w:sz w:val="24"/>
          <w:szCs w:val="24"/>
        </w:rPr>
        <w:t>现有应急物资与装备、救援队伍情况</w:t>
      </w:r>
      <w:bookmarkEnd w:id="47"/>
    </w:p>
    <w:p>
      <w:pPr>
        <w:ind w:firstLine="560"/>
        <w:rPr>
          <w:sz w:val="24"/>
          <w:szCs w:val="24"/>
        </w:rPr>
      </w:pPr>
      <w:r>
        <w:rPr>
          <w:rFonts w:hint="eastAsia"/>
          <w:sz w:val="24"/>
          <w:szCs w:val="24"/>
        </w:rPr>
        <w:t>本公司现有应急物资与装备、救援队伍情况详见《</w:t>
      </w:r>
      <w:r>
        <w:rPr>
          <w:rFonts w:hint="eastAsia"/>
          <w:sz w:val="24"/>
          <w:szCs w:val="24"/>
          <w:lang w:eastAsia="zh-CN"/>
        </w:rPr>
        <w:t>南昌慧华高科混凝土有限公司</w:t>
      </w:r>
      <w:r>
        <w:rPr>
          <w:rFonts w:hint="eastAsia"/>
          <w:sz w:val="24"/>
          <w:szCs w:val="24"/>
        </w:rPr>
        <w:t>应急资源调查报告》。</w:t>
      </w:r>
    </w:p>
    <w:p>
      <w:pPr>
        <w:pStyle w:val="3"/>
      </w:pPr>
      <w:bookmarkStart w:id="48" w:name="_Toc10630"/>
      <w:r>
        <w:rPr>
          <w:rFonts w:hint="eastAsia"/>
        </w:rPr>
        <w:t>突发环境事件及后果分析</w:t>
      </w:r>
      <w:bookmarkEnd w:id="48"/>
    </w:p>
    <w:p>
      <w:pPr>
        <w:pStyle w:val="4"/>
        <w:rPr>
          <w:sz w:val="24"/>
          <w:szCs w:val="24"/>
        </w:rPr>
      </w:pPr>
      <w:bookmarkStart w:id="49" w:name="_Toc29869"/>
      <w:r>
        <w:rPr>
          <w:rFonts w:hint="eastAsia"/>
          <w:sz w:val="24"/>
          <w:szCs w:val="24"/>
        </w:rPr>
        <w:t>国内外同类企业的突发环境事件信息</w:t>
      </w:r>
      <w:bookmarkEnd w:id="49"/>
    </w:p>
    <w:p>
      <w:pPr>
        <w:ind w:firstLine="560"/>
        <w:outlineLvl w:val="9"/>
        <w:rPr>
          <w:rFonts w:hint="eastAsia"/>
          <w:sz w:val="24"/>
          <w:szCs w:val="24"/>
          <w:lang w:eastAsia="zh-CN"/>
        </w:rPr>
      </w:pPr>
      <w:r>
        <w:rPr>
          <w:rFonts w:hint="eastAsia"/>
          <w:sz w:val="24"/>
          <w:szCs w:val="24"/>
        </w:rPr>
        <w:t>本报告收集了国内外同类型突发环境事件案例以及本项目可能发生的突发环境事件情景，</w:t>
      </w:r>
      <w:r>
        <w:rPr>
          <w:rFonts w:hint="eastAsia"/>
          <w:sz w:val="24"/>
          <w:szCs w:val="24"/>
          <w:lang w:eastAsia="zh-CN"/>
        </w:rPr>
        <w:t>并以此分析突发环境事件情景。</w:t>
      </w:r>
    </w:p>
    <w:p>
      <w:pPr>
        <w:numPr>
          <w:ilvl w:val="0"/>
          <w:numId w:val="4"/>
        </w:numPr>
        <w:ind w:firstLine="560"/>
        <w:outlineLvl w:val="9"/>
        <w:rPr>
          <w:rFonts w:hint="eastAsia" w:ascii="Times New Roman" w:hAnsi="Times New Roman" w:eastAsia="宋体" w:cs="Times New Roman"/>
          <w:b w:val="0"/>
          <w:bCs w:val="0"/>
          <w:sz w:val="24"/>
          <w:szCs w:val="24"/>
          <w:lang w:eastAsia="zh-CN"/>
        </w:rPr>
      </w:pPr>
      <w:r>
        <w:rPr>
          <w:rFonts w:hint="eastAsia" w:ascii="Times New Roman" w:hAnsi="Times New Roman" w:eastAsia="宋体" w:cs="Times New Roman"/>
          <w:b w:val="0"/>
          <w:bCs w:val="0"/>
          <w:sz w:val="24"/>
          <w:szCs w:val="24"/>
          <w:lang w:eastAsia="zh-CN"/>
        </w:rPr>
        <w:t>案例一</w:t>
      </w:r>
    </w:p>
    <w:p>
      <w:pPr>
        <w:numPr>
          <w:ilvl w:val="0"/>
          <w:numId w:val="0"/>
        </w:numPr>
        <w:ind w:left="0" w:leftChars="0" w:firstLine="559" w:firstLineChars="233"/>
        <w:outlineLvl w:val="9"/>
        <w:rPr>
          <w:rFonts w:hint="default" w:ascii="Times New Roman" w:hAnsi="Times New Roman" w:eastAsia="宋体" w:cs="Times New Roman"/>
          <w:b w:val="0"/>
          <w:bCs w:val="0"/>
          <w:sz w:val="24"/>
          <w:szCs w:val="24"/>
          <w:lang w:eastAsia="zh-CN"/>
        </w:rPr>
      </w:pPr>
      <w:r>
        <w:rPr>
          <w:rFonts w:hint="default" w:ascii="Times New Roman" w:hAnsi="Times New Roman" w:eastAsia="宋体" w:cs="Times New Roman"/>
          <w:b w:val="0"/>
          <w:bCs w:val="0"/>
          <w:sz w:val="24"/>
          <w:szCs w:val="24"/>
          <w:lang w:eastAsia="zh-CN"/>
        </w:rPr>
        <w:t>时间:2010年7月3日15时50分左右</w:t>
      </w:r>
    </w:p>
    <w:p>
      <w:pPr>
        <w:numPr>
          <w:ilvl w:val="0"/>
          <w:numId w:val="0"/>
        </w:numPr>
        <w:ind w:left="0" w:leftChars="0" w:firstLine="559" w:firstLineChars="233"/>
        <w:outlineLvl w:val="9"/>
        <w:rPr>
          <w:rFonts w:hint="default" w:ascii="Times New Roman" w:hAnsi="Times New Roman" w:eastAsia="宋体" w:cs="Times New Roman"/>
          <w:b w:val="0"/>
          <w:bCs w:val="0"/>
          <w:sz w:val="24"/>
          <w:szCs w:val="24"/>
          <w:lang w:eastAsia="zh-CN"/>
        </w:rPr>
      </w:pPr>
      <w:r>
        <w:rPr>
          <w:rFonts w:hint="default" w:ascii="Times New Roman" w:hAnsi="Times New Roman" w:eastAsia="宋体" w:cs="Times New Roman"/>
          <w:b w:val="0"/>
          <w:bCs w:val="0"/>
          <w:sz w:val="24"/>
          <w:szCs w:val="24"/>
          <w:lang w:eastAsia="zh-CN"/>
        </w:rPr>
        <w:t>地点:福建省. 上杭县紫金山(金)铜矿</w:t>
      </w:r>
    </w:p>
    <w:p>
      <w:pPr>
        <w:numPr>
          <w:ilvl w:val="0"/>
          <w:numId w:val="0"/>
        </w:numPr>
        <w:ind w:left="0" w:leftChars="0" w:firstLine="559" w:firstLineChars="233"/>
        <w:outlineLvl w:val="9"/>
        <w:rPr>
          <w:rFonts w:hint="default" w:ascii="Times New Roman" w:hAnsi="Times New Roman" w:eastAsia="宋体" w:cs="Times New Roman"/>
          <w:b w:val="0"/>
          <w:bCs w:val="0"/>
          <w:sz w:val="24"/>
          <w:szCs w:val="24"/>
          <w:lang w:eastAsia="zh-CN"/>
        </w:rPr>
      </w:pPr>
      <w:r>
        <w:rPr>
          <w:rFonts w:hint="default" w:ascii="Times New Roman" w:hAnsi="Times New Roman" w:eastAsia="宋体" w:cs="Times New Roman"/>
          <w:b w:val="0"/>
          <w:bCs w:val="0"/>
          <w:sz w:val="24"/>
          <w:szCs w:val="24"/>
          <w:lang w:eastAsia="zh-CN"/>
        </w:rPr>
        <w:t>公司:紫金矿业集团有限公司</w:t>
      </w:r>
    </w:p>
    <w:p>
      <w:pPr>
        <w:numPr>
          <w:ilvl w:val="0"/>
          <w:numId w:val="0"/>
        </w:numPr>
        <w:ind w:left="0" w:leftChars="0" w:firstLine="559" w:firstLineChars="233"/>
        <w:outlineLvl w:val="9"/>
        <w:rPr>
          <w:rFonts w:hint="default" w:ascii="Times New Roman" w:hAnsi="Times New Roman" w:eastAsia="宋体" w:cs="Times New Roman"/>
          <w:b w:val="0"/>
          <w:bCs w:val="0"/>
          <w:sz w:val="24"/>
          <w:szCs w:val="24"/>
          <w:lang w:eastAsia="zh-CN"/>
        </w:rPr>
      </w:pPr>
      <w:r>
        <w:rPr>
          <w:rFonts w:hint="default" w:ascii="Times New Roman" w:hAnsi="Times New Roman" w:eastAsia="宋体" w:cs="Times New Roman"/>
          <w:b w:val="0"/>
          <w:bCs w:val="0"/>
          <w:sz w:val="24"/>
          <w:szCs w:val="24"/>
          <w:lang w:eastAsia="zh-CN"/>
        </w:rPr>
        <w:t>事故原因:环境设施设置不合格，连续降雨造成厂区溶液池区底部黏土层掏空，污水池防渗膜多处开裂，渗漏事故由此发生。</w:t>
      </w:r>
    </w:p>
    <w:p>
      <w:pPr>
        <w:numPr>
          <w:ilvl w:val="0"/>
          <w:numId w:val="0"/>
        </w:numPr>
        <w:ind w:left="0" w:leftChars="0" w:firstLine="559" w:firstLineChars="233"/>
        <w:outlineLvl w:val="9"/>
        <w:rPr>
          <w:rFonts w:hint="default" w:ascii="Times New Roman" w:hAnsi="Times New Roman" w:eastAsia="宋体" w:cs="Times New Roman"/>
          <w:b w:val="0"/>
          <w:bCs w:val="0"/>
          <w:sz w:val="24"/>
          <w:szCs w:val="24"/>
          <w:lang w:eastAsia="zh-CN"/>
        </w:rPr>
      </w:pPr>
      <w:r>
        <w:rPr>
          <w:rFonts w:hint="default" w:ascii="Times New Roman" w:hAnsi="Times New Roman" w:eastAsia="宋体" w:cs="Times New Roman"/>
          <w:b w:val="0"/>
          <w:bCs w:val="0"/>
          <w:sz w:val="24"/>
          <w:szCs w:val="24"/>
          <w:lang w:eastAsia="zh-CN"/>
        </w:rPr>
        <w:t>事故危害: 9100m2的污水顺着排洪涵洞流入汀江，导致汀江部分河段污染及大量网箱养鱼死亡。</w:t>
      </w:r>
    </w:p>
    <w:p>
      <w:pPr>
        <w:numPr>
          <w:ilvl w:val="0"/>
          <w:numId w:val="0"/>
        </w:numPr>
        <w:ind w:left="0" w:leftChars="0" w:firstLine="559" w:firstLineChars="233"/>
        <w:outlineLvl w:val="9"/>
        <w:rPr>
          <w:rFonts w:hint="default" w:ascii="Times New Roman" w:hAnsi="Times New Roman" w:eastAsia="宋体" w:cs="Times New Roman"/>
          <w:b w:val="0"/>
          <w:bCs w:val="0"/>
          <w:sz w:val="24"/>
          <w:szCs w:val="24"/>
          <w:lang w:eastAsia="zh-CN"/>
        </w:rPr>
      </w:pPr>
      <w:r>
        <w:rPr>
          <w:rFonts w:hint="default" w:ascii="Times New Roman" w:hAnsi="Times New Roman" w:eastAsia="宋体" w:cs="Times New Roman"/>
          <w:b w:val="0"/>
          <w:bCs w:val="0"/>
          <w:sz w:val="24"/>
          <w:szCs w:val="24"/>
          <w:lang w:eastAsia="zh-CN"/>
        </w:rPr>
        <w:t>泄漏事故瞒报9天:污染事故发生在7月3日，而直到7月12日，上杭县政府才正式通报这一事故，瞒报9天。</w:t>
      </w:r>
    </w:p>
    <w:p>
      <w:pPr>
        <w:numPr>
          <w:ilvl w:val="0"/>
          <w:numId w:val="4"/>
        </w:numPr>
        <w:ind w:left="0" w:leftChars="0" w:firstLine="480" w:firstLineChars="200"/>
        <w:outlineLvl w:val="9"/>
        <w:rPr>
          <w:rFonts w:hint="default" w:ascii="Times New Roman" w:hAnsi="Times New Roman" w:eastAsia="宋体" w:cs="Times New Roman"/>
          <w:b w:val="0"/>
          <w:bCs w:val="0"/>
          <w:sz w:val="24"/>
          <w:szCs w:val="24"/>
          <w:lang w:eastAsia="zh-CN"/>
        </w:rPr>
      </w:pPr>
      <w:r>
        <w:rPr>
          <w:rFonts w:hint="default" w:ascii="Times New Roman" w:hAnsi="Times New Roman" w:eastAsia="宋体" w:cs="Times New Roman"/>
          <w:b w:val="0"/>
          <w:bCs w:val="0"/>
          <w:sz w:val="24"/>
          <w:szCs w:val="24"/>
          <w:lang w:eastAsia="zh-CN"/>
        </w:rPr>
        <w:t>案例二</w:t>
      </w:r>
    </w:p>
    <w:p>
      <w:pPr>
        <w:numPr>
          <w:ilvl w:val="0"/>
          <w:numId w:val="0"/>
        </w:numPr>
        <w:ind w:leftChars="200"/>
        <w:outlineLvl w:val="9"/>
        <w:rPr>
          <w:rFonts w:hint="default" w:ascii="Times New Roman" w:hAnsi="Times New Roman" w:eastAsia="宋体" w:cs="Times New Roman"/>
          <w:b w:val="0"/>
          <w:bCs w:val="0"/>
          <w:sz w:val="24"/>
          <w:szCs w:val="24"/>
          <w:lang w:eastAsia="zh-CN"/>
        </w:rPr>
      </w:pPr>
      <w:r>
        <w:rPr>
          <w:rFonts w:hint="default" w:ascii="Times New Roman" w:hAnsi="Times New Roman" w:eastAsia="宋体" w:cs="Times New Roman"/>
          <w:b w:val="0"/>
          <w:bCs w:val="0"/>
          <w:sz w:val="24"/>
          <w:szCs w:val="24"/>
          <w:lang w:eastAsia="zh-CN"/>
        </w:rPr>
        <w:t>时间:2008年5月7日17时</w:t>
      </w:r>
    </w:p>
    <w:p>
      <w:pPr>
        <w:numPr>
          <w:ilvl w:val="0"/>
          <w:numId w:val="0"/>
        </w:numPr>
        <w:ind w:leftChars="200"/>
        <w:outlineLvl w:val="9"/>
        <w:rPr>
          <w:rFonts w:hint="default" w:ascii="Times New Roman" w:hAnsi="Times New Roman" w:eastAsia="宋体" w:cs="Times New Roman"/>
          <w:b w:val="0"/>
          <w:bCs w:val="0"/>
          <w:sz w:val="24"/>
          <w:szCs w:val="24"/>
          <w:lang w:eastAsia="zh-CN"/>
        </w:rPr>
      </w:pPr>
      <w:r>
        <w:rPr>
          <w:rFonts w:hint="default" w:ascii="Times New Roman" w:hAnsi="Times New Roman" w:eastAsia="宋体" w:cs="Times New Roman"/>
          <w:b w:val="0"/>
          <w:bCs w:val="0"/>
          <w:sz w:val="24"/>
          <w:szCs w:val="24"/>
          <w:lang w:eastAsia="zh-CN"/>
        </w:rPr>
        <w:t>地点:云南省文山州广南县珠琳镇</w:t>
      </w:r>
    </w:p>
    <w:p>
      <w:pPr>
        <w:numPr>
          <w:ilvl w:val="0"/>
          <w:numId w:val="0"/>
        </w:numPr>
        <w:ind w:leftChars="200"/>
        <w:outlineLvl w:val="9"/>
        <w:rPr>
          <w:rFonts w:hint="default" w:ascii="Times New Roman" w:hAnsi="Times New Roman" w:eastAsia="宋体" w:cs="Times New Roman"/>
          <w:b w:val="0"/>
          <w:bCs w:val="0"/>
          <w:sz w:val="24"/>
          <w:szCs w:val="24"/>
          <w:lang w:eastAsia="zh-CN"/>
        </w:rPr>
      </w:pPr>
      <w:r>
        <w:rPr>
          <w:rFonts w:hint="default" w:ascii="Times New Roman" w:hAnsi="Times New Roman" w:eastAsia="宋体" w:cs="Times New Roman"/>
          <w:b w:val="0"/>
          <w:bCs w:val="0"/>
          <w:sz w:val="24"/>
          <w:szCs w:val="24"/>
          <w:lang w:eastAsia="zh-CN"/>
        </w:rPr>
        <w:t>公司:广南县珠琳镇红土地采石场</w:t>
      </w:r>
    </w:p>
    <w:p>
      <w:pPr>
        <w:numPr>
          <w:ilvl w:val="0"/>
          <w:numId w:val="0"/>
        </w:numPr>
        <w:ind w:leftChars="200"/>
        <w:outlineLvl w:val="9"/>
        <w:rPr>
          <w:rFonts w:hint="default" w:ascii="Times New Roman" w:hAnsi="Times New Roman" w:eastAsia="宋体" w:cs="Times New Roman"/>
          <w:b w:val="0"/>
          <w:bCs w:val="0"/>
          <w:sz w:val="24"/>
          <w:szCs w:val="24"/>
          <w:lang w:eastAsia="zh-CN"/>
        </w:rPr>
      </w:pPr>
      <w:r>
        <w:rPr>
          <w:rFonts w:hint="default" w:ascii="Times New Roman" w:hAnsi="Times New Roman" w:eastAsia="宋体" w:cs="Times New Roman"/>
          <w:b w:val="0"/>
          <w:bCs w:val="0"/>
          <w:sz w:val="24"/>
          <w:szCs w:val="24"/>
          <w:lang w:eastAsia="zh-CN"/>
        </w:rPr>
        <w:t>事故原因:违规自制炸药爆破，大量飞石击中石场工棚，工棚当场倒塌。</w:t>
      </w:r>
    </w:p>
    <w:p>
      <w:pPr>
        <w:numPr>
          <w:ilvl w:val="0"/>
          <w:numId w:val="0"/>
        </w:numPr>
        <w:ind w:leftChars="200"/>
        <w:outlineLvl w:val="9"/>
        <w:rPr>
          <w:rFonts w:hint="default" w:ascii="Times New Roman" w:hAnsi="Times New Roman" w:eastAsia="宋体" w:cs="Times New Roman"/>
          <w:b w:val="0"/>
          <w:bCs w:val="0"/>
          <w:sz w:val="24"/>
          <w:szCs w:val="24"/>
          <w:lang w:eastAsia="zh-CN"/>
        </w:rPr>
      </w:pPr>
      <w:r>
        <w:rPr>
          <w:rFonts w:hint="default" w:ascii="Times New Roman" w:hAnsi="Times New Roman" w:eastAsia="宋体" w:cs="Times New Roman"/>
          <w:b w:val="0"/>
          <w:bCs w:val="0"/>
          <w:sz w:val="24"/>
          <w:szCs w:val="24"/>
          <w:lang w:eastAsia="zh-CN"/>
        </w:rPr>
        <w:t>事故危害:工棚内5名工人死亡、6名工人受伤。</w:t>
      </w:r>
    </w:p>
    <w:p>
      <w:pPr>
        <w:numPr>
          <w:ilvl w:val="0"/>
          <w:numId w:val="4"/>
        </w:numPr>
        <w:ind w:left="0" w:leftChars="0" w:firstLine="480" w:firstLineChars="200"/>
        <w:outlineLvl w:val="9"/>
        <w:rPr>
          <w:rFonts w:hint="default" w:ascii="Times New Roman" w:hAnsi="Times New Roman" w:eastAsia="宋体" w:cs="Times New Roman"/>
          <w:b w:val="0"/>
          <w:bCs w:val="0"/>
          <w:sz w:val="24"/>
          <w:szCs w:val="24"/>
          <w:lang w:eastAsia="zh-CN"/>
        </w:rPr>
      </w:pPr>
      <w:r>
        <w:rPr>
          <w:rFonts w:hint="default" w:ascii="Times New Roman" w:hAnsi="Times New Roman" w:eastAsia="宋体" w:cs="Times New Roman"/>
          <w:b w:val="0"/>
          <w:bCs w:val="0"/>
          <w:sz w:val="24"/>
          <w:szCs w:val="24"/>
          <w:lang w:eastAsia="zh-CN"/>
        </w:rPr>
        <w:t>案例三</w:t>
      </w:r>
    </w:p>
    <w:p>
      <w:pPr>
        <w:numPr>
          <w:ilvl w:val="0"/>
          <w:numId w:val="0"/>
        </w:numPr>
        <w:ind w:left="0" w:leftChars="0" w:firstLine="559" w:firstLineChars="233"/>
        <w:outlineLvl w:val="9"/>
        <w:rPr>
          <w:rFonts w:hint="default" w:ascii="Times New Roman" w:hAnsi="Times New Roman" w:eastAsia="宋体" w:cs="Times New Roman"/>
          <w:b w:val="0"/>
          <w:bCs w:val="0"/>
          <w:sz w:val="24"/>
          <w:szCs w:val="24"/>
          <w:lang w:eastAsia="zh-CN"/>
        </w:rPr>
      </w:pPr>
      <w:r>
        <w:rPr>
          <w:rFonts w:hint="default" w:ascii="Times New Roman" w:hAnsi="Times New Roman" w:eastAsia="宋体" w:cs="Times New Roman"/>
          <w:b w:val="0"/>
          <w:bCs w:val="0"/>
          <w:sz w:val="24"/>
          <w:szCs w:val="24"/>
          <w:lang w:eastAsia="zh-CN"/>
        </w:rPr>
        <w:t>时间: 2015年4月6日</w:t>
      </w:r>
    </w:p>
    <w:p>
      <w:pPr>
        <w:numPr>
          <w:ilvl w:val="1"/>
          <w:numId w:val="0"/>
        </w:numPr>
        <w:ind w:left="0" w:leftChars="0" w:firstLine="559" w:firstLineChars="233"/>
        <w:outlineLvl w:val="9"/>
        <w:rPr>
          <w:rFonts w:hint="default" w:ascii="Times New Roman" w:hAnsi="Times New Roman" w:eastAsia="宋体" w:cs="Times New Roman"/>
          <w:b w:val="0"/>
          <w:bCs w:val="0"/>
          <w:sz w:val="24"/>
          <w:szCs w:val="24"/>
          <w:lang w:eastAsia="zh-CN"/>
        </w:rPr>
      </w:pPr>
      <w:r>
        <w:rPr>
          <w:rFonts w:hint="default" w:ascii="Times New Roman" w:hAnsi="Times New Roman" w:eastAsia="宋体" w:cs="Times New Roman"/>
          <w:b w:val="0"/>
          <w:bCs w:val="0"/>
          <w:sz w:val="24"/>
          <w:szCs w:val="24"/>
          <w:lang w:eastAsia="zh-CN"/>
        </w:rPr>
        <w:t>地点:湖南省益阳市桃江县桃花江镇道关山村</w:t>
      </w:r>
    </w:p>
    <w:p>
      <w:pPr>
        <w:numPr>
          <w:ilvl w:val="1"/>
          <w:numId w:val="0"/>
        </w:numPr>
        <w:ind w:left="0" w:leftChars="0" w:firstLine="559" w:firstLineChars="233"/>
        <w:outlineLvl w:val="9"/>
        <w:rPr>
          <w:rFonts w:hint="default" w:ascii="Times New Roman" w:hAnsi="Times New Roman" w:eastAsia="宋体" w:cs="Times New Roman"/>
          <w:b w:val="0"/>
          <w:bCs w:val="0"/>
          <w:sz w:val="24"/>
          <w:szCs w:val="24"/>
          <w:lang w:eastAsia="zh-CN"/>
        </w:rPr>
      </w:pPr>
      <w:r>
        <w:rPr>
          <w:rFonts w:hint="default" w:ascii="Times New Roman" w:hAnsi="Times New Roman" w:eastAsia="宋体" w:cs="Times New Roman"/>
          <w:b w:val="0"/>
          <w:bCs w:val="0"/>
          <w:sz w:val="24"/>
          <w:szCs w:val="24"/>
          <w:lang w:eastAsia="zh-CN"/>
        </w:rPr>
        <w:t>公司:益阳环宇再生资源有限责任公司。</w:t>
      </w:r>
    </w:p>
    <w:p>
      <w:pPr>
        <w:numPr>
          <w:ilvl w:val="1"/>
          <w:numId w:val="0"/>
        </w:numPr>
        <w:ind w:left="0" w:leftChars="0" w:firstLine="559" w:firstLineChars="233"/>
        <w:outlineLvl w:val="9"/>
        <w:rPr>
          <w:rFonts w:hint="default" w:ascii="Times New Roman" w:hAnsi="Times New Roman" w:eastAsia="宋体" w:cs="Times New Roman"/>
          <w:b w:val="0"/>
          <w:bCs w:val="0"/>
          <w:sz w:val="24"/>
          <w:szCs w:val="24"/>
          <w:lang w:eastAsia="zh-CN"/>
        </w:rPr>
      </w:pPr>
      <w:r>
        <w:rPr>
          <w:rFonts w:hint="default" w:ascii="Times New Roman" w:hAnsi="Times New Roman" w:eastAsia="宋体" w:cs="Times New Roman"/>
          <w:b w:val="0"/>
          <w:bCs w:val="0"/>
          <w:sz w:val="24"/>
          <w:szCs w:val="24"/>
          <w:lang w:eastAsia="zh-CN"/>
        </w:rPr>
        <w:t>事故原因:设备损坏导致油品泄露。</w:t>
      </w:r>
    </w:p>
    <w:p>
      <w:pPr>
        <w:numPr>
          <w:ilvl w:val="1"/>
          <w:numId w:val="0"/>
        </w:numPr>
        <w:ind w:left="0" w:leftChars="0" w:firstLine="559" w:firstLineChars="233"/>
        <w:outlineLvl w:val="9"/>
        <w:rPr>
          <w:rFonts w:hint="default" w:ascii="Times New Roman" w:hAnsi="Times New Roman" w:eastAsia="宋体" w:cs="Times New Roman"/>
          <w:b w:val="0"/>
          <w:bCs w:val="0"/>
          <w:sz w:val="24"/>
          <w:szCs w:val="24"/>
          <w:lang w:eastAsia="zh-CN"/>
        </w:rPr>
      </w:pPr>
      <w:r>
        <w:rPr>
          <w:rFonts w:hint="default" w:ascii="Times New Roman" w:hAnsi="Times New Roman" w:eastAsia="宋体" w:cs="Times New Roman"/>
          <w:b w:val="0"/>
          <w:bCs w:val="0"/>
          <w:sz w:val="24"/>
          <w:szCs w:val="24"/>
          <w:lang w:eastAsia="zh-CN"/>
        </w:rPr>
        <w:t>事故危害:无人员伤亡，泄露废油量约8吨，回收7吨。</w:t>
      </w:r>
    </w:p>
    <w:p>
      <w:pPr>
        <w:pStyle w:val="4"/>
        <w:rPr>
          <w:sz w:val="24"/>
          <w:szCs w:val="24"/>
        </w:rPr>
      </w:pPr>
      <w:bookmarkStart w:id="50" w:name="_Toc25187"/>
      <w:r>
        <w:rPr>
          <w:rFonts w:hint="eastAsia"/>
          <w:sz w:val="24"/>
          <w:szCs w:val="24"/>
        </w:rPr>
        <w:t>突发环境事件情景源强分析</w:t>
      </w:r>
      <w:bookmarkEnd w:id="50"/>
    </w:p>
    <w:p>
      <w:pPr>
        <w:ind w:firstLine="560"/>
        <w:rPr>
          <w:sz w:val="24"/>
          <w:szCs w:val="24"/>
        </w:rPr>
      </w:pPr>
      <w:r>
        <w:rPr>
          <w:rFonts w:hint="eastAsia"/>
          <w:sz w:val="24"/>
          <w:szCs w:val="24"/>
        </w:rPr>
        <w:t>企业突发环境事件情景分析情况如下。</w:t>
      </w:r>
    </w:p>
    <w:p>
      <w:pPr>
        <w:pStyle w:val="10"/>
        <w:keepNext/>
        <w:rPr>
          <w:sz w:val="24"/>
          <w:szCs w:val="24"/>
        </w:rPr>
      </w:pPr>
      <w:r>
        <w:rPr>
          <w:rFonts w:hint="eastAsia"/>
          <w:sz w:val="24"/>
          <w:szCs w:val="24"/>
        </w:rPr>
        <w:t xml:space="preserve">表 </w:t>
      </w:r>
      <w:r>
        <w:rPr>
          <w:sz w:val="24"/>
          <w:szCs w:val="24"/>
        </w:rPr>
        <w:fldChar w:fldCharType="begin"/>
      </w:r>
      <w:r>
        <w:rPr>
          <w:sz w:val="24"/>
          <w:szCs w:val="24"/>
        </w:rPr>
        <w:instrText xml:space="preserve"> </w:instrText>
      </w:r>
      <w:r>
        <w:rPr>
          <w:rFonts w:hint="eastAsia"/>
          <w:sz w:val="24"/>
          <w:szCs w:val="24"/>
        </w:rPr>
        <w:instrText xml:space="preserve">STYLEREF 1 \s</w:instrText>
      </w:r>
      <w:r>
        <w:rPr>
          <w:sz w:val="24"/>
          <w:szCs w:val="24"/>
        </w:rPr>
        <w:instrText xml:space="preserve"> </w:instrText>
      </w:r>
      <w:r>
        <w:rPr>
          <w:sz w:val="24"/>
          <w:szCs w:val="24"/>
        </w:rPr>
        <w:fldChar w:fldCharType="separate"/>
      </w:r>
      <w:r>
        <w:rPr>
          <w:sz w:val="24"/>
          <w:szCs w:val="24"/>
        </w:rPr>
        <w:t>4</w:t>
      </w:r>
      <w:r>
        <w:rPr>
          <w:sz w:val="24"/>
          <w:szCs w:val="24"/>
        </w:rPr>
        <w:fldChar w:fldCharType="end"/>
      </w:r>
      <w:r>
        <w:rPr>
          <w:sz w:val="24"/>
          <w:szCs w:val="24"/>
        </w:rPr>
        <w:noBreakHyphen/>
      </w:r>
      <w:r>
        <w:rPr>
          <w:sz w:val="24"/>
          <w:szCs w:val="24"/>
        </w:rPr>
        <w:fldChar w:fldCharType="begin"/>
      </w:r>
      <w:r>
        <w:rPr>
          <w:sz w:val="24"/>
          <w:szCs w:val="24"/>
        </w:rPr>
        <w:instrText xml:space="preserve"> </w:instrText>
      </w:r>
      <w:r>
        <w:rPr>
          <w:rFonts w:hint="eastAsia"/>
          <w:sz w:val="24"/>
          <w:szCs w:val="24"/>
        </w:rPr>
        <w:instrText xml:space="preserve">SEQ 表 \* ARABIC \s 1</w:instrText>
      </w:r>
      <w:r>
        <w:rPr>
          <w:sz w:val="24"/>
          <w:szCs w:val="24"/>
        </w:rPr>
        <w:instrText xml:space="preserve"> </w:instrText>
      </w:r>
      <w:r>
        <w:rPr>
          <w:sz w:val="24"/>
          <w:szCs w:val="24"/>
        </w:rPr>
        <w:fldChar w:fldCharType="separate"/>
      </w:r>
      <w:r>
        <w:rPr>
          <w:sz w:val="24"/>
          <w:szCs w:val="24"/>
        </w:rPr>
        <w:t>1</w:t>
      </w:r>
      <w:r>
        <w:rPr>
          <w:sz w:val="24"/>
          <w:szCs w:val="24"/>
        </w:rPr>
        <w:fldChar w:fldCharType="end"/>
      </w:r>
      <w:r>
        <w:rPr>
          <w:rFonts w:hint="eastAsia"/>
          <w:sz w:val="24"/>
          <w:szCs w:val="24"/>
        </w:rPr>
        <w:t>企业突发环境事件情景分析表</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1985"/>
        <w:gridCol w:w="64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2689" w:type="dxa"/>
            <w:gridSpan w:val="2"/>
            <w:vAlign w:val="center"/>
          </w:tcPr>
          <w:p>
            <w:pPr>
              <w:spacing w:line="240" w:lineRule="auto"/>
              <w:ind w:firstLine="0" w:firstLineChars="0"/>
              <w:jc w:val="center"/>
              <w:rPr>
                <w:rFonts w:cs="Times New Roman"/>
                <w:sz w:val="21"/>
              </w:rPr>
            </w:pPr>
            <w:r>
              <w:rPr>
                <w:rFonts w:hint="eastAsia" w:cs="Times New Roman"/>
                <w:sz w:val="21"/>
              </w:rPr>
              <w:t>风险单元</w:t>
            </w:r>
          </w:p>
        </w:tc>
        <w:tc>
          <w:tcPr>
            <w:tcW w:w="6429" w:type="dxa"/>
            <w:vAlign w:val="center"/>
          </w:tcPr>
          <w:p>
            <w:pPr>
              <w:spacing w:line="240" w:lineRule="auto"/>
              <w:ind w:firstLine="0" w:firstLineChars="0"/>
              <w:jc w:val="center"/>
              <w:rPr>
                <w:rFonts w:cs="Times New Roman"/>
                <w:sz w:val="21"/>
              </w:rPr>
            </w:pPr>
            <w:r>
              <w:rPr>
                <w:rFonts w:hint="eastAsia" w:cs="Times New Roman"/>
                <w:sz w:val="21"/>
              </w:rPr>
              <w:t>突发环境事件情景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704" w:type="dxa"/>
            <w:vAlign w:val="center"/>
          </w:tcPr>
          <w:p>
            <w:pPr>
              <w:spacing w:line="240" w:lineRule="auto"/>
              <w:ind w:firstLine="0" w:firstLineChars="0"/>
              <w:jc w:val="center"/>
              <w:rPr>
                <w:rFonts w:cs="Times New Roman"/>
                <w:sz w:val="21"/>
              </w:rPr>
            </w:pPr>
            <w:r>
              <w:rPr>
                <w:rFonts w:hint="eastAsia" w:cs="Times New Roman"/>
                <w:sz w:val="21"/>
              </w:rPr>
              <w:t>生产区域</w:t>
            </w:r>
          </w:p>
        </w:tc>
        <w:tc>
          <w:tcPr>
            <w:tcW w:w="1985" w:type="dxa"/>
            <w:vAlign w:val="center"/>
          </w:tcPr>
          <w:p>
            <w:pPr>
              <w:spacing w:line="240" w:lineRule="auto"/>
              <w:ind w:firstLine="0" w:firstLineChars="0"/>
              <w:jc w:val="center"/>
              <w:rPr>
                <w:rFonts w:hint="eastAsia" w:eastAsia="宋体" w:cs="Times New Roman"/>
                <w:sz w:val="21"/>
                <w:lang w:val="en-US" w:eastAsia="zh-CN"/>
              </w:rPr>
            </w:pPr>
            <w:r>
              <w:rPr>
                <w:rFonts w:hint="eastAsia" w:cs="Times New Roman"/>
                <w:sz w:val="21"/>
                <w:lang w:eastAsia="zh-CN"/>
              </w:rPr>
              <w:t>生产</w:t>
            </w:r>
            <w:r>
              <w:rPr>
                <w:rFonts w:hint="eastAsia" w:cs="Times New Roman"/>
                <w:sz w:val="21"/>
                <w:lang w:val="en-US" w:eastAsia="zh-CN"/>
              </w:rPr>
              <w:t>现场</w:t>
            </w:r>
          </w:p>
        </w:tc>
        <w:tc>
          <w:tcPr>
            <w:tcW w:w="6429" w:type="dxa"/>
            <w:vAlign w:val="center"/>
          </w:tcPr>
          <w:p>
            <w:pPr>
              <w:spacing w:line="240" w:lineRule="auto"/>
              <w:ind w:left="0" w:leftChars="0" w:firstLine="0" w:firstLineChars="0"/>
              <w:jc w:val="left"/>
              <w:rPr>
                <w:rFonts w:hint="eastAsia" w:eastAsia="宋体" w:cs="Times New Roman"/>
                <w:sz w:val="21"/>
                <w:lang w:eastAsia="zh-CN"/>
              </w:rPr>
            </w:pPr>
            <w:r>
              <w:rPr>
                <w:rFonts w:hint="eastAsia" w:cs="Times New Roman"/>
                <w:sz w:val="21"/>
                <w:lang w:eastAsia="zh-CN"/>
              </w:rPr>
              <w:t>机械设备油箱破裂，矿物油泄漏</w:t>
            </w:r>
            <w:r>
              <w:rPr>
                <w:rFonts w:hint="eastAsia" w:cs="Times New Roman"/>
                <w:sz w:val="21"/>
              </w:rPr>
              <w:t>。</w:t>
            </w:r>
            <w:r>
              <w:rPr>
                <w:rFonts w:hint="eastAsia" w:cs="Times New Roman"/>
                <w:sz w:val="21"/>
                <w:lang w:eastAsia="zh-CN"/>
              </w:rPr>
              <w:t>发生几率小。</w:t>
            </w:r>
          </w:p>
          <w:p>
            <w:pPr>
              <w:spacing w:line="240" w:lineRule="auto"/>
              <w:ind w:left="0" w:leftChars="0" w:firstLine="0" w:firstLineChars="0"/>
              <w:jc w:val="left"/>
              <w:rPr>
                <w:rFonts w:hint="eastAsia" w:eastAsia="宋体" w:cs="Times New Roman"/>
                <w:sz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704" w:type="dxa"/>
            <w:vMerge w:val="restart"/>
            <w:vAlign w:val="center"/>
          </w:tcPr>
          <w:p>
            <w:pPr>
              <w:spacing w:line="240" w:lineRule="auto"/>
              <w:ind w:firstLine="0" w:firstLineChars="0"/>
              <w:jc w:val="center"/>
              <w:rPr>
                <w:rFonts w:cs="Times New Roman"/>
                <w:sz w:val="21"/>
              </w:rPr>
            </w:pPr>
            <w:r>
              <w:rPr>
                <w:rFonts w:hint="eastAsia" w:cs="Times New Roman"/>
                <w:sz w:val="21"/>
              </w:rPr>
              <w:t>环保设施</w:t>
            </w:r>
          </w:p>
        </w:tc>
        <w:tc>
          <w:tcPr>
            <w:tcW w:w="1985" w:type="dxa"/>
            <w:vAlign w:val="center"/>
          </w:tcPr>
          <w:p>
            <w:pPr>
              <w:spacing w:line="240" w:lineRule="auto"/>
              <w:ind w:firstLine="0" w:firstLineChars="0"/>
              <w:jc w:val="center"/>
              <w:rPr>
                <w:rFonts w:hint="eastAsia" w:eastAsia="宋体" w:cs="Times New Roman"/>
                <w:sz w:val="21"/>
                <w:lang w:eastAsia="zh-CN"/>
              </w:rPr>
            </w:pPr>
            <w:r>
              <w:rPr>
                <w:rFonts w:hint="eastAsia" w:cs="Times New Roman"/>
                <w:sz w:val="21"/>
                <w:lang w:eastAsia="zh-CN"/>
              </w:rPr>
              <w:t>沉淀池</w:t>
            </w:r>
          </w:p>
        </w:tc>
        <w:tc>
          <w:tcPr>
            <w:tcW w:w="6429" w:type="dxa"/>
            <w:vAlign w:val="center"/>
          </w:tcPr>
          <w:p>
            <w:pPr>
              <w:spacing w:line="240" w:lineRule="auto"/>
              <w:ind w:firstLine="0" w:firstLineChars="0"/>
              <w:jc w:val="left"/>
              <w:rPr>
                <w:rFonts w:cs="Times New Roman"/>
                <w:sz w:val="21"/>
              </w:rPr>
            </w:pPr>
            <w:r>
              <w:rPr>
                <w:rFonts w:hint="eastAsia" w:cs="Times New Roman"/>
                <w:sz w:val="21"/>
              </w:rPr>
              <w:t>1</w:t>
            </w:r>
            <w:r>
              <w:rPr>
                <w:rFonts w:hint="eastAsia" w:cs="Times New Roman"/>
                <w:sz w:val="21"/>
                <w:lang w:eastAsia="zh-CN"/>
              </w:rPr>
              <w:t>沉淀池防渗层破损或开裂，污水发生泄漏，导致</w:t>
            </w:r>
            <w:r>
              <w:rPr>
                <w:rFonts w:hint="eastAsia" w:cs="Times New Roman"/>
                <w:sz w:val="21"/>
              </w:rPr>
              <w:t>污染水体。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704" w:type="dxa"/>
            <w:vMerge w:val="continue"/>
            <w:vAlign w:val="center"/>
          </w:tcPr>
          <w:p>
            <w:pPr>
              <w:spacing w:line="240" w:lineRule="auto"/>
              <w:ind w:firstLine="0" w:firstLineChars="0"/>
              <w:jc w:val="center"/>
              <w:rPr>
                <w:rFonts w:cs="Times New Roman"/>
                <w:sz w:val="21"/>
              </w:rPr>
            </w:pPr>
          </w:p>
        </w:tc>
        <w:tc>
          <w:tcPr>
            <w:tcW w:w="1985" w:type="dxa"/>
            <w:vAlign w:val="center"/>
          </w:tcPr>
          <w:p>
            <w:pPr>
              <w:spacing w:line="240" w:lineRule="auto"/>
              <w:ind w:firstLine="0" w:firstLineChars="0"/>
              <w:jc w:val="center"/>
              <w:rPr>
                <w:rFonts w:hint="eastAsia" w:eastAsia="宋体" w:cs="Times New Roman"/>
                <w:sz w:val="21"/>
                <w:lang w:eastAsia="zh-CN"/>
              </w:rPr>
            </w:pPr>
            <w:r>
              <w:rPr>
                <w:rFonts w:hint="eastAsia" w:cs="Times New Roman"/>
                <w:sz w:val="21"/>
                <w:lang w:eastAsia="zh-CN"/>
              </w:rPr>
              <w:t>废气处理设施</w:t>
            </w:r>
          </w:p>
        </w:tc>
        <w:tc>
          <w:tcPr>
            <w:tcW w:w="6429" w:type="dxa"/>
            <w:vAlign w:val="center"/>
          </w:tcPr>
          <w:p>
            <w:pPr>
              <w:spacing w:line="240" w:lineRule="auto"/>
              <w:ind w:firstLine="0" w:firstLineChars="0"/>
              <w:rPr>
                <w:rFonts w:hint="eastAsia" w:eastAsia="宋体" w:cs="Times New Roman"/>
                <w:sz w:val="21"/>
                <w:lang w:eastAsia="zh-CN"/>
              </w:rPr>
            </w:pPr>
            <w:r>
              <w:rPr>
                <w:rFonts w:cs="Times New Roman"/>
                <w:sz w:val="21"/>
              </w:rPr>
              <w:t>1</w:t>
            </w:r>
            <w:r>
              <w:rPr>
                <w:rFonts w:hint="eastAsia" w:cs="Times New Roman"/>
                <w:sz w:val="21"/>
              </w:rPr>
              <w:t>、</w:t>
            </w:r>
            <w:r>
              <w:rPr>
                <w:rFonts w:hint="eastAsia" w:cs="Times New Roman"/>
                <w:sz w:val="21"/>
                <w:lang w:eastAsia="zh-CN"/>
              </w:rPr>
              <w:t>废气处理设施发生故障将使粉尘未处理直接排入大气环境中。发生几率较大。由于厂内粉尘和滤料的性质，容易发生火灾燃烧事故，发生几率较大。</w:t>
            </w:r>
          </w:p>
        </w:tc>
      </w:tr>
    </w:tbl>
    <w:p>
      <w:pPr>
        <w:ind w:firstLine="560"/>
        <w:rPr>
          <w:rFonts w:hint="eastAsia" w:eastAsia="宋体"/>
          <w:sz w:val="24"/>
          <w:szCs w:val="24"/>
          <w:lang w:eastAsia="zh-CN"/>
        </w:rPr>
      </w:pPr>
      <w:r>
        <w:rPr>
          <w:rFonts w:hint="eastAsia"/>
          <w:sz w:val="24"/>
          <w:szCs w:val="24"/>
        </w:rPr>
        <w:t>根据分析，企业项目可能发生的最大可信事故有：</w:t>
      </w:r>
      <w:r>
        <w:rPr>
          <w:rFonts w:hint="eastAsia"/>
          <w:sz w:val="24"/>
          <w:szCs w:val="24"/>
          <w:lang w:eastAsia="zh-CN"/>
        </w:rPr>
        <w:t>废矿物油</w:t>
      </w:r>
      <w:r>
        <w:rPr>
          <w:rFonts w:hint="eastAsia"/>
          <w:sz w:val="24"/>
          <w:szCs w:val="24"/>
        </w:rPr>
        <w:t>泄漏</w:t>
      </w:r>
      <w:r>
        <w:rPr>
          <w:rFonts w:hint="eastAsia"/>
          <w:sz w:val="24"/>
          <w:szCs w:val="24"/>
          <w:lang w:eastAsia="zh-CN"/>
        </w:rPr>
        <w:t>事故、沉淀池泄漏事故、火灾爆炸</w:t>
      </w:r>
      <w:r>
        <w:rPr>
          <w:rFonts w:hint="eastAsia"/>
          <w:sz w:val="24"/>
          <w:szCs w:val="24"/>
        </w:rPr>
        <w:t>事故、废气排放事故</w:t>
      </w:r>
      <w:r>
        <w:rPr>
          <w:rFonts w:hint="eastAsia"/>
          <w:sz w:val="24"/>
          <w:szCs w:val="24"/>
          <w:lang w:eastAsia="zh-CN"/>
        </w:rPr>
        <w:t>。</w:t>
      </w:r>
    </w:p>
    <w:p>
      <w:pPr>
        <w:pStyle w:val="6"/>
        <w:rPr>
          <w:color w:val="auto"/>
          <w:sz w:val="24"/>
          <w:szCs w:val="24"/>
        </w:rPr>
      </w:pPr>
      <w:r>
        <w:rPr>
          <w:rFonts w:hint="eastAsia"/>
          <w:color w:val="auto"/>
          <w:sz w:val="24"/>
          <w:szCs w:val="24"/>
          <w:lang w:eastAsia="zh-CN"/>
        </w:rPr>
        <w:t>矿物油泄漏</w:t>
      </w:r>
    </w:p>
    <w:p>
      <w:pPr>
        <w:ind w:firstLine="560"/>
        <w:rPr>
          <w:rFonts w:hint="default" w:eastAsia="宋体"/>
          <w:sz w:val="24"/>
          <w:szCs w:val="24"/>
          <w:vertAlign w:val="baseline"/>
          <w:lang w:val="en-US" w:eastAsia="zh-CN"/>
        </w:rPr>
      </w:pPr>
      <w:r>
        <w:rPr>
          <w:rFonts w:hint="eastAsia"/>
          <w:sz w:val="24"/>
          <w:szCs w:val="24"/>
          <w:lang w:eastAsia="zh-CN"/>
        </w:rPr>
        <w:t>设备油箱破裂，矿物油</w:t>
      </w:r>
      <w:r>
        <w:rPr>
          <w:rFonts w:hint="eastAsia" w:ascii="Times New Roman" w:hAnsi="Times New Roman"/>
          <w:sz w:val="24"/>
          <w:szCs w:val="24"/>
          <w:lang w:eastAsia="zh-CN"/>
        </w:rPr>
        <w:t>泄漏</w:t>
      </w:r>
      <w:r>
        <w:rPr>
          <w:rFonts w:hint="eastAsia"/>
          <w:sz w:val="24"/>
          <w:szCs w:val="24"/>
          <w:lang w:eastAsia="zh-CN"/>
        </w:rPr>
        <w:t>。</w:t>
      </w:r>
    </w:p>
    <w:p>
      <w:pPr>
        <w:pStyle w:val="6"/>
        <w:rPr>
          <w:rFonts w:hint="eastAsia"/>
          <w:color w:val="auto"/>
          <w:sz w:val="24"/>
          <w:szCs w:val="24"/>
          <w:lang w:eastAsia="zh-CN"/>
        </w:rPr>
      </w:pPr>
      <w:r>
        <w:rPr>
          <w:rFonts w:hint="eastAsia"/>
          <w:color w:val="auto"/>
          <w:sz w:val="24"/>
          <w:szCs w:val="24"/>
          <w:lang w:eastAsia="zh-CN"/>
        </w:rPr>
        <w:t>沉淀池泄漏</w:t>
      </w:r>
    </w:p>
    <w:p>
      <w:pPr>
        <w:pStyle w:val="7"/>
        <w:rPr>
          <w:rFonts w:hint="eastAsia"/>
          <w:lang w:eastAsia="zh-CN"/>
        </w:rPr>
      </w:pPr>
      <w:r>
        <w:rPr>
          <w:rFonts w:hint="eastAsia"/>
          <w:color w:val="auto"/>
          <w:sz w:val="24"/>
          <w:szCs w:val="24"/>
          <w:lang w:eastAsia="zh-CN"/>
        </w:rPr>
        <w:t>沉淀池破损或防渗层损坏，污水泄漏，导致地表水污染，地下水污染。</w:t>
      </w:r>
    </w:p>
    <w:p>
      <w:pPr>
        <w:pStyle w:val="6"/>
        <w:rPr>
          <w:rFonts w:hint="eastAsia"/>
          <w:color w:val="auto"/>
          <w:sz w:val="24"/>
          <w:szCs w:val="24"/>
          <w:lang w:eastAsia="zh-CN"/>
        </w:rPr>
      </w:pPr>
      <w:r>
        <w:rPr>
          <w:rFonts w:hint="eastAsia"/>
          <w:color w:val="auto"/>
          <w:sz w:val="24"/>
          <w:szCs w:val="24"/>
          <w:lang w:eastAsia="zh-CN"/>
        </w:rPr>
        <w:t>废气排放事故</w:t>
      </w:r>
    </w:p>
    <w:p>
      <w:pPr>
        <w:ind w:firstLine="560"/>
        <w:rPr>
          <w:rFonts w:hint="eastAsia"/>
          <w:color w:val="auto"/>
          <w:sz w:val="24"/>
          <w:szCs w:val="24"/>
          <w:lang w:eastAsia="zh-CN"/>
        </w:rPr>
      </w:pPr>
      <w:r>
        <w:rPr>
          <w:rFonts w:hint="eastAsia"/>
          <w:color w:val="auto"/>
          <w:sz w:val="24"/>
          <w:szCs w:val="24"/>
          <w:lang w:val="en-US" w:eastAsia="zh-CN"/>
        </w:rPr>
        <w:t>全厂正常情况下，下风向粉尘经监测浓度值未超标；事故情况下，全厂粉尘会大大增加，对</w:t>
      </w:r>
      <w:r>
        <w:rPr>
          <w:rFonts w:hint="eastAsia" w:cs="Times New Roman"/>
          <w:color w:val="000000"/>
          <w:kern w:val="0"/>
          <w:sz w:val="24"/>
          <w:szCs w:val="24"/>
          <w:lang w:val="en-US" w:eastAsia="zh-CN" w:bidi="ar-SA"/>
        </w:rPr>
        <w:t>厚溪陈家</w:t>
      </w:r>
      <w:r>
        <w:rPr>
          <w:rFonts w:hint="eastAsia"/>
          <w:sz w:val="24"/>
          <w:szCs w:val="24"/>
          <w:lang w:val="en-US" w:eastAsia="zh-CN"/>
        </w:rPr>
        <w:t>、东华理工大学的</w:t>
      </w:r>
      <w:r>
        <w:rPr>
          <w:rFonts w:hint="eastAsia"/>
          <w:color w:val="auto"/>
          <w:sz w:val="24"/>
          <w:szCs w:val="24"/>
          <w:lang w:val="en-US" w:eastAsia="zh-CN"/>
        </w:rPr>
        <w:t>环境空气产生不利的影响。</w:t>
      </w:r>
    </w:p>
    <w:p>
      <w:pPr>
        <w:pStyle w:val="6"/>
        <w:rPr>
          <w:rFonts w:hint="eastAsia"/>
          <w:color w:val="auto"/>
          <w:sz w:val="24"/>
          <w:szCs w:val="24"/>
          <w:lang w:eastAsia="zh-CN"/>
        </w:rPr>
      </w:pPr>
      <w:r>
        <w:rPr>
          <w:rFonts w:hint="eastAsia"/>
          <w:color w:val="auto"/>
          <w:sz w:val="24"/>
          <w:szCs w:val="24"/>
          <w:lang w:eastAsia="zh-CN"/>
        </w:rPr>
        <w:t>火灾爆炸事故</w:t>
      </w:r>
    </w:p>
    <w:p>
      <w:pPr>
        <w:pStyle w:val="7"/>
        <w:rPr>
          <w:rFonts w:hint="eastAsia" w:eastAsia="宋体"/>
          <w:lang w:eastAsia="zh-CN"/>
        </w:rPr>
      </w:pPr>
      <w:r>
        <w:rPr>
          <w:rFonts w:hint="eastAsia"/>
          <w:sz w:val="24"/>
          <w:szCs w:val="24"/>
          <w:lang w:eastAsia="zh-CN"/>
        </w:rPr>
        <w:t>厂内粉尘静电磨擦和除尘器滤袋摩擦，都</w:t>
      </w:r>
      <w:r>
        <w:rPr>
          <w:rFonts w:hint="eastAsia"/>
          <w:sz w:val="24"/>
          <w:szCs w:val="24"/>
        </w:rPr>
        <w:t>可能发生火灾</w:t>
      </w:r>
      <w:r>
        <w:rPr>
          <w:rFonts w:hint="eastAsia"/>
          <w:sz w:val="24"/>
          <w:szCs w:val="24"/>
          <w:lang w:eastAsia="zh-CN"/>
        </w:rPr>
        <w:t>。</w:t>
      </w:r>
    </w:p>
    <w:p>
      <w:pPr>
        <w:pStyle w:val="4"/>
        <w:rPr>
          <w:sz w:val="24"/>
          <w:szCs w:val="24"/>
        </w:rPr>
      </w:pPr>
      <w:bookmarkStart w:id="51" w:name="_Toc16756"/>
      <w:r>
        <w:rPr>
          <w:rFonts w:hint="eastAsia"/>
          <w:sz w:val="24"/>
          <w:szCs w:val="24"/>
        </w:rPr>
        <w:t>释放环境风险物质的扩散途径、涉及环境风险防控与应急措施、应急资源情况分析</w:t>
      </w:r>
      <w:bookmarkEnd w:id="51"/>
    </w:p>
    <w:p>
      <w:pPr>
        <w:pStyle w:val="6"/>
        <w:rPr>
          <w:sz w:val="24"/>
          <w:szCs w:val="24"/>
        </w:rPr>
      </w:pPr>
      <w:r>
        <w:rPr>
          <w:rFonts w:hint="eastAsia"/>
          <w:sz w:val="24"/>
          <w:szCs w:val="24"/>
        </w:rPr>
        <w:t>释放环境风险物质的扩散途径分析</w:t>
      </w:r>
    </w:p>
    <w:p>
      <w:pPr>
        <w:ind w:firstLine="560"/>
        <w:rPr>
          <w:rFonts w:hint="eastAsia"/>
          <w:sz w:val="24"/>
          <w:szCs w:val="24"/>
          <w:lang w:val="en-US" w:eastAsia="zh-CN"/>
        </w:rPr>
      </w:pPr>
      <w:r>
        <w:rPr>
          <w:sz w:val="24"/>
          <w:szCs w:val="24"/>
        </w:rPr>
        <w:t>1</w:t>
      </w:r>
      <w:r>
        <w:rPr>
          <w:rFonts w:hint="eastAsia"/>
          <w:sz w:val="24"/>
          <w:szCs w:val="24"/>
        </w:rPr>
        <w:t>、</w:t>
      </w:r>
      <w:r>
        <w:rPr>
          <w:rFonts w:hint="eastAsia"/>
          <w:sz w:val="24"/>
          <w:szCs w:val="24"/>
          <w:lang w:val="en-US" w:eastAsia="zh-CN"/>
        </w:rPr>
        <w:t>未处理废气扩散途径分析</w:t>
      </w:r>
    </w:p>
    <w:p>
      <w:pPr>
        <w:ind w:firstLine="560"/>
        <w:rPr>
          <w:rFonts w:hint="default"/>
          <w:sz w:val="24"/>
          <w:szCs w:val="24"/>
          <w:lang w:val="en-US" w:eastAsia="zh-CN"/>
        </w:rPr>
      </w:pPr>
      <w:r>
        <w:rPr>
          <w:rFonts w:hint="eastAsia"/>
          <w:sz w:val="24"/>
          <w:szCs w:val="24"/>
          <w:lang w:val="en-US" w:eastAsia="zh-CN"/>
        </w:rPr>
        <w:t>废气未经处理直接排放，可能顺着常见风向扩散，影响周边大气环境，增大环境中颗粒物的浓度。</w:t>
      </w:r>
    </w:p>
    <w:p>
      <w:pPr>
        <w:ind w:firstLine="560"/>
        <w:rPr>
          <w:rFonts w:hint="eastAsia"/>
          <w:sz w:val="24"/>
          <w:szCs w:val="24"/>
          <w:lang w:val="en-US" w:eastAsia="zh-CN"/>
        </w:rPr>
      </w:pPr>
      <w:r>
        <w:rPr>
          <w:rFonts w:hint="eastAsia"/>
          <w:sz w:val="24"/>
          <w:szCs w:val="24"/>
          <w:lang w:val="en-US" w:eastAsia="zh-CN"/>
        </w:rPr>
        <w:t>2、火灾事故废气扩散途径分析</w:t>
      </w:r>
    </w:p>
    <w:p>
      <w:pPr>
        <w:ind w:firstLine="560"/>
        <w:rPr>
          <w:rFonts w:hint="eastAsia" w:eastAsia="宋体"/>
          <w:sz w:val="24"/>
          <w:szCs w:val="24"/>
          <w:lang w:val="en-US" w:eastAsia="zh-CN"/>
        </w:rPr>
      </w:pPr>
      <w:r>
        <w:rPr>
          <w:rFonts w:hint="eastAsia"/>
          <w:sz w:val="24"/>
          <w:szCs w:val="24"/>
          <w:lang w:eastAsia="zh-CN"/>
        </w:rPr>
        <w:t>厂内粉尘静电磨擦和除尘器滤袋摩擦，都</w:t>
      </w:r>
      <w:r>
        <w:rPr>
          <w:rFonts w:hint="eastAsia"/>
          <w:sz w:val="24"/>
          <w:szCs w:val="24"/>
        </w:rPr>
        <w:t>可能发生火灾，火灾事故时，消防水、事故废水未收集进入事故应急池</w:t>
      </w:r>
      <w:r>
        <w:rPr>
          <w:rFonts w:hint="eastAsia"/>
          <w:sz w:val="24"/>
          <w:szCs w:val="24"/>
          <w:lang w:eastAsia="zh-CN"/>
        </w:rPr>
        <w:t>，蔓延至未硬化地面时渗透到地下，进而污染地下水，或通过雨水管网，直接进入赣江</w:t>
      </w:r>
      <w:r>
        <w:rPr>
          <w:rFonts w:hint="eastAsia"/>
          <w:sz w:val="24"/>
          <w:szCs w:val="24"/>
        </w:rPr>
        <w:t>。火灾过程中产生次生、衍生大气污染物随气流扩散，</w:t>
      </w:r>
      <w:r>
        <w:rPr>
          <w:rFonts w:hint="eastAsia"/>
          <w:sz w:val="24"/>
          <w:szCs w:val="24"/>
          <w:lang w:val="en-US" w:eastAsia="zh-CN"/>
        </w:rPr>
        <w:t>该地常见风向为北北东，可能顺着风向扩散，穿过影响</w:t>
      </w:r>
      <w:r>
        <w:rPr>
          <w:rFonts w:hint="eastAsia" w:cs="Times New Roman"/>
          <w:color w:val="000000"/>
          <w:kern w:val="0"/>
          <w:sz w:val="24"/>
          <w:szCs w:val="24"/>
          <w:lang w:val="en-US" w:eastAsia="zh-CN" w:bidi="ar-SA"/>
        </w:rPr>
        <w:t>厚溪陈家</w:t>
      </w:r>
      <w:r>
        <w:rPr>
          <w:rFonts w:hint="eastAsia"/>
          <w:sz w:val="24"/>
          <w:szCs w:val="24"/>
          <w:lang w:val="en-US" w:eastAsia="zh-CN"/>
        </w:rPr>
        <w:t>、东华理工大学等的大气环境</w:t>
      </w:r>
      <w:r>
        <w:rPr>
          <w:rFonts w:hint="eastAsia"/>
          <w:sz w:val="24"/>
          <w:szCs w:val="24"/>
          <w:lang w:eastAsia="zh-CN"/>
        </w:rPr>
        <w:t>。</w:t>
      </w:r>
    </w:p>
    <w:p>
      <w:pPr>
        <w:ind w:firstLine="560"/>
        <w:rPr>
          <w:sz w:val="24"/>
          <w:szCs w:val="24"/>
        </w:rPr>
      </w:pPr>
      <w:r>
        <w:rPr>
          <w:rFonts w:hint="eastAsia"/>
          <w:sz w:val="24"/>
          <w:szCs w:val="24"/>
          <w:lang w:val="en-US" w:eastAsia="zh-CN"/>
        </w:rPr>
        <w:t>3</w:t>
      </w:r>
      <w:r>
        <w:rPr>
          <w:rFonts w:hint="eastAsia"/>
          <w:sz w:val="24"/>
          <w:szCs w:val="24"/>
        </w:rPr>
        <w:t>、废水扩散途径分析</w:t>
      </w:r>
    </w:p>
    <w:p>
      <w:pPr>
        <w:ind w:firstLine="560"/>
        <w:rPr>
          <w:rFonts w:hint="eastAsia"/>
          <w:sz w:val="24"/>
          <w:szCs w:val="24"/>
          <w:lang w:eastAsia="zh-CN"/>
        </w:rPr>
      </w:pPr>
      <w:r>
        <w:rPr>
          <w:rFonts w:hint="eastAsia"/>
          <w:sz w:val="24"/>
          <w:szCs w:val="24"/>
          <w:lang w:eastAsia="zh-CN"/>
        </w:rPr>
        <w:t>沉淀池</w:t>
      </w:r>
      <w:r>
        <w:rPr>
          <w:rFonts w:hint="eastAsia"/>
          <w:sz w:val="24"/>
          <w:szCs w:val="24"/>
        </w:rPr>
        <w:t>泄露</w:t>
      </w:r>
      <w:r>
        <w:rPr>
          <w:rFonts w:hint="eastAsia"/>
          <w:sz w:val="24"/>
          <w:szCs w:val="24"/>
          <w:lang w:eastAsia="zh-CN"/>
        </w:rPr>
        <w:t>，</w:t>
      </w:r>
      <w:r>
        <w:rPr>
          <w:rFonts w:hint="eastAsia"/>
          <w:sz w:val="24"/>
          <w:szCs w:val="24"/>
        </w:rPr>
        <w:t>废水</w:t>
      </w:r>
      <w:r>
        <w:rPr>
          <w:rFonts w:hint="eastAsia"/>
          <w:sz w:val="24"/>
          <w:szCs w:val="24"/>
          <w:lang w:eastAsia="zh-CN"/>
        </w:rPr>
        <w:t>蔓延至未硬化地面时渗透到地下，进而污染地下水，或通过雨水管网，直接进入赣江。</w:t>
      </w:r>
    </w:p>
    <w:p>
      <w:pPr>
        <w:pStyle w:val="2"/>
        <w:numPr>
          <w:ilvl w:val="0"/>
          <w:numId w:val="4"/>
        </w:numPr>
        <w:ind w:left="0" w:leftChars="0" w:firstLine="480" w:firstLineChars="200"/>
        <w:rPr>
          <w:rFonts w:hint="eastAsia"/>
          <w:sz w:val="24"/>
          <w:szCs w:val="24"/>
          <w:lang w:val="en-US" w:eastAsia="zh-CN"/>
        </w:rPr>
      </w:pPr>
      <w:r>
        <w:rPr>
          <w:rFonts w:hint="eastAsia"/>
          <w:sz w:val="24"/>
          <w:szCs w:val="24"/>
          <w:lang w:val="en-US" w:eastAsia="zh-CN"/>
        </w:rPr>
        <w:t>矿物油泄漏扩散途径分析</w:t>
      </w:r>
    </w:p>
    <w:p>
      <w:pPr>
        <w:ind w:firstLine="560"/>
        <w:rPr>
          <w:rFonts w:hint="eastAsia"/>
          <w:sz w:val="24"/>
          <w:szCs w:val="24"/>
          <w:lang w:eastAsia="zh-CN"/>
        </w:rPr>
      </w:pPr>
      <w:r>
        <w:rPr>
          <w:rFonts w:hint="eastAsia"/>
          <w:sz w:val="24"/>
          <w:szCs w:val="24"/>
          <w:lang w:val="en-US" w:eastAsia="zh-CN"/>
        </w:rPr>
        <w:t>矿物油泄漏，油</w:t>
      </w:r>
      <w:r>
        <w:rPr>
          <w:rFonts w:hint="eastAsia"/>
          <w:sz w:val="24"/>
          <w:szCs w:val="24"/>
          <w:lang w:eastAsia="zh-CN"/>
        </w:rPr>
        <w:t>蔓延至未硬化地面时渗透到地下，污染土壤，进而污染地下水，或通过雨水管网，直接进入赣江。</w:t>
      </w:r>
    </w:p>
    <w:p>
      <w:pPr>
        <w:pStyle w:val="6"/>
        <w:rPr>
          <w:sz w:val="24"/>
          <w:szCs w:val="24"/>
        </w:rPr>
      </w:pPr>
      <w:r>
        <w:rPr>
          <w:rFonts w:hint="eastAsia"/>
          <w:sz w:val="24"/>
          <w:szCs w:val="24"/>
        </w:rPr>
        <w:t>涉及环境风险防控与应急措施、应急资源情况分析</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sz w:val="24"/>
          <w:szCs w:val="24"/>
        </w:rPr>
      </w:pPr>
      <w:r>
        <w:rPr>
          <w:rFonts w:hint="eastAsia"/>
          <w:sz w:val="24"/>
          <w:szCs w:val="24"/>
        </w:rPr>
        <w:t>（1）火灾事故，生产车间</w:t>
      </w:r>
      <w:r>
        <w:rPr>
          <w:rFonts w:hint="eastAsia"/>
          <w:sz w:val="24"/>
          <w:szCs w:val="24"/>
          <w:lang w:eastAsia="zh-CN"/>
        </w:rPr>
        <w:t>各消防点</w:t>
      </w:r>
      <w:r>
        <w:rPr>
          <w:rFonts w:hint="eastAsia"/>
          <w:sz w:val="24"/>
          <w:szCs w:val="24"/>
        </w:rPr>
        <w:t>配备了灭火器以及</w:t>
      </w:r>
      <w:r>
        <w:rPr>
          <w:rFonts w:hint="eastAsia"/>
          <w:sz w:val="24"/>
          <w:szCs w:val="24"/>
          <w:lang w:eastAsia="zh-CN"/>
        </w:rPr>
        <w:t>消防沙</w:t>
      </w:r>
      <w:r>
        <w:rPr>
          <w:rFonts w:hint="eastAsia"/>
          <w:sz w:val="24"/>
          <w:szCs w:val="24"/>
        </w:rPr>
        <w:t>，一旦发现事故烟雾后，使用灭火器等应急设施，防止事故扩大，减少事故持续时间，减少气态污染物的排放量。</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sz w:val="24"/>
          <w:szCs w:val="24"/>
        </w:rPr>
      </w:pPr>
      <w:r>
        <w:rPr>
          <w:rFonts w:hint="eastAsia"/>
          <w:sz w:val="24"/>
          <w:szCs w:val="24"/>
        </w:rPr>
        <w:t>（2）配备专职人员定期对</w:t>
      </w:r>
      <w:r>
        <w:rPr>
          <w:rFonts w:hint="eastAsia"/>
          <w:sz w:val="24"/>
          <w:szCs w:val="24"/>
          <w:lang w:eastAsia="zh-CN"/>
        </w:rPr>
        <w:t>生产设备和除尘设备</w:t>
      </w:r>
      <w:r>
        <w:rPr>
          <w:rFonts w:hint="eastAsia"/>
          <w:sz w:val="24"/>
          <w:szCs w:val="24"/>
        </w:rPr>
        <w:t>进行检查，最大限度控制事故的影响程度。</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sz w:val="24"/>
          <w:szCs w:val="24"/>
        </w:rPr>
      </w:pPr>
      <w:r>
        <w:rPr>
          <w:rFonts w:hint="eastAsia"/>
          <w:sz w:val="24"/>
          <w:szCs w:val="24"/>
        </w:rPr>
        <w:t>（3）对于</w:t>
      </w:r>
      <w:r>
        <w:rPr>
          <w:rFonts w:hint="eastAsia"/>
          <w:sz w:val="24"/>
          <w:szCs w:val="24"/>
          <w:lang w:eastAsia="zh-CN"/>
        </w:rPr>
        <w:t>沉淀池泄漏，立即将</w:t>
      </w:r>
      <w:r>
        <w:rPr>
          <w:rFonts w:hint="eastAsia"/>
          <w:sz w:val="24"/>
          <w:szCs w:val="24"/>
        </w:rPr>
        <w:t>废水</w:t>
      </w:r>
      <w:r>
        <w:rPr>
          <w:rFonts w:hint="eastAsia"/>
          <w:sz w:val="24"/>
          <w:szCs w:val="24"/>
          <w:lang w:eastAsia="zh-CN"/>
        </w:rPr>
        <w:t>用泵抽</w:t>
      </w:r>
      <w:r>
        <w:rPr>
          <w:rFonts w:hint="eastAsia"/>
          <w:sz w:val="24"/>
          <w:szCs w:val="24"/>
          <w:lang w:val="en-US" w:eastAsia="zh-CN"/>
        </w:rPr>
        <w:t>至其他沉淀池中，</w:t>
      </w:r>
      <w:r>
        <w:rPr>
          <w:rFonts w:hint="eastAsia"/>
          <w:sz w:val="24"/>
          <w:szCs w:val="24"/>
          <w:lang w:eastAsia="zh-CN"/>
        </w:rPr>
        <w:t>并对池体进行修复</w:t>
      </w:r>
      <w:r>
        <w:rPr>
          <w:rFonts w:hint="eastAsia"/>
          <w:sz w:val="24"/>
          <w:szCs w:val="24"/>
        </w:rPr>
        <w:t>。</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sz w:val="24"/>
          <w:szCs w:val="24"/>
        </w:rPr>
      </w:pPr>
      <w:r>
        <w:rPr>
          <w:rFonts w:hint="eastAsia"/>
          <w:sz w:val="24"/>
          <w:szCs w:val="24"/>
          <w:lang w:eastAsia="zh-CN"/>
        </w:rPr>
        <w:t>（</w:t>
      </w:r>
      <w:r>
        <w:rPr>
          <w:rFonts w:hint="eastAsia"/>
          <w:sz w:val="24"/>
          <w:szCs w:val="24"/>
          <w:lang w:val="en-US" w:eastAsia="zh-CN"/>
        </w:rPr>
        <w:t>4）矿物油泄漏，立即用砂袋围堵，防止进入雨水口，对泄漏的矿物油进行收集。</w:t>
      </w:r>
      <w:r>
        <w:rPr>
          <w:rFonts w:hint="eastAsia"/>
          <w:sz w:val="24"/>
          <w:szCs w:val="24"/>
        </w:rPr>
        <w:t>采取上述措施后能有效杜绝企业在事故发生时，对周边水体产生的环境影响。</w:t>
      </w:r>
    </w:p>
    <w:p>
      <w:pPr>
        <w:pStyle w:val="4"/>
        <w:rPr>
          <w:sz w:val="24"/>
          <w:szCs w:val="24"/>
        </w:rPr>
      </w:pPr>
      <w:bookmarkStart w:id="52" w:name="_Toc10904"/>
      <w:r>
        <w:rPr>
          <w:rFonts w:hint="eastAsia"/>
          <w:sz w:val="24"/>
          <w:szCs w:val="24"/>
        </w:rPr>
        <w:t>突发环境事件危害后果分析</w:t>
      </w:r>
      <w:bookmarkEnd w:id="52"/>
    </w:p>
    <w:p>
      <w:pPr>
        <w:ind w:firstLine="560"/>
        <w:rPr>
          <w:sz w:val="24"/>
          <w:szCs w:val="24"/>
        </w:rPr>
      </w:pPr>
      <w:r>
        <w:rPr>
          <w:sz w:val="24"/>
          <w:szCs w:val="24"/>
        </w:rPr>
        <w:t>1</w:t>
      </w:r>
      <w:r>
        <w:rPr>
          <w:rFonts w:hint="eastAsia"/>
          <w:sz w:val="24"/>
          <w:szCs w:val="24"/>
        </w:rPr>
        <w:t>、火灾事件危害后果分析</w:t>
      </w:r>
    </w:p>
    <w:p>
      <w:pPr>
        <w:ind w:firstLine="560"/>
        <w:rPr>
          <w:sz w:val="24"/>
          <w:szCs w:val="24"/>
        </w:rPr>
      </w:pPr>
      <w:r>
        <w:rPr>
          <w:rFonts w:hint="eastAsia"/>
          <w:sz w:val="24"/>
          <w:szCs w:val="24"/>
        </w:rPr>
        <w:t>为扑灭火灾而产生的消防废水处置不当、不及时而可能直接排入受纳河流，产生消防废水收集不及时将污染周围的地表水和地下水。同时火灾产生次生和衍生污染物进入大气，影响大气环境。</w:t>
      </w:r>
    </w:p>
    <w:p>
      <w:pPr>
        <w:ind w:firstLine="560"/>
        <w:rPr>
          <w:rFonts w:hint="eastAsia"/>
          <w:sz w:val="24"/>
          <w:szCs w:val="24"/>
          <w:lang w:val="en-US" w:eastAsia="zh-CN"/>
        </w:rPr>
      </w:pPr>
      <w:r>
        <w:rPr>
          <w:rFonts w:hint="eastAsia"/>
          <w:sz w:val="24"/>
          <w:szCs w:val="24"/>
          <w:lang w:val="en-US" w:eastAsia="zh-CN"/>
        </w:rPr>
        <w:t>2、废气处理设施故障后果分析</w:t>
      </w:r>
    </w:p>
    <w:p>
      <w:pPr>
        <w:ind w:firstLine="560"/>
        <w:rPr>
          <w:rFonts w:hint="default"/>
          <w:sz w:val="24"/>
          <w:szCs w:val="24"/>
          <w:lang w:val="en-US" w:eastAsia="zh-CN"/>
        </w:rPr>
      </w:pPr>
      <w:r>
        <w:rPr>
          <w:rFonts w:hint="eastAsia"/>
          <w:sz w:val="24"/>
          <w:szCs w:val="24"/>
          <w:lang w:val="en-US" w:eastAsia="zh-CN"/>
        </w:rPr>
        <w:t>厂内除尘设施故障，将会导致生产过程产生的废气得不到及时处理，使下风向空气中颗粒物增加，一定程度上影响周边的大气环境。</w:t>
      </w:r>
    </w:p>
    <w:p>
      <w:pPr>
        <w:ind w:firstLine="560"/>
        <w:rPr>
          <w:sz w:val="24"/>
          <w:szCs w:val="24"/>
        </w:rPr>
      </w:pPr>
      <w:r>
        <w:rPr>
          <w:rFonts w:hint="eastAsia"/>
          <w:sz w:val="24"/>
          <w:szCs w:val="24"/>
          <w:lang w:val="en-US" w:eastAsia="zh-CN"/>
        </w:rPr>
        <w:t>4</w:t>
      </w:r>
      <w:r>
        <w:rPr>
          <w:rFonts w:hint="eastAsia"/>
          <w:sz w:val="24"/>
          <w:szCs w:val="24"/>
        </w:rPr>
        <w:t>、外界灾害事件危害后果分析</w:t>
      </w:r>
    </w:p>
    <w:p>
      <w:pPr>
        <w:ind w:firstLine="560"/>
        <w:rPr>
          <w:sz w:val="24"/>
          <w:szCs w:val="24"/>
        </w:rPr>
      </w:pPr>
      <w:r>
        <w:rPr>
          <w:rFonts w:hint="eastAsia"/>
          <w:sz w:val="24"/>
          <w:szCs w:val="24"/>
          <w:lang w:val="en-US" w:eastAsia="zh-CN"/>
        </w:rPr>
        <w:t>1</w:t>
      </w:r>
      <w:r>
        <w:rPr>
          <w:rFonts w:hint="eastAsia"/>
          <w:sz w:val="24"/>
          <w:szCs w:val="24"/>
        </w:rPr>
        <w:t>）雷击</w:t>
      </w:r>
    </w:p>
    <w:p>
      <w:pPr>
        <w:ind w:firstLine="560"/>
        <w:rPr>
          <w:sz w:val="24"/>
          <w:szCs w:val="24"/>
        </w:rPr>
      </w:pPr>
      <w:r>
        <w:rPr>
          <w:rFonts w:hint="eastAsia"/>
          <w:sz w:val="24"/>
          <w:szCs w:val="24"/>
        </w:rPr>
        <w:t>如果防</w:t>
      </w:r>
      <w:r>
        <w:rPr>
          <w:rFonts w:hint="eastAsia"/>
          <w:sz w:val="24"/>
          <w:szCs w:val="24"/>
          <w:lang w:eastAsia="zh-CN"/>
        </w:rPr>
        <w:t>雷</w:t>
      </w:r>
      <w:r>
        <w:rPr>
          <w:rFonts w:hint="eastAsia"/>
          <w:sz w:val="24"/>
          <w:szCs w:val="24"/>
        </w:rPr>
        <w:t>击措施和接地装置不到位，产生电火花就会可能导致火灾爆炸事故</w:t>
      </w:r>
      <w:r>
        <w:rPr>
          <w:rFonts w:hint="eastAsia"/>
          <w:sz w:val="24"/>
          <w:szCs w:val="24"/>
          <w:lang w:eastAsia="zh-CN"/>
        </w:rPr>
        <w:t>和人员伤亡</w:t>
      </w:r>
      <w:r>
        <w:rPr>
          <w:rFonts w:hint="eastAsia"/>
          <w:sz w:val="24"/>
          <w:szCs w:val="24"/>
        </w:rPr>
        <w:t>，严重影响当地生态环境。其他自然灾害因素如暴雨、山洪和地震等自然灾害造成的电力设施、生产设施、生产设备损坏导致的生产事故，皆属不可抗力造成的风险，概率较小，危害程度较大。</w:t>
      </w:r>
    </w:p>
    <w:p>
      <w:pPr>
        <w:ind w:firstLine="560"/>
        <w:rPr>
          <w:sz w:val="24"/>
          <w:szCs w:val="24"/>
        </w:rPr>
      </w:pPr>
      <w:r>
        <w:rPr>
          <w:rFonts w:hint="eastAsia"/>
          <w:sz w:val="24"/>
          <w:szCs w:val="24"/>
          <w:lang w:val="en-US" w:eastAsia="zh-CN"/>
        </w:rPr>
        <w:t>2</w:t>
      </w:r>
      <w:r>
        <w:rPr>
          <w:rFonts w:hint="eastAsia"/>
          <w:sz w:val="24"/>
          <w:szCs w:val="24"/>
        </w:rPr>
        <w:t>）人为因素</w:t>
      </w:r>
    </w:p>
    <w:p>
      <w:pPr>
        <w:ind w:firstLine="560"/>
        <w:rPr>
          <w:sz w:val="24"/>
          <w:szCs w:val="24"/>
        </w:rPr>
      </w:pPr>
      <w:r>
        <w:rPr>
          <w:rFonts w:hint="eastAsia"/>
          <w:sz w:val="24"/>
          <w:szCs w:val="24"/>
        </w:rPr>
        <w:t>人为因素包括操作失误、无意破坏和有意破坏。操作失误主要是人员不熟悉本岗位操作规程，不懂设备性能，盲目操作，</w:t>
      </w:r>
      <w:r>
        <w:rPr>
          <w:rFonts w:hint="eastAsia"/>
          <w:sz w:val="24"/>
          <w:szCs w:val="24"/>
          <w:lang w:eastAsia="zh-CN"/>
        </w:rPr>
        <w:t>导致</w:t>
      </w:r>
      <w:r>
        <w:rPr>
          <w:rFonts w:hint="eastAsia"/>
          <w:sz w:val="24"/>
          <w:szCs w:val="24"/>
        </w:rPr>
        <w:t>线路及设备超压等事故引发火灾；无意破坏是指人们在从事生产活动时对用电线路造成无意破坏和损伤引发火灾；有意破坏主要是在厂区内</w:t>
      </w:r>
      <w:r>
        <w:rPr>
          <w:rFonts w:hint="eastAsia"/>
          <w:sz w:val="24"/>
          <w:szCs w:val="24"/>
          <w:lang w:eastAsia="zh-CN"/>
        </w:rPr>
        <w:t>违反安全规定，导致物料泄漏或火灾</w:t>
      </w:r>
      <w:r>
        <w:rPr>
          <w:rFonts w:hint="eastAsia"/>
          <w:sz w:val="24"/>
          <w:szCs w:val="24"/>
        </w:rPr>
        <w:t>。</w:t>
      </w:r>
    </w:p>
    <w:p>
      <w:pPr>
        <w:pStyle w:val="3"/>
        <w:rPr>
          <w:sz w:val="32"/>
          <w:szCs w:val="32"/>
        </w:rPr>
      </w:pPr>
      <w:bookmarkStart w:id="53" w:name="_Toc8020"/>
      <w:r>
        <w:rPr>
          <w:rFonts w:hint="eastAsia"/>
          <w:sz w:val="32"/>
          <w:szCs w:val="32"/>
        </w:rPr>
        <w:t>现有环境风险防控和应急措施差距分析</w:t>
      </w:r>
      <w:bookmarkEnd w:id="53"/>
    </w:p>
    <w:p>
      <w:pPr>
        <w:ind w:firstLine="560"/>
        <w:rPr>
          <w:sz w:val="24"/>
          <w:szCs w:val="24"/>
        </w:rPr>
      </w:pPr>
      <w:r>
        <w:rPr>
          <w:rFonts w:hint="eastAsia"/>
          <w:sz w:val="24"/>
          <w:szCs w:val="24"/>
        </w:rPr>
        <w:t>从环境风险管理制度、环境风险防控与应急措施、环境应急资源、历史经验教训总结等几方面对现有环境风险防控与应急措施的完备性、可靠性和有效性进行分析论证，找出差距、问题，提出需要整改的短期、中期和长期项目内容。</w:t>
      </w:r>
    </w:p>
    <w:p>
      <w:pPr>
        <w:pStyle w:val="4"/>
        <w:rPr>
          <w:sz w:val="24"/>
          <w:szCs w:val="24"/>
        </w:rPr>
      </w:pPr>
      <w:bookmarkStart w:id="54" w:name="_Toc10000"/>
      <w:r>
        <w:rPr>
          <w:rFonts w:hint="eastAsia"/>
          <w:sz w:val="24"/>
          <w:szCs w:val="24"/>
        </w:rPr>
        <w:t>环境风险管理制度</w:t>
      </w:r>
      <w:bookmarkEnd w:id="54"/>
    </w:p>
    <w:p>
      <w:pPr>
        <w:ind w:firstLine="552"/>
        <w:rPr>
          <w:spacing w:val="-2"/>
          <w:kern w:val="0"/>
          <w:sz w:val="24"/>
          <w:szCs w:val="24"/>
        </w:rPr>
      </w:pPr>
      <w:r>
        <w:rPr>
          <w:spacing w:val="-2"/>
          <w:kern w:val="0"/>
          <w:sz w:val="24"/>
          <w:szCs w:val="24"/>
        </w:rPr>
        <w:t>1</w:t>
      </w:r>
      <w:r>
        <w:rPr>
          <w:rFonts w:hint="eastAsia"/>
          <w:spacing w:val="-2"/>
          <w:kern w:val="0"/>
          <w:sz w:val="24"/>
          <w:szCs w:val="24"/>
        </w:rPr>
        <w:t>、本公司制定了《</w:t>
      </w:r>
      <w:r>
        <w:rPr>
          <w:rFonts w:hint="eastAsia"/>
          <w:spacing w:val="-2"/>
          <w:kern w:val="0"/>
          <w:sz w:val="24"/>
          <w:szCs w:val="24"/>
          <w:lang w:eastAsia="zh-CN"/>
        </w:rPr>
        <w:t>南昌慧华高科混凝土有限公司</w:t>
      </w:r>
      <w:r>
        <w:rPr>
          <w:rFonts w:hint="eastAsia"/>
          <w:spacing w:val="-2"/>
          <w:kern w:val="0"/>
          <w:sz w:val="24"/>
          <w:szCs w:val="24"/>
        </w:rPr>
        <w:t>安全环保责任制度》，明确环保事故应急救援职责；制定有《环境保护管理制度》，明确环保事故应急处理方法；</w:t>
      </w:r>
      <w:r>
        <w:rPr>
          <w:rFonts w:hint="eastAsia"/>
          <w:spacing w:val="-2"/>
          <w:kern w:val="0"/>
          <w:sz w:val="24"/>
          <w:szCs w:val="24"/>
          <w:lang w:eastAsia="zh-CN"/>
        </w:rPr>
        <w:t>未进行消防验收，应尽快落实；</w:t>
      </w:r>
      <w:r>
        <w:rPr>
          <w:rFonts w:hint="eastAsia"/>
          <w:spacing w:val="-2"/>
          <w:kern w:val="0"/>
          <w:sz w:val="24"/>
          <w:szCs w:val="24"/>
        </w:rPr>
        <w:t>制定有《</w:t>
      </w:r>
      <w:r>
        <w:rPr>
          <w:rFonts w:hint="eastAsia"/>
          <w:spacing w:val="-2"/>
          <w:kern w:val="0"/>
          <w:sz w:val="24"/>
          <w:szCs w:val="24"/>
          <w:lang w:eastAsia="zh-CN"/>
        </w:rPr>
        <w:t>南昌慧华高科混凝土有限公司生产安全事故应急预案</w:t>
      </w:r>
      <w:r>
        <w:rPr>
          <w:rFonts w:hint="eastAsia"/>
          <w:spacing w:val="-2"/>
          <w:kern w:val="0"/>
          <w:sz w:val="24"/>
          <w:szCs w:val="24"/>
        </w:rPr>
        <w:t>》，包含有部分环境事故救援内容，但是对突发环境风险事件的针对性不强，</w:t>
      </w:r>
      <w:r>
        <w:rPr>
          <w:sz w:val="24"/>
          <w:szCs w:val="24"/>
        </w:rPr>
        <w:t>尚不能满足企业环境风险管理的需求，主要表现为：针对环境风险隐患排查治理、评估、监测、预警等的相关制度缺失，缺少环境风险自我评估制度</w:t>
      </w:r>
      <w:r>
        <w:rPr>
          <w:rFonts w:hint="eastAsia"/>
          <w:sz w:val="24"/>
          <w:szCs w:val="24"/>
          <w:lang w:eastAsia="zh-CN"/>
        </w:rPr>
        <w:t>，</w:t>
      </w:r>
      <w:r>
        <w:rPr>
          <w:sz w:val="24"/>
          <w:szCs w:val="24"/>
        </w:rPr>
        <w:t>。</w:t>
      </w:r>
    </w:p>
    <w:p>
      <w:pPr>
        <w:ind w:firstLine="552"/>
        <w:rPr>
          <w:spacing w:val="-2"/>
          <w:kern w:val="0"/>
          <w:sz w:val="24"/>
          <w:szCs w:val="24"/>
        </w:rPr>
      </w:pPr>
      <w:r>
        <w:rPr>
          <w:rFonts w:hint="eastAsia"/>
          <w:spacing w:val="-2"/>
          <w:kern w:val="0"/>
          <w:sz w:val="24"/>
          <w:szCs w:val="24"/>
        </w:rPr>
        <w:t>2、</w:t>
      </w:r>
      <w:r>
        <w:rPr>
          <w:sz w:val="24"/>
          <w:szCs w:val="24"/>
        </w:rPr>
        <w:t>已开展的应急演练多为消防或安全生产事故演练，有针对性的突发环境污染事故演练欠缺。</w:t>
      </w:r>
    </w:p>
    <w:p>
      <w:pPr>
        <w:ind w:firstLine="552"/>
        <w:rPr>
          <w:spacing w:val="-2"/>
          <w:kern w:val="0"/>
          <w:sz w:val="24"/>
          <w:szCs w:val="24"/>
        </w:rPr>
      </w:pPr>
      <w:r>
        <w:rPr>
          <w:spacing w:val="-2"/>
          <w:kern w:val="0"/>
          <w:sz w:val="24"/>
          <w:szCs w:val="24"/>
        </w:rPr>
        <w:t>3</w:t>
      </w:r>
      <w:r>
        <w:rPr>
          <w:rFonts w:hint="eastAsia"/>
          <w:spacing w:val="-2"/>
          <w:kern w:val="0"/>
          <w:sz w:val="24"/>
          <w:szCs w:val="24"/>
        </w:rPr>
        <w:t>、定期对职工开展</w:t>
      </w:r>
      <w:r>
        <w:rPr>
          <w:rFonts w:hint="eastAsia"/>
          <w:spacing w:val="-2"/>
          <w:kern w:val="0"/>
          <w:sz w:val="24"/>
          <w:szCs w:val="24"/>
          <w:lang w:eastAsia="zh-CN"/>
        </w:rPr>
        <w:t>安全</w:t>
      </w:r>
      <w:r>
        <w:rPr>
          <w:rFonts w:hint="eastAsia"/>
          <w:spacing w:val="-2"/>
          <w:kern w:val="0"/>
          <w:sz w:val="24"/>
          <w:szCs w:val="24"/>
        </w:rPr>
        <w:t>风险和</w:t>
      </w:r>
      <w:r>
        <w:rPr>
          <w:rFonts w:hint="eastAsia"/>
          <w:spacing w:val="-2"/>
          <w:kern w:val="0"/>
          <w:sz w:val="24"/>
          <w:szCs w:val="24"/>
          <w:lang w:eastAsia="zh-CN"/>
        </w:rPr>
        <w:t>安全生产</w:t>
      </w:r>
      <w:r>
        <w:rPr>
          <w:rFonts w:hint="eastAsia"/>
          <w:spacing w:val="-2"/>
          <w:kern w:val="0"/>
          <w:sz w:val="24"/>
          <w:szCs w:val="24"/>
        </w:rPr>
        <w:t>应急管理宣传和培训</w:t>
      </w:r>
      <w:r>
        <w:rPr>
          <w:rFonts w:hint="eastAsia"/>
          <w:spacing w:val="-2"/>
          <w:kern w:val="0"/>
          <w:sz w:val="24"/>
          <w:szCs w:val="24"/>
          <w:lang w:eastAsia="zh-CN"/>
        </w:rPr>
        <w:t>，环境风险相关宣传和培训包含在内</w:t>
      </w:r>
      <w:r>
        <w:rPr>
          <w:rFonts w:hint="eastAsia"/>
          <w:spacing w:val="-2"/>
          <w:kern w:val="0"/>
          <w:sz w:val="24"/>
          <w:szCs w:val="24"/>
        </w:rPr>
        <w:t>。</w:t>
      </w:r>
    </w:p>
    <w:p>
      <w:pPr>
        <w:ind w:firstLine="552"/>
        <w:rPr>
          <w:spacing w:val="-2"/>
          <w:kern w:val="0"/>
          <w:sz w:val="24"/>
          <w:szCs w:val="24"/>
        </w:rPr>
      </w:pPr>
      <w:r>
        <w:rPr>
          <w:spacing w:val="-2"/>
          <w:kern w:val="0"/>
          <w:sz w:val="24"/>
          <w:szCs w:val="24"/>
        </w:rPr>
        <w:t>4</w:t>
      </w:r>
      <w:r>
        <w:rPr>
          <w:rFonts w:hint="eastAsia"/>
          <w:spacing w:val="-2"/>
          <w:kern w:val="0"/>
          <w:sz w:val="24"/>
          <w:szCs w:val="24"/>
        </w:rPr>
        <w:t>、建立有综合应急事件信息报告制度，缺乏专项的突发环境事件信息报告制度。</w:t>
      </w:r>
    </w:p>
    <w:p>
      <w:pPr>
        <w:pStyle w:val="4"/>
        <w:rPr>
          <w:sz w:val="24"/>
          <w:szCs w:val="24"/>
        </w:rPr>
      </w:pPr>
      <w:bookmarkStart w:id="55" w:name="_Toc15039"/>
      <w:r>
        <w:rPr>
          <w:rFonts w:hint="eastAsia"/>
          <w:sz w:val="24"/>
          <w:szCs w:val="24"/>
        </w:rPr>
        <w:t>环境风险防控与应急措施</w:t>
      </w:r>
      <w:bookmarkEnd w:id="55"/>
    </w:p>
    <w:p>
      <w:pPr>
        <w:ind w:firstLine="560"/>
        <w:outlineLvl w:val="9"/>
        <w:rPr>
          <w:rFonts w:hint="eastAsia"/>
          <w:sz w:val="24"/>
          <w:szCs w:val="24"/>
        </w:rPr>
      </w:pPr>
      <w:r>
        <w:rPr>
          <w:rFonts w:hint="eastAsia"/>
          <w:sz w:val="24"/>
          <w:szCs w:val="24"/>
          <w:lang w:val="en-US" w:eastAsia="zh-CN"/>
        </w:rPr>
        <w:t>1、</w:t>
      </w:r>
      <w:r>
        <w:rPr>
          <w:rFonts w:hint="eastAsia"/>
          <w:sz w:val="24"/>
          <w:szCs w:val="24"/>
          <w:lang w:eastAsia="zh-CN"/>
        </w:rPr>
        <w:t>水泥粉、矿粉、粉煤灰泄漏事故风险防控措施</w:t>
      </w:r>
    </w:p>
    <w:p>
      <w:pPr>
        <w:outlineLvl w:val="9"/>
        <w:rPr>
          <w:rFonts w:hint="default"/>
          <w:sz w:val="24"/>
          <w:szCs w:val="24"/>
          <w:lang w:val="en-US"/>
        </w:rPr>
      </w:pPr>
      <w:r>
        <w:rPr>
          <w:rFonts w:hint="eastAsia"/>
          <w:sz w:val="24"/>
          <w:szCs w:val="24"/>
          <w:lang w:eastAsia="zh-CN"/>
        </w:rPr>
        <w:t>在水泥粉、矿粉、粉煤灰输送至筒仓之前，认真检查其接口是否被损坏；使用人员做好保养工作，保证设备的正常运行；每个筒仓都安装了布袋除尘器，以减少装料或使用过程筒仓内负压产生的粉尘外排污染事故；关注新闻，了解是否有地震等自然灾害，提前防止筒仓倾倒。</w:t>
      </w:r>
    </w:p>
    <w:p>
      <w:pPr>
        <w:ind w:firstLine="560"/>
        <w:outlineLvl w:val="9"/>
        <w:rPr>
          <w:rFonts w:hint="eastAsia"/>
          <w:sz w:val="24"/>
          <w:szCs w:val="24"/>
        </w:rPr>
      </w:pPr>
      <w:r>
        <w:rPr>
          <w:rFonts w:hint="eastAsia"/>
          <w:sz w:val="24"/>
          <w:szCs w:val="24"/>
          <w:lang w:val="en-US" w:eastAsia="zh-CN"/>
        </w:rPr>
        <w:t>2、</w:t>
      </w:r>
      <w:r>
        <w:rPr>
          <w:rFonts w:hint="eastAsia"/>
          <w:sz w:val="24"/>
          <w:szCs w:val="24"/>
          <w:lang w:eastAsia="zh-CN"/>
        </w:rPr>
        <w:t>除尘系统事故风险防控措施</w:t>
      </w:r>
    </w:p>
    <w:p>
      <w:pPr>
        <w:outlineLvl w:val="9"/>
        <w:rPr>
          <w:rFonts w:hint="default"/>
          <w:sz w:val="24"/>
          <w:szCs w:val="24"/>
          <w:lang w:val="en-US"/>
        </w:rPr>
      </w:pPr>
      <w:r>
        <w:rPr>
          <w:rFonts w:hint="eastAsia"/>
          <w:sz w:val="24"/>
          <w:szCs w:val="24"/>
          <w:lang w:eastAsia="zh-CN"/>
        </w:rPr>
        <w:t>公司平均每月更换一次布袋，确保布袋的除尘效果；定期检查布袋除尘情况并及时更换；注意排尘浓度是否正常，检查布袋是否泄漏。</w:t>
      </w:r>
    </w:p>
    <w:p>
      <w:pPr>
        <w:numPr>
          <w:ilvl w:val="0"/>
          <w:numId w:val="0"/>
        </w:numPr>
        <w:ind w:left="0" w:leftChars="0" w:firstLine="559" w:firstLineChars="233"/>
        <w:outlineLvl w:val="9"/>
        <w:rPr>
          <w:rFonts w:hint="eastAsia" w:ascii="Times New Roman" w:hAnsi="Times New Roman" w:eastAsia="宋体" w:cstheme="minorBidi"/>
          <w:b w:val="0"/>
          <w:bCs w:val="0"/>
          <w:kern w:val="2"/>
          <w:sz w:val="24"/>
          <w:szCs w:val="24"/>
          <w:lang w:val="en-US" w:eastAsia="zh-CN" w:bidi="ar-SA"/>
        </w:rPr>
      </w:pPr>
      <w:r>
        <w:rPr>
          <w:rFonts w:hint="eastAsia" w:cstheme="minorBidi"/>
          <w:b w:val="0"/>
          <w:bCs w:val="0"/>
          <w:kern w:val="2"/>
          <w:sz w:val="24"/>
          <w:szCs w:val="24"/>
          <w:lang w:val="en-US" w:eastAsia="zh-CN" w:bidi="ar-SA"/>
        </w:rPr>
        <w:t>3、</w:t>
      </w:r>
      <w:r>
        <w:rPr>
          <w:rFonts w:hint="eastAsia" w:ascii="Times New Roman" w:hAnsi="Times New Roman" w:eastAsia="宋体" w:cstheme="minorBidi"/>
          <w:b w:val="0"/>
          <w:bCs w:val="0"/>
          <w:kern w:val="2"/>
          <w:sz w:val="24"/>
          <w:szCs w:val="24"/>
          <w:lang w:val="en-US" w:eastAsia="zh-CN" w:bidi="ar-SA"/>
        </w:rPr>
        <w:t>防渗措施</w:t>
      </w:r>
    </w:p>
    <w:p>
      <w:pPr>
        <w:ind w:left="0" w:leftChars="0" w:firstLine="559" w:firstLineChars="233"/>
        <w:outlineLvl w:val="9"/>
        <w:rPr>
          <w:rFonts w:hint="eastAsia" w:eastAsia="宋体"/>
          <w:sz w:val="24"/>
          <w:szCs w:val="24"/>
          <w:lang w:eastAsia="zh-CN"/>
        </w:rPr>
      </w:pPr>
      <w:r>
        <w:rPr>
          <w:rFonts w:hint="eastAsia"/>
          <w:sz w:val="24"/>
          <w:szCs w:val="24"/>
        </w:rPr>
        <w:t>本公司实际生产过程中，原</w:t>
      </w:r>
      <w:r>
        <w:rPr>
          <w:rFonts w:hint="eastAsia"/>
          <w:sz w:val="24"/>
          <w:szCs w:val="24"/>
          <w:lang w:eastAsia="zh-CN"/>
        </w:rPr>
        <w:t>辅</w:t>
      </w:r>
      <w:r>
        <w:rPr>
          <w:rFonts w:hint="eastAsia"/>
          <w:sz w:val="24"/>
          <w:szCs w:val="24"/>
        </w:rPr>
        <w:t>材料均为</w:t>
      </w:r>
      <w:r>
        <w:rPr>
          <w:rFonts w:hint="eastAsia"/>
          <w:sz w:val="24"/>
          <w:szCs w:val="24"/>
          <w:lang w:eastAsia="zh-CN"/>
        </w:rPr>
        <w:t>粉末或</w:t>
      </w:r>
      <w:r>
        <w:rPr>
          <w:rFonts w:hint="eastAsia"/>
          <w:sz w:val="24"/>
          <w:szCs w:val="24"/>
        </w:rPr>
        <w:t>固体，存放</w:t>
      </w:r>
      <w:r>
        <w:rPr>
          <w:rFonts w:hint="eastAsia"/>
          <w:sz w:val="24"/>
          <w:szCs w:val="24"/>
          <w:lang w:eastAsia="zh-CN"/>
        </w:rPr>
        <w:t>生产车间中；最终产品为固体，存放在生产车间内；废渣和除尘灰自行利用于加气块的制造</w:t>
      </w:r>
      <w:r>
        <w:rPr>
          <w:rFonts w:hint="eastAsia"/>
          <w:sz w:val="24"/>
          <w:szCs w:val="24"/>
        </w:rPr>
        <w:t>。</w:t>
      </w:r>
      <w:r>
        <w:rPr>
          <w:rFonts w:hint="eastAsia"/>
          <w:sz w:val="24"/>
          <w:szCs w:val="24"/>
          <w:lang w:eastAsia="zh-CN"/>
        </w:rPr>
        <w:t>循环水间接冷却，循环水池防腐防渗，生产区域地面硬化</w:t>
      </w:r>
      <w:r>
        <w:rPr>
          <w:rFonts w:hint="eastAsia"/>
          <w:sz w:val="24"/>
          <w:szCs w:val="24"/>
        </w:rPr>
        <w:t>。</w:t>
      </w:r>
      <w:r>
        <w:rPr>
          <w:rFonts w:hint="eastAsia"/>
          <w:sz w:val="24"/>
          <w:szCs w:val="24"/>
          <w:lang w:eastAsia="zh-CN"/>
        </w:rPr>
        <w:t>公司设置专人定期检查沉淀池是否有漏水现象，并定期清理池底沉渣。</w:t>
      </w:r>
    </w:p>
    <w:p>
      <w:pPr>
        <w:numPr>
          <w:ilvl w:val="0"/>
          <w:numId w:val="0"/>
        </w:numPr>
        <w:ind w:left="0" w:leftChars="0" w:firstLine="559" w:firstLineChars="233"/>
        <w:outlineLvl w:val="9"/>
        <w:rPr>
          <w:rFonts w:hint="eastAsia" w:ascii="Times New Roman" w:hAnsi="Times New Roman" w:eastAsia="宋体" w:cstheme="minorBidi"/>
          <w:b w:val="0"/>
          <w:bCs w:val="0"/>
          <w:kern w:val="2"/>
          <w:sz w:val="24"/>
          <w:szCs w:val="24"/>
          <w:lang w:val="en-US" w:eastAsia="zh-CN" w:bidi="ar-SA"/>
        </w:rPr>
      </w:pPr>
      <w:r>
        <w:rPr>
          <w:rFonts w:hint="eastAsia" w:cstheme="minorBidi"/>
          <w:b w:val="0"/>
          <w:bCs w:val="0"/>
          <w:kern w:val="2"/>
          <w:sz w:val="24"/>
          <w:szCs w:val="24"/>
          <w:lang w:val="en-US" w:eastAsia="zh-CN" w:bidi="ar-SA"/>
        </w:rPr>
        <w:t>4、</w:t>
      </w:r>
      <w:r>
        <w:rPr>
          <w:rFonts w:hint="eastAsia" w:ascii="Times New Roman" w:hAnsi="Times New Roman" w:eastAsia="宋体" w:cstheme="minorBidi"/>
          <w:b w:val="0"/>
          <w:bCs w:val="0"/>
          <w:kern w:val="2"/>
          <w:sz w:val="24"/>
          <w:szCs w:val="24"/>
          <w:lang w:val="en-US" w:eastAsia="zh-CN" w:bidi="ar-SA"/>
        </w:rPr>
        <w:t>截流措施</w:t>
      </w:r>
    </w:p>
    <w:p>
      <w:pPr>
        <w:ind w:left="0" w:leftChars="0" w:firstLine="559" w:firstLineChars="233"/>
        <w:outlineLvl w:val="9"/>
        <w:rPr>
          <w:sz w:val="24"/>
          <w:szCs w:val="24"/>
        </w:rPr>
      </w:pPr>
      <w:r>
        <w:rPr>
          <w:rFonts w:hint="eastAsia"/>
          <w:sz w:val="24"/>
          <w:szCs w:val="24"/>
          <w:lang w:eastAsia="zh-CN"/>
        </w:rPr>
        <w:t>厂内有循环水池和沉淀池，以厂界围墙作为包围整个项目的围堰，有效截流事故废水，避免流出厂界污染周边土壤和地下水</w:t>
      </w:r>
      <w:r>
        <w:rPr>
          <w:rFonts w:hint="eastAsia"/>
          <w:sz w:val="24"/>
          <w:szCs w:val="24"/>
        </w:rPr>
        <w:t>。</w:t>
      </w:r>
    </w:p>
    <w:p>
      <w:pPr>
        <w:numPr>
          <w:ilvl w:val="3"/>
          <w:numId w:val="0"/>
        </w:numPr>
        <w:ind w:left="0" w:leftChars="0" w:firstLine="559" w:firstLineChars="233"/>
        <w:outlineLvl w:val="9"/>
        <w:rPr>
          <w:rFonts w:hint="eastAsia" w:cstheme="minorBidi"/>
          <w:b w:val="0"/>
          <w:bCs w:val="0"/>
          <w:kern w:val="2"/>
          <w:sz w:val="24"/>
          <w:szCs w:val="24"/>
          <w:lang w:val="en-US" w:eastAsia="zh-CN" w:bidi="ar-SA"/>
        </w:rPr>
      </w:pPr>
      <w:r>
        <w:rPr>
          <w:rFonts w:hint="eastAsia" w:cstheme="minorBidi"/>
          <w:b w:val="0"/>
          <w:bCs w:val="0"/>
          <w:kern w:val="2"/>
          <w:sz w:val="24"/>
          <w:szCs w:val="24"/>
          <w:lang w:val="en-US" w:eastAsia="zh-CN" w:bidi="ar-SA"/>
        </w:rPr>
        <w:t>5、矿物油泄漏风险防控措施</w:t>
      </w:r>
    </w:p>
    <w:p>
      <w:pPr>
        <w:ind w:firstLine="560"/>
        <w:outlineLvl w:val="9"/>
        <w:rPr>
          <w:rFonts w:hint="eastAsia"/>
          <w:sz w:val="24"/>
          <w:szCs w:val="24"/>
        </w:rPr>
      </w:pPr>
      <w:r>
        <w:rPr>
          <w:rFonts w:hint="eastAsia"/>
          <w:sz w:val="24"/>
          <w:szCs w:val="24"/>
          <w:lang w:eastAsia="zh-CN"/>
        </w:rPr>
        <w:t>定期检查油桶情况，若发现问题，及时更换新的油桶</w:t>
      </w:r>
      <w:r>
        <w:rPr>
          <w:rFonts w:hint="eastAsia"/>
          <w:sz w:val="24"/>
          <w:szCs w:val="24"/>
        </w:rPr>
        <w:t>。</w:t>
      </w:r>
    </w:p>
    <w:p>
      <w:pPr>
        <w:pStyle w:val="4"/>
        <w:rPr>
          <w:sz w:val="24"/>
          <w:szCs w:val="24"/>
        </w:rPr>
      </w:pPr>
      <w:bookmarkStart w:id="56" w:name="_Toc10492"/>
      <w:r>
        <w:rPr>
          <w:rFonts w:hint="eastAsia"/>
          <w:sz w:val="24"/>
          <w:szCs w:val="24"/>
        </w:rPr>
        <w:t>环境应急资源</w:t>
      </w:r>
      <w:bookmarkEnd w:id="56"/>
    </w:p>
    <w:p>
      <w:pPr>
        <w:ind w:firstLine="560"/>
        <w:rPr>
          <w:sz w:val="24"/>
          <w:szCs w:val="24"/>
        </w:rPr>
      </w:pPr>
      <w:r>
        <w:rPr>
          <w:sz w:val="24"/>
          <w:szCs w:val="24"/>
        </w:rPr>
        <w:t>1</w:t>
      </w:r>
      <w:r>
        <w:rPr>
          <w:rFonts w:hint="eastAsia"/>
          <w:sz w:val="24"/>
          <w:szCs w:val="24"/>
        </w:rPr>
        <w:t>、公司配备有必要的应急物资和应急装备；</w:t>
      </w:r>
    </w:p>
    <w:p>
      <w:pPr>
        <w:keepNext w:val="0"/>
        <w:keepLines w:val="0"/>
        <w:pageBreakBefore w:val="0"/>
        <w:widowControl w:val="0"/>
        <w:kinsoku/>
        <w:wordWrap/>
        <w:overflowPunct/>
        <w:topLinePunct w:val="0"/>
        <w:autoSpaceDE/>
        <w:autoSpaceDN/>
        <w:bidi w:val="0"/>
        <w:adjustRightInd/>
        <w:snapToGrid/>
        <w:ind w:firstLine="560"/>
        <w:textAlignment w:val="auto"/>
        <w:rPr>
          <w:rFonts w:hint="eastAsia"/>
          <w:sz w:val="24"/>
          <w:szCs w:val="24"/>
        </w:rPr>
      </w:pPr>
      <w:r>
        <w:rPr>
          <w:sz w:val="24"/>
          <w:szCs w:val="24"/>
        </w:rPr>
        <w:t>2</w:t>
      </w:r>
      <w:r>
        <w:rPr>
          <w:rFonts w:hint="eastAsia"/>
          <w:sz w:val="24"/>
          <w:szCs w:val="24"/>
        </w:rPr>
        <w:t>、公司设置有专职以及兼职人员组成的应急救援队伍；</w:t>
      </w:r>
    </w:p>
    <w:p>
      <w:pPr>
        <w:pStyle w:val="10"/>
        <w:keepNext/>
        <w:keepLines w:val="0"/>
        <w:pageBreakBefore w:val="0"/>
        <w:widowControl w:val="0"/>
        <w:kinsoku/>
        <w:wordWrap/>
        <w:overflowPunct/>
        <w:topLinePunct w:val="0"/>
        <w:autoSpaceDE/>
        <w:autoSpaceDN/>
        <w:bidi w:val="0"/>
        <w:adjustRightInd/>
        <w:snapToGrid/>
        <w:ind w:firstLine="0" w:firstLineChars="0"/>
        <w:textAlignment w:val="auto"/>
        <w:rPr>
          <w:b/>
          <w:bCs/>
          <w:sz w:val="24"/>
          <w:szCs w:val="24"/>
        </w:rPr>
      </w:pPr>
      <w:r>
        <w:rPr>
          <w:rFonts w:hint="eastAsia"/>
          <w:b/>
          <w:bCs/>
          <w:sz w:val="24"/>
          <w:szCs w:val="24"/>
        </w:rPr>
        <w:t xml:space="preserve">表 </w:t>
      </w:r>
      <w:r>
        <w:rPr>
          <w:b/>
          <w:bCs/>
          <w:sz w:val="24"/>
          <w:szCs w:val="24"/>
        </w:rPr>
        <w:fldChar w:fldCharType="begin"/>
      </w:r>
      <w:r>
        <w:rPr>
          <w:b/>
          <w:bCs/>
          <w:sz w:val="24"/>
          <w:szCs w:val="24"/>
        </w:rPr>
        <w:instrText xml:space="preserve"> </w:instrText>
      </w:r>
      <w:r>
        <w:rPr>
          <w:rFonts w:hint="eastAsia"/>
          <w:b/>
          <w:bCs/>
          <w:sz w:val="24"/>
          <w:szCs w:val="24"/>
        </w:rPr>
        <w:instrText xml:space="preserve">STYLEREF 1 \s</w:instrText>
      </w:r>
      <w:r>
        <w:rPr>
          <w:b/>
          <w:bCs/>
          <w:sz w:val="24"/>
          <w:szCs w:val="24"/>
        </w:rPr>
        <w:instrText xml:space="preserve"> </w:instrText>
      </w:r>
      <w:r>
        <w:rPr>
          <w:b/>
          <w:bCs/>
          <w:sz w:val="24"/>
          <w:szCs w:val="24"/>
        </w:rPr>
        <w:fldChar w:fldCharType="separate"/>
      </w:r>
      <w:r>
        <w:rPr>
          <w:b/>
          <w:bCs/>
          <w:sz w:val="24"/>
          <w:szCs w:val="24"/>
        </w:rPr>
        <w:t>5</w:t>
      </w:r>
      <w:r>
        <w:rPr>
          <w:b/>
          <w:bCs/>
          <w:sz w:val="24"/>
          <w:szCs w:val="24"/>
        </w:rPr>
        <w:fldChar w:fldCharType="end"/>
      </w:r>
      <w:r>
        <w:rPr>
          <w:b/>
          <w:bCs/>
          <w:sz w:val="24"/>
          <w:szCs w:val="24"/>
        </w:rPr>
        <w:noBreakHyphen/>
      </w:r>
      <w:r>
        <w:rPr>
          <w:b/>
          <w:bCs/>
          <w:sz w:val="24"/>
          <w:szCs w:val="24"/>
        </w:rPr>
        <w:fldChar w:fldCharType="begin"/>
      </w:r>
      <w:r>
        <w:rPr>
          <w:b/>
          <w:bCs/>
          <w:sz w:val="24"/>
          <w:szCs w:val="24"/>
        </w:rPr>
        <w:instrText xml:space="preserve"> </w:instrText>
      </w:r>
      <w:r>
        <w:rPr>
          <w:rFonts w:hint="eastAsia"/>
          <w:b/>
          <w:bCs/>
          <w:sz w:val="24"/>
          <w:szCs w:val="24"/>
        </w:rPr>
        <w:instrText xml:space="preserve">SEQ 表 \* ARABIC \s 1</w:instrText>
      </w:r>
      <w:r>
        <w:rPr>
          <w:b/>
          <w:bCs/>
          <w:sz w:val="24"/>
          <w:szCs w:val="24"/>
        </w:rPr>
        <w:instrText xml:space="preserve"> </w:instrText>
      </w:r>
      <w:r>
        <w:rPr>
          <w:b/>
          <w:bCs/>
          <w:sz w:val="24"/>
          <w:szCs w:val="24"/>
        </w:rPr>
        <w:fldChar w:fldCharType="separate"/>
      </w:r>
      <w:r>
        <w:rPr>
          <w:b/>
          <w:bCs/>
          <w:sz w:val="24"/>
          <w:szCs w:val="24"/>
        </w:rPr>
        <w:t>1</w:t>
      </w:r>
      <w:r>
        <w:rPr>
          <w:b/>
          <w:bCs/>
          <w:sz w:val="24"/>
          <w:szCs w:val="24"/>
        </w:rPr>
        <w:fldChar w:fldCharType="end"/>
      </w:r>
      <w:r>
        <w:rPr>
          <w:rFonts w:hint="eastAsia"/>
          <w:b/>
          <w:bCs/>
          <w:sz w:val="24"/>
          <w:szCs w:val="24"/>
          <w:lang w:eastAsia="zh-CN"/>
        </w:rPr>
        <w:t>重要消防</w:t>
      </w:r>
      <w:r>
        <w:rPr>
          <w:rFonts w:hint="eastAsia"/>
          <w:b/>
          <w:bCs/>
          <w:sz w:val="24"/>
          <w:szCs w:val="24"/>
        </w:rPr>
        <w:t>设施装备一览表</w:t>
      </w:r>
    </w:p>
    <w:tbl>
      <w:tblPr>
        <w:tblStyle w:val="18"/>
        <w:tblpPr w:leftFromText="180" w:rightFromText="180" w:vertAnchor="text" w:horzAnchor="page" w:tblpX="1509" w:tblpY="618"/>
        <w:tblOverlap w:val="never"/>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91"/>
        <w:gridCol w:w="2085"/>
        <w:gridCol w:w="742"/>
        <w:gridCol w:w="1039"/>
        <w:gridCol w:w="2117"/>
        <w:gridCol w:w="13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6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类别</w:t>
            </w:r>
          </w:p>
        </w:tc>
        <w:tc>
          <w:tcPr>
            <w:tcW w:w="111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应急物资名称</w:t>
            </w:r>
          </w:p>
        </w:tc>
        <w:tc>
          <w:tcPr>
            <w:tcW w:w="397"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数量</w:t>
            </w:r>
          </w:p>
        </w:tc>
        <w:tc>
          <w:tcPr>
            <w:tcW w:w="55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单位</w:t>
            </w:r>
          </w:p>
        </w:tc>
        <w:tc>
          <w:tcPr>
            <w:tcW w:w="1133"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配备位置</w:t>
            </w:r>
          </w:p>
        </w:tc>
        <w:tc>
          <w:tcPr>
            <w:tcW w:w="730"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both"/>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trPr>
        <w:tc>
          <w:tcPr>
            <w:tcW w:w="1066" w:type="pct"/>
            <w:vMerge w:val="restar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both"/>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已有应急物资</w:t>
            </w:r>
          </w:p>
        </w:tc>
        <w:tc>
          <w:tcPr>
            <w:tcW w:w="111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ascii="Times New Roman" w:hAnsi="Times New Roman" w:eastAsia="宋体" w:cs="Times New Roman"/>
                <w:smallCaps/>
                <w:color w:val="000000"/>
                <w:kern w:val="2"/>
                <w:sz w:val="21"/>
                <w:szCs w:val="21"/>
                <w:lang w:val="en-US" w:eastAsia="zh-CN" w:bidi="ar-SA"/>
              </w:rPr>
              <w:t>视频监控系统</w:t>
            </w:r>
          </w:p>
        </w:tc>
        <w:tc>
          <w:tcPr>
            <w:tcW w:w="397"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ascii="Times New Roman" w:hAnsi="Times New Roman" w:eastAsia="宋体" w:cs="Times New Roman"/>
                <w:smallCaps/>
                <w:color w:val="000000"/>
                <w:kern w:val="2"/>
                <w:sz w:val="21"/>
                <w:szCs w:val="21"/>
                <w:lang w:val="en-US" w:eastAsia="zh-CN" w:bidi="ar-SA"/>
              </w:rPr>
              <w:t>1</w:t>
            </w:r>
          </w:p>
        </w:tc>
        <w:tc>
          <w:tcPr>
            <w:tcW w:w="55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ascii="Times New Roman" w:hAnsi="Times New Roman" w:eastAsia="宋体" w:cs="Times New Roman"/>
                <w:smallCaps/>
                <w:color w:val="000000"/>
                <w:kern w:val="2"/>
                <w:sz w:val="21"/>
                <w:szCs w:val="21"/>
                <w:lang w:val="en-US" w:eastAsia="zh-CN" w:bidi="ar-SA"/>
              </w:rPr>
              <w:t>套</w:t>
            </w:r>
          </w:p>
        </w:tc>
        <w:tc>
          <w:tcPr>
            <w:tcW w:w="1133"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ascii="Times New Roman" w:hAnsi="Times New Roman" w:eastAsia="宋体" w:cs="Times New Roman"/>
                <w:smallCaps/>
                <w:color w:val="000000"/>
                <w:kern w:val="2"/>
                <w:sz w:val="21"/>
                <w:szCs w:val="21"/>
                <w:lang w:val="en-US" w:eastAsia="zh-CN" w:bidi="ar-SA"/>
              </w:rPr>
              <w:t>值班室</w:t>
            </w:r>
          </w:p>
        </w:tc>
        <w:tc>
          <w:tcPr>
            <w:tcW w:w="730"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周剑文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trPr>
        <w:tc>
          <w:tcPr>
            <w:tcW w:w="1066" w:type="pct"/>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imes New Roman" w:hAnsi="Times New Roman" w:eastAsia="宋体" w:cs="Times New Roman"/>
                <w:smallCaps/>
                <w:color w:val="000000"/>
                <w:kern w:val="2"/>
                <w:sz w:val="21"/>
                <w:szCs w:val="21"/>
                <w:lang w:val="en-US" w:eastAsia="zh-CN" w:bidi="ar-SA"/>
              </w:rPr>
            </w:pPr>
          </w:p>
        </w:tc>
        <w:tc>
          <w:tcPr>
            <w:tcW w:w="111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ascii="Times New Roman" w:hAnsi="Times New Roman" w:eastAsia="宋体" w:cs="Times New Roman"/>
                <w:smallCaps/>
                <w:color w:val="000000"/>
                <w:kern w:val="2"/>
                <w:sz w:val="21"/>
                <w:szCs w:val="21"/>
                <w:lang w:val="en-US" w:eastAsia="zh-CN" w:bidi="ar-SA"/>
              </w:rPr>
              <w:t>在线监控系统</w:t>
            </w:r>
          </w:p>
        </w:tc>
        <w:tc>
          <w:tcPr>
            <w:tcW w:w="397"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ascii="Times New Roman" w:hAnsi="Times New Roman" w:eastAsia="宋体" w:cs="Times New Roman"/>
                <w:smallCaps/>
                <w:color w:val="000000"/>
                <w:kern w:val="2"/>
                <w:sz w:val="21"/>
                <w:szCs w:val="21"/>
                <w:lang w:val="en-US" w:eastAsia="zh-CN" w:bidi="ar-SA"/>
              </w:rPr>
              <w:t>1</w:t>
            </w:r>
          </w:p>
        </w:tc>
        <w:tc>
          <w:tcPr>
            <w:tcW w:w="55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ascii="Times New Roman" w:hAnsi="Times New Roman" w:eastAsia="宋体" w:cs="Times New Roman"/>
                <w:smallCaps/>
                <w:color w:val="000000"/>
                <w:kern w:val="2"/>
                <w:sz w:val="21"/>
                <w:szCs w:val="21"/>
                <w:lang w:val="en-US" w:eastAsia="zh-CN" w:bidi="ar-SA"/>
              </w:rPr>
              <w:t>套</w:t>
            </w:r>
          </w:p>
        </w:tc>
        <w:tc>
          <w:tcPr>
            <w:tcW w:w="1133" w:type="pct"/>
            <w:noWrap w:val="0"/>
            <w:vAlign w:val="center"/>
          </w:tcPr>
          <w:p>
            <w:pPr>
              <w:keepNext w:val="0"/>
              <w:keepLines w:val="0"/>
              <w:pageBreakBefore w:val="0"/>
              <w:widowControl w:val="0"/>
              <w:tabs>
                <w:tab w:val="left" w:pos="612"/>
                <w:tab w:val="center" w:pos="1207"/>
              </w:tabs>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ascii="Times New Roman" w:hAnsi="Times New Roman" w:eastAsia="宋体" w:cs="Times New Roman"/>
                <w:smallCaps/>
                <w:color w:val="000000"/>
                <w:kern w:val="2"/>
                <w:sz w:val="21"/>
                <w:szCs w:val="21"/>
                <w:lang w:val="en-US" w:eastAsia="zh-CN" w:bidi="ar-SA"/>
              </w:rPr>
              <w:t>值班室</w:t>
            </w:r>
          </w:p>
        </w:tc>
        <w:tc>
          <w:tcPr>
            <w:tcW w:w="730"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周剑文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4" w:hRule="atLeast"/>
        </w:trPr>
        <w:tc>
          <w:tcPr>
            <w:tcW w:w="1066" w:type="pct"/>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imes New Roman" w:hAnsi="Times New Roman" w:eastAsia="宋体" w:cs="Times New Roman"/>
                <w:smallCaps/>
                <w:color w:val="000000"/>
                <w:kern w:val="2"/>
                <w:sz w:val="21"/>
                <w:szCs w:val="21"/>
                <w:lang w:val="en-US" w:eastAsia="zh-CN" w:bidi="ar-SA"/>
              </w:rPr>
            </w:pPr>
          </w:p>
        </w:tc>
        <w:tc>
          <w:tcPr>
            <w:tcW w:w="111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ascii="Times New Roman" w:hAnsi="Times New Roman" w:eastAsia="宋体" w:cs="Times New Roman"/>
                <w:smallCaps/>
                <w:color w:val="000000"/>
                <w:kern w:val="2"/>
                <w:sz w:val="21"/>
                <w:szCs w:val="21"/>
                <w:lang w:val="en-US" w:eastAsia="zh-CN" w:bidi="ar-SA"/>
              </w:rPr>
              <w:t>急救药箱</w:t>
            </w:r>
          </w:p>
        </w:tc>
        <w:tc>
          <w:tcPr>
            <w:tcW w:w="397"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ascii="Times New Roman" w:hAnsi="Times New Roman" w:eastAsia="宋体" w:cs="Times New Roman"/>
                <w:smallCaps/>
                <w:color w:val="000000"/>
                <w:kern w:val="2"/>
                <w:sz w:val="21"/>
                <w:szCs w:val="21"/>
                <w:lang w:val="en-US" w:eastAsia="zh-CN" w:bidi="ar-SA"/>
              </w:rPr>
              <w:t>1</w:t>
            </w:r>
          </w:p>
        </w:tc>
        <w:tc>
          <w:tcPr>
            <w:tcW w:w="55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ascii="Times New Roman" w:hAnsi="Times New Roman" w:eastAsia="宋体" w:cs="Times New Roman"/>
                <w:smallCaps/>
                <w:color w:val="000000"/>
                <w:kern w:val="2"/>
                <w:sz w:val="21"/>
                <w:szCs w:val="21"/>
                <w:lang w:val="en-US" w:eastAsia="zh-CN" w:bidi="ar-SA"/>
              </w:rPr>
              <w:t>套</w:t>
            </w:r>
          </w:p>
        </w:tc>
        <w:tc>
          <w:tcPr>
            <w:tcW w:w="1133"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综合管理</w:t>
            </w:r>
            <w:r>
              <w:rPr>
                <w:rFonts w:ascii="Times New Roman" w:hAnsi="Times New Roman" w:eastAsia="宋体" w:cs="Times New Roman"/>
                <w:smallCaps/>
                <w:color w:val="000000"/>
                <w:kern w:val="2"/>
                <w:sz w:val="21"/>
                <w:szCs w:val="21"/>
                <w:lang w:val="en-US" w:eastAsia="zh-CN" w:bidi="ar-SA"/>
              </w:rPr>
              <w:t>室</w:t>
            </w:r>
          </w:p>
        </w:tc>
        <w:tc>
          <w:tcPr>
            <w:tcW w:w="730"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210" w:firstLineChars="100"/>
              <w:jc w:val="both"/>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周剑文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trPr>
        <w:tc>
          <w:tcPr>
            <w:tcW w:w="1066" w:type="pct"/>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imes New Roman" w:hAnsi="Times New Roman" w:eastAsia="宋体" w:cs="Times New Roman"/>
                <w:smallCaps/>
                <w:color w:val="000000"/>
                <w:kern w:val="2"/>
                <w:sz w:val="21"/>
                <w:szCs w:val="21"/>
                <w:lang w:val="en-US" w:eastAsia="zh-CN" w:bidi="ar-SA"/>
              </w:rPr>
            </w:pPr>
          </w:p>
        </w:tc>
        <w:tc>
          <w:tcPr>
            <w:tcW w:w="111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ascii="Times New Roman" w:hAnsi="Times New Roman" w:eastAsia="宋体" w:cs="Times New Roman"/>
                <w:smallCaps/>
                <w:color w:val="000000"/>
                <w:kern w:val="2"/>
                <w:sz w:val="21"/>
                <w:szCs w:val="21"/>
                <w:lang w:val="en-US" w:eastAsia="zh-CN" w:bidi="ar-SA"/>
              </w:rPr>
              <w:t>灭火器</w:t>
            </w:r>
          </w:p>
        </w:tc>
        <w:tc>
          <w:tcPr>
            <w:tcW w:w="397"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30</w:t>
            </w:r>
          </w:p>
        </w:tc>
        <w:tc>
          <w:tcPr>
            <w:tcW w:w="55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ascii="Times New Roman" w:hAnsi="Times New Roman" w:eastAsia="宋体" w:cs="Times New Roman"/>
                <w:smallCaps/>
                <w:color w:val="000000"/>
                <w:kern w:val="2"/>
                <w:sz w:val="21"/>
                <w:szCs w:val="21"/>
                <w:lang w:val="en-US" w:eastAsia="zh-CN" w:bidi="ar-SA"/>
              </w:rPr>
              <w:t>个</w:t>
            </w:r>
          </w:p>
        </w:tc>
        <w:tc>
          <w:tcPr>
            <w:tcW w:w="1133"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ascii="Times New Roman" w:hAnsi="Times New Roman" w:eastAsia="宋体" w:cs="Times New Roman"/>
                <w:smallCaps/>
                <w:color w:val="000000"/>
                <w:kern w:val="2"/>
                <w:sz w:val="21"/>
                <w:szCs w:val="21"/>
                <w:lang w:val="en-US" w:eastAsia="zh-CN" w:bidi="ar-SA"/>
              </w:rPr>
              <w:t>每层楼2-4个</w:t>
            </w:r>
          </w:p>
        </w:tc>
        <w:tc>
          <w:tcPr>
            <w:tcW w:w="730"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周剑文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1066" w:type="pct"/>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imes New Roman" w:hAnsi="Times New Roman" w:eastAsia="宋体" w:cs="Times New Roman"/>
                <w:smallCaps/>
                <w:color w:val="000000"/>
                <w:kern w:val="2"/>
                <w:sz w:val="21"/>
                <w:szCs w:val="21"/>
                <w:lang w:val="en-US" w:eastAsia="zh-CN" w:bidi="ar-SA"/>
              </w:rPr>
            </w:pPr>
          </w:p>
        </w:tc>
        <w:tc>
          <w:tcPr>
            <w:tcW w:w="111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ascii="Times New Roman" w:hAnsi="Times New Roman" w:eastAsia="宋体" w:cs="Times New Roman"/>
                <w:smallCaps/>
                <w:color w:val="000000"/>
                <w:kern w:val="2"/>
                <w:sz w:val="21"/>
                <w:szCs w:val="21"/>
                <w:lang w:val="en-US" w:eastAsia="zh-CN" w:bidi="ar-SA"/>
              </w:rPr>
              <w:t>防护手套</w:t>
            </w:r>
          </w:p>
        </w:tc>
        <w:tc>
          <w:tcPr>
            <w:tcW w:w="397"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5</w:t>
            </w:r>
          </w:p>
        </w:tc>
        <w:tc>
          <w:tcPr>
            <w:tcW w:w="55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ascii="Times New Roman" w:hAnsi="Times New Roman" w:eastAsia="宋体" w:cs="Times New Roman"/>
                <w:smallCaps/>
                <w:color w:val="000000"/>
                <w:kern w:val="2"/>
                <w:sz w:val="21"/>
                <w:szCs w:val="21"/>
                <w:lang w:val="en-US" w:eastAsia="zh-CN" w:bidi="ar-SA"/>
              </w:rPr>
              <w:t>套</w:t>
            </w:r>
          </w:p>
        </w:tc>
        <w:tc>
          <w:tcPr>
            <w:tcW w:w="1133"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ascii="Times New Roman" w:hAnsi="Times New Roman" w:eastAsia="宋体" w:cs="Times New Roman"/>
                <w:smallCaps/>
                <w:color w:val="000000"/>
                <w:kern w:val="2"/>
                <w:sz w:val="21"/>
                <w:szCs w:val="21"/>
                <w:lang w:val="en-US" w:eastAsia="zh-CN" w:bidi="ar-SA"/>
              </w:rPr>
              <w:t>各生产车间</w:t>
            </w:r>
          </w:p>
        </w:tc>
        <w:tc>
          <w:tcPr>
            <w:tcW w:w="730"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周剑文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4" w:hRule="atLeast"/>
        </w:trPr>
        <w:tc>
          <w:tcPr>
            <w:tcW w:w="1066" w:type="pct"/>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imes New Roman" w:hAnsi="Times New Roman" w:eastAsia="宋体" w:cs="Times New Roman"/>
                <w:smallCaps/>
                <w:color w:val="000000"/>
                <w:kern w:val="2"/>
                <w:sz w:val="21"/>
                <w:szCs w:val="21"/>
                <w:lang w:val="en-US" w:eastAsia="zh-CN" w:bidi="ar-SA"/>
              </w:rPr>
            </w:pPr>
          </w:p>
        </w:tc>
        <w:tc>
          <w:tcPr>
            <w:tcW w:w="111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防爆工器具</w:t>
            </w:r>
          </w:p>
        </w:tc>
        <w:tc>
          <w:tcPr>
            <w:tcW w:w="397"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1</w:t>
            </w:r>
          </w:p>
        </w:tc>
        <w:tc>
          <w:tcPr>
            <w:tcW w:w="556"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ascii="Times New Roman" w:hAnsi="Times New Roman" w:eastAsia="宋体" w:cs="Times New Roman"/>
                <w:smallCaps/>
                <w:color w:val="000000"/>
                <w:kern w:val="2"/>
                <w:sz w:val="21"/>
                <w:szCs w:val="21"/>
                <w:lang w:val="en-US" w:eastAsia="zh-CN" w:bidi="ar-SA"/>
              </w:rPr>
              <w:t>套</w:t>
            </w:r>
          </w:p>
        </w:tc>
        <w:tc>
          <w:tcPr>
            <w:tcW w:w="1133"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仓库</w:t>
            </w:r>
          </w:p>
        </w:tc>
        <w:tc>
          <w:tcPr>
            <w:tcW w:w="730"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周剑文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trPr>
        <w:tc>
          <w:tcPr>
            <w:tcW w:w="1066" w:type="pct"/>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imes New Roman" w:hAnsi="Times New Roman" w:eastAsia="宋体" w:cs="Times New Roman"/>
                <w:smallCaps/>
                <w:color w:val="000000"/>
                <w:kern w:val="2"/>
                <w:sz w:val="21"/>
                <w:szCs w:val="21"/>
                <w:lang w:val="en-US" w:eastAsia="zh-CN" w:bidi="ar-SA"/>
              </w:rPr>
            </w:pPr>
          </w:p>
        </w:tc>
        <w:tc>
          <w:tcPr>
            <w:tcW w:w="111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担架</w:t>
            </w:r>
          </w:p>
        </w:tc>
        <w:tc>
          <w:tcPr>
            <w:tcW w:w="397"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1</w:t>
            </w:r>
          </w:p>
        </w:tc>
        <w:tc>
          <w:tcPr>
            <w:tcW w:w="556"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ascii="Times New Roman" w:hAnsi="Times New Roman" w:eastAsia="宋体" w:cs="Times New Roman"/>
                <w:smallCaps/>
                <w:color w:val="000000"/>
                <w:kern w:val="2"/>
                <w:sz w:val="21"/>
                <w:szCs w:val="21"/>
                <w:lang w:val="en-US" w:eastAsia="zh-CN" w:bidi="ar-SA"/>
              </w:rPr>
              <w:t>套</w:t>
            </w:r>
          </w:p>
        </w:tc>
        <w:tc>
          <w:tcPr>
            <w:tcW w:w="1133"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仓库</w:t>
            </w:r>
          </w:p>
        </w:tc>
        <w:tc>
          <w:tcPr>
            <w:tcW w:w="730"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周剑文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5" w:hRule="atLeast"/>
        </w:trPr>
        <w:tc>
          <w:tcPr>
            <w:tcW w:w="1066" w:type="pct"/>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imes New Roman" w:hAnsi="Times New Roman" w:eastAsia="宋体" w:cs="Times New Roman"/>
                <w:smallCaps/>
                <w:color w:val="000000"/>
                <w:kern w:val="2"/>
                <w:sz w:val="21"/>
                <w:szCs w:val="21"/>
                <w:lang w:val="en-US" w:eastAsia="zh-CN" w:bidi="ar-SA"/>
              </w:rPr>
            </w:pPr>
          </w:p>
        </w:tc>
        <w:tc>
          <w:tcPr>
            <w:tcW w:w="111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防毒面具</w:t>
            </w:r>
          </w:p>
        </w:tc>
        <w:tc>
          <w:tcPr>
            <w:tcW w:w="397"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default"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1</w:t>
            </w:r>
          </w:p>
        </w:tc>
        <w:tc>
          <w:tcPr>
            <w:tcW w:w="556"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ascii="Times New Roman" w:hAnsi="Times New Roman" w:eastAsia="宋体" w:cs="Times New Roman"/>
                <w:smallCaps/>
                <w:color w:val="000000"/>
                <w:kern w:val="2"/>
                <w:sz w:val="21"/>
                <w:szCs w:val="21"/>
                <w:lang w:val="en-US" w:eastAsia="zh-CN" w:bidi="ar-SA"/>
              </w:rPr>
              <w:t>套</w:t>
            </w:r>
          </w:p>
        </w:tc>
        <w:tc>
          <w:tcPr>
            <w:tcW w:w="1133"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ascii="Times New Roman" w:hAnsi="Times New Roman" w:eastAsia="宋体" w:cs="Times New Roman"/>
                <w:smallCaps/>
                <w:color w:val="000000"/>
                <w:kern w:val="2"/>
                <w:sz w:val="21"/>
                <w:szCs w:val="21"/>
                <w:lang w:val="en-US" w:eastAsia="zh-CN" w:bidi="ar-SA"/>
              </w:rPr>
              <w:t>各生产车间</w:t>
            </w:r>
          </w:p>
        </w:tc>
        <w:tc>
          <w:tcPr>
            <w:tcW w:w="730"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周剑文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2" w:hRule="atLeast"/>
        </w:trPr>
        <w:tc>
          <w:tcPr>
            <w:tcW w:w="1066" w:type="pct"/>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imes New Roman" w:hAnsi="Times New Roman" w:eastAsia="宋体" w:cs="Times New Roman"/>
                <w:smallCaps/>
                <w:color w:val="000000"/>
                <w:kern w:val="2"/>
                <w:sz w:val="21"/>
                <w:szCs w:val="21"/>
                <w:lang w:val="en-US" w:eastAsia="zh-CN" w:bidi="ar-SA"/>
              </w:rPr>
            </w:pPr>
          </w:p>
        </w:tc>
        <w:tc>
          <w:tcPr>
            <w:tcW w:w="111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防护眼镜</w:t>
            </w:r>
          </w:p>
        </w:tc>
        <w:tc>
          <w:tcPr>
            <w:tcW w:w="397"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均配</w:t>
            </w:r>
          </w:p>
        </w:tc>
        <w:tc>
          <w:tcPr>
            <w:tcW w:w="55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ascii="Times New Roman" w:hAnsi="Times New Roman" w:eastAsia="宋体" w:cs="Times New Roman"/>
                <w:smallCaps/>
                <w:color w:val="000000"/>
                <w:kern w:val="2"/>
                <w:sz w:val="21"/>
                <w:szCs w:val="21"/>
                <w:lang w:val="en-US" w:eastAsia="zh-CN" w:bidi="ar-SA"/>
              </w:rPr>
              <w:t>个</w:t>
            </w:r>
          </w:p>
        </w:tc>
        <w:tc>
          <w:tcPr>
            <w:tcW w:w="1133"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各车间</w:t>
            </w:r>
          </w:p>
        </w:tc>
        <w:tc>
          <w:tcPr>
            <w:tcW w:w="730"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周剑文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1066" w:type="pct"/>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imes New Roman" w:hAnsi="Times New Roman" w:eastAsia="宋体" w:cs="Times New Roman"/>
                <w:smallCaps/>
                <w:color w:val="000000"/>
                <w:kern w:val="2"/>
                <w:sz w:val="21"/>
                <w:szCs w:val="21"/>
                <w:lang w:val="en-US" w:eastAsia="zh-CN" w:bidi="ar-SA"/>
              </w:rPr>
            </w:pPr>
          </w:p>
        </w:tc>
        <w:tc>
          <w:tcPr>
            <w:tcW w:w="111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应急灯</w:t>
            </w:r>
          </w:p>
        </w:tc>
        <w:tc>
          <w:tcPr>
            <w:tcW w:w="397"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20</w:t>
            </w:r>
          </w:p>
        </w:tc>
        <w:tc>
          <w:tcPr>
            <w:tcW w:w="55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个</w:t>
            </w:r>
          </w:p>
        </w:tc>
        <w:tc>
          <w:tcPr>
            <w:tcW w:w="1133"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ascii="Times New Roman" w:hAnsi="Times New Roman" w:eastAsia="宋体" w:cs="Times New Roman"/>
                <w:smallCaps/>
                <w:color w:val="000000"/>
                <w:kern w:val="2"/>
                <w:sz w:val="21"/>
                <w:szCs w:val="21"/>
                <w:lang w:val="en-US" w:eastAsia="zh-CN" w:bidi="ar-SA"/>
              </w:rPr>
              <w:t>各生产车间</w:t>
            </w:r>
            <w:r>
              <w:rPr>
                <w:rFonts w:hint="eastAsia" w:ascii="Times New Roman" w:hAnsi="Times New Roman" w:eastAsia="宋体" w:cs="Times New Roman"/>
                <w:smallCaps/>
                <w:color w:val="000000"/>
                <w:kern w:val="2"/>
                <w:sz w:val="21"/>
                <w:szCs w:val="21"/>
                <w:lang w:val="en-US" w:eastAsia="zh-CN" w:bidi="ar-SA"/>
              </w:rPr>
              <w:t>、办</w:t>
            </w:r>
            <w:r>
              <w:rPr>
                <w:rFonts w:hint="eastAsia" w:cs="Times New Roman"/>
                <w:smallCaps/>
                <w:color w:val="000000"/>
                <w:kern w:val="2"/>
                <w:sz w:val="21"/>
                <w:szCs w:val="21"/>
                <w:lang w:val="en-US" w:eastAsia="zh-CN" w:bidi="ar-SA"/>
              </w:rPr>
              <w:t>公</w:t>
            </w:r>
            <w:r>
              <w:rPr>
                <w:rFonts w:hint="eastAsia" w:ascii="Times New Roman" w:hAnsi="Times New Roman" w:eastAsia="宋体" w:cs="Times New Roman"/>
                <w:smallCaps/>
                <w:color w:val="000000"/>
                <w:kern w:val="2"/>
                <w:sz w:val="21"/>
                <w:szCs w:val="21"/>
                <w:lang w:val="en-US" w:eastAsia="zh-CN" w:bidi="ar-SA"/>
              </w:rPr>
              <w:t>楼</w:t>
            </w:r>
          </w:p>
        </w:tc>
        <w:tc>
          <w:tcPr>
            <w:tcW w:w="730"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周剑文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1066" w:type="pct"/>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imes New Roman" w:hAnsi="Times New Roman" w:eastAsia="宋体" w:cs="Times New Roman"/>
                <w:smallCaps/>
                <w:color w:val="000000"/>
                <w:kern w:val="2"/>
                <w:sz w:val="21"/>
                <w:szCs w:val="21"/>
                <w:lang w:val="en-US" w:eastAsia="zh-CN" w:bidi="ar-SA"/>
              </w:rPr>
            </w:pPr>
          </w:p>
        </w:tc>
        <w:tc>
          <w:tcPr>
            <w:tcW w:w="111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对讲机</w:t>
            </w:r>
          </w:p>
        </w:tc>
        <w:tc>
          <w:tcPr>
            <w:tcW w:w="397"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6</w:t>
            </w:r>
          </w:p>
        </w:tc>
        <w:tc>
          <w:tcPr>
            <w:tcW w:w="55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个</w:t>
            </w:r>
          </w:p>
        </w:tc>
        <w:tc>
          <w:tcPr>
            <w:tcW w:w="1133"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生产车间</w:t>
            </w:r>
          </w:p>
        </w:tc>
        <w:tc>
          <w:tcPr>
            <w:tcW w:w="730"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周剑文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1066" w:type="pct"/>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imes New Roman" w:hAnsi="Times New Roman" w:eastAsia="宋体" w:cs="Times New Roman"/>
                <w:smallCaps/>
                <w:color w:val="000000"/>
                <w:kern w:val="2"/>
                <w:sz w:val="21"/>
                <w:szCs w:val="21"/>
                <w:lang w:val="en-US" w:eastAsia="zh-CN" w:bidi="ar-SA"/>
              </w:rPr>
            </w:pPr>
          </w:p>
        </w:tc>
        <w:tc>
          <w:tcPr>
            <w:tcW w:w="111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安全带</w:t>
            </w:r>
          </w:p>
        </w:tc>
        <w:tc>
          <w:tcPr>
            <w:tcW w:w="397"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default"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3</w:t>
            </w:r>
          </w:p>
        </w:tc>
        <w:tc>
          <w:tcPr>
            <w:tcW w:w="55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个</w:t>
            </w:r>
          </w:p>
        </w:tc>
        <w:tc>
          <w:tcPr>
            <w:tcW w:w="1133"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仓库</w:t>
            </w:r>
          </w:p>
        </w:tc>
        <w:tc>
          <w:tcPr>
            <w:tcW w:w="730"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周剑文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1066" w:type="pct"/>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imes New Roman" w:hAnsi="Times New Roman" w:eastAsia="宋体" w:cs="Times New Roman"/>
                <w:smallCaps/>
                <w:color w:val="000000"/>
                <w:kern w:val="2"/>
                <w:sz w:val="21"/>
                <w:szCs w:val="21"/>
                <w:lang w:val="en-US" w:eastAsia="zh-CN" w:bidi="ar-SA"/>
              </w:rPr>
            </w:pPr>
          </w:p>
        </w:tc>
        <w:tc>
          <w:tcPr>
            <w:tcW w:w="111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消防水带、水枪、</w:t>
            </w:r>
          </w:p>
        </w:tc>
        <w:tc>
          <w:tcPr>
            <w:tcW w:w="397"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5</w:t>
            </w:r>
          </w:p>
        </w:tc>
        <w:tc>
          <w:tcPr>
            <w:tcW w:w="55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个</w:t>
            </w:r>
          </w:p>
        </w:tc>
        <w:tc>
          <w:tcPr>
            <w:tcW w:w="1133"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生产车间</w:t>
            </w:r>
          </w:p>
        </w:tc>
        <w:tc>
          <w:tcPr>
            <w:tcW w:w="730"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周剑文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1066" w:type="pct"/>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imes New Roman" w:hAnsi="Times New Roman" w:eastAsia="宋体" w:cs="Times New Roman"/>
                <w:smallCaps/>
                <w:color w:val="000000"/>
                <w:kern w:val="2"/>
                <w:sz w:val="21"/>
                <w:szCs w:val="21"/>
                <w:lang w:val="en-US" w:eastAsia="zh-CN" w:bidi="ar-SA"/>
              </w:rPr>
            </w:pPr>
          </w:p>
        </w:tc>
        <w:tc>
          <w:tcPr>
            <w:tcW w:w="111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安全帽</w:t>
            </w:r>
          </w:p>
        </w:tc>
        <w:tc>
          <w:tcPr>
            <w:tcW w:w="397"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50</w:t>
            </w:r>
          </w:p>
        </w:tc>
        <w:tc>
          <w:tcPr>
            <w:tcW w:w="55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个</w:t>
            </w:r>
          </w:p>
        </w:tc>
        <w:tc>
          <w:tcPr>
            <w:tcW w:w="1133"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发放到个人</w:t>
            </w:r>
          </w:p>
        </w:tc>
        <w:tc>
          <w:tcPr>
            <w:tcW w:w="730"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周剑文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trPr>
        <w:tc>
          <w:tcPr>
            <w:tcW w:w="1066" w:type="pct"/>
            <w:vMerge w:val="restar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both"/>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需补充应急物资</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imes New Roman" w:hAnsi="Times New Roman" w:eastAsia="宋体" w:cs="Times New Roman"/>
                <w:smallCaps/>
                <w:color w:val="000000"/>
                <w:kern w:val="2"/>
                <w:sz w:val="21"/>
                <w:szCs w:val="21"/>
                <w:lang w:val="en-US" w:eastAsia="zh-CN" w:bidi="ar-SA"/>
              </w:rPr>
            </w:pPr>
          </w:p>
        </w:tc>
        <w:tc>
          <w:tcPr>
            <w:tcW w:w="111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警铃</w:t>
            </w:r>
          </w:p>
        </w:tc>
        <w:tc>
          <w:tcPr>
            <w:tcW w:w="397"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default"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2</w:t>
            </w:r>
          </w:p>
        </w:tc>
        <w:tc>
          <w:tcPr>
            <w:tcW w:w="55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个</w:t>
            </w:r>
          </w:p>
        </w:tc>
        <w:tc>
          <w:tcPr>
            <w:tcW w:w="1133"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生产车间、办公楼</w:t>
            </w:r>
          </w:p>
        </w:tc>
        <w:tc>
          <w:tcPr>
            <w:tcW w:w="730"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周剑文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1066" w:type="pct"/>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imes New Roman" w:hAnsi="Times New Roman" w:eastAsia="宋体" w:cs="Times New Roman"/>
                <w:smallCaps/>
                <w:color w:val="000000"/>
                <w:kern w:val="2"/>
                <w:sz w:val="21"/>
                <w:szCs w:val="21"/>
                <w:lang w:val="en-US" w:eastAsia="zh-CN" w:bidi="ar-SA"/>
              </w:rPr>
            </w:pPr>
          </w:p>
        </w:tc>
        <w:tc>
          <w:tcPr>
            <w:tcW w:w="111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消防服</w:t>
            </w:r>
          </w:p>
        </w:tc>
        <w:tc>
          <w:tcPr>
            <w:tcW w:w="397"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2</w:t>
            </w:r>
          </w:p>
        </w:tc>
        <w:tc>
          <w:tcPr>
            <w:tcW w:w="55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套</w:t>
            </w:r>
          </w:p>
        </w:tc>
        <w:tc>
          <w:tcPr>
            <w:tcW w:w="1133"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生产车间</w:t>
            </w:r>
          </w:p>
        </w:tc>
        <w:tc>
          <w:tcPr>
            <w:tcW w:w="730"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周剑文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trPr>
        <w:tc>
          <w:tcPr>
            <w:tcW w:w="1066" w:type="pct"/>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imes New Roman" w:hAnsi="Times New Roman" w:eastAsia="宋体" w:cs="Times New Roman"/>
                <w:smallCaps/>
                <w:color w:val="000000"/>
                <w:kern w:val="2"/>
                <w:sz w:val="21"/>
                <w:szCs w:val="21"/>
                <w:lang w:val="en-US" w:eastAsia="zh-CN" w:bidi="ar-SA"/>
              </w:rPr>
            </w:pPr>
          </w:p>
        </w:tc>
        <w:tc>
          <w:tcPr>
            <w:tcW w:w="111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防护眼罩</w:t>
            </w:r>
          </w:p>
        </w:tc>
        <w:tc>
          <w:tcPr>
            <w:tcW w:w="397"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5</w:t>
            </w:r>
          </w:p>
        </w:tc>
        <w:tc>
          <w:tcPr>
            <w:tcW w:w="55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个</w:t>
            </w:r>
          </w:p>
        </w:tc>
        <w:tc>
          <w:tcPr>
            <w:tcW w:w="1133"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仓库</w:t>
            </w:r>
          </w:p>
        </w:tc>
        <w:tc>
          <w:tcPr>
            <w:tcW w:w="730"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周剑文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trPr>
        <w:tc>
          <w:tcPr>
            <w:tcW w:w="1066" w:type="pct"/>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imes New Roman" w:hAnsi="Times New Roman" w:eastAsia="宋体" w:cs="Times New Roman"/>
                <w:smallCaps/>
                <w:color w:val="000000"/>
                <w:kern w:val="2"/>
                <w:sz w:val="21"/>
                <w:szCs w:val="21"/>
                <w:lang w:val="en-US" w:eastAsia="zh-CN" w:bidi="ar-SA"/>
              </w:rPr>
            </w:pPr>
          </w:p>
        </w:tc>
        <w:tc>
          <w:tcPr>
            <w:tcW w:w="111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消防水泵</w:t>
            </w:r>
          </w:p>
        </w:tc>
        <w:tc>
          <w:tcPr>
            <w:tcW w:w="397"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1</w:t>
            </w:r>
          </w:p>
        </w:tc>
        <w:tc>
          <w:tcPr>
            <w:tcW w:w="556"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台</w:t>
            </w:r>
          </w:p>
        </w:tc>
        <w:tc>
          <w:tcPr>
            <w:tcW w:w="1133" w:type="pct"/>
            <w:noWrap w:val="0"/>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生产车间</w:t>
            </w:r>
          </w:p>
        </w:tc>
        <w:tc>
          <w:tcPr>
            <w:tcW w:w="730"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mallCaps/>
                <w:color w:val="000000"/>
                <w:kern w:val="2"/>
                <w:sz w:val="21"/>
                <w:szCs w:val="21"/>
                <w:lang w:val="en-US" w:eastAsia="zh-CN" w:bidi="ar-SA"/>
              </w:rPr>
            </w:pPr>
            <w:r>
              <w:rPr>
                <w:rFonts w:hint="eastAsia" w:ascii="Times New Roman" w:hAnsi="Times New Roman" w:eastAsia="宋体" w:cs="Times New Roman"/>
                <w:smallCaps/>
                <w:color w:val="000000"/>
                <w:kern w:val="2"/>
                <w:sz w:val="21"/>
                <w:szCs w:val="21"/>
                <w:lang w:val="en-US" w:eastAsia="zh-CN" w:bidi="ar-SA"/>
              </w:rPr>
              <w:t>周剑文</w:t>
            </w:r>
          </w:p>
        </w:tc>
      </w:tr>
    </w:tbl>
    <w:p>
      <w:pPr>
        <w:pStyle w:val="10"/>
        <w:keepNext/>
        <w:rPr>
          <w:rFonts w:hint="eastAsia"/>
          <w:b/>
          <w:bCs/>
          <w:sz w:val="24"/>
          <w:szCs w:val="24"/>
        </w:rPr>
      </w:pPr>
      <w:r>
        <w:rPr>
          <w:rFonts w:hint="eastAsia"/>
          <w:b/>
          <w:bCs/>
          <w:sz w:val="24"/>
          <w:szCs w:val="24"/>
        </w:rPr>
        <w:t xml:space="preserve">表 </w:t>
      </w:r>
      <w:r>
        <w:rPr>
          <w:rFonts w:hint="eastAsia"/>
          <w:b/>
          <w:bCs/>
          <w:sz w:val="24"/>
          <w:szCs w:val="24"/>
          <w:lang w:val="en-US" w:eastAsia="zh-CN"/>
        </w:rPr>
        <w:t>5-2</w:t>
      </w:r>
      <w:r>
        <w:rPr>
          <w:rFonts w:hint="eastAsia"/>
          <w:b/>
          <w:bCs/>
          <w:sz w:val="24"/>
          <w:szCs w:val="24"/>
        </w:rPr>
        <w:t>公司应急</w:t>
      </w:r>
      <w:r>
        <w:rPr>
          <w:rFonts w:hint="eastAsia"/>
          <w:b/>
          <w:bCs/>
          <w:sz w:val="24"/>
          <w:szCs w:val="24"/>
          <w:lang w:eastAsia="zh-CN"/>
        </w:rPr>
        <w:t>救援小组</w:t>
      </w:r>
      <w:r>
        <w:rPr>
          <w:rFonts w:hint="eastAsia"/>
          <w:b/>
          <w:bCs/>
          <w:sz w:val="24"/>
          <w:szCs w:val="24"/>
        </w:rPr>
        <w:t>成员联系方式</w:t>
      </w:r>
    </w:p>
    <w:tbl>
      <w:tblPr>
        <w:tblStyle w:val="18"/>
        <w:tblW w:w="4996" w:type="pct"/>
        <w:tblInd w:w="0" w:type="dxa"/>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
      <w:tblGrid>
        <w:gridCol w:w="2189"/>
        <w:gridCol w:w="1798"/>
        <w:gridCol w:w="1433"/>
        <w:gridCol w:w="1900"/>
        <w:gridCol w:w="2017"/>
      </w:tblGrid>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40" w:hRule="atLeast"/>
        </w:trPr>
        <w:tc>
          <w:tcPr>
            <w:tcW w:w="1172" w:type="pct"/>
            <w:noWrap w:val="0"/>
            <w:vAlign w:val="center"/>
          </w:tcPr>
          <w:p>
            <w:pPr>
              <w:widowControl w:val="0"/>
              <w:spacing w:line="260" w:lineRule="exact"/>
              <w:ind w:left="0" w:leftChars="0" w:firstLine="0" w:firstLineChars="0"/>
              <w:jc w:val="both"/>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smallCaps/>
                <w:color w:val="000000"/>
                <w:kern w:val="2"/>
                <w:sz w:val="21"/>
                <w:szCs w:val="21"/>
                <w:highlight w:val="none"/>
                <w:lang w:val="en-US" w:eastAsia="zh-CN" w:bidi="ar-SA"/>
              </w:rPr>
              <w:t>组织结构名称</w:t>
            </w:r>
          </w:p>
        </w:tc>
        <w:tc>
          <w:tcPr>
            <w:tcW w:w="962" w:type="pct"/>
            <w:noWrap w:val="0"/>
            <w:vAlign w:val="center"/>
          </w:tcPr>
          <w:p>
            <w:pPr>
              <w:widowControl w:val="0"/>
              <w:spacing w:line="260" w:lineRule="exact"/>
              <w:ind w:left="0" w:leftChars="0" w:firstLine="0" w:firstLineChars="0"/>
              <w:jc w:val="both"/>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smallCaps/>
                <w:color w:val="000000"/>
                <w:kern w:val="2"/>
                <w:sz w:val="21"/>
                <w:szCs w:val="21"/>
                <w:highlight w:val="none"/>
                <w:lang w:val="en-US" w:eastAsia="zh-CN" w:bidi="ar-SA"/>
              </w:rPr>
              <w:t>应急小组职务</w:t>
            </w:r>
          </w:p>
        </w:tc>
        <w:tc>
          <w:tcPr>
            <w:tcW w:w="767" w:type="pct"/>
            <w:noWrap w:val="0"/>
            <w:vAlign w:val="center"/>
          </w:tcPr>
          <w:p>
            <w:pPr>
              <w:widowControl w:val="0"/>
              <w:spacing w:line="260" w:lineRule="exact"/>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smallCaps/>
                <w:color w:val="000000"/>
                <w:kern w:val="2"/>
                <w:sz w:val="21"/>
                <w:szCs w:val="21"/>
                <w:highlight w:val="none"/>
                <w:lang w:val="en-US" w:eastAsia="zh-CN" w:bidi="ar-SA"/>
              </w:rPr>
              <w:t>姓名</w:t>
            </w:r>
          </w:p>
        </w:tc>
        <w:tc>
          <w:tcPr>
            <w:tcW w:w="1017" w:type="pct"/>
            <w:noWrap w:val="0"/>
            <w:vAlign w:val="center"/>
          </w:tcPr>
          <w:p>
            <w:pPr>
              <w:widowControl w:val="0"/>
              <w:spacing w:line="260" w:lineRule="exact"/>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smallCaps/>
                <w:color w:val="000000"/>
                <w:kern w:val="2"/>
                <w:sz w:val="21"/>
                <w:szCs w:val="21"/>
                <w:highlight w:val="none"/>
                <w:lang w:val="en-US" w:eastAsia="zh-CN" w:bidi="ar-SA"/>
              </w:rPr>
              <w:t>移动电话</w:t>
            </w:r>
          </w:p>
        </w:tc>
        <w:tc>
          <w:tcPr>
            <w:tcW w:w="1080" w:type="pct"/>
            <w:noWrap w:val="0"/>
            <w:vAlign w:val="center"/>
          </w:tcPr>
          <w:p>
            <w:pPr>
              <w:widowControl w:val="0"/>
              <w:spacing w:line="260" w:lineRule="exact"/>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smallCaps/>
                <w:color w:val="000000"/>
                <w:kern w:val="2"/>
                <w:sz w:val="21"/>
                <w:szCs w:val="21"/>
                <w:highlight w:val="none"/>
                <w:lang w:val="en-US" w:eastAsia="zh-CN" w:bidi="ar-SA"/>
              </w:rPr>
              <w:t>职务</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87" w:hRule="atLeast"/>
        </w:trPr>
        <w:tc>
          <w:tcPr>
            <w:tcW w:w="1172" w:type="pct"/>
            <w:vMerge w:val="restart"/>
            <w:noWrap w:val="0"/>
            <w:vAlign w:val="center"/>
          </w:tcPr>
          <w:p>
            <w:pPr>
              <w:widowControl w:val="0"/>
              <w:spacing w:line="260" w:lineRule="exact"/>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smallCaps/>
                <w:color w:val="000000"/>
                <w:kern w:val="2"/>
                <w:sz w:val="21"/>
                <w:szCs w:val="21"/>
                <w:highlight w:val="none"/>
                <w:lang w:val="en-US" w:eastAsia="zh-CN" w:bidi="ar-SA"/>
              </w:rPr>
              <w:t>应急指挥中心</w:t>
            </w:r>
          </w:p>
        </w:tc>
        <w:tc>
          <w:tcPr>
            <w:tcW w:w="962"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kern w:val="2"/>
                <w:sz w:val="21"/>
                <w:szCs w:val="21"/>
                <w:highlight w:val="none"/>
                <w:lang w:val="en-US" w:eastAsia="zh-CN" w:bidi="ar-SA"/>
              </w:rPr>
              <w:t>总指挥</w:t>
            </w:r>
          </w:p>
        </w:tc>
        <w:tc>
          <w:tcPr>
            <w:tcW w:w="767"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bCs/>
                <w:color w:val="000000"/>
                <w:kern w:val="2"/>
                <w:sz w:val="21"/>
                <w:szCs w:val="21"/>
                <w:lang w:val="en-US" w:eastAsia="zh-CN" w:bidi="ar-SA"/>
              </w:rPr>
              <w:t>周剑文</w:t>
            </w:r>
          </w:p>
        </w:tc>
        <w:tc>
          <w:tcPr>
            <w:tcW w:w="1017" w:type="pct"/>
            <w:noWrap w:val="0"/>
            <w:vAlign w:val="center"/>
          </w:tcPr>
          <w:p>
            <w:pPr>
              <w:widowControl w:val="0"/>
              <w:spacing w:line="360" w:lineRule="auto"/>
              <w:ind w:left="0" w:leftChars="0" w:firstLine="0" w:firstLineChars="0"/>
              <w:jc w:val="center"/>
              <w:rPr>
                <w:rFonts w:hint="default"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13907089796</w:t>
            </w:r>
          </w:p>
        </w:tc>
        <w:tc>
          <w:tcPr>
            <w:tcW w:w="1080"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kern w:val="2"/>
                <w:sz w:val="21"/>
                <w:szCs w:val="21"/>
                <w:highlight w:val="none"/>
                <w:lang w:val="en-US" w:eastAsia="zh-CN" w:bidi="ar-SA"/>
              </w:rPr>
              <w:t>总经理</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50" w:hRule="atLeast"/>
        </w:trPr>
        <w:tc>
          <w:tcPr>
            <w:tcW w:w="1172" w:type="pct"/>
            <w:vMerge w:val="continue"/>
            <w:noWrap w:val="0"/>
            <w:vAlign w:val="center"/>
          </w:tcPr>
          <w:p>
            <w:pPr>
              <w:widowControl w:val="0"/>
              <w:spacing w:line="260" w:lineRule="exact"/>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p>
        </w:tc>
        <w:tc>
          <w:tcPr>
            <w:tcW w:w="962"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kern w:val="2"/>
                <w:sz w:val="21"/>
                <w:szCs w:val="21"/>
                <w:highlight w:val="none"/>
                <w:lang w:val="en-US" w:eastAsia="zh-CN" w:bidi="ar-SA"/>
              </w:rPr>
              <w:t>副总指挥</w:t>
            </w:r>
          </w:p>
        </w:tc>
        <w:tc>
          <w:tcPr>
            <w:tcW w:w="767" w:type="pct"/>
            <w:noWrap w:val="0"/>
            <w:vAlign w:val="center"/>
          </w:tcPr>
          <w:p>
            <w:pPr>
              <w:widowControl w:val="0"/>
              <w:spacing w:line="360" w:lineRule="auto"/>
              <w:ind w:left="0" w:leftChars="0" w:firstLine="0" w:firstLineChars="0"/>
              <w:jc w:val="center"/>
              <w:rPr>
                <w:rFonts w:hint="eastAsia"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smallCaps/>
                <w:color w:val="000000"/>
                <w:kern w:val="2"/>
                <w:sz w:val="21"/>
                <w:szCs w:val="21"/>
                <w:highlight w:val="none"/>
                <w:lang w:val="en-US" w:eastAsia="zh-CN" w:bidi="ar-SA"/>
              </w:rPr>
              <w:t>胡文斌</w:t>
            </w:r>
          </w:p>
        </w:tc>
        <w:tc>
          <w:tcPr>
            <w:tcW w:w="1017" w:type="pct"/>
            <w:noWrap w:val="0"/>
            <w:vAlign w:val="center"/>
          </w:tcPr>
          <w:p>
            <w:pPr>
              <w:widowControl w:val="0"/>
              <w:spacing w:line="360" w:lineRule="auto"/>
              <w:ind w:left="0" w:leftChars="0" w:firstLine="0" w:firstLineChars="0"/>
              <w:jc w:val="center"/>
              <w:rPr>
                <w:rFonts w:hint="default"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smallCaps/>
                <w:color w:val="000000"/>
                <w:kern w:val="2"/>
                <w:sz w:val="21"/>
                <w:szCs w:val="21"/>
                <w:highlight w:val="none"/>
                <w:lang w:val="en-US" w:eastAsia="zh-CN" w:bidi="ar-SA"/>
              </w:rPr>
              <w:t>15970629327</w:t>
            </w:r>
          </w:p>
        </w:tc>
        <w:tc>
          <w:tcPr>
            <w:tcW w:w="1080"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副总经理</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680" w:hRule="atLeast"/>
        </w:trPr>
        <w:tc>
          <w:tcPr>
            <w:tcW w:w="1172" w:type="pct"/>
            <w:vMerge w:val="continue"/>
            <w:noWrap w:val="0"/>
            <w:vAlign w:val="center"/>
          </w:tcPr>
          <w:p>
            <w:pPr>
              <w:widowControl w:val="0"/>
              <w:spacing w:line="260" w:lineRule="exact"/>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p>
        </w:tc>
        <w:tc>
          <w:tcPr>
            <w:tcW w:w="962" w:type="pct"/>
            <w:noWrap w:val="0"/>
            <w:vAlign w:val="center"/>
          </w:tcPr>
          <w:p>
            <w:pPr>
              <w:widowControl w:val="0"/>
              <w:spacing w:line="260" w:lineRule="exact"/>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smallCaps/>
                <w:color w:val="000000"/>
                <w:kern w:val="2"/>
                <w:sz w:val="21"/>
                <w:szCs w:val="21"/>
                <w:highlight w:val="none"/>
                <w:lang w:val="en-US" w:eastAsia="zh-CN" w:bidi="ar-SA"/>
              </w:rPr>
              <w:t>应急办公室主任</w:t>
            </w:r>
          </w:p>
        </w:tc>
        <w:tc>
          <w:tcPr>
            <w:tcW w:w="767" w:type="pct"/>
            <w:noWrap w:val="0"/>
            <w:vAlign w:val="center"/>
          </w:tcPr>
          <w:p>
            <w:pPr>
              <w:widowControl w:val="0"/>
              <w:spacing w:line="360" w:lineRule="auto"/>
              <w:ind w:left="0" w:leftChars="0" w:firstLine="0" w:firstLineChars="0"/>
              <w:jc w:val="center"/>
              <w:rPr>
                <w:rFonts w:hint="eastAsia"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smallCaps/>
                <w:color w:val="000000"/>
                <w:kern w:val="2"/>
                <w:sz w:val="21"/>
                <w:szCs w:val="21"/>
                <w:highlight w:val="none"/>
                <w:lang w:val="en-US" w:eastAsia="zh-CN" w:bidi="ar-SA"/>
              </w:rPr>
              <w:t>陈 勇</w:t>
            </w:r>
          </w:p>
        </w:tc>
        <w:tc>
          <w:tcPr>
            <w:tcW w:w="1017" w:type="pct"/>
            <w:noWrap w:val="0"/>
            <w:vAlign w:val="center"/>
          </w:tcPr>
          <w:p>
            <w:pPr>
              <w:widowControl w:val="0"/>
              <w:spacing w:line="360" w:lineRule="auto"/>
              <w:ind w:left="0" w:leftChars="0" w:firstLine="0" w:firstLineChars="0"/>
              <w:jc w:val="center"/>
              <w:rPr>
                <w:rFonts w:hint="default"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13979112577</w:t>
            </w:r>
          </w:p>
        </w:tc>
        <w:tc>
          <w:tcPr>
            <w:tcW w:w="1080"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安全环保部经理</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75" w:hRule="atLeast"/>
        </w:trPr>
        <w:tc>
          <w:tcPr>
            <w:tcW w:w="1172" w:type="pct"/>
            <w:vMerge w:val="restart"/>
            <w:noWrap w:val="0"/>
            <w:vAlign w:val="center"/>
          </w:tcPr>
          <w:p>
            <w:pPr>
              <w:widowControl w:val="0"/>
              <w:spacing w:line="260" w:lineRule="exact"/>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smallCaps/>
                <w:color w:val="000000"/>
                <w:kern w:val="2"/>
                <w:sz w:val="21"/>
                <w:szCs w:val="21"/>
                <w:highlight w:val="none"/>
                <w:lang w:val="en-US" w:eastAsia="zh-CN" w:bidi="ar-SA"/>
              </w:rPr>
              <w:t>现场指挥</w:t>
            </w:r>
          </w:p>
        </w:tc>
        <w:tc>
          <w:tcPr>
            <w:tcW w:w="962"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kern w:val="2"/>
                <w:sz w:val="21"/>
                <w:szCs w:val="21"/>
                <w:highlight w:val="none"/>
                <w:lang w:val="en-US" w:eastAsia="zh-CN" w:bidi="ar-SA"/>
              </w:rPr>
              <w:t>总指挥</w:t>
            </w:r>
          </w:p>
        </w:tc>
        <w:tc>
          <w:tcPr>
            <w:tcW w:w="767"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bCs/>
                <w:color w:val="000000"/>
                <w:kern w:val="2"/>
                <w:sz w:val="21"/>
                <w:szCs w:val="21"/>
                <w:lang w:val="en-US" w:eastAsia="zh-CN" w:bidi="ar-SA"/>
              </w:rPr>
              <w:t>周剑文</w:t>
            </w:r>
          </w:p>
        </w:tc>
        <w:tc>
          <w:tcPr>
            <w:tcW w:w="1017" w:type="pct"/>
            <w:noWrap w:val="0"/>
            <w:vAlign w:val="center"/>
          </w:tcPr>
          <w:p>
            <w:pPr>
              <w:widowControl w:val="0"/>
              <w:spacing w:line="360" w:lineRule="auto"/>
              <w:ind w:left="0" w:leftChars="0" w:firstLine="0" w:firstLineChars="0"/>
              <w:jc w:val="center"/>
              <w:rPr>
                <w:rFonts w:hint="default"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13907089796</w:t>
            </w:r>
          </w:p>
        </w:tc>
        <w:tc>
          <w:tcPr>
            <w:tcW w:w="1080"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kern w:val="2"/>
                <w:sz w:val="21"/>
                <w:szCs w:val="21"/>
                <w:highlight w:val="none"/>
                <w:lang w:val="en-US" w:eastAsia="zh-CN" w:bidi="ar-SA"/>
              </w:rPr>
              <w:t>总经理</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75" w:hRule="atLeast"/>
        </w:trPr>
        <w:tc>
          <w:tcPr>
            <w:tcW w:w="1172" w:type="pct"/>
            <w:vMerge w:val="continue"/>
            <w:noWrap w:val="0"/>
            <w:vAlign w:val="center"/>
          </w:tcPr>
          <w:p>
            <w:pPr>
              <w:widowControl w:val="0"/>
              <w:spacing w:line="260" w:lineRule="exact"/>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p>
        </w:tc>
        <w:tc>
          <w:tcPr>
            <w:tcW w:w="962"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kern w:val="2"/>
                <w:sz w:val="21"/>
                <w:szCs w:val="21"/>
                <w:highlight w:val="none"/>
                <w:lang w:val="en-US" w:eastAsia="zh-CN" w:bidi="ar-SA"/>
              </w:rPr>
              <w:t>副总指挥</w:t>
            </w:r>
          </w:p>
        </w:tc>
        <w:tc>
          <w:tcPr>
            <w:tcW w:w="767"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smallCaps/>
                <w:color w:val="000000"/>
                <w:kern w:val="2"/>
                <w:sz w:val="21"/>
                <w:szCs w:val="21"/>
                <w:highlight w:val="none"/>
                <w:lang w:val="en-US" w:eastAsia="zh-CN" w:bidi="ar-SA"/>
              </w:rPr>
              <w:t>胡文斌</w:t>
            </w:r>
          </w:p>
        </w:tc>
        <w:tc>
          <w:tcPr>
            <w:tcW w:w="1017" w:type="pct"/>
            <w:noWrap w:val="0"/>
            <w:vAlign w:val="center"/>
          </w:tcPr>
          <w:p>
            <w:pPr>
              <w:widowControl w:val="0"/>
              <w:spacing w:line="360" w:lineRule="auto"/>
              <w:ind w:left="0" w:leftChars="0" w:firstLine="0" w:firstLineChars="0"/>
              <w:jc w:val="center"/>
              <w:rPr>
                <w:rFonts w:hint="default"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smallCaps/>
                <w:color w:val="000000"/>
                <w:kern w:val="2"/>
                <w:sz w:val="21"/>
                <w:szCs w:val="21"/>
                <w:highlight w:val="none"/>
                <w:lang w:val="en-US" w:eastAsia="zh-CN" w:bidi="ar-SA"/>
              </w:rPr>
              <w:t>15970629327</w:t>
            </w:r>
          </w:p>
        </w:tc>
        <w:tc>
          <w:tcPr>
            <w:tcW w:w="1080"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副总经理</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512" w:hRule="atLeast"/>
        </w:trPr>
        <w:tc>
          <w:tcPr>
            <w:tcW w:w="1172" w:type="pct"/>
            <w:vMerge w:val="restart"/>
            <w:noWrap w:val="0"/>
            <w:vAlign w:val="center"/>
          </w:tcPr>
          <w:p>
            <w:pPr>
              <w:widowControl w:val="0"/>
              <w:spacing w:line="260" w:lineRule="exact"/>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smallCaps/>
                <w:color w:val="000000"/>
                <w:kern w:val="2"/>
                <w:sz w:val="21"/>
                <w:szCs w:val="21"/>
                <w:highlight w:val="none"/>
                <w:lang w:val="en-US" w:eastAsia="zh-CN" w:bidi="ar-SA"/>
              </w:rPr>
              <w:t>现场处置组</w:t>
            </w:r>
          </w:p>
        </w:tc>
        <w:tc>
          <w:tcPr>
            <w:tcW w:w="962"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kern w:val="2"/>
                <w:sz w:val="21"/>
                <w:szCs w:val="21"/>
                <w:highlight w:val="none"/>
                <w:lang w:val="en-US" w:eastAsia="zh-CN" w:bidi="ar-SA"/>
              </w:rPr>
              <w:t>组长</w:t>
            </w:r>
          </w:p>
        </w:tc>
        <w:tc>
          <w:tcPr>
            <w:tcW w:w="767"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smallCaps/>
                <w:color w:val="000000"/>
                <w:kern w:val="2"/>
                <w:sz w:val="21"/>
                <w:szCs w:val="21"/>
                <w:highlight w:val="none"/>
                <w:lang w:val="en-US" w:eastAsia="zh-CN" w:bidi="ar-SA"/>
              </w:rPr>
              <w:t>陈勇</w:t>
            </w:r>
          </w:p>
        </w:tc>
        <w:tc>
          <w:tcPr>
            <w:tcW w:w="1017" w:type="pct"/>
            <w:noWrap w:val="0"/>
            <w:vAlign w:val="center"/>
          </w:tcPr>
          <w:p>
            <w:pPr>
              <w:widowControl w:val="0"/>
              <w:spacing w:line="360" w:lineRule="auto"/>
              <w:ind w:left="0" w:leftChars="0" w:firstLine="0" w:firstLineChars="0"/>
              <w:jc w:val="center"/>
              <w:rPr>
                <w:rFonts w:hint="default"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13979112577</w:t>
            </w:r>
          </w:p>
        </w:tc>
        <w:tc>
          <w:tcPr>
            <w:tcW w:w="1080" w:type="pct"/>
            <w:noWrap w:val="0"/>
            <w:vAlign w:val="center"/>
          </w:tcPr>
          <w:p>
            <w:pPr>
              <w:widowControl w:val="0"/>
              <w:spacing w:line="360" w:lineRule="auto"/>
              <w:ind w:left="0" w:leftChars="0" w:firstLine="0" w:firstLineChars="0"/>
              <w:jc w:val="center"/>
              <w:rPr>
                <w:rFonts w:hint="eastAsia"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安全环保部经理</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50" w:hRule="atLeast"/>
        </w:trPr>
        <w:tc>
          <w:tcPr>
            <w:tcW w:w="1172" w:type="pct"/>
            <w:vMerge w:val="continue"/>
            <w:noWrap w:val="0"/>
            <w:vAlign w:val="center"/>
          </w:tcPr>
          <w:p>
            <w:pPr>
              <w:widowControl w:val="0"/>
              <w:spacing w:line="260" w:lineRule="exact"/>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p>
        </w:tc>
        <w:tc>
          <w:tcPr>
            <w:tcW w:w="962"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kern w:val="2"/>
                <w:sz w:val="21"/>
                <w:szCs w:val="21"/>
                <w:highlight w:val="none"/>
                <w:lang w:val="en-US" w:eastAsia="zh-CN" w:bidi="ar-SA"/>
              </w:rPr>
              <w:t>组员</w:t>
            </w:r>
          </w:p>
        </w:tc>
        <w:tc>
          <w:tcPr>
            <w:tcW w:w="767" w:type="pct"/>
            <w:noWrap w:val="0"/>
            <w:vAlign w:val="center"/>
          </w:tcPr>
          <w:p>
            <w:pPr>
              <w:widowControl w:val="0"/>
              <w:spacing w:line="360" w:lineRule="auto"/>
              <w:ind w:left="0" w:leftChars="0" w:firstLine="0" w:firstLineChars="0"/>
              <w:jc w:val="center"/>
              <w:rPr>
                <w:rFonts w:hint="eastAsia"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smallCaps/>
                <w:color w:val="000000"/>
                <w:kern w:val="2"/>
                <w:sz w:val="21"/>
                <w:szCs w:val="21"/>
                <w:highlight w:val="none"/>
                <w:lang w:val="en-US" w:eastAsia="zh-CN" w:bidi="ar-SA"/>
              </w:rPr>
              <w:t>张金梁</w:t>
            </w:r>
          </w:p>
        </w:tc>
        <w:tc>
          <w:tcPr>
            <w:tcW w:w="1017" w:type="pct"/>
            <w:noWrap w:val="0"/>
            <w:vAlign w:val="center"/>
          </w:tcPr>
          <w:p>
            <w:pPr>
              <w:widowControl w:val="0"/>
              <w:spacing w:line="360" w:lineRule="auto"/>
              <w:ind w:left="0" w:leftChars="0" w:firstLine="0" w:firstLineChars="0"/>
              <w:jc w:val="center"/>
              <w:rPr>
                <w:rFonts w:hint="default"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13697002406</w:t>
            </w:r>
          </w:p>
        </w:tc>
        <w:tc>
          <w:tcPr>
            <w:tcW w:w="1080"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smallCaps/>
                <w:color w:val="000000"/>
                <w:kern w:val="2"/>
                <w:sz w:val="21"/>
                <w:szCs w:val="21"/>
                <w:highlight w:val="none"/>
                <w:lang w:val="en-US" w:eastAsia="zh-CN" w:bidi="ar-SA"/>
              </w:rPr>
              <w:t>电工</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525" w:hRule="atLeast"/>
        </w:trPr>
        <w:tc>
          <w:tcPr>
            <w:tcW w:w="1172" w:type="pct"/>
            <w:vMerge w:val="restart"/>
            <w:noWrap w:val="0"/>
            <w:vAlign w:val="center"/>
          </w:tcPr>
          <w:p>
            <w:pPr>
              <w:widowControl w:val="0"/>
              <w:spacing w:line="260" w:lineRule="exact"/>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smallCaps/>
                <w:color w:val="000000"/>
                <w:kern w:val="2"/>
                <w:sz w:val="21"/>
                <w:szCs w:val="21"/>
                <w:highlight w:val="none"/>
                <w:lang w:val="en-US" w:eastAsia="zh-CN" w:bidi="ar-SA"/>
              </w:rPr>
              <w:t>应急医疗组</w:t>
            </w:r>
          </w:p>
        </w:tc>
        <w:tc>
          <w:tcPr>
            <w:tcW w:w="962"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kern w:val="2"/>
                <w:sz w:val="21"/>
                <w:szCs w:val="21"/>
                <w:highlight w:val="none"/>
                <w:lang w:val="en-US" w:eastAsia="zh-CN" w:bidi="ar-SA"/>
              </w:rPr>
              <w:t>组长</w:t>
            </w:r>
          </w:p>
        </w:tc>
        <w:tc>
          <w:tcPr>
            <w:tcW w:w="767" w:type="pct"/>
            <w:noWrap w:val="0"/>
            <w:vAlign w:val="center"/>
          </w:tcPr>
          <w:p>
            <w:pPr>
              <w:widowControl w:val="0"/>
              <w:spacing w:line="360" w:lineRule="auto"/>
              <w:ind w:left="0" w:leftChars="0" w:firstLine="0" w:firstLineChars="0"/>
              <w:jc w:val="center"/>
              <w:rPr>
                <w:rFonts w:hint="eastAsia"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smallCaps/>
                <w:color w:val="000000"/>
                <w:kern w:val="2"/>
                <w:sz w:val="21"/>
                <w:szCs w:val="21"/>
                <w:highlight w:val="none"/>
                <w:lang w:val="en-US" w:eastAsia="zh-CN" w:bidi="ar-SA"/>
              </w:rPr>
              <w:t>应雪霞</w:t>
            </w:r>
          </w:p>
        </w:tc>
        <w:tc>
          <w:tcPr>
            <w:tcW w:w="1017" w:type="pct"/>
            <w:noWrap w:val="0"/>
            <w:vAlign w:val="center"/>
          </w:tcPr>
          <w:p>
            <w:pPr>
              <w:widowControl w:val="0"/>
              <w:spacing w:line="360" w:lineRule="auto"/>
              <w:ind w:left="0" w:leftChars="0" w:firstLine="0" w:firstLineChars="0"/>
              <w:jc w:val="center"/>
              <w:rPr>
                <w:rFonts w:hint="default"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18720534326</w:t>
            </w:r>
          </w:p>
        </w:tc>
        <w:tc>
          <w:tcPr>
            <w:tcW w:w="1080"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smallCaps/>
                <w:color w:val="000000"/>
                <w:kern w:val="2"/>
                <w:sz w:val="21"/>
                <w:szCs w:val="21"/>
                <w:highlight w:val="none"/>
                <w:lang w:val="en-US" w:eastAsia="zh-CN" w:bidi="ar-SA"/>
              </w:rPr>
              <w:t>行政主管</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513" w:hRule="atLeast"/>
        </w:trPr>
        <w:tc>
          <w:tcPr>
            <w:tcW w:w="1172" w:type="pct"/>
            <w:vMerge w:val="continue"/>
            <w:noWrap w:val="0"/>
            <w:vAlign w:val="center"/>
          </w:tcPr>
          <w:p>
            <w:pPr>
              <w:widowControl w:val="0"/>
              <w:spacing w:line="260" w:lineRule="exact"/>
              <w:jc w:val="center"/>
              <w:rPr>
                <w:rFonts w:ascii="Times New Roman" w:hAnsi="Times New Roman" w:eastAsia="宋体" w:cs="Times New Roman"/>
                <w:smallCaps/>
                <w:color w:val="000000"/>
                <w:kern w:val="2"/>
                <w:sz w:val="21"/>
                <w:szCs w:val="21"/>
                <w:highlight w:val="none"/>
                <w:lang w:val="en-US" w:eastAsia="zh-CN" w:bidi="ar-SA"/>
              </w:rPr>
            </w:pPr>
          </w:p>
        </w:tc>
        <w:tc>
          <w:tcPr>
            <w:tcW w:w="962"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kern w:val="2"/>
                <w:sz w:val="21"/>
                <w:szCs w:val="21"/>
                <w:highlight w:val="none"/>
                <w:lang w:val="en-US" w:eastAsia="zh-CN" w:bidi="ar-SA"/>
              </w:rPr>
              <w:t>组员</w:t>
            </w:r>
          </w:p>
        </w:tc>
        <w:tc>
          <w:tcPr>
            <w:tcW w:w="767" w:type="pct"/>
            <w:noWrap w:val="0"/>
            <w:vAlign w:val="center"/>
          </w:tcPr>
          <w:p>
            <w:pPr>
              <w:widowControl w:val="0"/>
              <w:spacing w:line="360" w:lineRule="auto"/>
              <w:ind w:left="0" w:leftChars="0" w:firstLine="0" w:firstLineChars="0"/>
              <w:jc w:val="center"/>
              <w:rPr>
                <w:rFonts w:hint="eastAsia"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smallCaps/>
                <w:color w:val="000000"/>
                <w:kern w:val="2"/>
                <w:sz w:val="21"/>
                <w:szCs w:val="21"/>
                <w:highlight w:val="none"/>
                <w:lang w:val="en-US" w:eastAsia="zh-CN" w:bidi="ar-SA"/>
              </w:rPr>
              <w:t>涂林影</w:t>
            </w:r>
          </w:p>
        </w:tc>
        <w:tc>
          <w:tcPr>
            <w:tcW w:w="1017" w:type="pct"/>
            <w:noWrap w:val="0"/>
            <w:vAlign w:val="center"/>
          </w:tcPr>
          <w:p>
            <w:pPr>
              <w:widowControl w:val="0"/>
              <w:spacing w:line="360" w:lineRule="auto"/>
              <w:ind w:left="0" w:leftChars="0" w:firstLine="0" w:firstLineChars="0"/>
              <w:jc w:val="center"/>
              <w:rPr>
                <w:rFonts w:hint="eastAsia"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15727578729</w:t>
            </w:r>
          </w:p>
        </w:tc>
        <w:tc>
          <w:tcPr>
            <w:tcW w:w="1080"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smallCaps/>
                <w:color w:val="000000"/>
                <w:kern w:val="2"/>
                <w:sz w:val="21"/>
                <w:szCs w:val="21"/>
                <w:highlight w:val="none"/>
                <w:lang w:val="en-US" w:eastAsia="zh-CN" w:bidi="ar-SA"/>
              </w:rPr>
              <w:t>行政人员</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87" w:hRule="atLeast"/>
        </w:trPr>
        <w:tc>
          <w:tcPr>
            <w:tcW w:w="1172" w:type="pct"/>
            <w:vMerge w:val="restart"/>
            <w:noWrap w:val="0"/>
            <w:vAlign w:val="center"/>
          </w:tcPr>
          <w:p>
            <w:pPr>
              <w:widowControl w:val="0"/>
              <w:spacing w:line="260" w:lineRule="exact"/>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smallCaps/>
                <w:color w:val="000000"/>
                <w:kern w:val="2"/>
                <w:sz w:val="21"/>
                <w:szCs w:val="21"/>
                <w:highlight w:val="none"/>
                <w:lang w:val="en-US" w:eastAsia="zh-CN" w:bidi="ar-SA"/>
              </w:rPr>
              <w:t>信息通讯组</w:t>
            </w:r>
          </w:p>
        </w:tc>
        <w:tc>
          <w:tcPr>
            <w:tcW w:w="962"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kern w:val="2"/>
                <w:sz w:val="21"/>
                <w:szCs w:val="21"/>
                <w:highlight w:val="none"/>
                <w:lang w:val="en-US" w:eastAsia="zh-CN" w:bidi="ar-SA"/>
              </w:rPr>
              <w:t>组长</w:t>
            </w:r>
          </w:p>
        </w:tc>
        <w:tc>
          <w:tcPr>
            <w:tcW w:w="767" w:type="pct"/>
            <w:noWrap w:val="0"/>
            <w:vAlign w:val="center"/>
          </w:tcPr>
          <w:p>
            <w:pPr>
              <w:widowControl w:val="0"/>
              <w:spacing w:line="360" w:lineRule="auto"/>
              <w:ind w:left="0" w:leftChars="0" w:firstLine="0" w:firstLineChars="0"/>
              <w:jc w:val="center"/>
              <w:rPr>
                <w:rFonts w:hint="eastAsia"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smallCaps/>
                <w:color w:val="000000"/>
                <w:kern w:val="2"/>
                <w:sz w:val="21"/>
                <w:szCs w:val="21"/>
                <w:highlight w:val="none"/>
                <w:lang w:val="en-US" w:eastAsia="zh-CN" w:bidi="ar-SA"/>
              </w:rPr>
              <w:t>叶明明</w:t>
            </w:r>
          </w:p>
        </w:tc>
        <w:tc>
          <w:tcPr>
            <w:tcW w:w="1017" w:type="pct"/>
            <w:noWrap w:val="0"/>
            <w:vAlign w:val="center"/>
          </w:tcPr>
          <w:p>
            <w:pPr>
              <w:widowControl w:val="0"/>
              <w:spacing w:line="360" w:lineRule="auto"/>
              <w:ind w:left="0" w:leftChars="0" w:firstLine="0" w:firstLineChars="0"/>
              <w:jc w:val="center"/>
              <w:rPr>
                <w:rFonts w:hint="default"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13870086073</w:t>
            </w:r>
          </w:p>
        </w:tc>
        <w:tc>
          <w:tcPr>
            <w:tcW w:w="1080"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销售经理</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87" w:hRule="atLeast"/>
        </w:trPr>
        <w:tc>
          <w:tcPr>
            <w:tcW w:w="1172" w:type="pct"/>
            <w:vMerge w:val="continue"/>
            <w:noWrap w:val="0"/>
            <w:vAlign w:val="center"/>
          </w:tcPr>
          <w:p>
            <w:pPr>
              <w:widowControl w:val="0"/>
              <w:spacing w:line="260" w:lineRule="exact"/>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p>
        </w:tc>
        <w:tc>
          <w:tcPr>
            <w:tcW w:w="962"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kern w:val="2"/>
                <w:sz w:val="21"/>
                <w:szCs w:val="21"/>
                <w:highlight w:val="none"/>
                <w:lang w:val="en-US" w:eastAsia="zh-CN" w:bidi="ar-SA"/>
              </w:rPr>
              <w:t>组员</w:t>
            </w:r>
          </w:p>
        </w:tc>
        <w:tc>
          <w:tcPr>
            <w:tcW w:w="767" w:type="pct"/>
            <w:noWrap w:val="0"/>
            <w:vAlign w:val="center"/>
          </w:tcPr>
          <w:p>
            <w:pPr>
              <w:widowControl w:val="0"/>
              <w:spacing w:line="360" w:lineRule="auto"/>
              <w:ind w:left="0" w:leftChars="0" w:firstLine="0" w:firstLineChars="0"/>
              <w:jc w:val="center"/>
              <w:rPr>
                <w:rFonts w:hint="eastAsia"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smallCaps/>
                <w:color w:val="000000"/>
                <w:kern w:val="2"/>
                <w:sz w:val="21"/>
                <w:szCs w:val="21"/>
                <w:highlight w:val="none"/>
                <w:lang w:val="en-US" w:eastAsia="zh-CN" w:bidi="ar-SA"/>
              </w:rPr>
              <w:t>夏丽梅</w:t>
            </w:r>
          </w:p>
        </w:tc>
        <w:tc>
          <w:tcPr>
            <w:tcW w:w="1017" w:type="pct"/>
            <w:noWrap w:val="0"/>
            <w:vAlign w:val="center"/>
          </w:tcPr>
          <w:p>
            <w:pPr>
              <w:widowControl w:val="0"/>
              <w:spacing w:line="360" w:lineRule="auto"/>
              <w:ind w:left="0" w:leftChars="0" w:firstLine="0" w:firstLineChars="0"/>
              <w:jc w:val="center"/>
              <w:rPr>
                <w:rFonts w:hint="default"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smallCaps/>
                <w:color w:val="000000"/>
                <w:kern w:val="2"/>
                <w:sz w:val="21"/>
                <w:szCs w:val="21"/>
                <w:highlight w:val="none"/>
                <w:lang w:val="en-US" w:eastAsia="zh-CN" w:bidi="ar-SA"/>
              </w:rPr>
              <w:t>13979163979</w:t>
            </w:r>
          </w:p>
        </w:tc>
        <w:tc>
          <w:tcPr>
            <w:tcW w:w="1080"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风控员</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513" w:hRule="atLeast"/>
        </w:trPr>
        <w:tc>
          <w:tcPr>
            <w:tcW w:w="1172" w:type="pct"/>
            <w:vMerge w:val="restart"/>
            <w:noWrap w:val="0"/>
            <w:vAlign w:val="center"/>
          </w:tcPr>
          <w:p>
            <w:pPr>
              <w:widowControl w:val="0"/>
              <w:spacing w:line="260" w:lineRule="exact"/>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smallCaps/>
                <w:color w:val="000000"/>
                <w:kern w:val="2"/>
                <w:sz w:val="21"/>
                <w:szCs w:val="21"/>
                <w:highlight w:val="none"/>
                <w:lang w:val="en-US" w:eastAsia="zh-CN" w:bidi="ar-SA"/>
              </w:rPr>
              <w:t>应急监测组</w:t>
            </w:r>
          </w:p>
        </w:tc>
        <w:tc>
          <w:tcPr>
            <w:tcW w:w="962"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kern w:val="2"/>
                <w:sz w:val="21"/>
                <w:szCs w:val="21"/>
                <w:highlight w:val="none"/>
                <w:lang w:val="en-US" w:eastAsia="zh-CN" w:bidi="ar-SA"/>
              </w:rPr>
              <w:t>组长</w:t>
            </w:r>
          </w:p>
        </w:tc>
        <w:tc>
          <w:tcPr>
            <w:tcW w:w="767" w:type="pct"/>
            <w:noWrap w:val="0"/>
            <w:vAlign w:val="center"/>
          </w:tcPr>
          <w:p>
            <w:pPr>
              <w:widowControl w:val="0"/>
              <w:spacing w:line="360" w:lineRule="auto"/>
              <w:ind w:left="0" w:leftChars="0" w:firstLine="0" w:firstLineChars="0"/>
              <w:jc w:val="center"/>
              <w:rPr>
                <w:rFonts w:hint="eastAsia"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杨武</w:t>
            </w:r>
          </w:p>
        </w:tc>
        <w:tc>
          <w:tcPr>
            <w:tcW w:w="1017" w:type="pct"/>
            <w:noWrap w:val="0"/>
            <w:vAlign w:val="center"/>
          </w:tcPr>
          <w:p>
            <w:pPr>
              <w:widowControl w:val="0"/>
              <w:spacing w:line="360" w:lineRule="auto"/>
              <w:ind w:left="0" w:leftChars="0" w:firstLine="0" w:firstLineChars="0"/>
              <w:jc w:val="center"/>
              <w:rPr>
                <w:rFonts w:hint="default"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13677913605</w:t>
            </w:r>
          </w:p>
        </w:tc>
        <w:tc>
          <w:tcPr>
            <w:tcW w:w="1080" w:type="pct"/>
            <w:noWrap w:val="0"/>
            <w:vAlign w:val="center"/>
          </w:tcPr>
          <w:p>
            <w:pPr>
              <w:widowControl w:val="0"/>
              <w:spacing w:line="360" w:lineRule="auto"/>
              <w:ind w:left="0" w:leftChars="0" w:firstLine="0" w:firstLineChars="0"/>
              <w:jc w:val="center"/>
              <w:rPr>
                <w:rFonts w:hint="eastAsia"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实验室主任</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60" w:hRule="atLeast"/>
        </w:trPr>
        <w:tc>
          <w:tcPr>
            <w:tcW w:w="1172" w:type="pct"/>
            <w:vMerge w:val="continue"/>
            <w:noWrap w:val="0"/>
            <w:vAlign w:val="center"/>
          </w:tcPr>
          <w:p>
            <w:pPr>
              <w:widowControl w:val="0"/>
              <w:spacing w:line="260" w:lineRule="exact"/>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p>
        </w:tc>
        <w:tc>
          <w:tcPr>
            <w:tcW w:w="962"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kern w:val="2"/>
                <w:sz w:val="21"/>
                <w:szCs w:val="21"/>
                <w:highlight w:val="none"/>
                <w:lang w:val="en-US" w:eastAsia="zh-CN" w:bidi="ar-SA"/>
              </w:rPr>
              <w:t>组员</w:t>
            </w:r>
          </w:p>
        </w:tc>
        <w:tc>
          <w:tcPr>
            <w:tcW w:w="767" w:type="pct"/>
            <w:noWrap w:val="0"/>
            <w:vAlign w:val="center"/>
          </w:tcPr>
          <w:p>
            <w:pPr>
              <w:widowControl w:val="0"/>
              <w:spacing w:line="360" w:lineRule="auto"/>
              <w:ind w:left="0" w:leftChars="0" w:firstLine="0" w:firstLineChars="0"/>
              <w:jc w:val="center"/>
              <w:rPr>
                <w:rFonts w:hint="eastAsia"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smallCaps/>
                <w:color w:val="000000"/>
                <w:kern w:val="2"/>
                <w:sz w:val="21"/>
                <w:szCs w:val="21"/>
                <w:highlight w:val="none"/>
                <w:lang w:val="en-US" w:eastAsia="zh-CN" w:bidi="ar-SA"/>
              </w:rPr>
              <w:t>徐俊</w:t>
            </w:r>
          </w:p>
        </w:tc>
        <w:tc>
          <w:tcPr>
            <w:tcW w:w="1017" w:type="pct"/>
            <w:noWrap w:val="0"/>
            <w:vAlign w:val="center"/>
          </w:tcPr>
          <w:p>
            <w:pPr>
              <w:widowControl w:val="0"/>
              <w:spacing w:line="360" w:lineRule="auto"/>
              <w:ind w:left="0" w:leftChars="0" w:firstLine="0" w:firstLineChars="0"/>
              <w:jc w:val="center"/>
              <w:rPr>
                <w:rFonts w:hint="default"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13767046282</w:t>
            </w:r>
          </w:p>
        </w:tc>
        <w:tc>
          <w:tcPr>
            <w:tcW w:w="1080" w:type="pct"/>
            <w:noWrap w:val="0"/>
            <w:vAlign w:val="center"/>
          </w:tcPr>
          <w:p>
            <w:pPr>
              <w:widowControl w:val="0"/>
              <w:spacing w:line="360" w:lineRule="auto"/>
              <w:jc w:val="center"/>
              <w:rPr>
                <w:rFonts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资料员</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58" w:hRule="atLeast"/>
        </w:trPr>
        <w:tc>
          <w:tcPr>
            <w:tcW w:w="1172" w:type="pct"/>
            <w:vMerge w:val="restart"/>
            <w:noWrap w:val="0"/>
            <w:vAlign w:val="center"/>
          </w:tcPr>
          <w:p>
            <w:pPr>
              <w:widowControl w:val="0"/>
              <w:spacing w:line="260" w:lineRule="exact"/>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smallCaps/>
                <w:color w:val="000000"/>
                <w:kern w:val="2"/>
                <w:sz w:val="21"/>
                <w:szCs w:val="21"/>
                <w:highlight w:val="none"/>
                <w:lang w:val="en-US" w:eastAsia="zh-CN" w:bidi="ar-SA"/>
              </w:rPr>
              <w:t>后勤保障组</w:t>
            </w:r>
          </w:p>
        </w:tc>
        <w:tc>
          <w:tcPr>
            <w:tcW w:w="962"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kern w:val="2"/>
                <w:sz w:val="21"/>
                <w:szCs w:val="21"/>
                <w:highlight w:val="none"/>
                <w:lang w:val="en-US" w:eastAsia="zh-CN" w:bidi="ar-SA"/>
              </w:rPr>
              <w:t>组长</w:t>
            </w:r>
          </w:p>
        </w:tc>
        <w:tc>
          <w:tcPr>
            <w:tcW w:w="767" w:type="pct"/>
            <w:noWrap w:val="0"/>
            <w:vAlign w:val="center"/>
          </w:tcPr>
          <w:p>
            <w:pPr>
              <w:widowControl w:val="0"/>
              <w:spacing w:line="360" w:lineRule="auto"/>
              <w:ind w:left="0" w:leftChars="0" w:firstLine="0" w:firstLineChars="0"/>
              <w:jc w:val="center"/>
              <w:rPr>
                <w:rFonts w:hint="eastAsia"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smallCaps/>
                <w:color w:val="000000"/>
                <w:kern w:val="2"/>
                <w:sz w:val="21"/>
                <w:szCs w:val="21"/>
                <w:highlight w:val="none"/>
                <w:lang w:val="en-US" w:eastAsia="zh-CN" w:bidi="ar-SA"/>
              </w:rPr>
              <w:t>刘芳</w:t>
            </w:r>
          </w:p>
        </w:tc>
        <w:tc>
          <w:tcPr>
            <w:tcW w:w="1017" w:type="pct"/>
            <w:noWrap w:val="0"/>
            <w:vAlign w:val="center"/>
          </w:tcPr>
          <w:p>
            <w:pPr>
              <w:widowControl w:val="0"/>
              <w:spacing w:line="360" w:lineRule="auto"/>
              <w:ind w:left="0" w:leftChars="0" w:firstLine="0" w:firstLineChars="0"/>
              <w:jc w:val="center"/>
              <w:rPr>
                <w:rFonts w:hint="default"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13507081220</w:t>
            </w:r>
          </w:p>
        </w:tc>
        <w:tc>
          <w:tcPr>
            <w:tcW w:w="1080" w:type="pct"/>
            <w:noWrap w:val="0"/>
            <w:vAlign w:val="center"/>
          </w:tcPr>
          <w:p>
            <w:pPr>
              <w:widowControl w:val="0"/>
              <w:spacing w:line="360" w:lineRule="auto"/>
              <w:jc w:val="center"/>
              <w:rPr>
                <w:rFonts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供应负责人</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500" w:hRule="atLeast"/>
        </w:trPr>
        <w:tc>
          <w:tcPr>
            <w:tcW w:w="1172" w:type="pct"/>
            <w:vMerge w:val="continue"/>
            <w:noWrap w:val="0"/>
            <w:vAlign w:val="center"/>
          </w:tcPr>
          <w:p>
            <w:pPr>
              <w:widowControl w:val="0"/>
              <w:spacing w:line="260" w:lineRule="exact"/>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p>
        </w:tc>
        <w:tc>
          <w:tcPr>
            <w:tcW w:w="962"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kern w:val="2"/>
                <w:sz w:val="21"/>
                <w:szCs w:val="21"/>
                <w:highlight w:val="none"/>
                <w:lang w:val="en-US" w:eastAsia="zh-CN" w:bidi="ar-SA"/>
              </w:rPr>
              <w:t>组员</w:t>
            </w:r>
          </w:p>
        </w:tc>
        <w:tc>
          <w:tcPr>
            <w:tcW w:w="767" w:type="pct"/>
            <w:noWrap w:val="0"/>
            <w:vAlign w:val="center"/>
          </w:tcPr>
          <w:p>
            <w:pPr>
              <w:widowControl w:val="0"/>
              <w:spacing w:line="360" w:lineRule="auto"/>
              <w:ind w:left="0" w:leftChars="0" w:firstLine="0" w:firstLineChars="0"/>
              <w:jc w:val="center"/>
              <w:rPr>
                <w:rFonts w:hint="eastAsia"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陈荣华</w:t>
            </w:r>
          </w:p>
        </w:tc>
        <w:tc>
          <w:tcPr>
            <w:tcW w:w="1017"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13755855272</w:t>
            </w:r>
          </w:p>
        </w:tc>
        <w:tc>
          <w:tcPr>
            <w:tcW w:w="1080" w:type="pct"/>
            <w:noWrap w:val="0"/>
            <w:vAlign w:val="center"/>
          </w:tcPr>
          <w:p>
            <w:pPr>
              <w:widowControl w:val="0"/>
              <w:spacing w:line="360" w:lineRule="auto"/>
              <w:jc w:val="center"/>
              <w:rPr>
                <w:rFonts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统计</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62" w:hRule="atLeast"/>
        </w:trPr>
        <w:tc>
          <w:tcPr>
            <w:tcW w:w="1172" w:type="pct"/>
            <w:vMerge w:val="restart"/>
            <w:noWrap w:val="0"/>
            <w:vAlign w:val="center"/>
          </w:tcPr>
          <w:p>
            <w:pPr>
              <w:widowControl w:val="0"/>
              <w:spacing w:line="260" w:lineRule="exact"/>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smallCaps/>
                <w:color w:val="000000"/>
                <w:kern w:val="2"/>
                <w:sz w:val="21"/>
                <w:szCs w:val="21"/>
                <w:highlight w:val="none"/>
                <w:lang w:val="en-US" w:eastAsia="zh-CN" w:bidi="ar-SA"/>
              </w:rPr>
              <w:t>安全保卫组</w:t>
            </w:r>
          </w:p>
        </w:tc>
        <w:tc>
          <w:tcPr>
            <w:tcW w:w="962"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kern w:val="2"/>
                <w:sz w:val="21"/>
                <w:szCs w:val="21"/>
                <w:highlight w:val="none"/>
                <w:lang w:val="en-US" w:eastAsia="zh-CN" w:bidi="ar-SA"/>
              </w:rPr>
              <w:t>组长</w:t>
            </w:r>
          </w:p>
        </w:tc>
        <w:tc>
          <w:tcPr>
            <w:tcW w:w="767" w:type="pct"/>
            <w:noWrap w:val="0"/>
            <w:vAlign w:val="center"/>
          </w:tcPr>
          <w:p>
            <w:pPr>
              <w:widowControl w:val="0"/>
              <w:spacing w:line="360" w:lineRule="auto"/>
              <w:ind w:left="0" w:leftChars="0" w:firstLine="0" w:firstLineChars="0"/>
              <w:jc w:val="center"/>
              <w:rPr>
                <w:rFonts w:hint="eastAsia"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smallCaps/>
                <w:color w:val="000000"/>
                <w:kern w:val="2"/>
                <w:sz w:val="21"/>
                <w:szCs w:val="21"/>
                <w:highlight w:val="none"/>
                <w:lang w:val="en-US" w:eastAsia="zh-CN" w:bidi="ar-SA"/>
              </w:rPr>
              <w:t>夏友谊</w:t>
            </w:r>
          </w:p>
        </w:tc>
        <w:tc>
          <w:tcPr>
            <w:tcW w:w="1017" w:type="pct"/>
            <w:noWrap w:val="0"/>
            <w:vAlign w:val="center"/>
          </w:tcPr>
          <w:p>
            <w:pPr>
              <w:widowControl w:val="0"/>
              <w:spacing w:line="360" w:lineRule="auto"/>
              <w:ind w:left="0" w:leftChars="0" w:firstLine="0" w:firstLineChars="0"/>
              <w:jc w:val="center"/>
              <w:rPr>
                <w:rFonts w:hint="default"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13755697638</w:t>
            </w:r>
          </w:p>
        </w:tc>
        <w:tc>
          <w:tcPr>
            <w:tcW w:w="1080" w:type="pct"/>
            <w:noWrap w:val="0"/>
            <w:vAlign w:val="center"/>
          </w:tcPr>
          <w:p>
            <w:pPr>
              <w:widowControl w:val="0"/>
              <w:spacing w:line="360" w:lineRule="auto"/>
              <w:jc w:val="center"/>
              <w:rPr>
                <w:rFonts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smallCaps/>
                <w:color w:val="000000"/>
                <w:kern w:val="2"/>
                <w:sz w:val="21"/>
                <w:szCs w:val="21"/>
                <w:highlight w:val="none"/>
                <w:lang w:val="en-US" w:eastAsia="zh-CN" w:bidi="ar-SA"/>
              </w:rPr>
              <w:t>生产主管</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50" w:hRule="atLeast"/>
        </w:trPr>
        <w:tc>
          <w:tcPr>
            <w:tcW w:w="1172" w:type="pct"/>
            <w:vMerge w:val="continue"/>
            <w:noWrap w:val="0"/>
            <w:vAlign w:val="center"/>
          </w:tcPr>
          <w:p>
            <w:pPr>
              <w:widowControl w:val="0"/>
              <w:spacing w:line="260" w:lineRule="exact"/>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p>
        </w:tc>
        <w:tc>
          <w:tcPr>
            <w:tcW w:w="962"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kern w:val="2"/>
                <w:sz w:val="21"/>
                <w:szCs w:val="21"/>
                <w:highlight w:val="none"/>
                <w:lang w:val="en-US" w:eastAsia="zh-CN" w:bidi="ar-SA"/>
              </w:rPr>
              <w:t>组员</w:t>
            </w:r>
          </w:p>
        </w:tc>
        <w:tc>
          <w:tcPr>
            <w:tcW w:w="767" w:type="pct"/>
            <w:noWrap w:val="0"/>
            <w:vAlign w:val="center"/>
          </w:tcPr>
          <w:p>
            <w:pPr>
              <w:widowControl w:val="0"/>
              <w:spacing w:line="360" w:lineRule="auto"/>
              <w:ind w:left="0" w:leftChars="0" w:firstLine="0" w:firstLineChars="0"/>
              <w:jc w:val="center"/>
              <w:rPr>
                <w:rFonts w:hint="eastAsia"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smallCaps/>
                <w:color w:val="000000"/>
                <w:kern w:val="2"/>
                <w:sz w:val="21"/>
                <w:szCs w:val="21"/>
                <w:highlight w:val="none"/>
                <w:lang w:val="en-US" w:eastAsia="zh-CN" w:bidi="ar-SA"/>
              </w:rPr>
              <w:t>熊忠信</w:t>
            </w:r>
          </w:p>
        </w:tc>
        <w:tc>
          <w:tcPr>
            <w:tcW w:w="1017" w:type="pct"/>
            <w:noWrap w:val="0"/>
            <w:vAlign w:val="center"/>
          </w:tcPr>
          <w:p>
            <w:pPr>
              <w:widowControl w:val="0"/>
              <w:spacing w:line="360" w:lineRule="auto"/>
              <w:ind w:left="0" w:leftChars="0" w:firstLine="0" w:firstLineChars="0"/>
              <w:jc w:val="center"/>
              <w:rPr>
                <w:rFonts w:hint="default"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smallCaps/>
                <w:color w:val="000000"/>
                <w:kern w:val="2"/>
                <w:sz w:val="21"/>
                <w:szCs w:val="21"/>
                <w:highlight w:val="none"/>
                <w:lang w:val="en-US" w:eastAsia="zh-CN" w:bidi="ar-SA"/>
              </w:rPr>
              <w:t>13627097137</w:t>
            </w:r>
          </w:p>
        </w:tc>
        <w:tc>
          <w:tcPr>
            <w:tcW w:w="1080" w:type="pct"/>
            <w:noWrap w:val="0"/>
            <w:vAlign w:val="center"/>
          </w:tcPr>
          <w:p>
            <w:pPr>
              <w:widowControl w:val="0"/>
              <w:spacing w:line="360" w:lineRule="auto"/>
              <w:jc w:val="center"/>
              <w:rPr>
                <w:rFonts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smallCaps/>
                <w:color w:val="000000"/>
                <w:kern w:val="2"/>
                <w:sz w:val="21"/>
                <w:szCs w:val="21"/>
                <w:highlight w:val="none"/>
                <w:lang w:val="en-US" w:eastAsia="zh-CN" w:bidi="ar-SA"/>
              </w:rPr>
              <w:t>调度</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620" w:hRule="atLeast"/>
        </w:trPr>
        <w:tc>
          <w:tcPr>
            <w:tcW w:w="1172" w:type="pct"/>
            <w:noWrap w:val="0"/>
            <w:vAlign w:val="center"/>
          </w:tcPr>
          <w:p>
            <w:pPr>
              <w:widowControl w:val="0"/>
              <w:spacing w:line="260" w:lineRule="exact"/>
              <w:ind w:left="0" w:leftChars="0" w:firstLine="0" w:firstLineChars="0"/>
              <w:jc w:val="both"/>
              <w:rPr>
                <w:rFonts w:ascii="Times New Roman" w:hAnsi="Times New Roman" w:eastAsia="宋体" w:cs="Times New Roman"/>
                <w:smallCaps/>
                <w:color w:val="000000"/>
                <w:kern w:val="2"/>
                <w:sz w:val="21"/>
                <w:szCs w:val="21"/>
                <w:highlight w:val="none"/>
                <w:lang w:val="en-US" w:eastAsia="zh-CN" w:bidi="ar-SA"/>
              </w:rPr>
            </w:pPr>
            <w:r>
              <w:rPr>
                <w:rFonts w:ascii="Times New Roman" w:hAnsi="Times New Roman" w:eastAsia="宋体" w:cs="Times New Roman"/>
                <w:smallCaps/>
                <w:color w:val="000000"/>
                <w:kern w:val="2"/>
                <w:sz w:val="21"/>
                <w:szCs w:val="21"/>
                <w:highlight w:val="none"/>
                <w:lang w:val="en-US" w:eastAsia="zh-CN" w:bidi="ar-SA"/>
              </w:rPr>
              <w:t>24小时值班电话</w:t>
            </w:r>
          </w:p>
        </w:tc>
        <w:tc>
          <w:tcPr>
            <w:tcW w:w="3827" w:type="pct"/>
            <w:gridSpan w:val="4"/>
            <w:noWrap w:val="0"/>
            <w:vAlign w:val="center"/>
          </w:tcPr>
          <w:p>
            <w:pPr>
              <w:widowControl w:val="0"/>
              <w:spacing w:line="260" w:lineRule="exact"/>
              <w:jc w:val="center"/>
              <w:rPr>
                <w:rFonts w:hint="default" w:ascii="Times New Roman" w:hAnsi="Times New Roman" w:eastAsia="宋体" w:cs="Times New Roman"/>
                <w:smallCaps/>
                <w:color w:val="000000"/>
                <w:kern w:val="2"/>
                <w:sz w:val="21"/>
                <w:szCs w:val="21"/>
                <w:highlight w:val="none"/>
                <w:lang w:val="en-US" w:eastAsia="zh-CN" w:bidi="ar-SA"/>
              </w:rPr>
            </w:pPr>
            <w:r>
              <w:rPr>
                <w:rFonts w:hint="eastAsia" w:ascii="Times New Roman" w:hAnsi="Times New Roman" w:eastAsia="宋体" w:cs="Times New Roman"/>
                <w:smallCaps/>
                <w:color w:val="000000"/>
                <w:kern w:val="2"/>
                <w:sz w:val="21"/>
                <w:szCs w:val="21"/>
                <w:highlight w:val="none"/>
                <w:lang w:val="en-US" w:eastAsia="zh-CN" w:bidi="ar-SA"/>
              </w:rPr>
              <w:t>15970629327、0791-83821516</w:t>
            </w:r>
          </w:p>
        </w:tc>
      </w:tr>
    </w:tbl>
    <w:p>
      <w:pPr>
        <w:pStyle w:val="4"/>
        <w:rPr>
          <w:sz w:val="24"/>
          <w:szCs w:val="24"/>
        </w:rPr>
      </w:pPr>
      <w:bookmarkStart w:id="57" w:name="_Toc9365"/>
      <w:r>
        <w:rPr>
          <w:rFonts w:hint="eastAsia"/>
          <w:sz w:val="24"/>
          <w:szCs w:val="24"/>
        </w:rPr>
        <w:t>历史经验教训总结</w:t>
      </w:r>
      <w:bookmarkEnd w:id="57"/>
    </w:p>
    <w:p>
      <w:pPr>
        <w:ind w:firstLine="560"/>
        <w:rPr>
          <w:sz w:val="24"/>
          <w:szCs w:val="24"/>
        </w:rPr>
      </w:pPr>
      <w:r>
        <w:rPr>
          <w:rFonts w:hint="eastAsia"/>
          <w:sz w:val="24"/>
          <w:szCs w:val="24"/>
        </w:rPr>
        <w:t>本公司引以为戒、吸取历史经验教训，针对可能造成的事故的原因，采取了如下相应对策：</w:t>
      </w:r>
    </w:p>
    <w:p>
      <w:pPr>
        <w:ind w:firstLine="560"/>
        <w:rPr>
          <w:sz w:val="24"/>
          <w:szCs w:val="24"/>
        </w:rPr>
      </w:pPr>
      <w:r>
        <w:rPr>
          <w:rFonts w:hint="eastAsia"/>
          <w:sz w:val="24"/>
          <w:szCs w:val="24"/>
        </w:rPr>
        <w:t xml:space="preserve">（1）强化环境安全责任主体的意识。企业要切实加强环境风险防范意识，平时加强环境安全隐患排查治理，将事故消除在萌芽状态。在发生安全生产事故后，应及时采取有效措施，严防泄漏物排入外环境。 </w:t>
      </w:r>
    </w:p>
    <w:p>
      <w:pPr>
        <w:ind w:firstLine="560"/>
        <w:rPr>
          <w:sz w:val="24"/>
          <w:szCs w:val="24"/>
        </w:rPr>
      </w:pPr>
      <w:r>
        <w:rPr>
          <w:rFonts w:hint="eastAsia"/>
          <w:sz w:val="24"/>
          <w:szCs w:val="24"/>
        </w:rPr>
        <w:t>（2）加强环境风险管理，提高应急管理水平。环境风险防范工作是预防突发环境事件发生的根本。企业应当开展经常性的风险隐患排查，在此基础上开展环境风险评估，根据评估结果有针对性的采取有效的环境风险防范措施。制订可操作性强的企业应急预案，及时上报与准确发布事故信息。企业应当加强厂区及厂界事故池、厂界雨污水排放口建设完善与监管，把厂界作为一个大围堰，防止极端情况下再次发生溢流出厂界污染情况发生。企业应当提高安全生产水平，从源头减少突发环境事件的发生概率。快速断源并切断环境风险传播途径是事件处置的关键所在，安全生产事故发生后，企业应当及时有效部署、快速阻断污染源，对总排口实施关闭、封堵等补救措施，避免事态进一步扩大。企业应当积极采取措施，加强对环境风险受体的防护，切实保护周边群众的大气环境安全。</w:t>
      </w:r>
    </w:p>
    <w:p>
      <w:pPr>
        <w:ind w:firstLine="560"/>
        <w:rPr>
          <w:sz w:val="24"/>
          <w:szCs w:val="24"/>
        </w:rPr>
      </w:pPr>
      <w:r>
        <w:rPr>
          <w:rFonts w:hint="eastAsia"/>
          <w:sz w:val="24"/>
          <w:szCs w:val="24"/>
        </w:rPr>
        <w:t>（3）加强环境应急能力建设。企业应当加强有毒有害气体防泄漏的预警监测设施建设，早发现、早预警、早撤离，防止周边及企业职工中毒情况的发生。企业应当加强装置区泄漏物料收集、导流、储存等事故池、厂区与厂界事故拦截系统、事故池的建设。企业应当储备必要的环境应急物资和装备，经常性开展对员工环境安全培训，对环境应急预案进行有效演练，提高应急队伍应急水平。</w:t>
      </w:r>
    </w:p>
    <w:p>
      <w:pPr>
        <w:pStyle w:val="4"/>
        <w:rPr>
          <w:sz w:val="24"/>
          <w:szCs w:val="24"/>
        </w:rPr>
      </w:pPr>
      <w:bookmarkStart w:id="58" w:name="_Toc22602"/>
      <w:r>
        <w:rPr>
          <w:rFonts w:hint="eastAsia"/>
          <w:sz w:val="24"/>
          <w:szCs w:val="24"/>
        </w:rPr>
        <w:t>需要整改的短期、中期和长期项目内容</w:t>
      </w:r>
      <w:bookmarkEnd w:id="58"/>
    </w:p>
    <w:p>
      <w:pPr>
        <w:ind w:firstLine="560"/>
        <w:rPr>
          <w:sz w:val="24"/>
          <w:szCs w:val="24"/>
        </w:rPr>
      </w:pPr>
      <w:r>
        <w:rPr>
          <w:rFonts w:hint="eastAsia"/>
          <w:sz w:val="24"/>
          <w:szCs w:val="24"/>
        </w:rPr>
        <w:t>针对上述排查的每一项差距和隐患，根据其危害性、紧迫性和治理时间的长短，提出需要完成整改的期限，分别按短期（3个月以内）、中期（3-6个月）和长期（6个月以上）列表说明。</w:t>
      </w:r>
    </w:p>
    <w:p>
      <w:pPr>
        <w:pStyle w:val="10"/>
        <w:keepNext/>
        <w:rPr>
          <w:sz w:val="24"/>
          <w:szCs w:val="24"/>
        </w:rPr>
      </w:pPr>
      <w:r>
        <w:rPr>
          <w:rFonts w:hint="eastAsia"/>
          <w:sz w:val="24"/>
          <w:szCs w:val="24"/>
        </w:rPr>
        <w:t xml:space="preserve">表 </w:t>
      </w:r>
      <w:r>
        <w:rPr>
          <w:sz w:val="24"/>
          <w:szCs w:val="24"/>
        </w:rPr>
        <w:fldChar w:fldCharType="begin"/>
      </w:r>
      <w:r>
        <w:rPr>
          <w:sz w:val="24"/>
          <w:szCs w:val="24"/>
        </w:rPr>
        <w:instrText xml:space="preserve"> </w:instrText>
      </w:r>
      <w:r>
        <w:rPr>
          <w:rFonts w:hint="eastAsia"/>
          <w:sz w:val="24"/>
          <w:szCs w:val="24"/>
        </w:rPr>
        <w:instrText xml:space="preserve">STYLEREF 1 \s</w:instrText>
      </w:r>
      <w:r>
        <w:rPr>
          <w:sz w:val="24"/>
          <w:szCs w:val="24"/>
        </w:rPr>
        <w:instrText xml:space="preserve"> </w:instrText>
      </w:r>
      <w:r>
        <w:rPr>
          <w:sz w:val="24"/>
          <w:szCs w:val="24"/>
        </w:rPr>
        <w:fldChar w:fldCharType="separate"/>
      </w:r>
      <w:r>
        <w:rPr>
          <w:sz w:val="24"/>
          <w:szCs w:val="24"/>
        </w:rPr>
        <w:t>5</w:t>
      </w:r>
      <w:r>
        <w:rPr>
          <w:sz w:val="24"/>
          <w:szCs w:val="24"/>
        </w:rPr>
        <w:fldChar w:fldCharType="end"/>
      </w:r>
      <w:r>
        <w:rPr>
          <w:sz w:val="24"/>
          <w:szCs w:val="24"/>
        </w:rPr>
        <w:noBreakHyphen/>
      </w:r>
      <w:r>
        <w:rPr>
          <w:rFonts w:hint="eastAsia"/>
          <w:sz w:val="24"/>
          <w:szCs w:val="24"/>
          <w:lang w:val="en-US" w:eastAsia="zh-CN"/>
        </w:rPr>
        <w:t>3</w:t>
      </w:r>
      <w:r>
        <w:rPr>
          <w:rFonts w:hint="eastAsia"/>
          <w:sz w:val="24"/>
          <w:szCs w:val="24"/>
          <w:lang w:eastAsia="zh-CN"/>
        </w:rPr>
        <w:t>存</w:t>
      </w:r>
      <w:r>
        <w:rPr>
          <w:rFonts w:hint="eastAsia"/>
          <w:sz w:val="24"/>
          <w:szCs w:val="24"/>
        </w:rPr>
        <w:t>在问题及整改内容和期限</w:t>
      </w:r>
    </w:p>
    <w:tbl>
      <w:tblPr>
        <w:tblStyle w:val="1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7"/>
        <w:gridCol w:w="2186"/>
        <w:gridCol w:w="2316"/>
        <w:gridCol w:w="2907"/>
        <w:gridCol w:w="7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19" w:type="pct"/>
            <w:vAlign w:val="center"/>
          </w:tcPr>
          <w:p>
            <w:pPr>
              <w:spacing w:line="240" w:lineRule="auto"/>
              <w:ind w:firstLine="0" w:firstLineChars="0"/>
              <w:jc w:val="center"/>
              <w:rPr>
                <w:sz w:val="21"/>
              </w:rPr>
            </w:pPr>
            <w:r>
              <w:rPr>
                <w:rFonts w:hint="eastAsia"/>
                <w:sz w:val="21"/>
              </w:rPr>
              <w:t>类别</w:t>
            </w:r>
          </w:p>
        </w:tc>
        <w:tc>
          <w:tcPr>
            <w:tcW w:w="1169" w:type="pct"/>
            <w:vAlign w:val="center"/>
          </w:tcPr>
          <w:p>
            <w:pPr>
              <w:spacing w:line="240" w:lineRule="auto"/>
              <w:ind w:firstLine="0" w:firstLineChars="0"/>
              <w:jc w:val="center"/>
              <w:rPr>
                <w:sz w:val="21"/>
              </w:rPr>
            </w:pPr>
            <w:r>
              <w:rPr>
                <w:rFonts w:hint="eastAsia"/>
                <w:sz w:val="21"/>
              </w:rPr>
              <w:t>措施</w:t>
            </w:r>
          </w:p>
        </w:tc>
        <w:tc>
          <w:tcPr>
            <w:tcW w:w="1239" w:type="pct"/>
            <w:vAlign w:val="center"/>
          </w:tcPr>
          <w:p>
            <w:pPr>
              <w:spacing w:line="240" w:lineRule="auto"/>
              <w:ind w:firstLine="0" w:firstLineChars="0"/>
              <w:jc w:val="center"/>
              <w:rPr>
                <w:sz w:val="21"/>
              </w:rPr>
            </w:pPr>
            <w:r>
              <w:rPr>
                <w:rFonts w:hint="eastAsia"/>
                <w:sz w:val="21"/>
              </w:rPr>
              <w:t>问题</w:t>
            </w:r>
          </w:p>
        </w:tc>
        <w:tc>
          <w:tcPr>
            <w:tcW w:w="1555" w:type="pct"/>
            <w:vAlign w:val="center"/>
          </w:tcPr>
          <w:p>
            <w:pPr>
              <w:spacing w:line="240" w:lineRule="auto"/>
              <w:ind w:firstLine="0" w:firstLineChars="0"/>
              <w:jc w:val="center"/>
              <w:rPr>
                <w:sz w:val="21"/>
              </w:rPr>
            </w:pPr>
            <w:r>
              <w:rPr>
                <w:rFonts w:hint="eastAsia"/>
                <w:sz w:val="21"/>
              </w:rPr>
              <w:t>整改内容</w:t>
            </w:r>
          </w:p>
        </w:tc>
        <w:tc>
          <w:tcPr>
            <w:tcW w:w="416" w:type="pct"/>
            <w:vAlign w:val="center"/>
          </w:tcPr>
          <w:p>
            <w:pPr>
              <w:spacing w:line="240" w:lineRule="auto"/>
              <w:ind w:firstLine="0" w:firstLineChars="0"/>
              <w:jc w:val="center"/>
              <w:rPr>
                <w:sz w:val="21"/>
              </w:rPr>
            </w:pPr>
            <w:r>
              <w:rPr>
                <w:rFonts w:hint="eastAsia"/>
                <w:sz w:val="21"/>
              </w:rPr>
              <w:t>完成期限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19" w:type="pct"/>
            <w:vAlign w:val="center"/>
          </w:tcPr>
          <w:p>
            <w:pPr>
              <w:spacing w:line="240" w:lineRule="auto"/>
              <w:ind w:firstLine="0" w:firstLineChars="0"/>
              <w:jc w:val="center"/>
              <w:rPr>
                <w:rFonts w:hint="eastAsia" w:ascii="Times New Roman" w:hAnsi="Times New Roman" w:eastAsia="宋体" w:cstheme="minorBidi"/>
                <w:kern w:val="2"/>
                <w:sz w:val="21"/>
                <w:szCs w:val="22"/>
                <w:lang w:val="en-US" w:eastAsia="zh-CN" w:bidi="ar-SA"/>
              </w:rPr>
            </w:pPr>
            <w:r>
              <w:rPr>
                <w:rFonts w:hint="eastAsia"/>
                <w:sz w:val="21"/>
              </w:rPr>
              <w:t>污水排口</w:t>
            </w:r>
          </w:p>
        </w:tc>
        <w:tc>
          <w:tcPr>
            <w:tcW w:w="1169" w:type="pct"/>
            <w:vAlign w:val="center"/>
          </w:tcPr>
          <w:p>
            <w:pPr>
              <w:spacing w:line="240" w:lineRule="auto"/>
              <w:ind w:firstLine="0" w:firstLineChars="0"/>
              <w:rPr>
                <w:rFonts w:hint="eastAsia" w:ascii="Times New Roman" w:hAnsi="Times New Roman" w:eastAsia="宋体" w:cstheme="minorBidi"/>
                <w:kern w:val="2"/>
                <w:sz w:val="21"/>
                <w:szCs w:val="22"/>
                <w:lang w:val="en-US" w:eastAsia="zh-CN" w:bidi="ar-SA"/>
              </w:rPr>
            </w:pPr>
            <w:r>
              <w:rPr>
                <w:rFonts w:hint="eastAsia"/>
                <w:sz w:val="21"/>
              </w:rPr>
              <w:t>雨水排口处安装有管道连接到事故池</w:t>
            </w:r>
          </w:p>
        </w:tc>
        <w:tc>
          <w:tcPr>
            <w:tcW w:w="1239" w:type="pct"/>
            <w:vAlign w:val="center"/>
          </w:tcPr>
          <w:p>
            <w:pPr>
              <w:spacing w:line="240" w:lineRule="auto"/>
              <w:ind w:firstLine="0" w:firstLineChars="0"/>
              <w:rPr>
                <w:rFonts w:hint="eastAsia" w:ascii="Times New Roman" w:hAnsi="Times New Roman" w:eastAsia="宋体" w:cstheme="minorBidi"/>
                <w:kern w:val="2"/>
                <w:sz w:val="21"/>
                <w:szCs w:val="22"/>
                <w:lang w:val="en-US" w:eastAsia="zh-CN" w:bidi="ar-SA"/>
              </w:rPr>
            </w:pPr>
            <w:r>
              <w:rPr>
                <w:rFonts w:hint="eastAsia"/>
                <w:sz w:val="21"/>
              </w:rPr>
              <w:t>雨水管网总排口未设置截止阀</w:t>
            </w:r>
          </w:p>
        </w:tc>
        <w:tc>
          <w:tcPr>
            <w:tcW w:w="1555" w:type="pct"/>
            <w:vAlign w:val="center"/>
          </w:tcPr>
          <w:p>
            <w:pPr>
              <w:spacing w:line="240" w:lineRule="auto"/>
              <w:ind w:firstLine="0" w:firstLineChars="0"/>
              <w:rPr>
                <w:rFonts w:hint="eastAsia" w:ascii="Times New Roman" w:hAnsi="Times New Roman" w:eastAsia="宋体" w:cstheme="minorBidi"/>
                <w:kern w:val="2"/>
                <w:sz w:val="21"/>
                <w:szCs w:val="22"/>
                <w:lang w:val="en-US" w:eastAsia="zh-CN" w:bidi="ar-SA"/>
              </w:rPr>
            </w:pPr>
            <w:r>
              <w:rPr>
                <w:rFonts w:hint="eastAsia"/>
                <w:sz w:val="21"/>
              </w:rPr>
              <w:t>雨水管网总排口应设置截止阀</w:t>
            </w:r>
          </w:p>
        </w:tc>
        <w:tc>
          <w:tcPr>
            <w:tcW w:w="416" w:type="pct"/>
            <w:vAlign w:val="center"/>
          </w:tcPr>
          <w:p>
            <w:pPr>
              <w:spacing w:line="240" w:lineRule="auto"/>
              <w:ind w:firstLine="0" w:firstLineChars="0"/>
              <w:jc w:val="center"/>
              <w:rPr>
                <w:rFonts w:hint="eastAsia" w:ascii="Times New Roman" w:hAnsi="Times New Roman" w:eastAsia="宋体" w:cstheme="minorBidi"/>
                <w:kern w:val="2"/>
                <w:sz w:val="21"/>
                <w:szCs w:val="22"/>
                <w:lang w:val="en-US" w:eastAsia="zh-CN" w:bidi="ar-SA"/>
              </w:rPr>
            </w:pPr>
            <w:r>
              <w:rPr>
                <w:rFonts w:hint="eastAsia"/>
                <w:sz w:val="21"/>
              </w:rPr>
              <w:t>短期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1788" w:type="pct"/>
            <w:gridSpan w:val="2"/>
            <w:vMerge w:val="restart"/>
            <w:vAlign w:val="center"/>
          </w:tcPr>
          <w:p>
            <w:pPr>
              <w:spacing w:line="240" w:lineRule="auto"/>
              <w:ind w:firstLine="0" w:firstLineChars="0"/>
              <w:jc w:val="center"/>
              <w:rPr>
                <w:sz w:val="21"/>
              </w:rPr>
            </w:pPr>
            <w:r>
              <w:rPr>
                <w:rFonts w:hint="eastAsia"/>
                <w:sz w:val="21"/>
              </w:rPr>
              <w:t>管理制度</w:t>
            </w:r>
          </w:p>
        </w:tc>
        <w:tc>
          <w:tcPr>
            <w:tcW w:w="1239" w:type="pct"/>
            <w:vAlign w:val="center"/>
          </w:tcPr>
          <w:p>
            <w:pPr>
              <w:spacing w:line="240" w:lineRule="auto"/>
              <w:ind w:firstLine="0" w:firstLineChars="0"/>
              <w:rPr>
                <w:sz w:val="21"/>
              </w:rPr>
            </w:pPr>
            <w:r>
              <w:rPr>
                <w:rFonts w:hint="eastAsia"/>
                <w:sz w:val="21"/>
              </w:rPr>
              <w:t>环境风险与环境应急管理培训力度需加强</w:t>
            </w:r>
          </w:p>
        </w:tc>
        <w:tc>
          <w:tcPr>
            <w:tcW w:w="1555" w:type="pct"/>
            <w:vAlign w:val="center"/>
          </w:tcPr>
          <w:p>
            <w:pPr>
              <w:spacing w:line="240" w:lineRule="auto"/>
              <w:ind w:firstLine="0" w:firstLineChars="0"/>
              <w:rPr>
                <w:sz w:val="21"/>
              </w:rPr>
            </w:pPr>
            <w:r>
              <w:rPr>
                <w:rFonts w:hint="eastAsia"/>
                <w:sz w:val="21"/>
              </w:rPr>
              <w:t>环境风险与环境应急管理培训力度需加强</w:t>
            </w:r>
          </w:p>
        </w:tc>
        <w:tc>
          <w:tcPr>
            <w:tcW w:w="416" w:type="pct"/>
            <w:vAlign w:val="center"/>
          </w:tcPr>
          <w:p>
            <w:pPr>
              <w:spacing w:line="240" w:lineRule="auto"/>
              <w:ind w:firstLine="0" w:firstLineChars="0"/>
              <w:jc w:val="center"/>
              <w:rPr>
                <w:sz w:val="21"/>
              </w:rPr>
            </w:pPr>
            <w:r>
              <w:rPr>
                <w:rFonts w:hint="eastAsia"/>
                <w:sz w:val="21"/>
              </w:rPr>
              <w:t>长期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1788" w:type="pct"/>
            <w:gridSpan w:val="2"/>
            <w:vMerge w:val="continue"/>
            <w:vAlign w:val="center"/>
          </w:tcPr>
          <w:p>
            <w:pPr>
              <w:spacing w:line="240" w:lineRule="auto"/>
              <w:ind w:firstLine="0" w:firstLineChars="0"/>
              <w:jc w:val="center"/>
              <w:rPr>
                <w:rFonts w:hint="eastAsia"/>
                <w:sz w:val="21"/>
              </w:rPr>
            </w:pPr>
          </w:p>
        </w:tc>
        <w:tc>
          <w:tcPr>
            <w:tcW w:w="1239" w:type="pct"/>
            <w:vAlign w:val="center"/>
          </w:tcPr>
          <w:p>
            <w:pPr>
              <w:spacing w:line="240" w:lineRule="auto"/>
              <w:ind w:firstLine="0" w:firstLineChars="0"/>
              <w:rPr>
                <w:rFonts w:hint="eastAsia" w:eastAsia="宋体"/>
                <w:sz w:val="21"/>
                <w:lang w:eastAsia="zh-CN"/>
              </w:rPr>
            </w:pPr>
            <w:r>
              <w:rPr>
                <w:rFonts w:hint="eastAsia"/>
                <w:sz w:val="21"/>
                <w:lang w:eastAsia="zh-CN"/>
              </w:rPr>
              <w:t>未进行消防验收</w:t>
            </w:r>
          </w:p>
        </w:tc>
        <w:tc>
          <w:tcPr>
            <w:tcW w:w="1555" w:type="pct"/>
            <w:vAlign w:val="center"/>
          </w:tcPr>
          <w:p>
            <w:pPr>
              <w:spacing w:line="240" w:lineRule="auto"/>
              <w:ind w:firstLine="0" w:firstLineChars="0"/>
              <w:rPr>
                <w:rFonts w:hint="eastAsia" w:eastAsia="宋体"/>
                <w:sz w:val="21"/>
                <w:lang w:eastAsia="zh-CN"/>
              </w:rPr>
            </w:pPr>
            <w:r>
              <w:rPr>
                <w:rFonts w:hint="eastAsia"/>
                <w:sz w:val="21"/>
                <w:lang w:eastAsia="zh-CN"/>
              </w:rPr>
              <w:t>尽快完成消防验收</w:t>
            </w:r>
          </w:p>
        </w:tc>
        <w:tc>
          <w:tcPr>
            <w:tcW w:w="416" w:type="pct"/>
            <w:vAlign w:val="center"/>
          </w:tcPr>
          <w:p>
            <w:pPr>
              <w:spacing w:line="240" w:lineRule="auto"/>
              <w:ind w:firstLine="0" w:firstLineChars="0"/>
              <w:jc w:val="center"/>
              <w:rPr>
                <w:rFonts w:hint="eastAsia" w:eastAsia="宋体"/>
                <w:sz w:val="21"/>
                <w:lang w:eastAsia="zh-CN"/>
              </w:rPr>
            </w:pPr>
            <w:r>
              <w:rPr>
                <w:rFonts w:hint="eastAsia"/>
                <w:sz w:val="21"/>
                <w:lang w:eastAsia="zh-CN"/>
              </w:rPr>
              <w:t>中期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1788" w:type="pct"/>
            <w:gridSpan w:val="2"/>
            <w:vMerge w:val="continue"/>
            <w:vAlign w:val="center"/>
          </w:tcPr>
          <w:p>
            <w:pPr>
              <w:spacing w:line="240" w:lineRule="auto"/>
              <w:ind w:firstLine="0" w:firstLineChars="0"/>
              <w:jc w:val="center"/>
              <w:rPr>
                <w:sz w:val="21"/>
              </w:rPr>
            </w:pPr>
          </w:p>
        </w:tc>
        <w:tc>
          <w:tcPr>
            <w:tcW w:w="1239" w:type="pct"/>
            <w:vAlign w:val="center"/>
          </w:tcPr>
          <w:p>
            <w:pPr>
              <w:spacing w:line="240" w:lineRule="auto"/>
              <w:ind w:firstLine="0" w:firstLineChars="0"/>
              <w:rPr>
                <w:sz w:val="21"/>
              </w:rPr>
            </w:pPr>
            <w:r>
              <w:rPr>
                <w:rFonts w:hint="eastAsia"/>
                <w:sz w:val="21"/>
              </w:rPr>
              <w:t>突发环境污染事故演练欠缺</w:t>
            </w:r>
          </w:p>
        </w:tc>
        <w:tc>
          <w:tcPr>
            <w:tcW w:w="1555" w:type="pct"/>
            <w:vAlign w:val="center"/>
          </w:tcPr>
          <w:p>
            <w:pPr>
              <w:spacing w:line="240" w:lineRule="auto"/>
              <w:ind w:firstLine="0" w:firstLineChars="0"/>
              <w:rPr>
                <w:sz w:val="21"/>
              </w:rPr>
            </w:pPr>
            <w:r>
              <w:rPr>
                <w:rFonts w:hint="eastAsia"/>
                <w:sz w:val="21"/>
              </w:rPr>
              <w:t>定期组织突发环境污染事故演练</w:t>
            </w:r>
          </w:p>
        </w:tc>
        <w:tc>
          <w:tcPr>
            <w:tcW w:w="416" w:type="pct"/>
            <w:vAlign w:val="center"/>
          </w:tcPr>
          <w:p>
            <w:pPr>
              <w:spacing w:line="240" w:lineRule="auto"/>
              <w:ind w:firstLine="0" w:firstLineChars="0"/>
              <w:jc w:val="center"/>
              <w:rPr>
                <w:sz w:val="21"/>
              </w:rPr>
            </w:pPr>
            <w:r>
              <w:rPr>
                <w:rFonts w:hint="eastAsia"/>
                <w:sz w:val="21"/>
              </w:rPr>
              <w:t>长期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1788" w:type="pct"/>
            <w:gridSpan w:val="2"/>
            <w:vMerge w:val="continue"/>
            <w:vAlign w:val="center"/>
          </w:tcPr>
          <w:p>
            <w:pPr>
              <w:spacing w:line="240" w:lineRule="auto"/>
              <w:ind w:firstLine="0" w:firstLineChars="0"/>
              <w:jc w:val="center"/>
              <w:rPr>
                <w:sz w:val="21"/>
              </w:rPr>
            </w:pPr>
          </w:p>
        </w:tc>
        <w:tc>
          <w:tcPr>
            <w:tcW w:w="1239" w:type="pct"/>
            <w:vAlign w:val="center"/>
          </w:tcPr>
          <w:p>
            <w:pPr>
              <w:spacing w:line="240" w:lineRule="auto"/>
              <w:ind w:firstLine="0" w:firstLineChars="0"/>
              <w:rPr>
                <w:sz w:val="21"/>
              </w:rPr>
            </w:pPr>
            <w:r>
              <w:rPr>
                <w:sz w:val="21"/>
              </w:rPr>
              <w:t>与周边</w:t>
            </w:r>
            <w:r>
              <w:rPr>
                <w:rFonts w:hint="eastAsia"/>
                <w:sz w:val="21"/>
                <w:lang w:eastAsia="zh-CN"/>
              </w:rPr>
              <w:t>环境受体</w:t>
            </w:r>
            <w:r>
              <w:rPr>
                <w:sz w:val="21"/>
              </w:rPr>
              <w:t>人群沟通机制不完善</w:t>
            </w:r>
          </w:p>
        </w:tc>
        <w:tc>
          <w:tcPr>
            <w:tcW w:w="1555" w:type="pct"/>
            <w:vAlign w:val="center"/>
          </w:tcPr>
          <w:p>
            <w:pPr>
              <w:spacing w:line="240" w:lineRule="auto"/>
              <w:ind w:firstLine="0" w:firstLineChars="0"/>
              <w:rPr>
                <w:sz w:val="21"/>
              </w:rPr>
            </w:pPr>
            <w:r>
              <w:rPr>
                <w:sz w:val="21"/>
              </w:rPr>
              <w:t>建立与周边可能受大气污染物影响范围的人群的沟通机制</w:t>
            </w:r>
          </w:p>
        </w:tc>
        <w:tc>
          <w:tcPr>
            <w:tcW w:w="416" w:type="pct"/>
            <w:vAlign w:val="center"/>
          </w:tcPr>
          <w:p>
            <w:pPr>
              <w:spacing w:line="240" w:lineRule="auto"/>
              <w:ind w:firstLine="0" w:firstLineChars="0"/>
              <w:jc w:val="center"/>
              <w:rPr>
                <w:rFonts w:hint="eastAsia" w:eastAsia="宋体"/>
                <w:sz w:val="21"/>
                <w:lang w:eastAsia="zh-CN"/>
              </w:rPr>
            </w:pPr>
            <w:r>
              <w:rPr>
                <w:rFonts w:hint="eastAsia"/>
                <w:sz w:val="21"/>
                <w:lang w:eastAsia="zh-CN"/>
              </w:rPr>
              <w:t>长期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1788" w:type="pct"/>
            <w:gridSpan w:val="2"/>
            <w:vAlign w:val="center"/>
          </w:tcPr>
          <w:p>
            <w:pPr>
              <w:spacing w:line="240" w:lineRule="auto"/>
              <w:ind w:firstLine="0" w:firstLineChars="0"/>
              <w:jc w:val="center"/>
              <w:rPr>
                <w:sz w:val="21"/>
              </w:rPr>
            </w:pPr>
            <w:r>
              <w:rPr>
                <w:rFonts w:hint="eastAsia"/>
                <w:sz w:val="21"/>
              </w:rPr>
              <w:t>应急物资</w:t>
            </w:r>
          </w:p>
        </w:tc>
        <w:tc>
          <w:tcPr>
            <w:tcW w:w="1239" w:type="pct"/>
            <w:vAlign w:val="center"/>
          </w:tcPr>
          <w:p>
            <w:pPr>
              <w:spacing w:line="240" w:lineRule="auto"/>
              <w:ind w:firstLine="0" w:firstLineChars="0"/>
              <w:rPr>
                <w:rFonts w:hint="eastAsia" w:eastAsia="宋体"/>
                <w:sz w:val="21"/>
                <w:lang w:eastAsia="zh-CN"/>
              </w:rPr>
            </w:pPr>
            <w:r>
              <w:rPr>
                <w:rFonts w:hint="eastAsia"/>
                <w:sz w:val="21"/>
                <w:lang w:eastAsia="zh-CN"/>
              </w:rPr>
              <w:t>厂内未配备防尘罩一类的应急物资</w:t>
            </w:r>
          </w:p>
        </w:tc>
        <w:tc>
          <w:tcPr>
            <w:tcW w:w="1555" w:type="pct"/>
            <w:vAlign w:val="center"/>
          </w:tcPr>
          <w:p>
            <w:pPr>
              <w:spacing w:line="240" w:lineRule="auto"/>
              <w:ind w:firstLine="0" w:firstLineChars="0"/>
              <w:rPr>
                <w:rFonts w:hint="eastAsia" w:eastAsia="宋体"/>
                <w:sz w:val="21"/>
                <w:lang w:eastAsia="zh-CN"/>
              </w:rPr>
            </w:pPr>
            <w:r>
              <w:rPr>
                <w:rFonts w:hint="eastAsia"/>
                <w:sz w:val="21"/>
                <w:lang w:eastAsia="zh-CN"/>
              </w:rPr>
              <w:t>短期至少增加防尘罩，长期应配置正压式空气呼吸器等</w:t>
            </w:r>
          </w:p>
        </w:tc>
        <w:tc>
          <w:tcPr>
            <w:tcW w:w="416" w:type="pct"/>
            <w:vAlign w:val="center"/>
          </w:tcPr>
          <w:p>
            <w:pPr>
              <w:spacing w:line="240" w:lineRule="auto"/>
              <w:ind w:firstLine="0" w:firstLineChars="0"/>
              <w:jc w:val="center"/>
              <w:rPr>
                <w:rFonts w:hint="eastAsia" w:eastAsia="宋体"/>
                <w:sz w:val="21"/>
                <w:lang w:eastAsia="zh-CN"/>
              </w:rPr>
            </w:pPr>
            <w:r>
              <w:rPr>
                <w:rFonts w:hint="eastAsia"/>
                <w:sz w:val="21"/>
                <w:lang w:eastAsia="zh-CN"/>
              </w:rPr>
              <w:t>短期</w:t>
            </w:r>
          </w:p>
        </w:tc>
      </w:tr>
    </w:tbl>
    <w:p>
      <w:pPr>
        <w:ind w:firstLine="560"/>
      </w:pPr>
    </w:p>
    <w:p>
      <w:pPr>
        <w:ind w:firstLine="0" w:firstLineChars="0"/>
        <w:jc w:val="left"/>
        <w:sectPr>
          <w:headerReference r:id="rId9" w:type="default"/>
          <w:footerReference r:id="rId10" w:type="default"/>
          <w:pgSz w:w="11906" w:h="16838"/>
          <w:pgMar w:top="1304" w:right="1247" w:bottom="1304" w:left="1531" w:header="851" w:footer="851" w:gutter="0"/>
          <w:pgBorders>
            <w:top w:val="none" w:sz="0" w:space="0"/>
            <w:left w:val="none" w:sz="0" w:space="0"/>
            <w:bottom w:val="none" w:sz="0" w:space="0"/>
            <w:right w:val="none" w:sz="0" w:space="0"/>
          </w:pgBorders>
          <w:pgNumType w:fmt="decimal"/>
          <w:cols w:space="425" w:num="1"/>
          <w:docGrid w:type="lines" w:linePitch="312" w:charSpace="0"/>
        </w:sectPr>
      </w:pPr>
    </w:p>
    <w:p>
      <w:pPr>
        <w:pStyle w:val="3"/>
      </w:pPr>
      <w:bookmarkStart w:id="59" w:name="_Toc7512"/>
      <w:r>
        <w:rPr>
          <w:rFonts w:hint="eastAsia"/>
        </w:rPr>
        <w:t>完善环境风险防控和应急措施的建议与实施计划</w:t>
      </w:r>
      <w:bookmarkEnd w:id="59"/>
    </w:p>
    <w:p>
      <w:pPr>
        <w:ind w:firstLine="560"/>
        <w:rPr>
          <w:sz w:val="24"/>
          <w:szCs w:val="24"/>
        </w:rPr>
      </w:pPr>
      <w:r>
        <w:rPr>
          <w:rFonts w:hint="eastAsia"/>
          <w:sz w:val="24"/>
          <w:szCs w:val="24"/>
        </w:rPr>
        <w:t>根据评估结果，在系统分析</w:t>
      </w:r>
      <w:r>
        <w:rPr>
          <w:rFonts w:hint="eastAsia"/>
          <w:sz w:val="24"/>
          <w:szCs w:val="24"/>
          <w:lang w:eastAsia="zh-CN"/>
        </w:rPr>
        <w:t>南昌慧华高科混凝土有限公司</w:t>
      </w:r>
      <w:r>
        <w:rPr>
          <w:rFonts w:hint="eastAsia"/>
          <w:sz w:val="24"/>
          <w:szCs w:val="24"/>
        </w:rPr>
        <w:t>环境风险防控现状的基础上，针对企业环境风险防控与应急措施的差距和存在问题，重点从加强源头控制、增强环境应急综合能力、健全企业环境风险管理体系等方面制订环境风险防控与应急措施差距与问题整改计划，详见</w:t>
      </w:r>
      <w:r>
        <w:rPr>
          <w:sz w:val="24"/>
          <w:szCs w:val="24"/>
        </w:rPr>
        <w:fldChar w:fldCharType="begin"/>
      </w:r>
      <w:r>
        <w:rPr>
          <w:sz w:val="24"/>
          <w:szCs w:val="24"/>
        </w:rPr>
        <w:instrText xml:space="preserve"> </w:instrText>
      </w:r>
      <w:r>
        <w:rPr>
          <w:rFonts w:hint="eastAsia"/>
          <w:sz w:val="24"/>
          <w:szCs w:val="24"/>
        </w:rPr>
        <w:instrText xml:space="preserve">REF _Ref526860549 \h</w:instrText>
      </w:r>
      <w:r>
        <w:rPr>
          <w:sz w:val="24"/>
          <w:szCs w:val="24"/>
        </w:rPr>
        <w:instrText xml:space="preserve"> </w:instrText>
      </w:r>
      <w:r>
        <w:rPr>
          <w:sz w:val="24"/>
          <w:szCs w:val="24"/>
        </w:rPr>
        <w:fldChar w:fldCharType="separate"/>
      </w:r>
      <w:r>
        <w:rPr>
          <w:rFonts w:hint="eastAsia"/>
          <w:sz w:val="24"/>
          <w:szCs w:val="24"/>
        </w:rPr>
        <w:t xml:space="preserve">表 </w:t>
      </w:r>
      <w:r>
        <w:rPr>
          <w:sz w:val="24"/>
          <w:szCs w:val="24"/>
        </w:rPr>
        <w:t>6</w:t>
      </w:r>
      <w:r>
        <w:rPr>
          <w:sz w:val="24"/>
          <w:szCs w:val="24"/>
        </w:rPr>
        <w:noBreakHyphen/>
      </w:r>
      <w:r>
        <w:rPr>
          <w:sz w:val="24"/>
          <w:szCs w:val="24"/>
        </w:rPr>
        <w:t>1</w:t>
      </w:r>
      <w:r>
        <w:rPr>
          <w:sz w:val="24"/>
          <w:szCs w:val="24"/>
        </w:rPr>
        <w:fldChar w:fldCharType="end"/>
      </w:r>
      <w:r>
        <w:rPr>
          <w:rFonts w:hint="eastAsia"/>
          <w:sz w:val="24"/>
          <w:szCs w:val="24"/>
        </w:rPr>
        <w:t>。企业应在规定时限内完成各计划，切实提高企业的环境风险防控能力。企业每完成一次实施计划，都应将计划完成情况登记建档备查。</w:t>
      </w:r>
    </w:p>
    <w:p>
      <w:pPr>
        <w:pStyle w:val="10"/>
        <w:keepNext/>
        <w:rPr>
          <w:b/>
          <w:bCs/>
          <w:sz w:val="24"/>
          <w:szCs w:val="24"/>
        </w:rPr>
      </w:pPr>
      <w:bookmarkStart w:id="60" w:name="_Ref526860549"/>
      <w:r>
        <w:rPr>
          <w:rFonts w:hint="eastAsia"/>
          <w:b/>
          <w:bCs/>
          <w:sz w:val="24"/>
          <w:szCs w:val="24"/>
        </w:rPr>
        <w:t xml:space="preserve">表 </w:t>
      </w:r>
      <w:r>
        <w:rPr>
          <w:b/>
          <w:bCs/>
          <w:sz w:val="24"/>
          <w:szCs w:val="24"/>
        </w:rPr>
        <w:fldChar w:fldCharType="begin"/>
      </w:r>
      <w:r>
        <w:rPr>
          <w:b/>
          <w:bCs/>
          <w:sz w:val="24"/>
          <w:szCs w:val="24"/>
        </w:rPr>
        <w:instrText xml:space="preserve"> </w:instrText>
      </w:r>
      <w:r>
        <w:rPr>
          <w:rFonts w:hint="eastAsia"/>
          <w:b/>
          <w:bCs/>
          <w:sz w:val="24"/>
          <w:szCs w:val="24"/>
        </w:rPr>
        <w:instrText xml:space="preserve">STYLEREF 1 \s</w:instrText>
      </w:r>
      <w:r>
        <w:rPr>
          <w:b/>
          <w:bCs/>
          <w:sz w:val="24"/>
          <w:szCs w:val="24"/>
        </w:rPr>
        <w:instrText xml:space="preserve"> </w:instrText>
      </w:r>
      <w:r>
        <w:rPr>
          <w:b/>
          <w:bCs/>
          <w:sz w:val="24"/>
          <w:szCs w:val="24"/>
        </w:rPr>
        <w:fldChar w:fldCharType="separate"/>
      </w:r>
      <w:r>
        <w:rPr>
          <w:b/>
          <w:bCs/>
          <w:sz w:val="24"/>
          <w:szCs w:val="24"/>
        </w:rPr>
        <w:t>6</w:t>
      </w:r>
      <w:r>
        <w:rPr>
          <w:b/>
          <w:bCs/>
          <w:sz w:val="24"/>
          <w:szCs w:val="24"/>
        </w:rPr>
        <w:fldChar w:fldCharType="end"/>
      </w:r>
      <w:r>
        <w:rPr>
          <w:b/>
          <w:bCs/>
          <w:sz w:val="24"/>
          <w:szCs w:val="24"/>
        </w:rPr>
        <w:noBreakHyphen/>
      </w:r>
      <w:r>
        <w:rPr>
          <w:b/>
          <w:bCs/>
          <w:sz w:val="24"/>
          <w:szCs w:val="24"/>
        </w:rPr>
        <w:fldChar w:fldCharType="begin"/>
      </w:r>
      <w:r>
        <w:rPr>
          <w:b/>
          <w:bCs/>
          <w:sz w:val="24"/>
          <w:szCs w:val="24"/>
        </w:rPr>
        <w:instrText xml:space="preserve"> </w:instrText>
      </w:r>
      <w:r>
        <w:rPr>
          <w:rFonts w:hint="eastAsia"/>
          <w:b/>
          <w:bCs/>
          <w:sz w:val="24"/>
          <w:szCs w:val="24"/>
        </w:rPr>
        <w:instrText xml:space="preserve">SEQ 表 \* ARABIC \s 1</w:instrText>
      </w:r>
      <w:r>
        <w:rPr>
          <w:b/>
          <w:bCs/>
          <w:sz w:val="24"/>
          <w:szCs w:val="24"/>
        </w:rPr>
        <w:instrText xml:space="preserve"> </w:instrText>
      </w:r>
      <w:r>
        <w:rPr>
          <w:b/>
          <w:bCs/>
          <w:sz w:val="24"/>
          <w:szCs w:val="24"/>
        </w:rPr>
        <w:fldChar w:fldCharType="separate"/>
      </w:r>
      <w:r>
        <w:rPr>
          <w:b/>
          <w:bCs/>
          <w:sz w:val="24"/>
          <w:szCs w:val="24"/>
        </w:rPr>
        <w:t>1</w:t>
      </w:r>
      <w:r>
        <w:rPr>
          <w:b/>
          <w:bCs/>
          <w:sz w:val="24"/>
          <w:szCs w:val="24"/>
        </w:rPr>
        <w:fldChar w:fldCharType="end"/>
      </w:r>
      <w:bookmarkEnd w:id="60"/>
      <w:r>
        <w:rPr>
          <w:rFonts w:hint="eastAsia"/>
          <w:b/>
          <w:bCs/>
          <w:sz w:val="24"/>
          <w:szCs w:val="24"/>
        </w:rPr>
        <w:t>环境风险防控与应急措施差距与问题整改计划</w:t>
      </w:r>
    </w:p>
    <w:tbl>
      <w:tblPr>
        <w:tblStyle w:val="18"/>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679"/>
        <w:gridCol w:w="4678"/>
        <w:gridCol w:w="2755"/>
        <w:gridCol w:w="123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tblHeader/>
        </w:trPr>
        <w:tc>
          <w:tcPr>
            <w:tcW w:w="364" w:type="pct"/>
            <w:tcBorders>
              <w:bottom w:val="single" w:color="000000" w:sz="4" w:space="0"/>
            </w:tcBorders>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序号</w:t>
            </w:r>
          </w:p>
        </w:tc>
        <w:tc>
          <w:tcPr>
            <w:tcW w:w="2503" w:type="pct"/>
            <w:tcBorders>
              <w:bottom w:val="single" w:color="000000" w:sz="4" w:space="0"/>
            </w:tcBorders>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具体防控措施</w:t>
            </w:r>
          </w:p>
        </w:tc>
        <w:tc>
          <w:tcPr>
            <w:tcW w:w="1474" w:type="pct"/>
            <w:tcBorders>
              <w:bottom w:val="single" w:color="000000" w:sz="4" w:space="0"/>
            </w:tcBorders>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实施效果</w:t>
            </w:r>
          </w:p>
        </w:tc>
        <w:tc>
          <w:tcPr>
            <w:tcW w:w="658" w:type="pct"/>
            <w:tcBorders>
              <w:bottom w:val="single" w:color="000000" w:sz="4" w:space="0"/>
            </w:tcBorders>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完成时限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trPr>
        <w:tc>
          <w:tcPr>
            <w:tcW w:w="5000" w:type="pct"/>
            <w:gridSpan w:val="4"/>
            <w:shd w:val="clear" w:color="auto" w:fill="auto"/>
            <w:vAlign w:val="center"/>
          </w:tcPr>
          <w:p>
            <w:pPr>
              <w:spacing w:line="240" w:lineRule="auto"/>
              <w:ind w:firstLine="0" w:firstLineChars="0"/>
              <w:jc w:val="left"/>
              <w:rPr>
                <w:rFonts w:cs="Times New Roman"/>
                <w:sz w:val="21"/>
                <w:szCs w:val="21"/>
              </w:rPr>
            </w:pPr>
            <w:r>
              <w:rPr>
                <w:rFonts w:cs="Times New Roman"/>
                <w:sz w:val="21"/>
                <w:szCs w:val="21"/>
              </w:rPr>
              <w:t>一、加强源头控制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trPr>
        <w:tc>
          <w:tcPr>
            <w:tcW w:w="364" w:type="pct"/>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1</w:t>
            </w:r>
          </w:p>
        </w:tc>
        <w:tc>
          <w:tcPr>
            <w:tcW w:w="2503" w:type="pct"/>
            <w:shd w:val="clear" w:color="auto" w:fill="auto"/>
            <w:vAlign w:val="center"/>
          </w:tcPr>
          <w:p>
            <w:pPr>
              <w:spacing w:line="240" w:lineRule="auto"/>
              <w:ind w:firstLine="0" w:firstLineChars="0"/>
              <w:rPr>
                <w:rFonts w:cs="Times New Roman"/>
                <w:sz w:val="21"/>
                <w:szCs w:val="21"/>
              </w:rPr>
            </w:pPr>
            <w:r>
              <w:rPr>
                <w:rFonts w:cs="Times New Roman"/>
                <w:sz w:val="21"/>
                <w:szCs w:val="21"/>
              </w:rPr>
              <w:t>建立生产装置定期检测制度：重点对管线盲板、接头、法兰、丝堵、控制阀门等管线连接处进行定期检查，及时采取堵漏、更换装置部件等措施。</w:t>
            </w:r>
          </w:p>
        </w:tc>
        <w:tc>
          <w:tcPr>
            <w:tcW w:w="1474" w:type="pct"/>
            <w:shd w:val="clear" w:color="auto" w:fill="auto"/>
            <w:vAlign w:val="center"/>
          </w:tcPr>
          <w:p>
            <w:pPr>
              <w:spacing w:line="240" w:lineRule="auto"/>
              <w:ind w:firstLine="0" w:firstLineChars="0"/>
              <w:rPr>
                <w:rFonts w:cs="Times New Roman"/>
                <w:sz w:val="21"/>
                <w:szCs w:val="21"/>
              </w:rPr>
            </w:pPr>
            <w:r>
              <w:rPr>
                <w:rFonts w:cs="Times New Roman"/>
                <w:sz w:val="21"/>
                <w:szCs w:val="21"/>
              </w:rPr>
              <w:t>降低装置设备损坏、老化等造成的危险事件</w:t>
            </w:r>
            <w:r>
              <w:rPr>
                <w:rFonts w:hint="eastAsia" w:cs="Times New Roman"/>
                <w:sz w:val="21"/>
                <w:szCs w:val="21"/>
              </w:rPr>
              <w:t>。</w:t>
            </w:r>
          </w:p>
        </w:tc>
        <w:tc>
          <w:tcPr>
            <w:tcW w:w="658" w:type="pct"/>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长期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trPr>
        <w:tc>
          <w:tcPr>
            <w:tcW w:w="364" w:type="pct"/>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2</w:t>
            </w:r>
          </w:p>
        </w:tc>
        <w:tc>
          <w:tcPr>
            <w:tcW w:w="2503" w:type="pct"/>
            <w:shd w:val="clear" w:color="auto" w:fill="auto"/>
            <w:vAlign w:val="center"/>
          </w:tcPr>
          <w:p>
            <w:pPr>
              <w:spacing w:line="240" w:lineRule="auto"/>
              <w:ind w:firstLine="0" w:firstLineChars="0"/>
              <w:rPr>
                <w:rFonts w:cs="Times New Roman"/>
                <w:sz w:val="21"/>
                <w:szCs w:val="21"/>
              </w:rPr>
            </w:pPr>
            <w:r>
              <w:rPr>
                <w:rFonts w:cs="Times New Roman"/>
                <w:sz w:val="21"/>
                <w:szCs w:val="21"/>
              </w:rPr>
              <w:t>提高操作水平，长周期运行；减少开停车次数和非正常工况排放；严格劳动纪律，杜绝人为忽视排放。</w:t>
            </w:r>
          </w:p>
        </w:tc>
        <w:tc>
          <w:tcPr>
            <w:tcW w:w="1474" w:type="pct"/>
            <w:shd w:val="clear" w:color="auto" w:fill="auto"/>
            <w:vAlign w:val="center"/>
          </w:tcPr>
          <w:p>
            <w:pPr>
              <w:spacing w:line="240" w:lineRule="auto"/>
              <w:ind w:firstLine="0" w:firstLineChars="0"/>
              <w:rPr>
                <w:rFonts w:cs="Times New Roman"/>
                <w:sz w:val="21"/>
                <w:szCs w:val="21"/>
              </w:rPr>
            </w:pPr>
            <w:r>
              <w:rPr>
                <w:rFonts w:cs="Times New Roman"/>
                <w:sz w:val="21"/>
                <w:szCs w:val="21"/>
              </w:rPr>
              <w:t>有效控制紧急情况下污染物排放水平</w:t>
            </w:r>
            <w:r>
              <w:rPr>
                <w:rFonts w:hint="eastAsia" w:cs="Times New Roman"/>
                <w:sz w:val="21"/>
                <w:szCs w:val="21"/>
              </w:rPr>
              <w:t>。</w:t>
            </w:r>
          </w:p>
        </w:tc>
        <w:tc>
          <w:tcPr>
            <w:tcW w:w="658" w:type="pct"/>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长期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trPr>
        <w:tc>
          <w:tcPr>
            <w:tcW w:w="5000" w:type="pct"/>
            <w:gridSpan w:val="4"/>
            <w:shd w:val="clear" w:color="auto" w:fill="auto"/>
            <w:vAlign w:val="center"/>
          </w:tcPr>
          <w:p>
            <w:pPr>
              <w:spacing w:line="240" w:lineRule="auto"/>
              <w:ind w:firstLine="0" w:firstLineChars="0"/>
              <w:jc w:val="left"/>
              <w:rPr>
                <w:rFonts w:cs="Times New Roman"/>
                <w:sz w:val="21"/>
                <w:szCs w:val="21"/>
              </w:rPr>
            </w:pPr>
            <w:r>
              <w:rPr>
                <w:rFonts w:cs="Times New Roman"/>
                <w:sz w:val="21"/>
                <w:szCs w:val="21"/>
              </w:rPr>
              <w:t>二、增强环境应急综合能力</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trPr>
        <w:tc>
          <w:tcPr>
            <w:tcW w:w="364" w:type="pct"/>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3</w:t>
            </w:r>
          </w:p>
        </w:tc>
        <w:tc>
          <w:tcPr>
            <w:tcW w:w="2503" w:type="pct"/>
            <w:shd w:val="clear" w:color="auto" w:fill="auto"/>
            <w:vAlign w:val="center"/>
          </w:tcPr>
          <w:p>
            <w:pPr>
              <w:spacing w:line="240" w:lineRule="auto"/>
              <w:ind w:firstLine="0" w:firstLineChars="0"/>
              <w:rPr>
                <w:rFonts w:cs="Times New Roman"/>
                <w:sz w:val="21"/>
                <w:szCs w:val="21"/>
              </w:rPr>
            </w:pPr>
            <w:r>
              <w:rPr>
                <w:rFonts w:cs="Times New Roman"/>
                <w:sz w:val="21"/>
                <w:szCs w:val="21"/>
              </w:rPr>
              <w:t>完善环境应急预案体系：针对泄漏、火灾及爆炸等突发环境事件，进一步明确监测预警、应急处置与救援的职责分工、操作流程等内容；</w:t>
            </w:r>
            <w:r>
              <w:rPr>
                <w:rFonts w:hint="eastAsia" w:cs="Times New Roman"/>
                <w:sz w:val="21"/>
                <w:szCs w:val="21"/>
              </w:rPr>
              <w:t>定期</w:t>
            </w:r>
            <w:r>
              <w:rPr>
                <w:rFonts w:cs="Times New Roman"/>
                <w:sz w:val="21"/>
                <w:szCs w:val="21"/>
              </w:rPr>
              <w:t>组织实施环境应急</w:t>
            </w:r>
            <w:r>
              <w:rPr>
                <w:rFonts w:hint="eastAsia" w:cs="Times New Roman"/>
                <w:sz w:val="21"/>
                <w:szCs w:val="21"/>
              </w:rPr>
              <w:t>事件培训</w:t>
            </w:r>
            <w:r>
              <w:rPr>
                <w:rFonts w:cs="Times New Roman"/>
                <w:sz w:val="21"/>
                <w:szCs w:val="21"/>
              </w:rPr>
              <w:t>。</w:t>
            </w:r>
          </w:p>
        </w:tc>
        <w:tc>
          <w:tcPr>
            <w:tcW w:w="1474" w:type="pct"/>
            <w:shd w:val="clear" w:color="auto" w:fill="auto"/>
            <w:vAlign w:val="center"/>
          </w:tcPr>
          <w:p>
            <w:pPr>
              <w:spacing w:line="240" w:lineRule="auto"/>
              <w:ind w:firstLine="0" w:firstLineChars="0"/>
              <w:rPr>
                <w:rFonts w:cs="Times New Roman"/>
                <w:sz w:val="21"/>
                <w:szCs w:val="21"/>
              </w:rPr>
            </w:pPr>
            <w:r>
              <w:rPr>
                <w:rFonts w:cs="Times New Roman"/>
                <w:sz w:val="21"/>
                <w:szCs w:val="21"/>
              </w:rPr>
              <w:t>形成全面、有针对性、可操作的环境应急预案体系，有效预防、应对突发环境污染事件。</w:t>
            </w:r>
          </w:p>
        </w:tc>
        <w:tc>
          <w:tcPr>
            <w:tcW w:w="658" w:type="pct"/>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中期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trPr>
        <w:tc>
          <w:tcPr>
            <w:tcW w:w="364" w:type="pct"/>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4</w:t>
            </w:r>
          </w:p>
        </w:tc>
        <w:tc>
          <w:tcPr>
            <w:tcW w:w="2503" w:type="pct"/>
            <w:shd w:val="clear" w:color="auto" w:fill="auto"/>
            <w:vAlign w:val="center"/>
          </w:tcPr>
          <w:p>
            <w:pPr>
              <w:spacing w:line="240" w:lineRule="auto"/>
              <w:ind w:firstLine="0" w:firstLineChars="0"/>
              <w:rPr>
                <w:rFonts w:cs="Times New Roman"/>
                <w:sz w:val="21"/>
                <w:szCs w:val="21"/>
              </w:rPr>
            </w:pPr>
            <w:r>
              <w:rPr>
                <w:rFonts w:cs="Times New Roman"/>
                <w:sz w:val="21"/>
                <w:szCs w:val="21"/>
              </w:rPr>
              <w:t>强化应急物资储备与设施建设：编制</w:t>
            </w:r>
            <w:r>
              <w:rPr>
                <w:rFonts w:hint="eastAsia" w:cs="Times New Roman"/>
                <w:sz w:val="21"/>
                <w:szCs w:val="21"/>
                <w:lang w:eastAsia="zh-CN"/>
              </w:rPr>
              <w:t>南昌慧华高科混凝土有限公司</w:t>
            </w:r>
            <w:r>
              <w:rPr>
                <w:rFonts w:cs="Times New Roman"/>
                <w:sz w:val="21"/>
                <w:szCs w:val="21"/>
              </w:rPr>
              <w:t>常备应急储备物资目录；配备必须的环境应急物资、装备。</w:t>
            </w:r>
          </w:p>
        </w:tc>
        <w:tc>
          <w:tcPr>
            <w:tcW w:w="1474" w:type="pct"/>
            <w:shd w:val="clear" w:color="auto" w:fill="auto"/>
            <w:vAlign w:val="center"/>
          </w:tcPr>
          <w:p>
            <w:pPr>
              <w:spacing w:line="240" w:lineRule="auto"/>
              <w:ind w:firstLine="0" w:firstLineChars="0"/>
              <w:rPr>
                <w:rFonts w:cs="Times New Roman"/>
                <w:sz w:val="21"/>
                <w:szCs w:val="21"/>
              </w:rPr>
            </w:pPr>
            <w:r>
              <w:rPr>
                <w:rFonts w:cs="Times New Roman"/>
                <w:sz w:val="21"/>
                <w:szCs w:val="21"/>
              </w:rPr>
              <w:t>实现应急物资储备管理标准化、信息化，提高应急物资储备管理水平，确保事故应急池专用、够用。</w:t>
            </w:r>
          </w:p>
        </w:tc>
        <w:tc>
          <w:tcPr>
            <w:tcW w:w="658" w:type="pct"/>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中期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trPr>
        <w:tc>
          <w:tcPr>
            <w:tcW w:w="364" w:type="pct"/>
            <w:shd w:val="clear" w:color="auto" w:fill="auto"/>
            <w:vAlign w:val="center"/>
          </w:tcPr>
          <w:p>
            <w:pPr>
              <w:spacing w:line="240" w:lineRule="auto"/>
              <w:ind w:firstLine="0" w:firstLineChars="0"/>
              <w:jc w:val="center"/>
              <w:rPr>
                <w:rFonts w:hint="eastAsia" w:eastAsia="宋体" w:cs="Times New Roman"/>
                <w:sz w:val="21"/>
                <w:szCs w:val="21"/>
                <w:lang w:eastAsia="zh-CN"/>
              </w:rPr>
            </w:pPr>
            <w:r>
              <w:rPr>
                <w:rFonts w:hint="eastAsia" w:cs="Times New Roman"/>
                <w:sz w:val="21"/>
                <w:szCs w:val="21"/>
                <w:lang w:val="en-US" w:eastAsia="zh-CN"/>
              </w:rPr>
              <w:t>5</w:t>
            </w:r>
          </w:p>
        </w:tc>
        <w:tc>
          <w:tcPr>
            <w:tcW w:w="2503" w:type="pct"/>
            <w:shd w:val="clear" w:color="auto" w:fill="auto"/>
            <w:vAlign w:val="center"/>
          </w:tcPr>
          <w:p>
            <w:pPr>
              <w:spacing w:line="240" w:lineRule="auto"/>
              <w:ind w:firstLine="0" w:firstLineChars="0"/>
              <w:rPr>
                <w:rFonts w:cs="Times New Roman"/>
                <w:sz w:val="21"/>
                <w:szCs w:val="21"/>
              </w:rPr>
            </w:pPr>
            <w:r>
              <w:rPr>
                <w:rFonts w:cs="Times New Roman"/>
                <w:sz w:val="21"/>
                <w:szCs w:val="21"/>
              </w:rPr>
              <w:t>积极参与</w:t>
            </w:r>
            <w:r>
              <w:rPr>
                <w:rFonts w:hint="eastAsia" w:cs="Times New Roman"/>
                <w:sz w:val="21"/>
                <w:szCs w:val="21"/>
                <w:lang w:eastAsia="zh-CN"/>
              </w:rPr>
              <w:t>经济开发区</w:t>
            </w:r>
            <w:r>
              <w:rPr>
                <w:rFonts w:cs="Times New Roman"/>
                <w:sz w:val="21"/>
                <w:szCs w:val="21"/>
              </w:rPr>
              <w:t>组织的环境应急演练，加强与环保、消防、安监、卫生等各相关部门的环境应急协调联动。加强与该地区其他企业的应急联动机制建设，联合签署应急联动协议。定期开展环境应急联合演练</w:t>
            </w:r>
          </w:p>
        </w:tc>
        <w:tc>
          <w:tcPr>
            <w:tcW w:w="1474" w:type="pct"/>
            <w:shd w:val="clear" w:color="auto" w:fill="auto"/>
            <w:vAlign w:val="center"/>
          </w:tcPr>
          <w:p>
            <w:pPr>
              <w:spacing w:line="240" w:lineRule="auto"/>
              <w:ind w:firstLine="0" w:firstLineChars="0"/>
              <w:rPr>
                <w:rFonts w:cs="Times New Roman"/>
                <w:sz w:val="21"/>
                <w:szCs w:val="21"/>
              </w:rPr>
            </w:pPr>
            <w:r>
              <w:rPr>
                <w:rFonts w:cs="Times New Roman"/>
                <w:sz w:val="21"/>
                <w:szCs w:val="21"/>
              </w:rPr>
              <w:t>增加应急联动能力</w:t>
            </w:r>
          </w:p>
        </w:tc>
        <w:tc>
          <w:tcPr>
            <w:tcW w:w="658" w:type="pct"/>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长期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trPr>
        <w:tc>
          <w:tcPr>
            <w:tcW w:w="364" w:type="pct"/>
            <w:shd w:val="clear" w:color="auto" w:fill="auto"/>
            <w:vAlign w:val="center"/>
          </w:tcPr>
          <w:p>
            <w:pPr>
              <w:spacing w:line="240" w:lineRule="auto"/>
              <w:ind w:firstLine="0" w:firstLineChars="0"/>
              <w:jc w:val="center"/>
              <w:rPr>
                <w:rFonts w:hint="default" w:cs="Times New Roman"/>
                <w:sz w:val="21"/>
                <w:szCs w:val="21"/>
                <w:lang w:val="en-US" w:eastAsia="zh-CN"/>
              </w:rPr>
            </w:pPr>
            <w:r>
              <w:rPr>
                <w:rFonts w:hint="eastAsia" w:cs="Times New Roman"/>
                <w:sz w:val="21"/>
                <w:szCs w:val="21"/>
                <w:lang w:val="en-US" w:eastAsia="zh-CN"/>
              </w:rPr>
              <w:t>6</w:t>
            </w:r>
          </w:p>
        </w:tc>
        <w:tc>
          <w:tcPr>
            <w:tcW w:w="2503" w:type="pct"/>
            <w:shd w:val="clear" w:color="auto" w:fill="auto"/>
            <w:vAlign w:val="center"/>
          </w:tcPr>
          <w:p>
            <w:pPr>
              <w:spacing w:line="240" w:lineRule="auto"/>
              <w:ind w:firstLine="0" w:firstLineChars="0"/>
              <w:rPr>
                <w:rFonts w:ascii="Times New Roman" w:hAnsi="Times New Roman" w:eastAsia="宋体" w:cs="Times New Roman"/>
                <w:kern w:val="2"/>
                <w:sz w:val="21"/>
                <w:szCs w:val="21"/>
                <w:lang w:val="en-US" w:eastAsia="zh-CN" w:bidi="ar-SA"/>
              </w:rPr>
            </w:pPr>
            <w:r>
              <w:rPr>
                <w:rFonts w:cs="Times New Roman"/>
                <w:spacing w:val="-2"/>
                <w:kern w:val="0"/>
                <w:sz w:val="21"/>
                <w:szCs w:val="21"/>
              </w:rPr>
              <w:t>雨水管网设置截止阀</w:t>
            </w:r>
          </w:p>
        </w:tc>
        <w:tc>
          <w:tcPr>
            <w:tcW w:w="1474" w:type="pct"/>
            <w:shd w:val="clear" w:color="auto" w:fill="auto"/>
            <w:vAlign w:val="center"/>
          </w:tcPr>
          <w:p>
            <w:pPr>
              <w:spacing w:line="240" w:lineRule="auto"/>
              <w:ind w:firstLine="0" w:firstLineChars="0"/>
              <w:rPr>
                <w:rFonts w:hint="eastAsia" w:ascii="Times New Roman" w:hAnsi="Times New Roman" w:eastAsia="宋体" w:cs="Times New Roman"/>
                <w:kern w:val="2"/>
                <w:sz w:val="21"/>
                <w:szCs w:val="21"/>
                <w:lang w:val="en-US" w:eastAsia="zh-CN" w:bidi="ar-SA"/>
              </w:rPr>
            </w:pPr>
            <w:r>
              <w:rPr>
                <w:rFonts w:hint="eastAsia" w:cs="Times New Roman"/>
                <w:sz w:val="21"/>
                <w:szCs w:val="21"/>
                <w:lang w:eastAsia="zh-CN"/>
              </w:rPr>
              <w:t>避免废水流入外环境</w:t>
            </w:r>
          </w:p>
        </w:tc>
        <w:tc>
          <w:tcPr>
            <w:tcW w:w="658" w:type="pct"/>
            <w:shd w:val="clear" w:color="auto" w:fill="auto"/>
            <w:vAlign w:val="center"/>
          </w:tcPr>
          <w:p>
            <w:pPr>
              <w:spacing w:line="240" w:lineRule="auto"/>
              <w:ind w:firstLine="0" w:firstLineChars="0"/>
              <w:jc w:val="center"/>
              <w:rPr>
                <w:rFonts w:ascii="Times New Roman" w:hAnsi="Times New Roman" w:eastAsia="宋体" w:cs="Times New Roman"/>
                <w:kern w:val="2"/>
                <w:sz w:val="21"/>
                <w:szCs w:val="21"/>
                <w:lang w:val="en-US" w:eastAsia="zh-CN" w:bidi="ar-SA"/>
              </w:rPr>
            </w:pPr>
            <w:r>
              <w:rPr>
                <w:rFonts w:cs="Times New Roman"/>
                <w:sz w:val="21"/>
                <w:szCs w:val="21"/>
              </w:rPr>
              <w:t>短期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trPr>
        <w:tc>
          <w:tcPr>
            <w:tcW w:w="5000" w:type="pct"/>
            <w:gridSpan w:val="4"/>
            <w:shd w:val="clear" w:color="auto" w:fill="auto"/>
            <w:vAlign w:val="center"/>
          </w:tcPr>
          <w:p>
            <w:pPr>
              <w:spacing w:line="240" w:lineRule="auto"/>
              <w:ind w:firstLine="0" w:firstLineChars="0"/>
              <w:jc w:val="left"/>
              <w:rPr>
                <w:rFonts w:cs="Times New Roman"/>
                <w:sz w:val="21"/>
                <w:szCs w:val="21"/>
              </w:rPr>
            </w:pPr>
            <w:r>
              <w:rPr>
                <w:rFonts w:cs="Times New Roman"/>
                <w:sz w:val="21"/>
                <w:szCs w:val="21"/>
              </w:rPr>
              <w:t>三、健全企业环境风险管理体系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trPr>
        <w:tc>
          <w:tcPr>
            <w:tcW w:w="364" w:type="pct"/>
            <w:shd w:val="clear" w:color="auto" w:fill="auto"/>
            <w:vAlign w:val="center"/>
          </w:tcPr>
          <w:p>
            <w:pPr>
              <w:spacing w:line="240" w:lineRule="auto"/>
              <w:ind w:firstLine="0" w:firstLineChars="0"/>
              <w:jc w:val="center"/>
              <w:rPr>
                <w:rFonts w:hint="eastAsia" w:eastAsia="宋体" w:cs="Times New Roman"/>
                <w:sz w:val="21"/>
                <w:szCs w:val="21"/>
                <w:lang w:eastAsia="zh-CN"/>
              </w:rPr>
            </w:pPr>
            <w:r>
              <w:rPr>
                <w:rFonts w:hint="eastAsia" w:cs="Times New Roman"/>
                <w:sz w:val="21"/>
                <w:szCs w:val="21"/>
                <w:lang w:val="en-US" w:eastAsia="zh-CN"/>
              </w:rPr>
              <w:t>6</w:t>
            </w:r>
          </w:p>
        </w:tc>
        <w:tc>
          <w:tcPr>
            <w:tcW w:w="2503" w:type="pct"/>
            <w:shd w:val="clear" w:color="auto" w:fill="auto"/>
            <w:vAlign w:val="center"/>
          </w:tcPr>
          <w:p>
            <w:pPr>
              <w:spacing w:line="240" w:lineRule="auto"/>
              <w:ind w:firstLine="0" w:firstLineChars="0"/>
              <w:rPr>
                <w:rFonts w:cs="Times New Roman"/>
                <w:sz w:val="21"/>
                <w:szCs w:val="21"/>
              </w:rPr>
            </w:pPr>
            <w:r>
              <w:rPr>
                <w:rFonts w:cs="Times New Roman"/>
                <w:sz w:val="21"/>
                <w:szCs w:val="21"/>
              </w:rPr>
              <w:t>完善环境风险隐患自查自纠制度：定期开展企业环境风险隐患自检、自查；建立自查自纠台账，通过台账审查、培训等多种形式提高责任人自查自纠能力。</w:t>
            </w:r>
          </w:p>
        </w:tc>
        <w:tc>
          <w:tcPr>
            <w:tcW w:w="1474" w:type="pct"/>
            <w:shd w:val="clear" w:color="auto" w:fill="auto"/>
            <w:vAlign w:val="center"/>
          </w:tcPr>
          <w:p>
            <w:pPr>
              <w:spacing w:line="240" w:lineRule="auto"/>
              <w:ind w:firstLine="0" w:firstLineChars="0"/>
              <w:rPr>
                <w:rFonts w:cs="Times New Roman"/>
                <w:sz w:val="21"/>
                <w:szCs w:val="21"/>
              </w:rPr>
            </w:pPr>
            <w:r>
              <w:rPr>
                <w:rFonts w:cs="Times New Roman"/>
                <w:sz w:val="21"/>
                <w:szCs w:val="21"/>
              </w:rPr>
              <w:t>提高企业自我发现、自我整改环境风险隐患能力，防患于未然。</w:t>
            </w:r>
          </w:p>
        </w:tc>
        <w:tc>
          <w:tcPr>
            <w:tcW w:w="658" w:type="pct"/>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中期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86" w:hRule="atLeast"/>
        </w:trPr>
        <w:tc>
          <w:tcPr>
            <w:tcW w:w="364" w:type="pct"/>
            <w:shd w:val="clear" w:color="auto" w:fill="auto"/>
            <w:vAlign w:val="center"/>
          </w:tcPr>
          <w:p>
            <w:pPr>
              <w:spacing w:line="240" w:lineRule="auto"/>
              <w:ind w:firstLine="0" w:firstLineChars="0"/>
              <w:jc w:val="center"/>
              <w:rPr>
                <w:rFonts w:hint="default" w:eastAsia="宋体" w:cs="Times New Roman"/>
                <w:sz w:val="21"/>
                <w:szCs w:val="21"/>
                <w:lang w:val="en-US" w:eastAsia="zh-CN"/>
              </w:rPr>
            </w:pPr>
            <w:r>
              <w:rPr>
                <w:rFonts w:hint="eastAsia" w:cs="Times New Roman"/>
                <w:sz w:val="21"/>
                <w:szCs w:val="21"/>
                <w:lang w:val="en-US" w:eastAsia="zh-CN"/>
              </w:rPr>
              <w:t>7</w:t>
            </w:r>
          </w:p>
        </w:tc>
        <w:tc>
          <w:tcPr>
            <w:tcW w:w="2503" w:type="pct"/>
            <w:shd w:val="clear" w:color="auto" w:fill="auto"/>
            <w:vAlign w:val="center"/>
          </w:tcPr>
          <w:p>
            <w:pPr>
              <w:spacing w:line="240" w:lineRule="auto"/>
              <w:ind w:firstLine="0" w:firstLineChars="0"/>
              <w:rPr>
                <w:rFonts w:cs="Times New Roman"/>
                <w:sz w:val="21"/>
                <w:szCs w:val="21"/>
              </w:rPr>
            </w:pPr>
            <w:r>
              <w:rPr>
                <w:rFonts w:cs="Times New Roman"/>
                <w:sz w:val="21"/>
                <w:szCs w:val="21"/>
              </w:rPr>
              <w:t>建立环境风险自我评估制度：制定《</w:t>
            </w:r>
            <w:r>
              <w:rPr>
                <w:rFonts w:hint="eastAsia" w:cs="Times New Roman"/>
                <w:sz w:val="21"/>
                <w:szCs w:val="21"/>
                <w:lang w:eastAsia="zh-CN"/>
              </w:rPr>
              <w:t>南昌慧华高科混凝土有限公司</w:t>
            </w:r>
            <w:r>
              <w:rPr>
                <w:rFonts w:cs="Times New Roman"/>
                <w:sz w:val="21"/>
                <w:szCs w:val="21"/>
              </w:rPr>
              <w:t>环境风险评估办法》；在重点风险装置布设特征污染物监控点位。</w:t>
            </w:r>
          </w:p>
        </w:tc>
        <w:tc>
          <w:tcPr>
            <w:tcW w:w="1474" w:type="pct"/>
            <w:shd w:val="clear" w:color="auto" w:fill="auto"/>
            <w:vAlign w:val="center"/>
          </w:tcPr>
          <w:p>
            <w:pPr>
              <w:spacing w:line="240" w:lineRule="auto"/>
              <w:ind w:firstLine="0" w:firstLineChars="0"/>
              <w:rPr>
                <w:rFonts w:cs="Times New Roman"/>
                <w:sz w:val="21"/>
                <w:szCs w:val="21"/>
              </w:rPr>
            </w:pPr>
            <w:r>
              <w:rPr>
                <w:rFonts w:cs="Times New Roman"/>
                <w:sz w:val="21"/>
                <w:szCs w:val="21"/>
              </w:rPr>
              <w:t>总体把握企业环境风险问题，提高企业环境风险管理效率、效果。</w:t>
            </w:r>
          </w:p>
        </w:tc>
        <w:tc>
          <w:tcPr>
            <w:tcW w:w="658" w:type="pct"/>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短期</w:t>
            </w:r>
          </w:p>
        </w:tc>
      </w:tr>
    </w:tbl>
    <w:p>
      <w:pPr>
        <w:ind w:firstLine="0" w:firstLineChars="0"/>
        <w:jc w:val="left"/>
        <w:sectPr>
          <w:pgSz w:w="11906" w:h="16838"/>
          <w:pgMar w:top="1304" w:right="1247" w:bottom="1304" w:left="1531" w:header="851" w:footer="851" w:gutter="0"/>
          <w:pgBorders>
            <w:top w:val="none" w:sz="0" w:space="0"/>
            <w:left w:val="none" w:sz="0" w:space="0"/>
            <w:bottom w:val="none" w:sz="0" w:space="0"/>
            <w:right w:val="none" w:sz="0" w:space="0"/>
          </w:pgBorders>
          <w:pgNumType w:fmt="decimal"/>
          <w:cols w:space="425" w:num="1"/>
          <w:docGrid w:type="lines" w:linePitch="312" w:charSpace="0"/>
        </w:sectPr>
      </w:pPr>
    </w:p>
    <w:p>
      <w:pPr>
        <w:pStyle w:val="3"/>
      </w:pPr>
      <w:bookmarkStart w:id="61" w:name="_Toc29337"/>
      <w:r>
        <w:rPr>
          <w:rFonts w:hint="eastAsia"/>
        </w:rPr>
        <w:t>企业突发环境事件风险等级</w:t>
      </w:r>
      <w:bookmarkEnd w:id="61"/>
    </w:p>
    <w:p>
      <w:pPr>
        <w:ind w:firstLine="560"/>
        <w:rPr>
          <w:sz w:val="24"/>
          <w:szCs w:val="24"/>
        </w:rPr>
      </w:pPr>
      <w:r>
        <w:rPr>
          <w:rFonts w:hint="eastAsia"/>
          <w:sz w:val="24"/>
          <w:szCs w:val="24"/>
        </w:rPr>
        <w:t>根据中华人民共和国国家环境保护部《企业突发环境事件风险分级办法（HJ</w:t>
      </w:r>
      <w:r>
        <w:rPr>
          <w:sz w:val="24"/>
          <w:szCs w:val="24"/>
        </w:rPr>
        <w:t xml:space="preserve"> </w:t>
      </w:r>
      <w:r>
        <w:rPr>
          <w:rFonts w:hint="eastAsia"/>
          <w:sz w:val="24"/>
          <w:szCs w:val="24"/>
        </w:rPr>
        <w:t>941-2018）》要求，根据企业生产、使用、存储和释放的突发环境事件风险物质数量与其临界量的比值（Q），评估生产工艺过程与环境风险控制水平（M）以及环境风险受体敏感程度（E）的评估分析结果，分别评估企业突发大气环境事件风险和突发水环境事件风险，将企业突发大气或水环境风险事件等级划分为一般环境风险、较大环境风险和重大环境风险三级，分别用蓝色、黄色和红色标识。同时涉及突发大气和水环境事件风险的企业，以等级高者确定企业突发环境事件风险等级。</w:t>
      </w:r>
    </w:p>
    <w:p>
      <w:pPr>
        <w:ind w:firstLine="560"/>
        <w:rPr>
          <w:sz w:val="24"/>
          <w:szCs w:val="24"/>
        </w:rPr>
      </w:pPr>
      <w:r>
        <w:rPr>
          <w:rFonts w:hint="eastAsia"/>
          <w:sz w:val="24"/>
          <w:szCs w:val="24"/>
        </w:rPr>
        <w:t>评估程序详见</w:t>
      </w:r>
      <w:r>
        <w:rPr>
          <w:sz w:val="24"/>
          <w:szCs w:val="24"/>
        </w:rPr>
        <w:fldChar w:fldCharType="begin"/>
      </w:r>
      <w:r>
        <w:rPr>
          <w:sz w:val="24"/>
          <w:szCs w:val="24"/>
        </w:rPr>
        <w:instrText xml:space="preserve"> </w:instrText>
      </w:r>
      <w:r>
        <w:rPr>
          <w:rFonts w:hint="eastAsia"/>
          <w:sz w:val="24"/>
          <w:szCs w:val="24"/>
        </w:rPr>
        <w:instrText xml:space="preserve">REF _Ref526861951 \h</w:instrText>
      </w:r>
      <w:r>
        <w:rPr>
          <w:sz w:val="24"/>
          <w:szCs w:val="24"/>
        </w:rPr>
        <w:instrText xml:space="preserve"> </w:instrText>
      </w:r>
      <w:r>
        <w:rPr>
          <w:sz w:val="24"/>
          <w:szCs w:val="24"/>
        </w:rPr>
        <w:fldChar w:fldCharType="separate"/>
      </w:r>
      <w:r>
        <w:rPr>
          <w:rFonts w:hint="eastAsia"/>
          <w:sz w:val="24"/>
          <w:szCs w:val="24"/>
        </w:rPr>
        <w:t xml:space="preserve">图 </w:t>
      </w:r>
      <w:r>
        <w:rPr>
          <w:sz w:val="24"/>
          <w:szCs w:val="24"/>
        </w:rPr>
        <w:t>7</w:t>
      </w:r>
      <w:r>
        <w:rPr>
          <w:sz w:val="24"/>
          <w:szCs w:val="24"/>
        </w:rPr>
        <w:noBreakHyphen/>
      </w:r>
      <w:r>
        <w:rPr>
          <w:sz w:val="24"/>
          <w:szCs w:val="24"/>
        </w:rPr>
        <w:t>1</w:t>
      </w:r>
      <w:r>
        <w:rPr>
          <w:sz w:val="24"/>
          <w:szCs w:val="24"/>
        </w:rPr>
        <w:fldChar w:fldCharType="end"/>
      </w:r>
      <w:r>
        <w:rPr>
          <w:rFonts w:hint="eastAsia"/>
          <w:sz w:val="24"/>
          <w:szCs w:val="24"/>
        </w:rPr>
        <w:t>。</w:t>
      </w:r>
    </w:p>
    <w:p>
      <w:pPr>
        <w:keepNext/>
        <w:ind w:firstLine="0" w:firstLineChars="0"/>
        <w:rPr>
          <w:sz w:val="24"/>
          <w:szCs w:val="24"/>
        </w:rPr>
      </w:pPr>
      <w:r>
        <w:rPr>
          <w:sz w:val="24"/>
          <w:szCs w:val="24"/>
        </w:rPr>
        <w:drawing>
          <wp:inline distT="0" distB="0" distL="0" distR="0">
            <wp:extent cx="5796280" cy="474853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7"/>
                    <a:stretch>
                      <a:fillRect/>
                    </a:stretch>
                  </pic:blipFill>
                  <pic:spPr>
                    <a:xfrm>
                      <a:off x="0" y="0"/>
                      <a:ext cx="5796280" cy="4748530"/>
                    </a:xfrm>
                    <a:prstGeom prst="rect">
                      <a:avLst/>
                    </a:prstGeom>
                  </pic:spPr>
                </pic:pic>
              </a:graphicData>
            </a:graphic>
          </wp:inline>
        </w:drawing>
      </w:r>
    </w:p>
    <w:p>
      <w:pPr>
        <w:pStyle w:val="10"/>
        <w:rPr>
          <w:b/>
          <w:bCs/>
          <w:sz w:val="24"/>
          <w:szCs w:val="24"/>
        </w:rPr>
      </w:pPr>
      <w:bookmarkStart w:id="62" w:name="_Ref526861951"/>
      <w:r>
        <w:rPr>
          <w:rFonts w:hint="eastAsia"/>
          <w:b/>
          <w:bCs/>
          <w:sz w:val="24"/>
          <w:szCs w:val="24"/>
        </w:rPr>
        <w:t xml:space="preserve">图 </w:t>
      </w:r>
      <w:r>
        <w:rPr>
          <w:b/>
          <w:bCs/>
          <w:sz w:val="24"/>
          <w:szCs w:val="24"/>
        </w:rPr>
        <w:fldChar w:fldCharType="begin"/>
      </w:r>
      <w:r>
        <w:rPr>
          <w:b/>
          <w:bCs/>
          <w:sz w:val="24"/>
          <w:szCs w:val="24"/>
        </w:rPr>
        <w:instrText xml:space="preserve"> </w:instrText>
      </w:r>
      <w:r>
        <w:rPr>
          <w:rFonts w:hint="eastAsia"/>
          <w:b/>
          <w:bCs/>
          <w:sz w:val="24"/>
          <w:szCs w:val="24"/>
        </w:rPr>
        <w:instrText xml:space="preserve">STYLEREF 1 \s</w:instrText>
      </w:r>
      <w:r>
        <w:rPr>
          <w:b/>
          <w:bCs/>
          <w:sz w:val="24"/>
          <w:szCs w:val="24"/>
        </w:rPr>
        <w:instrText xml:space="preserve"> </w:instrText>
      </w:r>
      <w:r>
        <w:rPr>
          <w:b/>
          <w:bCs/>
          <w:sz w:val="24"/>
          <w:szCs w:val="24"/>
        </w:rPr>
        <w:fldChar w:fldCharType="separate"/>
      </w:r>
      <w:r>
        <w:rPr>
          <w:b/>
          <w:bCs/>
          <w:sz w:val="24"/>
          <w:szCs w:val="24"/>
        </w:rPr>
        <w:t>7</w:t>
      </w:r>
      <w:r>
        <w:rPr>
          <w:b/>
          <w:bCs/>
          <w:sz w:val="24"/>
          <w:szCs w:val="24"/>
        </w:rPr>
        <w:fldChar w:fldCharType="end"/>
      </w:r>
      <w:r>
        <w:rPr>
          <w:b/>
          <w:bCs/>
          <w:sz w:val="24"/>
          <w:szCs w:val="24"/>
        </w:rPr>
        <w:noBreakHyphen/>
      </w:r>
      <w:r>
        <w:rPr>
          <w:b/>
          <w:bCs/>
          <w:sz w:val="24"/>
          <w:szCs w:val="24"/>
        </w:rPr>
        <w:fldChar w:fldCharType="begin"/>
      </w:r>
      <w:r>
        <w:rPr>
          <w:b/>
          <w:bCs/>
          <w:sz w:val="24"/>
          <w:szCs w:val="24"/>
        </w:rPr>
        <w:instrText xml:space="preserve"> </w:instrText>
      </w:r>
      <w:r>
        <w:rPr>
          <w:rFonts w:hint="eastAsia"/>
          <w:b/>
          <w:bCs/>
          <w:sz w:val="24"/>
          <w:szCs w:val="24"/>
        </w:rPr>
        <w:instrText xml:space="preserve">SEQ 图 \* ARABIC \s 1</w:instrText>
      </w:r>
      <w:r>
        <w:rPr>
          <w:b/>
          <w:bCs/>
          <w:sz w:val="24"/>
          <w:szCs w:val="24"/>
        </w:rPr>
        <w:instrText xml:space="preserve"> </w:instrText>
      </w:r>
      <w:r>
        <w:rPr>
          <w:b/>
          <w:bCs/>
          <w:sz w:val="24"/>
          <w:szCs w:val="24"/>
        </w:rPr>
        <w:fldChar w:fldCharType="separate"/>
      </w:r>
      <w:r>
        <w:rPr>
          <w:b/>
          <w:bCs/>
          <w:sz w:val="24"/>
          <w:szCs w:val="24"/>
        </w:rPr>
        <w:t>1</w:t>
      </w:r>
      <w:r>
        <w:rPr>
          <w:b/>
          <w:bCs/>
          <w:sz w:val="24"/>
          <w:szCs w:val="24"/>
        </w:rPr>
        <w:fldChar w:fldCharType="end"/>
      </w:r>
      <w:bookmarkEnd w:id="62"/>
      <w:r>
        <w:rPr>
          <w:rFonts w:hint="eastAsia"/>
          <w:b/>
          <w:bCs/>
          <w:sz w:val="24"/>
          <w:szCs w:val="24"/>
        </w:rPr>
        <w:t>企业突发环境事件风险分级流程示意图</w:t>
      </w:r>
    </w:p>
    <w:p>
      <w:pPr>
        <w:pStyle w:val="4"/>
        <w:rPr>
          <w:sz w:val="24"/>
          <w:szCs w:val="24"/>
        </w:rPr>
      </w:pPr>
      <w:bookmarkStart w:id="63" w:name="_Toc30408"/>
      <w:r>
        <w:rPr>
          <w:rFonts w:hint="eastAsia"/>
          <w:sz w:val="24"/>
          <w:szCs w:val="24"/>
        </w:rPr>
        <w:t>突发大气环境事件风险分级</w:t>
      </w:r>
      <w:bookmarkEnd w:id="63"/>
    </w:p>
    <w:p>
      <w:pPr>
        <w:pStyle w:val="4"/>
        <w:numPr>
          <w:ilvl w:val="1"/>
          <w:numId w:val="0"/>
        </w:numPr>
        <w:ind w:leftChars="0"/>
        <w:rPr>
          <w:rFonts w:hint="default" w:ascii="Times New Roman" w:hAnsi="Times New Roman" w:cs="Times New Roman"/>
          <w:sz w:val="24"/>
          <w:szCs w:val="24"/>
          <w:lang w:eastAsia="zh-CN"/>
        </w:rPr>
      </w:pPr>
      <w:bookmarkStart w:id="64" w:name="_Toc19160"/>
      <w:bookmarkStart w:id="65" w:name="_Toc6190"/>
      <w:bookmarkStart w:id="66" w:name="_Toc31174"/>
      <w:bookmarkStart w:id="67" w:name="_Toc3206"/>
      <w:bookmarkStart w:id="68" w:name="_Toc8763"/>
      <w:r>
        <w:rPr>
          <w:rFonts w:hint="eastAsia" w:ascii="Times New Roman" w:hAnsi="Times New Roman" w:cs="Times New Roman"/>
          <w:sz w:val="24"/>
          <w:szCs w:val="24"/>
          <w:lang w:val="en-US" w:eastAsia="zh-CN"/>
        </w:rPr>
        <w:t>7</w:t>
      </w:r>
      <w:r>
        <w:rPr>
          <w:rFonts w:hint="default" w:ascii="Times New Roman" w:hAnsi="Times New Roman" w:cs="Times New Roman"/>
          <w:sz w:val="24"/>
          <w:szCs w:val="24"/>
        </w:rPr>
        <w:t xml:space="preserve">.1 </w:t>
      </w:r>
      <w:r>
        <w:rPr>
          <w:rFonts w:hint="default" w:ascii="Times New Roman" w:hAnsi="Times New Roman" w:cs="Times New Roman"/>
          <w:sz w:val="24"/>
          <w:szCs w:val="24"/>
          <w:lang w:eastAsia="zh-CN"/>
        </w:rPr>
        <w:t>突发大气环境事件风险风级</w:t>
      </w:r>
      <w:bookmarkEnd w:id="64"/>
      <w:bookmarkEnd w:id="65"/>
      <w:bookmarkEnd w:id="66"/>
      <w:bookmarkEnd w:id="67"/>
      <w:bookmarkEnd w:id="68"/>
    </w:p>
    <w:p>
      <w:pPr>
        <w:pStyle w:val="6"/>
        <w:numPr>
          <w:ilvl w:val="2"/>
          <w:numId w:val="0"/>
        </w:numPr>
        <w:ind w:leftChars="0"/>
        <w:rPr>
          <w:rFonts w:hint="default" w:ascii="Times New Roman" w:hAnsi="Times New Roman" w:cs="Times New Roman"/>
          <w:sz w:val="24"/>
          <w:szCs w:val="24"/>
        </w:rPr>
      </w:pPr>
      <w:bookmarkStart w:id="69" w:name="_Toc427850942"/>
      <w:bookmarkStart w:id="70" w:name="_Toc423441385"/>
      <w:bookmarkStart w:id="71" w:name="_Toc12789"/>
      <w:bookmarkStart w:id="72" w:name="_Toc17427"/>
      <w:bookmarkStart w:id="73" w:name="_Toc12975"/>
      <w:r>
        <w:rPr>
          <w:rFonts w:hint="eastAsia" w:ascii="Times New Roman" w:hAnsi="Times New Roman" w:cs="Times New Roman"/>
          <w:sz w:val="24"/>
          <w:szCs w:val="24"/>
          <w:lang w:val="en-US" w:eastAsia="zh-CN"/>
        </w:rPr>
        <w:t>7</w:t>
      </w:r>
      <w:r>
        <w:rPr>
          <w:rFonts w:hint="default" w:ascii="Times New Roman" w:hAnsi="Times New Roman" w:cs="Times New Roman"/>
          <w:sz w:val="24"/>
          <w:szCs w:val="24"/>
        </w:rPr>
        <w:t xml:space="preserve">.1 </w:t>
      </w:r>
      <w:r>
        <w:rPr>
          <w:rFonts w:hint="default" w:ascii="Times New Roman" w:hAnsi="Times New Roman" w:cs="Times New Roman"/>
          <w:sz w:val="24"/>
          <w:szCs w:val="24"/>
          <w:lang w:val="en-US" w:eastAsia="zh-CN"/>
        </w:rPr>
        <w:t>.1</w:t>
      </w:r>
      <w:r>
        <w:rPr>
          <w:rFonts w:hint="default" w:ascii="Times New Roman" w:hAnsi="Times New Roman" w:cs="Times New Roman"/>
          <w:sz w:val="24"/>
          <w:szCs w:val="24"/>
          <w:lang w:eastAsia="zh-CN"/>
        </w:rPr>
        <w:t>计算涉气</w:t>
      </w:r>
      <w:r>
        <w:rPr>
          <w:rFonts w:hint="default" w:ascii="Times New Roman" w:hAnsi="Times New Roman" w:cs="Times New Roman"/>
          <w:sz w:val="24"/>
          <w:szCs w:val="24"/>
        </w:rPr>
        <w:t>风险物质数量与临界量比值（Q</w:t>
      </w:r>
      <w:bookmarkEnd w:id="69"/>
      <w:bookmarkEnd w:id="70"/>
      <w:r>
        <w:rPr>
          <w:rFonts w:hint="default" w:ascii="Times New Roman" w:hAnsi="Times New Roman" w:cs="Times New Roman"/>
          <w:sz w:val="24"/>
          <w:szCs w:val="24"/>
        </w:rPr>
        <w:t>）</w:t>
      </w:r>
      <w:bookmarkEnd w:id="71"/>
      <w:bookmarkEnd w:id="72"/>
      <w:bookmarkEnd w:id="73"/>
    </w:p>
    <w:p>
      <w:pPr>
        <w:adjustRightInd w:val="0"/>
        <w:snapToGrid w:val="0"/>
        <w:spacing w:line="360" w:lineRule="auto"/>
        <w:ind w:firstLine="480" w:firstLineChars="200"/>
        <w:rPr>
          <w:rFonts w:hint="default" w:ascii="Times New Roman" w:hAnsi="Times New Roman" w:cs="Times New Roman"/>
          <w:sz w:val="24"/>
          <w:szCs w:val="24"/>
        </w:rPr>
      </w:pPr>
      <w:r>
        <w:rPr>
          <w:rFonts w:hint="default" w:ascii="Times New Roman" w:hAnsi="Times New Roman" w:cs="Times New Roman"/>
          <w:sz w:val="24"/>
          <w:szCs w:val="24"/>
          <w:lang w:eastAsia="zh-CN"/>
        </w:rPr>
        <w:t>定量分析企业生产原料、产品、中间产品、副产品、催化剂、辅助生产物料、燃料、“三废物”污染物等是否涉及大气环境风险物质（混合或稀释的风险物质按其组分比例折算成纯物质），计算涉气风险物质在厂界内的存在量（如存在量呈动态变化，则按年度内最大存在量计算与其在附录</w:t>
      </w:r>
      <w:r>
        <w:rPr>
          <w:rFonts w:hint="default" w:ascii="Times New Roman" w:hAnsi="Times New Roman" w:cs="Times New Roman"/>
          <w:sz w:val="24"/>
          <w:szCs w:val="24"/>
          <w:lang w:val="en-US" w:eastAsia="zh-CN"/>
        </w:rPr>
        <w:t>A</w:t>
      </w:r>
      <w:r>
        <w:rPr>
          <w:rFonts w:hint="default" w:ascii="Times New Roman" w:hAnsi="Times New Roman" w:cs="Times New Roman"/>
          <w:sz w:val="24"/>
          <w:szCs w:val="24"/>
          <w:lang w:eastAsia="zh-CN"/>
        </w:rPr>
        <w:t>临界量的比值（Q）</w:t>
      </w:r>
      <w:r>
        <w:rPr>
          <w:rFonts w:hint="default" w:ascii="Times New Roman" w:hAnsi="Times New Roman" w:cs="Times New Roman"/>
          <w:sz w:val="24"/>
          <w:szCs w:val="24"/>
        </w:rPr>
        <w:t>。</w:t>
      </w:r>
    </w:p>
    <w:p>
      <w:pPr>
        <w:adjustRightInd w:val="0"/>
        <w:snapToGrid w:val="0"/>
        <w:spacing w:line="360" w:lineRule="auto"/>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当企业只涉及一种风险物质时，该物质的总数量与其临界量的比值，即为Q。</w:t>
      </w:r>
    </w:p>
    <w:p>
      <w:pPr>
        <w:adjustRightInd w:val="0"/>
        <w:snapToGrid w:val="0"/>
        <w:spacing w:line="360" w:lineRule="auto"/>
        <w:ind w:firstLine="480" w:firstLineChars="200"/>
        <w:rPr>
          <w:rFonts w:hint="default" w:ascii="Times New Roman" w:hAnsi="Times New Roman" w:cs="Times New Roman"/>
          <w:sz w:val="24"/>
          <w:szCs w:val="24"/>
        </w:rPr>
      </w:pPr>
      <w:r>
        <w:rPr>
          <w:rFonts w:hint="default" w:ascii="Times New Roman" w:hAnsi="Times New Roman" w:cs="Times New Roman"/>
          <w:sz w:val="24"/>
          <w:szCs w:val="24"/>
          <w:lang w:eastAsia="zh-CN"/>
        </w:rPr>
        <w:t>当企业</w:t>
      </w:r>
      <w:r>
        <w:rPr>
          <w:rFonts w:hint="default" w:ascii="Times New Roman" w:hAnsi="Times New Roman" w:cs="Times New Roman"/>
          <w:sz w:val="24"/>
          <w:szCs w:val="24"/>
        </w:rPr>
        <w:t>存在</w:t>
      </w:r>
      <w:r>
        <w:rPr>
          <w:rFonts w:hint="default" w:ascii="Times New Roman" w:hAnsi="Times New Roman" w:cs="Times New Roman"/>
          <w:sz w:val="24"/>
          <w:szCs w:val="24"/>
          <w:lang w:eastAsia="zh-CN"/>
        </w:rPr>
        <w:t>多种风险物质</w:t>
      </w:r>
      <w:r>
        <w:rPr>
          <w:rFonts w:hint="default" w:ascii="Times New Roman" w:hAnsi="Times New Roman" w:cs="Times New Roman"/>
          <w:sz w:val="24"/>
          <w:szCs w:val="24"/>
        </w:rPr>
        <w:t>时，则按式</w:t>
      </w:r>
      <w:r>
        <w:rPr>
          <w:rFonts w:hint="default" w:ascii="Times New Roman" w:hAnsi="Times New Roman" w:cs="Times New Roman"/>
          <w:sz w:val="24"/>
          <w:szCs w:val="24"/>
          <w:lang w:eastAsia="zh-CN"/>
        </w:rPr>
        <w:t>（</w:t>
      </w:r>
      <w:r>
        <w:rPr>
          <w:rFonts w:hint="default" w:ascii="Times New Roman" w:hAnsi="Times New Roman" w:cs="Times New Roman"/>
          <w:sz w:val="24"/>
          <w:szCs w:val="24"/>
          <w:lang w:val="en-US" w:eastAsia="zh-CN"/>
        </w:rPr>
        <w:t>1</w:t>
      </w:r>
      <w:r>
        <w:rPr>
          <w:rFonts w:hint="default" w:ascii="Times New Roman" w:hAnsi="Times New Roman" w:cs="Times New Roman"/>
          <w:sz w:val="24"/>
          <w:szCs w:val="24"/>
          <w:lang w:eastAsia="zh-CN"/>
        </w:rPr>
        <w:t>）</w:t>
      </w:r>
      <w:r>
        <w:rPr>
          <w:rFonts w:hint="default" w:ascii="Times New Roman" w:hAnsi="Times New Roman" w:cs="Times New Roman"/>
          <w:sz w:val="24"/>
          <w:szCs w:val="24"/>
        </w:rPr>
        <w:t>计算：</w:t>
      </w:r>
    </w:p>
    <w:p>
      <w:pPr>
        <w:adjustRightInd w:val="0"/>
        <w:snapToGrid w:val="0"/>
        <w:spacing w:line="360" w:lineRule="auto"/>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drawing>
          <wp:inline distT="0" distB="0" distL="114300" distR="114300">
            <wp:extent cx="5276850" cy="545465"/>
            <wp:effectExtent l="0" t="0" r="0" b="698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8"/>
                    <a:srcRect b="73239"/>
                    <a:stretch>
                      <a:fillRect/>
                    </a:stretch>
                  </pic:blipFill>
                  <pic:spPr>
                    <a:xfrm>
                      <a:off x="0" y="0"/>
                      <a:ext cx="5276850" cy="545465"/>
                    </a:xfrm>
                    <a:prstGeom prst="rect">
                      <a:avLst/>
                    </a:prstGeom>
                    <a:noFill/>
                    <a:ln>
                      <a:noFill/>
                    </a:ln>
                  </pic:spPr>
                </pic:pic>
              </a:graphicData>
            </a:graphic>
          </wp:inline>
        </w:drawing>
      </w:r>
    </w:p>
    <w:p>
      <w:pPr>
        <w:adjustRightInd w:val="0"/>
        <w:snapToGrid w:val="0"/>
        <w:spacing w:line="360" w:lineRule="auto"/>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式中</w:t>
      </w:r>
      <w:r>
        <w:rPr>
          <w:rFonts w:hint="default" w:ascii="Times New Roman" w:hAnsi="Times New Roman" w:cs="Times New Roman"/>
          <w:sz w:val="24"/>
          <w:szCs w:val="24"/>
          <w:lang w:val="en-US" w:eastAsia="zh-CN"/>
        </w:rPr>
        <w:t>w</w:t>
      </w:r>
      <w:r>
        <w:rPr>
          <w:rFonts w:hint="default" w:ascii="Times New Roman" w:hAnsi="Times New Roman" w:cs="Times New Roman"/>
          <w:sz w:val="24"/>
          <w:szCs w:val="24"/>
          <w:vertAlign w:val="subscript"/>
        </w:rPr>
        <w:t>1</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w</w:t>
      </w:r>
      <w:r>
        <w:rPr>
          <w:rFonts w:hint="default" w:ascii="Times New Roman" w:hAnsi="Times New Roman" w:cs="Times New Roman"/>
          <w:sz w:val="24"/>
          <w:szCs w:val="24"/>
          <w:vertAlign w:val="subscript"/>
        </w:rPr>
        <w:t>2</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w</w:t>
      </w:r>
      <w:r>
        <w:rPr>
          <w:rFonts w:hint="default" w:ascii="Times New Roman" w:hAnsi="Times New Roman" w:cs="Times New Roman"/>
          <w:sz w:val="24"/>
          <w:szCs w:val="24"/>
          <w:vertAlign w:val="subscript"/>
        </w:rPr>
        <w:t>3</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w</w:t>
      </w:r>
      <w:r>
        <w:rPr>
          <w:rFonts w:hint="default" w:ascii="Times New Roman" w:hAnsi="Times New Roman" w:cs="Times New Roman"/>
          <w:sz w:val="24"/>
          <w:szCs w:val="24"/>
          <w:vertAlign w:val="subscript"/>
        </w:rPr>
        <w:t>n</w:t>
      </w:r>
      <w:r>
        <w:rPr>
          <w:rFonts w:hint="default" w:ascii="Times New Roman" w:hAnsi="Times New Roman" w:cs="Times New Roman"/>
          <w:sz w:val="24"/>
          <w:szCs w:val="24"/>
        </w:rPr>
        <w:t>——每种</w:t>
      </w:r>
      <w:r>
        <w:rPr>
          <w:rFonts w:hint="default" w:ascii="Times New Roman" w:hAnsi="Times New Roman" w:cs="Times New Roman"/>
          <w:sz w:val="24"/>
          <w:szCs w:val="24"/>
          <w:lang w:eastAsia="zh-CN"/>
        </w:rPr>
        <w:t>风险物质的</w:t>
      </w:r>
      <w:r>
        <w:rPr>
          <w:rFonts w:hint="default" w:ascii="Times New Roman" w:hAnsi="Times New Roman" w:cs="Times New Roman"/>
          <w:sz w:val="24"/>
          <w:szCs w:val="24"/>
        </w:rPr>
        <w:t>存在量，t；</w:t>
      </w:r>
    </w:p>
    <w:p>
      <w:pPr>
        <w:adjustRightInd w:val="0"/>
        <w:snapToGrid w:val="0"/>
        <w:spacing w:line="360" w:lineRule="auto"/>
        <w:ind w:firstLine="960" w:firstLineChars="400"/>
        <w:rPr>
          <w:rFonts w:hint="default" w:ascii="Times New Roman" w:hAnsi="Times New Roman" w:cs="Times New Roman"/>
          <w:sz w:val="24"/>
          <w:szCs w:val="24"/>
        </w:rPr>
      </w:pPr>
      <w:r>
        <w:rPr>
          <w:rFonts w:hint="default" w:ascii="Times New Roman" w:hAnsi="Times New Roman" w:cs="Times New Roman"/>
          <w:sz w:val="24"/>
          <w:szCs w:val="24"/>
          <w:lang w:val="en-US" w:eastAsia="zh-CN"/>
        </w:rPr>
        <w:t>W</w:t>
      </w:r>
      <w:r>
        <w:rPr>
          <w:rFonts w:hint="default" w:ascii="Times New Roman" w:hAnsi="Times New Roman" w:cs="Times New Roman"/>
          <w:sz w:val="24"/>
          <w:szCs w:val="24"/>
          <w:vertAlign w:val="subscript"/>
        </w:rPr>
        <w:t>1</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W</w:t>
      </w:r>
      <w:r>
        <w:rPr>
          <w:rFonts w:hint="default" w:ascii="Times New Roman" w:hAnsi="Times New Roman" w:cs="Times New Roman"/>
          <w:sz w:val="24"/>
          <w:szCs w:val="24"/>
          <w:vertAlign w:val="subscript"/>
        </w:rPr>
        <w:t>2</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W</w:t>
      </w:r>
      <w:r>
        <w:rPr>
          <w:rFonts w:hint="default" w:ascii="Times New Roman" w:hAnsi="Times New Roman" w:cs="Times New Roman"/>
          <w:sz w:val="24"/>
          <w:szCs w:val="24"/>
          <w:vertAlign w:val="subscript"/>
        </w:rPr>
        <w:t>3</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W</w:t>
      </w:r>
      <w:r>
        <w:rPr>
          <w:rFonts w:hint="default" w:ascii="Times New Roman" w:hAnsi="Times New Roman" w:cs="Times New Roman"/>
          <w:sz w:val="24"/>
          <w:szCs w:val="24"/>
        </w:rPr>
        <w:t>n——</w:t>
      </w:r>
      <w:r>
        <w:rPr>
          <w:rFonts w:hint="default" w:ascii="Times New Roman" w:hAnsi="Times New Roman" w:cs="Times New Roman"/>
          <w:sz w:val="24"/>
          <w:szCs w:val="24"/>
          <w:lang w:eastAsia="zh-CN"/>
        </w:rPr>
        <w:t>每种风险物质的</w:t>
      </w:r>
      <w:r>
        <w:rPr>
          <w:rFonts w:hint="default" w:ascii="Times New Roman" w:hAnsi="Times New Roman" w:cs="Times New Roman"/>
          <w:sz w:val="24"/>
          <w:szCs w:val="24"/>
        </w:rPr>
        <w:t>临界量，t。</w:t>
      </w:r>
    </w:p>
    <w:p>
      <w:pPr>
        <w:pStyle w:val="16"/>
        <w:spacing w:line="360" w:lineRule="auto"/>
        <w:rPr>
          <w:rFonts w:hint="default" w:ascii="Times New Roman" w:hAnsi="Times New Roman" w:eastAsia="宋体" w:cs="Times New Roman"/>
          <w:sz w:val="24"/>
          <w:szCs w:val="24"/>
          <w:lang w:val="en-US" w:eastAsia="zh-CN"/>
        </w:rPr>
      </w:pPr>
      <w:r>
        <w:rPr>
          <w:rFonts w:hint="default" w:ascii="Times New Roman" w:hAnsi="Times New Roman" w:cs="Times New Roman"/>
          <w:sz w:val="24"/>
          <w:szCs w:val="24"/>
          <w:lang w:eastAsia="zh-CN"/>
        </w:rPr>
        <w:t>按照数值大小，将</w:t>
      </w:r>
      <w:r>
        <w:rPr>
          <w:rFonts w:hint="default" w:ascii="Times New Roman" w:hAnsi="Times New Roman" w:cs="Times New Roman"/>
          <w:sz w:val="24"/>
          <w:szCs w:val="24"/>
          <w:lang w:val="en-US" w:eastAsia="zh-CN"/>
        </w:rPr>
        <w:t>Q划分为4个水平：</w:t>
      </w:r>
    </w:p>
    <w:p>
      <w:pPr>
        <w:adjustRightInd w:val="0"/>
        <w:snapToGrid w:val="0"/>
        <w:spacing w:line="360" w:lineRule="auto"/>
        <w:ind w:firstLine="480" w:firstLineChars="200"/>
        <w:rPr>
          <w:rFonts w:hint="default" w:ascii="Times New Roman" w:hAnsi="Times New Roman" w:eastAsia="宋体" w:cs="Times New Roman"/>
          <w:sz w:val="24"/>
          <w:szCs w:val="24"/>
          <w:lang w:eastAsia="zh-CN"/>
        </w:rPr>
      </w:pPr>
      <w:r>
        <w:rPr>
          <w:rFonts w:hint="default" w:ascii="Times New Roman" w:hAnsi="Times New Roman" w:cs="Times New Roman"/>
          <w:sz w:val="24"/>
          <w:szCs w:val="24"/>
          <w:lang w:eastAsia="zh-CN"/>
        </w:rPr>
        <w:t>（</w:t>
      </w:r>
      <w:r>
        <w:rPr>
          <w:rFonts w:hint="default" w:ascii="Times New Roman" w:hAnsi="Times New Roman" w:cs="Times New Roman"/>
          <w:sz w:val="24"/>
          <w:szCs w:val="24"/>
          <w:lang w:val="en-US" w:eastAsia="zh-CN"/>
        </w:rPr>
        <w:t>1</w:t>
      </w:r>
      <w:r>
        <w:rPr>
          <w:rFonts w:hint="default" w:ascii="Times New Roman" w:hAnsi="Times New Roman" w:cs="Times New Roman"/>
          <w:sz w:val="24"/>
          <w:szCs w:val="24"/>
          <w:lang w:eastAsia="zh-CN"/>
        </w:rPr>
        <w:t>）</w:t>
      </w:r>
      <w:r>
        <w:rPr>
          <w:rFonts w:hint="default" w:ascii="Times New Roman" w:hAnsi="Times New Roman" w:cs="Times New Roman"/>
          <w:sz w:val="24"/>
          <w:szCs w:val="24"/>
        </w:rPr>
        <w:t>Q＜1时，</w:t>
      </w:r>
      <w:r>
        <w:rPr>
          <w:rFonts w:hint="default" w:ascii="Times New Roman" w:hAnsi="Times New Roman" w:cs="Times New Roman"/>
          <w:sz w:val="24"/>
          <w:szCs w:val="24"/>
          <w:lang w:eastAsia="zh-CN"/>
        </w:rPr>
        <w:t>以</w:t>
      </w:r>
      <w:r>
        <w:rPr>
          <w:rFonts w:hint="default" w:ascii="Times New Roman" w:hAnsi="Times New Roman" w:cs="Times New Roman"/>
          <w:sz w:val="24"/>
          <w:szCs w:val="24"/>
          <w:lang w:val="en-US" w:eastAsia="zh-CN"/>
        </w:rPr>
        <w:t>Q0表示，</w:t>
      </w:r>
      <w:r>
        <w:rPr>
          <w:rFonts w:hint="default" w:ascii="Times New Roman" w:hAnsi="Times New Roman" w:cs="Times New Roman"/>
          <w:sz w:val="24"/>
          <w:szCs w:val="24"/>
        </w:rPr>
        <w:t>企业直接评估为一般环境风险</w:t>
      </w:r>
      <w:r>
        <w:rPr>
          <w:rFonts w:hint="default" w:ascii="Times New Roman" w:hAnsi="Times New Roman" w:cs="Times New Roman"/>
          <w:sz w:val="24"/>
          <w:szCs w:val="24"/>
          <w:lang w:eastAsia="zh-CN"/>
        </w:rPr>
        <w:t>等级；</w:t>
      </w:r>
    </w:p>
    <w:p>
      <w:pPr>
        <w:adjustRightInd w:val="0"/>
        <w:snapToGrid w:val="0"/>
        <w:spacing w:line="360" w:lineRule="auto"/>
        <w:ind w:firstLine="480" w:firstLineChars="200"/>
        <w:rPr>
          <w:rFonts w:hint="default" w:ascii="Times New Roman" w:hAnsi="Times New Roman" w:eastAsia="宋体" w:cs="Times New Roman"/>
          <w:sz w:val="24"/>
          <w:szCs w:val="24"/>
          <w:lang w:val="en-US" w:eastAsia="zh-CN"/>
        </w:rPr>
      </w:pPr>
      <w:r>
        <w:rPr>
          <w:rFonts w:hint="default" w:ascii="Times New Roman" w:hAnsi="Times New Roman" w:cs="Times New Roman"/>
          <w:sz w:val="24"/>
          <w:szCs w:val="24"/>
          <w:lang w:eastAsia="zh-CN"/>
        </w:rPr>
        <w:t>（</w:t>
      </w:r>
      <w:r>
        <w:rPr>
          <w:rFonts w:hint="default" w:ascii="Times New Roman" w:hAnsi="Times New Roman" w:cs="Times New Roman"/>
          <w:sz w:val="24"/>
          <w:szCs w:val="24"/>
          <w:lang w:val="en-US" w:eastAsia="zh-CN"/>
        </w:rPr>
        <w:t>2</w:t>
      </w:r>
      <w:r>
        <w:rPr>
          <w:rFonts w:hint="default" w:ascii="Times New Roman" w:hAnsi="Times New Roman" w:cs="Times New Roman"/>
          <w:sz w:val="24"/>
          <w:szCs w:val="24"/>
          <w:lang w:eastAsia="zh-CN"/>
        </w:rPr>
        <w:t>）</w:t>
      </w:r>
      <w:r>
        <w:rPr>
          <w:rFonts w:hint="default" w:ascii="Times New Roman" w:hAnsi="Times New Roman" w:cs="Times New Roman"/>
          <w:sz w:val="24"/>
          <w:szCs w:val="24"/>
          <w:lang w:val="en-US" w:eastAsia="zh-CN"/>
        </w:rPr>
        <w:t>1</w:t>
      </w:r>
      <w:r>
        <w:rPr>
          <w:rFonts w:hint="default" w:ascii="Times New Roman" w:hAnsi="Times New Roman" w:cs="Times New Roman"/>
          <w:sz w:val="24"/>
          <w:szCs w:val="24"/>
        </w:rPr>
        <w:t>≤Q＜10</w:t>
      </w:r>
      <w:r>
        <w:rPr>
          <w:rFonts w:hint="default" w:ascii="Times New Roman" w:hAnsi="Times New Roman" w:cs="Times New Roman"/>
          <w:sz w:val="24"/>
          <w:szCs w:val="24"/>
          <w:lang w:val="en-US" w:eastAsia="zh-CN"/>
        </w:rPr>
        <w:t>，以Q1表示；</w:t>
      </w:r>
    </w:p>
    <w:p>
      <w:pPr>
        <w:adjustRightInd w:val="0"/>
        <w:snapToGrid w:val="0"/>
        <w:spacing w:line="360" w:lineRule="auto"/>
        <w:ind w:firstLine="480" w:firstLineChars="200"/>
        <w:rPr>
          <w:rFonts w:hint="default" w:ascii="Times New Roman" w:hAnsi="Times New Roman" w:cs="Times New Roman"/>
          <w:sz w:val="24"/>
          <w:szCs w:val="24"/>
          <w:lang w:val="en-US" w:eastAsia="zh-CN"/>
        </w:rPr>
      </w:pP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3</w:t>
      </w:r>
      <w:r>
        <w:rPr>
          <w:rFonts w:hint="default" w:ascii="Times New Roman" w:hAnsi="Times New Roman" w:cs="Times New Roman"/>
          <w:sz w:val="24"/>
          <w:szCs w:val="24"/>
        </w:rPr>
        <w:t>）10≤Q＜100</w:t>
      </w:r>
      <w:r>
        <w:rPr>
          <w:rFonts w:hint="default" w:ascii="Times New Roman" w:hAnsi="Times New Roman" w:cs="Times New Roman"/>
          <w:sz w:val="24"/>
          <w:szCs w:val="24"/>
          <w:lang w:eastAsia="zh-CN"/>
        </w:rPr>
        <w:t>，以</w:t>
      </w:r>
      <w:r>
        <w:rPr>
          <w:rFonts w:hint="default" w:ascii="Times New Roman" w:hAnsi="Times New Roman" w:cs="Times New Roman"/>
          <w:sz w:val="24"/>
          <w:szCs w:val="24"/>
          <w:lang w:val="en-US" w:eastAsia="zh-CN"/>
        </w:rPr>
        <w:t>Q2表示；</w:t>
      </w:r>
    </w:p>
    <w:p>
      <w:pPr>
        <w:numPr>
          <w:ilvl w:val="0"/>
          <w:numId w:val="0"/>
        </w:numPr>
        <w:adjustRightInd w:val="0"/>
        <w:snapToGrid w:val="0"/>
        <w:spacing w:line="360" w:lineRule="auto"/>
        <w:ind w:left="0" w:leftChars="0" w:firstLine="480" w:firstLineChars="200"/>
        <w:rPr>
          <w:rFonts w:hint="default" w:ascii="Times New Roman" w:hAnsi="Times New Roman" w:cs="Times New Roman"/>
          <w:sz w:val="24"/>
          <w:szCs w:val="24"/>
          <w:lang w:val="en-US" w:eastAsia="zh-CN"/>
        </w:rPr>
      </w:pPr>
      <w:r>
        <w:rPr>
          <w:rFonts w:hint="default" w:ascii="Times New Roman" w:hAnsi="Times New Roman" w:cs="Times New Roman"/>
          <w:sz w:val="24"/>
          <w:szCs w:val="24"/>
          <w:lang w:eastAsia="zh-CN"/>
        </w:rPr>
        <w:t>（</w:t>
      </w:r>
      <w:r>
        <w:rPr>
          <w:rFonts w:hint="default" w:ascii="Times New Roman" w:hAnsi="Times New Roman" w:cs="Times New Roman"/>
          <w:sz w:val="24"/>
          <w:szCs w:val="24"/>
          <w:lang w:val="en-US" w:eastAsia="zh-CN"/>
        </w:rPr>
        <w:t>4</w:t>
      </w:r>
      <w:r>
        <w:rPr>
          <w:rFonts w:hint="default" w:ascii="Times New Roman" w:hAnsi="Times New Roman" w:cs="Times New Roman"/>
          <w:sz w:val="24"/>
          <w:szCs w:val="24"/>
          <w:lang w:eastAsia="zh-CN"/>
        </w:rPr>
        <w:t>）</w:t>
      </w:r>
      <w:r>
        <w:rPr>
          <w:rFonts w:hint="default" w:ascii="Times New Roman" w:hAnsi="Times New Roman" w:cs="Times New Roman"/>
          <w:sz w:val="24"/>
          <w:szCs w:val="24"/>
        </w:rPr>
        <w:t>Q≥100</w:t>
      </w:r>
      <w:r>
        <w:rPr>
          <w:rFonts w:hint="default" w:ascii="Times New Roman" w:hAnsi="Times New Roman" w:cs="Times New Roman"/>
          <w:sz w:val="24"/>
          <w:szCs w:val="24"/>
          <w:lang w:val="en-US" w:eastAsia="zh-CN"/>
        </w:rPr>
        <w:t>，以Q3表示。</w:t>
      </w:r>
    </w:p>
    <w:p>
      <w:pPr>
        <w:adjustRightInd w:val="0"/>
        <w:snapToGrid w:val="0"/>
        <w:spacing w:line="360" w:lineRule="auto"/>
        <w:ind w:firstLine="480" w:firstLineChars="200"/>
        <w:rPr>
          <w:rFonts w:hint="default" w:ascii="Times New Roman" w:hAnsi="Times New Roman" w:cs="Times New Roman"/>
          <w:sz w:val="24"/>
          <w:szCs w:val="24"/>
          <w:highlight w:val="none"/>
          <w:lang w:val="en-US" w:eastAsia="zh-CN"/>
        </w:rPr>
      </w:pPr>
      <w:r>
        <w:rPr>
          <w:color w:val="auto"/>
          <w:kern w:val="0"/>
          <w:sz w:val="24"/>
          <w:szCs w:val="24"/>
          <w:highlight w:val="none"/>
        </w:rPr>
        <w:t>根据以上评估原则，本</w:t>
      </w:r>
      <w:r>
        <w:rPr>
          <w:rFonts w:hint="eastAsia"/>
          <w:color w:val="auto"/>
          <w:kern w:val="0"/>
          <w:sz w:val="24"/>
          <w:szCs w:val="24"/>
          <w:highlight w:val="none"/>
          <w:lang w:eastAsia="zh-CN"/>
        </w:rPr>
        <w:t>厂区没有</w:t>
      </w:r>
      <w:r>
        <w:rPr>
          <w:color w:val="auto"/>
          <w:kern w:val="0"/>
          <w:sz w:val="24"/>
          <w:szCs w:val="24"/>
          <w:highlight w:val="none"/>
        </w:rPr>
        <w:t>涉气环境风险物质</w:t>
      </w:r>
      <w:r>
        <w:rPr>
          <w:rFonts w:hint="default" w:ascii="Times New Roman" w:hAnsi="Times New Roman" w:cs="Times New Roman"/>
          <w:sz w:val="24"/>
          <w:szCs w:val="24"/>
          <w:highlight w:val="none"/>
        </w:rPr>
        <w:t>，</w:t>
      </w:r>
      <w:r>
        <w:rPr>
          <w:rFonts w:hint="default" w:ascii="Times New Roman" w:hAnsi="Times New Roman" w:cs="Times New Roman"/>
          <w:sz w:val="24"/>
          <w:szCs w:val="24"/>
          <w:highlight w:val="none"/>
          <w:lang w:val="en-US" w:eastAsia="zh-CN"/>
        </w:rPr>
        <w:t>因此</w:t>
      </w:r>
      <w:r>
        <w:rPr>
          <w:rFonts w:hint="eastAsia" w:ascii="Times New Roman" w:hAnsi="Times New Roman" w:cs="Times New Roman"/>
          <w:sz w:val="24"/>
          <w:szCs w:val="24"/>
          <w:highlight w:val="none"/>
          <w:lang w:val="en-US" w:eastAsia="zh-CN"/>
        </w:rPr>
        <w:t>南昌慧华高科混凝土有限公司</w:t>
      </w:r>
      <w:r>
        <w:rPr>
          <w:rFonts w:hint="default" w:ascii="Times New Roman" w:hAnsi="Times New Roman" w:cs="Times New Roman"/>
          <w:sz w:val="24"/>
          <w:szCs w:val="24"/>
          <w:highlight w:val="none"/>
          <w:lang w:val="en-US" w:eastAsia="zh-CN"/>
        </w:rPr>
        <w:t>突发</w:t>
      </w:r>
      <w:r>
        <w:rPr>
          <w:rFonts w:hint="eastAsia" w:ascii="Times New Roman" w:hAnsi="Times New Roman" w:cs="Times New Roman"/>
          <w:sz w:val="24"/>
          <w:szCs w:val="24"/>
          <w:highlight w:val="none"/>
          <w:lang w:val="en-US" w:eastAsia="zh-CN"/>
        </w:rPr>
        <w:t>大气</w:t>
      </w:r>
      <w:r>
        <w:rPr>
          <w:rFonts w:hint="default" w:ascii="Times New Roman" w:hAnsi="Times New Roman" w:cs="Times New Roman"/>
          <w:sz w:val="24"/>
          <w:szCs w:val="24"/>
          <w:highlight w:val="none"/>
          <w:lang w:val="en-US" w:eastAsia="zh-CN"/>
        </w:rPr>
        <w:t>环境事件风险等级为一般环境风险。</w:t>
      </w:r>
    </w:p>
    <w:p>
      <w:pPr>
        <w:pStyle w:val="4"/>
        <w:numPr>
          <w:ilvl w:val="1"/>
          <w:numId w:val="0"/>
        </w:numPr>
        <w:ind w:leftChars="0"/>
        <w:rPr>
          <w:rFonts w:hint="default" w:ascii="Times New Roman" w:hAnsi="Times New Roman" w:cs="Times New Roman"/>
          <w:b/>
          <w:bCs/>
          <w:sz w:val="24"/>
          <w:szCs w:val="24"/>
          <w:lang w:eastAsia="zh-CN"/>
        </w:rPr>
      </w:pPr>
      <w:bookmarkStart w:id="74" w:name="_Toc9023"/>
      <w:bookmarkStart w:id="75" w:name="_Toc10109"/>
      <w:bookmarkStart w:id="76" w:name="_Toc18193"/>
      <w:bookmarkStart w:id="77" w:name="_Toc31862"/>
      <w:bookmarkStart w:id="78" w:name="_Toc7826"/>
      <w:r>
        <w:rPr>
          <w:rFonts w:hint="eastAsia" w:ascii="Times New Roman" w:hAnsi="Times New Roman" w:cs="Times New Roman"/>
          <w:b/>
          <w:bCs/>
          <w:sz w:val="24"/>
          <w:szCs w:val="24"/>
          <w:lang w:val="en-US" w:eastAsia="zh-CN"/>
        </w:rPr>
        <w:t>7</w:t>
      </w:r>
      <w:r>
        <w:rPr>
          <w:rFonts w:hint="default" w:ascii="Times New Roman" w:hAnsi="Times New Roman" w:cs="Times New Roman"/>
          <w:b/>
          <w:bCs/>
          <w:sz w:val="24"/>
          <w:szCs w:val="24"/>
          <w:lang w:val="en-US" w:eastAsia="zh-CN"/>
        </w:rPr>
        <w:t>.2</w:t>
      </w:r>
      <w:r>
        <w:rPr>
          <w:rFonts w:hint="default" w:ascii="Times New Roman" w:hAnsi="Times New Roman" w:cs="Times New Roman"/>
          <w:b/>
          <w:bCs/>
          <w:sz w:val="24"/>
          <w:szCs w:val="24"/>
          <w:lang w:eastAsia="zh-CN"/>
        </w:rPr>
        <w:t>突发水环境事件风险风级</w:t>
      </w:r>
      <w:bookmarkEnd w:id="74"/>
      <w:bookmarkEnd w:id="75"/>
      <w:bookmarkEnd w:id="76"/>
      <w:bookmarkEnd w:id="77"/>
      <w:bookmarkEnd w:id="78"/>
    </w:p>
    <w:p>
      <w:pPr>
        <w:pStyle w:val="6"/>
        <w:numPr>
          <w:ilvl w:val="2"/>
          <w:numId w:val="0"/>
        </w:numPr>
        <w:ind w:leftChars="0"/>
        <w:rPr>
          <w:rFonts w:hint="default" w:ascii="Times New Roman" w:hAnsi="Times New Roman" w:cs="Times New Roman"/>
          <w:sz w:val="24"/>
          <w:szCs w:val="24"/>
        </w:rPr>
      </w:pPr>
      <w:bookmarkStart w:id="79" w:name="_Toc15154"/>
      <w:bookmarkStart w:id="80" w:name="_Toc22449"/>
      <w:bookmarkStart w:id="81" w:name="_Toc11690"/>
      <w:r>
        <w:rPr>
          <w:rFonts w:hint="eastAsia" w:ascii="Times New Roman" w:hAnsi="Times New Roman" w:cs="Times New Roman"/>
          <w:sz w:val="24"/>
          <w:szCs w:val="24"/>
          <w:lang w:val="en-US" w:eastAsia="zh-CN"/>
        </w:rPr>
        <w:t>7</w:t>
      </w:r>
      <w:r>
        <w:rPr>
          <w:rFonts w:hint="default" w:ascii="Times New Roman" w:hAnsi="Times New Roman" w:cs="Times New Roman"/>
          <w:sz w:val="24"/>
          <w:szCs w:val="24"/>
          <w:lang w:val="en-US" w:eastAsia="zh-CN"/>
        </w:rPr>
        <w:t>.2.1</w:t>
      </w:r>
      <w:r>
        <w:rPr>
          <w:rFonts w:hint="default" w:ascii="Times New Roman" w:hAnsi="Times New Roman" w:cs="Times New Roman"/>
          <w:sz w:val="24"/>
          <w:szCs w:val="24"/>
        </w:rPr>
        <w:t xml:space="preserve"> </w:t>
      </w:r>
      <w:r>
        <w:rPr>
          <w:rFonts w:hint="default" w:ascii="Times New Roman" w:hAnsi="Times New Roman" w:cs="Times New Roman"/>
          <w:sz w:val="24"/>
          <w:szCs w:val="24"/>
          <w:lang w:eastAsia="zh-CN"/>
        </w:rPr>
        <w:t>计算涉水</w:t>
      </w:r>
      <w:r>
        <w:rPr>
          <w:rFonts w:hint="default" w:ascii="Times New Roman" w:hAnsi="Times New Roman" w:cs="Times New Roman"/>
          <w:sz w:val="24"/>
          <w:szCs w:val="24"/>
        </w:rPr>
        <w:t>风险物质数量与临界量比值（Q）</w:t>
      </w:r>
      <w:bookmarkEnd w:id="79"/>
      <w:bookmarkEnd w:id="80"/>
      <w:bookmarkEnd w:id="81"/>
    </w:p>
    <w:p>
      <w:pPr>
        <w:adjustRightInd w:val="0"/>
        <w:snapToGrid w:val="0"/>
        <w:spacing w:line="360" w:lineRule="auto"/>
        <w:ind w:firstLine="480" w:firstLineChars="200"/>
        <w:rPr>
          <w:rFonts w:hint="default" w:ascii="Times New Roman" w:hAnsi="Times New Roman" w:cs="Times New Roman"/>
          <w:sz w:val="24"/>
          <w:szCs w:val="24"/>
        </w:rPr>
      </w:pPr>
      <w:r>
        <w:rPr>
          <w:rFonts w:hint="default" w:ascii="Times New Roman" w:hAnsi="Times New Roman" w:cs="Times New Roman"/>
          <w:sz w:val="24"/>
          <w:szCs w:val="24"/>
          <w:lang w:eastAsia="zh-CN"/>
        </w:rPr>
        <w:t>根据《企业突发环境事件风险分级方法》（</w:t>
      </w:r>
      <w:r>
        <w:rPr>
          <w:rFonts w:hint="default" w:ascii="Times New Roman" w:hAnsi="Times New Roman" w:cs="Times New Roman"/>
          <w:sz w:val="24"/>
          <w:szCs w:val="24"/>
          <w:lang w:val="en-US" w:eastAsia="zh-CN"/>
        </w:rPr>
        <w:t>HJ941-2018</w:t>
      </w:r>
      <w:r>
        <w:rPr>
          <w:rFonts w:hint="default" w:ascii="Times New Roman" w:hAnsi="Times New Roman" w:cs="Times New Roman"/>
          <w:sz w:val="24"/>
          <w:szCs w:val="24"/>
          <w:lang w:eastAsia="zh-CN"/>
        </w:rPr>
        <w:t>），判断企业生产原料、产品、中间产品、副产品、催化剂、辅助生产物料、燃料、“三废物”污染物等是否涉及水环境风险物质，计算涉水风险物质（混合或稀释的风险物质按其组分比例折算成纯物质）与其在附录</w:t>
      </w:r>
      <w:r>
        <w:rPr>
          <w:rFonts w:hint="default" w:ascii="Times New Roman" w:hAnsi="Times New Roman" w:cs="Times New Roman"/>
          <w:sz w:val="24"/>
          <w:szCs w:val="24"/>
          <w:lang w:val="en-US" w:eastAsia="zh-CN"/>
        </w:rPr>
        <w:t>A</w:t>
      </w:r>
      <w:r>
        <w:rPr>
          <w:rFonts w:hint="default" w:ascii="Times New Roman" w:hAnsi="Times New Roman" w:cs="Times New Roman"/>
          <w:sz w:val="24"/>
          <w:szCs w:val="24"/>
          <w:lang w:eastAsia="zh-CN"/>
        </w:rPr>
        <w:t>临界量的比值（Q）。</w:t>
      </w:r>
    </w:p>
    <w:p>
      <w:pPr>
        <w:adjustRightInd w:val="0"/>
        <w:snapToGrid w:val="0"/>
        <w:spacing w:line="360" w:lineRule="auto"/>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当企业只涉及一种风险物质时，该物质的总数量与其临界量的比值，即为Q。</w:t>
      </w:r>
    </w:p>
    <w:p>
      <w:pPr>
        <w:adjustRightInd w:val="0"/>
        <w:snapToGrid w:val="0"/>
        <w:spacing w:line="360" w:lineRule="auto"/>
        <w:ind w:firstLine="480" w:firstLineChars="200"/>
        <w:rPr>
          <w:rFonts w:hint="default" w:ascii="Times New Roman" w:hAnsi="Times New Roman" w:cs="Times New Roman"/>
          <w:sz w:val="24"/>
          <w:szCs w:val="24"/>
        </w:rPr>
      </w:pPr>
      <w:r>
        <w:rPr>
          <w:rFonts w:hint="default" w:ascii="Times New Roman" w:hAnsi="Times New Roman" w:cs="Times New Roman"/>
          <w:sz w:val="24"/>
          <w:szCs w:val="24"/>
          <w:lang w:eastAsia="zh-CN"/>
        </w:rPr>
        <w:t>当企业</w:t>
      </w:r>
      <w:r>
        <w:rPr>
          <w:rFonts w:hint="default" w:ascii="Times New Roman" w:hAnsi="Times New Roman" w:cs="Times New Roman"/>
          <w:sz w:val="24"/>
          <w:szCs w:val="24"/>
        </w:rPr>
        <w:t>存在</w:t>
      </w:r>
      <w:r>
        <w:rPr>
          <w:rFonts w:hint="default" w:ascii="Times New Roman" w:hAnsi="Times New Roman" w:cs="Times New Roman"/>
          <w:sz w:val="24"/>
          <w:szCs w:val="24"/>
          <w:lang w:eastAsia="zh-CN"/>
        </w:rPr>
        <w:t>多种风险物质</w:t>
      </w:r>
      <w:r>
        <w:rPr>
          <w:rFonts w:hint="default" w:ascii="Times New Roman" w:hAnsi="Times New Roman" w:cs="Times New Roman"/>
          <w:sz w:val="24"/>
          <w:szCs w:val="24"/>
        </w:rPr>
        <w:t>时，则按式</w:t>
      </w:r>
      <w:r>
        <w:rPr>
          <w:rFonts w:hint="default" w:ascii="Times New Roman" w:hAnsi="Times New Roman" w:cs="Times New Roman"/>
          <w:sz w:val="24"/>
          <w:szCs w:val="24"/>
          <w:lang w:eastAsia="zh-CN"/>
        </w:rPr>
        <w:t>（</w:t>
      </w:r>
      <w:r>
        <w:rPr>
          <w:rFonts w:hint="default" w:ascii="Times New Roman" w:hAnsi="Times New Roman" w:cs="Times New Roman"/>
          <w:sz w:val="24"/>
          <w:szCs w:val="24"/>
          <w:lang w:val="en-US" w:eastAsia="zh-CN"/>
        </w:rPr>
        <w:t>1</w:t>
      </w:r>
      <w:r>
        <w:rPr>
          <w:rFonts w:hint="default" w:ascii="Times New Roman" w:hAnsi="Times New Roman" w:cs="Times New Roman"/>
          <w:sz w:val="24"/>
          <w:szCs w:val="24"/>
          <w:lang w:eastAsia="zh-CN"/>
        </w:rPr>
        <w:t>）</w:t>
      </w:r>
      <w:r>
        <w:rPr>
          <w:rFonts w:hint="default" w:ascii="Times New Roman" w:hAnsi="Times New Roman" w:cs="Times New Roman"/>
          <w:sz w:val="24"/>
          <w:szCs w:val="24"/>
        </w:rPr>
        <w:t>计算：</w:t>
      </w:r>
    </w:p>
    <w:p>
      <w:pPr>
        <w:adjustRightInd w:val="0"/>
        <w:snapToGrid w:val="0"/>
        <w:spacing w:line="360" w:lineRule="auto"/>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drawing>
          <wp:inline distT="0" distB="0" distL="114300" distR="114300">
            <wp:extent cx="5276850" cy="545465"/>
            <wp:effectExtent l="0" t="0" r="0" b="6985"/>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8"/>
                    <a:srcRect b="73239"/>
                    <a:stretch>
                      <a:fillRect/>
                    </a:stretch>
                  </pic:blipFill>
                  <pic:spPr>
                    <a:xfrm>
                      <a:off x="0" y="0"/>
                      <a:ext cx="5276850" cy="545465"/>
                    </a:xfrm>
                    <a:prstGeom prst="rect">
                      <a:avLst/>
                    </a:prstGeom>
                    <a:noFill/>
                    <a:ln>
                      <a:noFill/>
                    </a:ln>
                  </pic:spPr>
                </pic:pic>
              </a:graphicData>
            </a:graphic>
          </wp:inline>
        </w:drawing>
      </w:r>
    </w:p>
    <w:p>
      <w:pPr>
        <w:adjustRightInd w:val="0"/>
        <w:snapToGrid w:val="0"/>
        <w:spacing w:line="360" w:lineRule="auto"/>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式中</w:t>
      </w:r>
      <w:r>
        <w:rPr>
          <w:rFonts w:hint="default" w:ascii="Times New Roman" w:hAnsi="Times New Roman" w:cs="Times New Roman"/>
          <w:sz w:val="24"/>
          <w:szCs w:val="24"/>
          <w:lang w:val="en-US" w:eastAsia="zh-CN"/>
        </w:rPr>
        <w:t>w</w:t>
      </w:r>
      <w:r>
        <w:rPr>
          <w:rFonts w:hint="default" w:ascii="Times New Roman" w:hAnsi="Times New Roman" w:cs="Times New Roman"/>
          <w:sz w:val="24"/>
          <w:szCs w:val="24"/>
          <w:vertAlign w:val="subscript"/>
        </w:rPr>
        <w:t>1</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w</w:t>
      </w:r>
      <w:r>
        <w:rPr>
          <w:rFonts w:hint="default" w:ascii="Times New Roman" w:hAnsi="Times New Roman" w:cs="Times New Roman"/>
          <w:sz w:val="24"/>
          <w:szCs w:val="24"/>
          <w:vertAlign w:val="subscript"/>
        </w:rPr>
        <w:t>2</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w</w:t>
      </w:r>
      <w:r>
        <w:rPr>
          <w:rFonts w:hint="default" w:ascii="Times New Roman" w:hAnsi="Times New Roman" w:cs="Times New Roman"/>
          <w:sz w:val="24"/>
          <w:szCs w:val="24"/>
          <w:vertAlign w:val="subscript"/>
        </w:rPr>
        <w:t>3</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w</w:t>
      </w:r>
      <w:r>
        <w:rPr>
          <w:rFonts w:hint="default" w:ascii="Times New Roman" w:hAnsi="Times New Roman" w:cs="Times New Roman"/>
          <w:sz w:val="24"/>
          <w:szCs w:val="24"/>
          <w:vertAlign w:val="subscript"/>
        </w:rPr>
        <w:t>n</w:t>
      </w:r>
      <w:r>
        <w:rPr>
          <w:rFonts w:hint="default" w:ascii="Times New Roman" w:hAnsi="Times New Roman" w:cs="Times New Roman"/>
          <w:sz w:val="24"/>
          <w:szCs w:val="24"/>
        </w:rPr>
        <w:t>——每种</w:t>
      </w:r>
      <w:r>
        <w:rPr>
          <w:rFonts w:hint="default" w:ascii="Times New Roman" w:hAnsi="Times New Roman" w:cs="Times New Roman"/>
          <w:sz w:val="24"/>
          <w:szCs w:val="24"/>
          <w:lang w:eastAsia="zh-CN"/>
        </w:rPr>
        <w:t>风险物质的</w:t>
      </w:r>
      <w:r>
        <w:rPr>
          <w:rFonts w:hint="default" w:ascii="Times New Roman" w:hAnsi="Times New Roman" w:cs="Times New Roman"/>
          <w:sz w:val="24"/>
          <w:szCs w:val="24"/>
        </w:rPr>
        <w:t>存在量，t；</w:t>
      </w:r>
    </w:p>
    <w:p>
      <w:pPr>
        <w:adjustRightInd w:val="0"/>
        <w:snapToGrid w:val="0"/>
        <w:spacing w:line="360" w:lineRule="auto"/>
        <w:ind w:firstLine="960" w:firstLineChars="400"/>
        <w:rPr>
          <w:rFonts w:hint="default" w:ascii="Times New Roman" w:hAnsi="Times New Roman" w:cs="Times New Roman"/>
          <w:sz w:val="24"/>
          <w:szCs w:val="24"/>
        </w:rPr>
      </w:pPr>
      <w:r>
        <w:rPr>
          <w:rFonts w:hint="default" w:ascii="Times New Roman" w:hAnsi="Times New Roman" w:cs="Times New Roman"/>
          <w:sz w:val="24"/>
          <w:szCs w:val="24"/>
          <w:lang w:val="en-US" w:eastAsia="zh-CN"/>
        </w:rPr>
        <w:t>W</w:t>
      </w:r>
      <w:r>
        <w:rPr>
          <w:rFonts w:hint="default" w:ascii="Times New Roman" w:hAnsi="Times New Roman" w:cs="Times New Roman"/>
          <w:sz w:val="24"/>
          <w:szCs w:val="24"/>
          <w:vertAlign w:val="subscript"/>
        </w:rPr>
        <w:t>1</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W</w:t>
      </w:r>
      <w:r>
        <w:rPr>
          <w:rFonts w:hint="default" w:ascii="Times New Roman" w:hAnsi="Times New Roman" w:cs="Times New Roman"/>
          <w:sz w:val="24"/>
          <w:szCs w:val="24"/>
          <w:vertAlign w:val="subscript"/>
        </w:rPr>
        <w:t>2</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W</w:t>
      </w:r>
      <w:r>
        <w:rPr>
          <w:rFonts w:hint="default" w:ascii="Times New Roman" w:hAnsi="Times New Roman" w:cs="Times New Roman"/>
          <w:sz w:val="24"/>
          <w:szCs w:val="24"/>
          <w:vertAlign w:val="subscript"/>
        </w:rPr>
        <w:t>3</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W</w:t>
      </w:r>
      <w:r>
        <w:rPr>
          <w:rFonts w:hint="default" w:ascii="Times New Roman" w:hAnsi="Times New Roman" w:cs="Times New Roman"/>
          <w:sz w:val="24"/>
          <w:szCs w:val="24"/>
        </w:rPr>
        <w:t>n——</w:t>
      </w:r>
      <w:r>
        <w:rPr>
          <w:rFonts w:hint="default" w:ascii="Times New Roman" w:hAnsi="Times New Roman" w:cs="Times New Roman"/>
          <w:sz w:val="24"/>
          <w:szCs w:val="24"/>
          <w:lang w:eastAsia="zh-CN"/>
        </w:rPr>
        <w:t>每种风险物质的</w:t>
      </w:r>
      <w:r>
        <w:rPr>
          <w:rFonts w:hint="default" w:ascii="Times New Roman" w:hAnsi="Times New Roman" w:cs="Times New Roman"/>
          <w:sz w:val="24"/>
          <w:szCs w:val="24"/>
        </w:rPr>
        <w:t>临界量，t。</w:t>
      </w:r>
    </w:p>
    <w:p>
      <w:pPr>
        <w:pStyle w:val="16"/>
        <w:spacing w:line="360" w:lineRule="auto"/>
        <w:rPr>
          <w:rFonts w:hint="default" w:ascii="Times New Roman" w:hAnsi="Times New Roman" w:eastAsia="宋体" w:cs="Times New Roman"/>
          <w:sz w:val="24"/>
          <w:szCs w:val="24"/>
          <w:lang w:val="en-US" w:eastAsia="zh-CN"/>
        </w:rPr>
      </w:pPr>
      <w:r>
        <w:rPr>
          <w:rFonts w:hint="default" w:ascii="Times New Roman" w:hAnsi="Times New Roman" w:cs="Times New Roman"/>
          <w:sz w:val="24"/>
          <w:szCs w:val="24"/>
          <w:lang w:eastAsia="zh-CN"/>
        </w:rPr>
        <w:t>按照数值大小，将</w:t>
      </w:r>
      <w:r>
        <w:rPr>
          <w:rFonts w:hint="default" w:ascii="Times New Roman" w:hAnsi="Times New Roman" w:cs="Times New Roman"/>
          <w:sz w:val="24"/>
          <w:szCs w:val="24"/>
          <w:lang w:val="en-US" w:eastAsia="zh-CN"/>
        </w:rPr>
        <w:t>Q划分为4个水平：</w:t>
      </w:r>
    </w:p>
    <w:p>
      <w:pPr>
        <w:adjustRightInd w:val="0"/>
        <w:snapToGrid w:val="0"/>
        <w:spacing w:line="360" w:lineRule="auto"/>
        <w:ind w:firstLine="480" w:firstLineChars="200"/>
        <w:rPr>
          <w:rFonts w:hint="default" w:ascii="Times New Roman" w:hAnsi="Times New Roman" w:eastAsia="宋体" w:cs="Times New Roman"/>
          <w:sz w:val="24"/>
          <w:szCs w:val="24"/>
          <w:lang w:eastAsia="zh-CN"/>
        </w:rPr>
      </w:pPr>
      <w:r>
        <w:rPr>
          <w:rFonts w:hint="default" w:ascii="Times New Roman" w:hAnsi="Times New Roman" w:cs="Times New Roman"/>
          <w:sz w:val="24"/>
          <w:szCs w:val="24"/>
          <w:lang w:eastAsia="zh-CN"/>
        </w:rPr>
        <w:t>（</w:t>
      </w:r>
      <w:r>
        <w:rPr>
          <w:rFonts w:hint="default" w:ascii="Times New Roman" w:hAnsi="Times New Roman" w:cs="Times New Roman"/>
          <w:sz w:val="24"/>
          <w:szCs w:val="24"/>
          <w:lang w:val="en-US" w:eastAsia="zh-CN"/>
        </w:rPr>
        <w:t>1</w:t>
      </w:r>
      <w:r>
        <w:rPr>
          <w:rFonts w:hint="default" w:ascii="Times New Roman" w:hAnsi="Times New Roman" w:cs="Times New Roman"/>
          <w:sz w:val="24"/>
          <w:szCs w:val="24"/>
          <w:lang w:eastAsia="zh-CN"/>
        </w:rPr>
        <w:t>）</w:t>
      </w:r>
      <w:r>
        <w:rPr>
          <w:rFonts w:hint="default" w:ascii="Times New Roman" w:hAnsi="Times New Roman" w:cs="Times New Roman"/>
          <w:sz w:val="24"/>
          <w:szCs w:val="24"/>
        </w:rPr>
        <w:t>Q＜1时，</w:t>
      </w:r>
      <w:r>
        <w:rPr>
          <w:rFonts w:hint="default" w:ascii="Times New Roman" w:hAnsi="Times New Roman" w:cs="Times New Roman"/>
          <w:sz w:val="24"/>
          <w:szCs w:val="24"/>
          <w:lang w:eastAsia="zh-CN"/>
        </w:rPr>
        <w:t>以</w:t>
      </w:r>
      <w:r>
        <w:rPr>
          <w:rFonts w:hint="default" w:ascii="Times New Roman" w:hAnsi="Times New Roman" w:cs="Times New Roman"/>
          <w:sz w:val="24"/>
          <w:szCs w:val="24"/>
          <w:lang w:val="en-US" w:eastAsia="zh-CN"/>
        </w:rPr>
        <w:t>Q0表示，</w:t>
      </w:r>
      <w:r>
        <w:rPr>
          <w:rFonts w:hint="default" w:ascii="Times New Roman" w:hAnsi="Times New Roman" w:cs="Times New Roman"/>
          <w:sz w:val="24"/>
          <w:szCs w:val="24"/>
        </w:rPr>
        <w:t>企业直接评估为一般环境风险</w:t>
      </w:r>
      <w:r>
        <w:rPr>
          <w:rFonts w:hint="default" w:ascii="Times New Roman" w:hAnsi="Times New Roman" w:cs="Times New Roman"/>
          <w:sz w:val="24"/>
          <w:szCs w:val="24"/>
          <w:lang w:eastAsia="zh-CN"/>
        </w:rPr>
        <w:t>等级；</w:t>
      </w:r>
    </w:p>
    <w:p>
      <w:pPr>
        <w:adjustRightInd w:val="0"/>
        <w:snapToGrid w:val="0"/>
        <w:spacing w:line="360" w:lineRule="auto"/>
        <w:ind w:firstLine="480" w:firstLineChars="200"/>
        <w:rPr>
          <w:rFonts w:hint="default" w:ascii="Times New Roman" w:hAnsi="Times New Roman" w:eastAsia="宋体" w:cs="Times New Roman"/>
          <w:sz w:val="24"/>
          <w:szCs w:val="24"/>
          <w:lang w:val="en-US" w:eastAsia="zh-CN"/>
        </w:rPr>
      </w:pPr>
      <w:r>
        <w:rPr>
          <w:rFonts w:hint="default" w:ascii="Times New Roman" w:hAnsi="Times New Roman" w:cs="Times New Roman"/>
          <w:sz w:val="24"/>
          <w:szCs w:val="24"/>
          <w:lang w:eastAsia="zh-CN"/>
        </w:rPr>
        <w:t>（</w:t>
      </w:r>
      <w:r>
        <w:rPr>
          <w:rFonts w:hint="default" w:ascii="Times New Roman" w:hAnsi="Times New Roman" w:cs="Times New Roman"/>
          <w:sz w:val="24"/>
          <w:szCs w:val="24"/>
          <w:lang w:val="en-US" w:eastAsia="zh-CN"/>
        </w:rPr>
        <w:t>2</w:t>
      </w:r>
      <w:r>
        <w:rPr>
          <w:rFonts w:hint="default" w:ascii="Times New Roman" w:hAnsi="Times New Roman" w:cs="Times New Roman"/>
          <w:sz w:val="24"/>
          <w:szCs w:val="24"/>
          <w:lang w:eastAsia="zh-CN"/>
        </w:rPr>
        <w:t>）</w:t>
      </w:r>
      <w:r>
        <w:rPr>
          <w:rFonts w:hint="default" w:ascii="Times New Roman" w:hAnsi="Times New Roman" w:cs="Times New Roman"/>
          <w:sz w:val="24"/>
          <w:szCs w:val="24"/>
          <w:lang w:val="en-US" w:eastAsia="zh-CN"/>
        </w:rPr>
        <w:t>1</w:t>
      </w:r>
      <w:r>
        <w:rPr>
          <w:rFonts w:hint="default" w:ascii="Times New Roman" w:hAnsi="Times New Roman" w:cs="Times New Roman"/>
          <w:sz w:val="24"/>
          <w:szCs w:val="24"/>
        </w:rPr>
        <w:t>≤Q＜10</w:t>
      </w:r>
      <w:r>
        <w:rPr>
          <w:rFonts w:hint="default" w:ascii="Times New Roman" w:hAnsi="Times New Roman" w:cs="Times New Roman"/>
          <w:sz w:val="24"/>
          <w:szCs w:val="24"/>
          <w:lang w:val="en-US" w:eastAsia="zh-CN"/>
        </w:rPr>
        <w:t>，以Q1表示；</w:t>
      </w:r>
    </w:p>
    <w:p>
      <w:pPr>
        <w:adjustRightInd w:val="0"/>
        <w:snapToGrid w:val="0"/>
        <w:spacing w:line="360" w:lineRule="auto"/>
        <w:ind w:firstLine="480" w:firstLineChars="200"/>
        <w:rPr>
          <w:rFonts w:hint="default" w:ascii="Times New Roman" w:hAnsi="Times New Roman" w:cs="Times New Roman"/>
          <w:sz w:val="24"/>
          <w:szCs w:val="24"/>
          <w:lang w:val="en-US" w:eastAsia="zh-CN"/>
        </w:rPr>
      </w:pP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3</w:t>
      </w:r>
      <w:r>
        <w:rPr>
          <w:rFonts w:hint="default" w:ascii="Times New Roman" w:hAnsi="Times New Roman" w:cs="Times New Roman"/>
          <w:sz w:val="24"/>
          <w:szCs w:val="24"/>
        </w:rPr>
        <w:t>）10≤Q＜100</w:t>
      </w:r>
      <w:r>
        <w:rPr>
          <w:rFonts w:hint="default" w:ascii="Times New Roman" w:hAnsi="Times New Roman" w:cs="Times New Roman"/>
          <w:sz w:val="24"/>
          <w:szCs w:val="24"/>
          <w:lang w:eastAsia="zh-CN"/>
        </w:rPr>
        <w:t>，以</w:t>
      </w:r>
      <w:r>
        <w:rPr>
          <w:rFonts w:hint="default" w:ascii="Times New Roman" w:hAnsi="Times New Roman" w:cs="Times New Roman"/>
          <w:sz w:val="24"/>
          <w:szCs w:val="24"/>
          <w:lang w:val="en-US" w:eastAsia="zh-CN"/>
        </w:rPr>
        <w:t>Q2表示；</w:t>
      </w:r>
    </w:p>
    <w:p>
      <w:pPr>
        <w:numPr>
          <w:ilvl w:val="0"/>
          <w:numId w:val="0"/>
        </w:numPr>
        <w:adjustRightInd w:val="0"/>
        <w:snapToGrid w:val="0"/>
        <w:spacing w:line="360" w:lineRule="auto"/>
        <w:ind w:left="0" w:leftChars="0" w:firstLine="480" w:firstLineChars="200"/>
        <w:rPr>
          <w:rFonts w:hint="default" w:ascii="Times New Roman" w:hAnsi="Times New Roman" w:cs="Times New Roman"/>
          <w:sz w:val="24"/>
          <w:szCs w:val="24"/>
          <w:lang w:val="en-US" w:eastAsia="zh-CN"/>
        </w:rPr>
      </w:pPr>
      <w:r>
        <w:rPr>
          <w:rFonts w:hint="default" w:ascii="Times New Roman" w:hAnsi="Times New Roman" w:cs="Times New Roman"/>
          <w:sz w:val="24"/>
          <w:szCs w:val="24"/>
          <w:lang w:eastAsia="zh-CN"/>
        </w:rPr>
        <w:t>（</w:t>
      </w:r>
      <w:r>
        <w:rPr>
          <w:rFonts w:hint="default" w:ascii="Times New Roman" w:hAnsi="Times New Roman" w:cs="Times New Roman"/>
          <w:sz w:val="24"/>
          <w:szCs w:val="24"/>
          <w:lang w:val="en-US" w:eastAsia="zh-CN"/>
        </w:rPr>
        <w:t>4</w:t>
      </w:r>
      <w:r>
        <w:rPr>
          <w:rFonts w:hint="default" w:ascii="Times New Roman" w:hAnsi="Times New Roman" w:cs="Times New Roman"/>
          <w:sz w:val="24"/>
          <w:szCs w:val="24"/>
          <w:lang w:eastAsia="zh-CN"/>
        </w:rPr>
        <w:t>）</w:t>
      </w:r>
      <w:r>
        <w:rPr>
          <w:rFonts w:hint="default" w:ascii="Times New Roman" w:hAnsi="Times New Roman" w:cs="Times New Roman"/>
          <w:sz w:val="24"/>
          <w:szCs w:val="24"/>
        </w:rPr>
        <w:t>Q≥100</w:t>
      </w:r>
      <w:r>
        <w:rPr>
          <w:rFonts w:hint="default" w:ascii="Times New Roman" w:hAnsi="Times New Roman" w:cs="Times New Roman"/>
          <w:sz w:val="24"/>
          <w:szCs w:val="24"/>
          <w:lang w:val="en-US" w:eastAsia="zh-CN"/>
        </w:rPr>
        <w:t>，以Q3表示。</w:t>
      </w:r>
    </w:p>
    <w:p>
      <w:pPr>
        <w:pStyle w:val="17"/>
        <w:keepNext w:val="0"/>
        <w:keepLines w:val="0"/>
        <w:pageBreakBefore w:val="0"/>
        <w:widowControl/>
        <w:kinsoku/>
        <w:wordWrap/>
        <w:overflowPunct/>
        <w:topLinePunct w:val="0"/>
        <w:autoSpaceDE/>
        <w:autoSpaceDN/>
        <w:bidi w:val="0"/>
        <w:adjustRightInd w:val="0"/>
        <w:snapToGrid w:val="0"/>
        <w:spacing w:before="0" w:beforeAutospacing="0" w:after="0" w:afterAutospacing="0"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kern w:val="0"/>
          <w:sz w:val="24"/>
          <w:szCs w:val="24"/>
          <w:highlight w:val="none"/>
        </w:rPr>
        <w:t>根据以上评估原则，本</w:t>
      </w:r>
      <w:r>
        <w:rPr>
          <w:rFonts w:hint="default" w:ascii="Times New Roman" w:hAnsi="Times New Roman" w:eastAsia="宋体" w:cs="Times New Roman"/>
          <w:color w:val="auto"/>
          <w:kern w:val="0"/>
          <w:sz w:val="24"/>
          <w:szCs w:val="24"/>
          <w:highlight w:val="none"/>
          <w:lang w:eastAsia="zh-CN"/>
        </w:rPr>
        <w:t>厂区</w:t>
      </w:r>
      <w:r>
        <w:rPr>
          <w:rFonts w:hint="default" w:ascii="Times New Roman" w:hAnsi="Times New Roman" w:eastAsia="宋体" w:cs="Times New Roman"/>
          <w:color w:val="auto"/>
          <w:kern w:val="0"/>
          <w:sz w:val="24"/>
          <w:szCs w:val="24"/>
          <w:highlight w:val="none"/>
        </w:rPr>
        <w:t>周围环境内涉</w:t>
      </w:r>
      <w:r>
        <w:rPr>
          <w:rFonts w:hint="default" w:ascii="Times New Roman" w:hAnsi="Times New Roman" w:eastAsia="宋体" w:cs="Times New Roman"/>
          <w:color w:val="auto"/>
          <w:kern w:val="0"/>
          <w:sz w:val="24"/>
          <w:szCs w:val="24"/>
          <w:highlight w:val="none"/>
          <w:lang w:eastAsia="zh-CN"/>
        </w:rPr>
        <w:t>水</w:t>
      </w:r>
      <w:r>
        <w:rPr>
          <w:rFonts w:hint="default" w:ascii="Times New Roman" w:hAnsi="Times New Roman" w:eastAsia="宋体" w:cs="Times New Roman"/>
          <w:color w:val="auto"/>
          <w:kern w:val="0"/>
          <w:sz w:val="24"/>
          <w:szCs w:val="24"/>
          <w:highlight w:val="none"/>
        </w:rPr>
        <w:t>环境风险物质数量与临界量比值计算见表</w:t>
      </w:r>
      <w:r>
        <w:rPr>
          <w:rFonts w:hint="default" w:ascii="Times New Roman" w:hAnsi="Times New Roman" w:eastAsia="宋体" w:cs="Times New Roman"/>
          <w:color w:val="auto"/>
          <w:kern w:val="0"/>
          <w:sz w:val="24"/>
          <w:szCs w:val="24"/>
          <w:highlight w:val="none"/>
          <w:lang w:val="en-US" w:eastAsia="zh-CN"/>
        </w:rPr>
        <w:t>7-2</w:t>
      </w:r>
      <w:r>
        <w:rPr>
          <w:rFonts w:hint="default" w:ascii="Times New Roman" w:hAnsi="Times New Roman" w:eastAsia="宋体" w:cs="Times New Roman"/>
          <w:color w:val="auto"/>
          <w:kern w:val="0"/>
          <w:sz w:val="24"/>
          <w:szCs w:val="24"/>
          <w:highlight w:val="none"/>
        </w:rPr>
        <w:t>。</w:t>
      </w:r>
    </w:p>
    <w:p>
      <w:pPr>
        <w:pStyle w:val="17"/>
        <w:keepNext w:val="0"/>
        <w:keepLines w:val="0"/>
        <w:pageBreakBefore w:val="0"/>
        <w:widowControl/>
        <w:kinsoku/>
        <w:wordWrap/>
        <w:overflowPunct/>
        <w:topLinePunct w:val="0"/>
        <w:autoSpaceDE/>
        <w:autoSpaceDN/>
        <w:bidi w:val="0"/>
        <w:spacing w:beforeAutospacing="0" w:after="0" w:afterAutospacing="0" w:line="360" w:lineRule="auto"/>
        <w:ind w:firstLine="241" w:firstLineChars="100"/>
        <w:jc w:val="center"/>
        <w:textAlignment w:val="auto"/>
        <w:rPr>
          <w:rFonts w:hint="default" w:ascii="Times New Roman" w:hAnsi="Times New Roman" w:eastAsia="宋体" w:cs="Times New Roman"/>
          <w:b/>
          <w:color w:val="auto"/>
          <w:sz w:val="24"/>
          <w:szCs w:val="24"/>
          <w:highlight w:val="none"/>
          <w:lang w:val="zh-CN"/>
        </w:rPr>
      </w:pPr>
      <w:r>
        <w:rPr>
          <w:rFonts w:hint="default" w:ascii="Times New Roman" w:hAnsi="Times New Roman" w:eastAsia="宋体" w:cs="Times New Roman"/>
          <w:b/>
          <w:color w:val="auto"/>
          <w:sz w:val="24"/>
          <w:szCs w:val="24"/>
          <w:highlight w:val="none"/>
          <w:lang w:val="zh-CN"/>
        </w:rPr>
        <w:t>表</w:t>
      </w:r>
      <w:r>
        <w:rPr>
          <w:rFonts w:hint="default" w:ascii="Times New Roman" w:hAnsi="Times New Roman" w:eastAsia="宋体" w:cs="Times New Roman"/>
          <w:b/>
          <w:color w:val="auto"/>
          <w:sz w:val="24"/>
          <w:szCs w:val="24"/>
          <w:highlight w:val="none"/>
          <w:lang w:val="en-US" w:eastAsia="zh-CN"/>
        </w:rPr>
        <w:t>7-2</w:t>
      </w:r>
      <w:r>
        <w:rPr>
          <w:rFonts w:hint="default" w:ascii="Times New Roman" w:hAnsi="Times New Roman" w:eastAsia="宋体" w:cs="Times New Roman"/>
          <w:b/>
          <w:color w:val="auto"/>
          <w:sz w:val="24"/>
          <w:szCs w:val="24"/>
          <w:highlight w:val="none"/>
          <w:lang w:val="zh-CN"/>
        </w:rPr>
        <w:t xml:space="preserve">  厂区内涉水环境风险物质辨识表</w:t>
      </w:r>
    </w:p>
    <w:tbl>
      <w:tblPr>
        <w:tblStyle w:val="18"/>
        <w:tblW w:w="500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780"/>
        <w:gridCol w:w="1322"/>
        <w:gridCol w:w="819"/>
        <w:gridCol w:w="1324"/>
        <w:gridCol w:w="1997"/>
        <w:gridCol w:w="1647"/>
        <w:gridCol w:w="12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26" w:type="pct"/>
            <w:noWrap w:val="0"/>
            <w:vAlign w:val="center"/>
          </w:tcPr>
          <w:p>
            <w:pPr>
              <w:pStyle w:val="45"/>
              <w:keepNext w:val="0"/>
              <w:keepLines w:val="0"/>
              <w:suppressLineNumbers w:val="0"/>
              <w:spacing w:before="0" w:beforeAutospacing="0" w:after="0" w:afterAutospacing="0"/>
              <w:ind w:left="0" w:right="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序号</w:t>
            </w:r>
          </w:p>
        </w:tc>
        <w:tc>
          <w:tcPr>
            <w:tcW w:w="730" w:type="pct"/>
            <w:noWrap w:val="0"/>
            <w:vAlign w:val="center"/>
          </w:tcPr>
          <w:p>
            <w:pPr>
              <w:pStyle w:val="45"/>
              <w:keepNext w:val="0"/>
              <w:keepLines w:val="0"/>
              <w:suppressLineNumbers w:val="0"/>
              <w:spacing w:before="0" w:beforeAutospacing="0" w:after="0" w:afterAutospacing="0"/>
              <w:ind w:left="0" w:right="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物料名称</w:t>
            </w:r>
          </w:p>
        </w:tc>
        <w:tc>
          <w:tcPr>
            <w:tcW w:w="455" w:type="pct"/>
            <w:noWrap w:val="0"/>
            <w:vAlign w:val="center"/>
          </w:tcPr>
          <w:p>
            <w:pPr>
              <w:pStyle w:val="45"/>
              <w:keepNext w:val="0"/>
              <w:keepLines w:val="0"/>
              <w:suppressLineNumbers w:val="0"/>
              <w:spacing w:before="0" w:beforeAutospacing="0" w:after="0" w:afterAutospacing="0"/>
              <w:ind w:left="0" w:right="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相态</w:t>
            </w:r>
          </w:p>
        </w:tc>
        <w:tc>
          <w:tcPr>
            <w:tcW w:w="729" w:type="pct"/>
            <w:noWrap w:val="0"/>
            <w:vAlign w:val="center"/>
          </w:tcPr>
          <w:p>
            <w:pPr>
              <w:pStyle w:val="45"/>
              <w:keepNext w:val="0"/>
              <w:keepLines w:val="0"/>
              <w:suppressLineNumbers w:val="0"/>
              <w:spacing w:before="0" w:beforeAutospacing="0" w:after="0" w:afterAutospacing="0"/>
              <w:ind w:left="0" w:right="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CAS号</w:t>
            </w:r>
          </w:p>
        </w:tc>
        <w:tc>
          <w:tcPr>
            <w:tcW w:w="1098" w:type="pct"/>
            <w:noWrap w:val="0"/>
            <w:vAlign w:val="center"/>
          </w:tcPr>
          <w:p>
            <w:pPr>
              <w:pStyle w:val="45"/>
              <w:keepNext w:val="0"/>
              <w:keepLines w:val="0"/>
              <w:suppressLineNumbers w:val="0"/>
              <w:spacing w:before="0" w:beforeAutospacing="0" w:after="0" w:afterAutospacing="0"/>
              <w:ind w:left="0" w:right="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最大储存量（w /t）</w:t>
            </w:r>
          </w:p>
        </w:tc>
        <w:tc>
          <w:tcPr>
            <w:tcW w:w="907" w:type="pct"/>
            <w:noWrap w:val="0"/>
            <w:vAlign w:val="center"/>
          </w:tcPr>
          <w:p>
            <w:pPr>
              <w:pStyle w:val="45"/>
              <w:keepNext w:val="0"/>
              <w:keepLines w:val="0"/>
              <w:suppressLineNumbers w:val="0"/>
              <w:spacing w:before="0" w:beforeAutospacing="0" w:after="0" w:afterAutospacing="0"/>
              <w:ind w:left="0" w:right="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临界量（W t）</w:t>
            </w:r>
          </w:p>
        </w:tc>
        <w:tc>
          <w:tcPr>
            <w:tcW w:w="651" w:type="pct"/>
            <w:noWrap w:val="0"/>
            <w:vAlign w:val="center"/>
          </w:tcPr>
          <w:p>
            <w:pPr>
              <w:pStyle w:val="45"/>
              <w:keepNext w:val="0"/>
              <w:keepLines w:val="0"/>
              <w:suppressLineNumbers w:val="0"/>
              <w:spacing w:before="0" w:beforeAutospacing="0" w:after="0" w:afterAutospacing="0"/>
              <w:ind w:left="0" w:right="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26" w:type="pct"/>
            <w:noWrap w:val="0"/>
            <w:vAlign w:val="center"/>
          </w:tcPr>
          <w:p>
            <w:pPr>
              <w:pStyle w:val="45"/>
              <w:keepNext w:val="0"/>
              <w:keepLines w:val="0"/>
              <w:suppressLineNumbers w:val="0"/>
              <w:spacing w:before="0" w:beforeAutospacing="0" w:after="0" w:afterAutospacing="0"/>
              <w:ind w:left="0" w:right="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w:t>
            </w:r>
          </w:p>
        </w:tc>
        <w:tc>
          <w:tcPr>
            <w:tcW w:w="730" w:type="pct"/>
            <w:noWrap w:val="0"/>
            <w:vAlign w:val="center"/>
          </w:tcPr>
          <w:p>
            <w:pPr>
              <w:ind w:firstLine="420" w:firstLineChars="200"/>
              <w:jc w:val="center"/>
              <w:rPr>
                <w:rFonts w:hint="default" w:ascii="Times New Roman" w:hAnsi="Times New Roman" w:eastAsia="宋体" w:cs="Times New Roman"/>
                <w:bCs/>
                <w:kern w:val="2"/>
                <w:sz w:val="21"/>
                <w:szCs w:val="21"/>
                <w:lang w:val="en-US" w:eastAsia="zh-CN" w:bidi="ar-SA"/>
              </w:rPr>
            </w:pPr>
            <w:r>
              <w:rPr>
                <w:rFonts w:hint="eastAsia" w:cs="Times New Roman"/>
                <w:bCs/>
                <w:sz w:val="21"/>
                <w:szCs w:val="21"/>
                <w:lang w:eastAsia="zh-CN"/>
              </w:rPr>
              <w:t>矿物油</w:t>
            </w:r>
          </w:p>
        </w:tc>
        <w:tc>
          <w:tcPr>
            <w:tcW w:w="455" w:type="pct"/>
            <w:noWrap w:val="0"/>
            <w:vAlign w:val="center"/>
          </w:tcPr>
          <w:p>
            <w:pPr>
              <w:ind w:left="0" w:leftChars="0" w:firstLine="0" w:firstLineChars="0"/>
              <w:jc w:val="center"/>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color w:val="auto"/>
                <w:sz w:val="21"/>
                <w:szCs w:val="21"/>
                <w:highlight w:val="none"/>
              </w:rPr>
              <w:t>液态</w:t>
            </w:r>
          </w:p>
        </w:tc>
        <w:tc>
          <w:tcPr>
            <w:tcW w:w="729" w:type="pct"/>
            <w:noWrap w:val="0"/>
            <w:vAlign w:val="center"/>
          </w:tcPr>
          <w:p>
            <w:pPr>
              <w:spacing w:line="240" w:lineRule="auto"/>
              <w:ind w:firstLine="0" w:firstLineChars="0"/>
              <w:jc w:val="center"/>
              <w:rPr>
                <w:rFonts w:hint="default" w:ascii="Times New Roman" w:hAnsi="Times New Roman" w:eastAsia="宋体" w:cs="Times New Roman"/>
                <w:snapToGrid w:val="0"/>
                <w:color w:val="auto"/>
                <w:kern w:val="0"/>
                <w:sz w:val="21"/>
                <w:szCs w:val="21"/>
                <w:lang w:val="en-US" w:eastAsia="zh-CN" w:bidi="ar-SA"/>
              </w:rPr>
            </w:pPr>
            <w:r>
              <w:rPr>
                <w:rFonts w:hint="eastAsia" w:cs="Times New Roman"/>
                <w:snapToGrid w:val="0"/>
                <w:color w:val="auto"/>
                <w:kern w:val="0"/>
                <w:sz w:val="21"/>
                <w:szCs w:val="21"/>
                <w:lang w:val="en-US" w:eastAsia="zh-CN" w:bidi="ar-SA"/>
              </w:rPr>
              <w:t>/</w:t>
            </w:r>
          </w:p>
        </w:tc>
        <w:tc>
          <w:tcPr>
            <w:tcW w:w="1098" w:type="pct"/>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420" w:firstLineChars="200"/>
              <w:jc w:val="center"/>
              <w:rPr>
                <w:rFonts w:hint="default" w:ascii="Times New Roman" w:hAnsi="Times New Roman" w:eastAsia="仿宋" w:cs="Times New Roman"/>
                <w:color w:val="auto"/>
                <w:kern w:val="2"/>
                <w:sz w:val="21"/>
                <w:szCs w:val="21"/>
                <w:highlight w:val="none"/>
                <w:lang w:val="en-US" w:eastAsia="zh-CN" w:bidi="ar-SA"/>
              </w:rPr>
            </w:pPr>
            <w:r>
              <w:rPr>
                <w:rFonts w:hint="eastAsia" w:eastAsia="仿宋" w:cs="Times New Roman"/>
                <w:bCs/>
                <w:sz w:val="21"/>
                <w:szCs w:val="21"/>
                <w:lang w:val="en-US" w:eastAsia="zh-CN"/>
              </w:rPr>
              <w:t>0.1</w:t>
            </w:r>
            <w:r>
              <w:rPr>
                <w:rFonts w:hint="default" w:eastAsia="仿宋" w:cs="Times New Roman"/>
                <w:bCs/>
                <w:sz w:val="21"/>
                <w:szCs w:val="21"/>
                <w:lang w:val="en-US" w:eastAsia="zh-CN"/>
              </w:rPr>
              <w:t>t/</w:t>
            </w:r>
            <w:r>
              <w:rPr>
                <w:rFonts w:hint="default" w:ascii="Times New Roman" w:hAnsi="Times New Roman" w:eastAsia="仿宋" w:cs="Times New Roman"/>
                <w:bCs/>
                <w:sz w:val="21"/>
                <w:szCs w:val="21"/>
              </w:rPr>
              <w:t>a</w:t>
            </w:r>
          </w:p>
        </w:tc>
        <w:tc>
          <w:tcPr>
            <w:tcW w:w="907" w:type="pct"/>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420" w:firstLineChars="200"/>
              <w:jc w:val="center"/>
              <w:rPr>
                <w:rFonts w:hint="default" w:ascii="Times New Roman" w:hAnsi="Times New Roman" w:eastAsia="仿宋" w:cs="Times New Roman"/>
                <w:color w:val="auto"/>
                <w:kern w:val="2"/>
                <w:sz w:val="21"/>
                <w:szCs w:val="21"/>
                <w:highlight w:val="none"/>
                <w:lang w:val="en-US" w:eastAsia="zh-CN" w:bidi="ar-SA"/>
              </w:rPr>
            </w:pPr>
            <w:r>
              <w:rPr>
                <w:rFonts w:hint="eastAsia" w:eastAsia="仿宋" w:cs="Times New Roman"/>
                <w:color w:val="auto"/>
                <w:sz w:val="21"/>
                <w:szCs w:val="21"/>
                <w:highlight w:val="none"/>
                <w:lang w:val="en-US" w:eastAsia="zh-CN"/>
              </w:rPr>
              <w:t>2500</w:t>
            </w:r>
          </w:p>
        </w:tc>
        <w:tc>
          <w:tcPr>
            <w:tcW w:w="651" w:type="pct"/>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420" w:firstLineChars="200"/>
              <w:jc w:val="center"/>
              <w:textAlignment w:val="center"/>
              <w:rPr>
                <w:rFonts w:hint="default" w:ascii="Times New Roman" w:hAnsi="Times New Roman" w:eastAsia="仿宋" w:cs="Times New Roman"/>
                <w:color w:val="auto"/>
                <w:kern w:val="2"/>
                <w:sz w:val="21"/>
                <w:szCs w:val="21"/>
                <w:highlight w:val="none"/>
                <w:lang w:val="en-US" w:eastAsia="zh-CN" w:bidi="ar-SA"/>
              </w:rPr>
            </w:pPr>
            <w:r>
              <w:rPr>
                <w:rFonts w:hint="default" w:ascii="Times New Roman" w:hAnsi="Times New Roman" w:eastAsia="仿宋" w:cs="Times New Roman"/>
                <w:i w:val="0"/>
                <w:color w:val="000000"/>
                <w:kern w:val="0"/>
                <w:sz w:val="21"/>
                <w:szCs w:val="21"/>
                <w:u w:val="none"/>
                <w:lang w:val="en-US" w:eastAsia="zh-CN" w:bidi="ar"/>
              </w:rPr>
              <w:t>0.0</w:t>
            </w:r>
            <w:r>
              <w:rPr>
                <w:rFonts w:hint="default" w:eastAsia="仿宋" w:cs="Times New Roman"/>
                <w:i w:val="0"/>
                <w:color w:val="000000"/>
                <w:kern w:val="0"/>
                <w:sz w:val="21"/>
                <w:szCs w:val="21"/>
                <w:u w:val="none"/>
                <w:lang w:val="en-US" w:eastAsia="zh-CN" w:bidi="ar"/>
              </w:rPr>
              <w:t>0</w:t>
            </w:r>
            <w:r>
              <w:rPr>
                <w:rFonts w:hint="eastAsia" w:eastAsia="仿宋" w:cs="Times New Roman"/>
                <w:i w:val="0"/>
                <w:color w:val="000000"/>
                <w:kern w:val="0"/>
                <w:sz w:val="21"/>
                <w:szCs w:val="21"/>
                <w:u w:val="none"/>
                <w:lang w:val="en-US" w:eastAsia="zh-CN" w:bidi="ar"/>
              </w:rPr>
              <w:t>004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342" w:type="pct"/>
            <w:gridSpan w:val="4"/>
            <w:noWrap w:val="0"/>
            <w:vAlign w:val="center"/>
          </w:tcPr>
          <w:p>
            <w:pPr>
              <w:pStyle w:val="45"/>
              <w:keepNext w:val="0"/>
              <w:keepLines w:val="0"/>
              <w:suppressLineNumbers w:val="0"/>
              <w:spacing w:before="0" w:beforeAutospacing="0" w:after="0" w:afterAutospacing="0"/>
              <w:ind w:left="0" w:leftChars="0" w:right="0" w:rightChars="0"/>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合计</w:t>
            </w:r>
          </w:p>
        </w:tc>
        <w:tc>
          <w:tcPr>
            <w:tcW w:w="1098" w:type="pct"/>
            <w:noWrap w:val="0"/>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bCs/>
                <w:color w:val="000000"/>
                <w:sz w:val="21"/>
                <w:szCs w:val="21"/>
                <w:lang w:val="en-US" w:eastAsia="zh-CN"/>
              </w:rPr>
            </w:pPr>
            <w:r>
              <w:rPr>
                <w:rFonts w:hint="eastAsia" w:eastAsia="仿宋" w:cs="Times New Roman"/>
                <w:bCs/>
                <w:sz w:val="21"/>
                <w:szCs w:val="21"/>
                <w:lang w:val="en-US" w:eastAsia="zh-CN"/>
              </w:rPr>
              <w:t>0.1</w:t>
            </w:r>
            <w:r>
              <w:rPr>
                <w:rFonts w:hint="default" w:eastAsia="仿宋" w:cs="Times New Roman"/>
                <w:bCs/>
                <w:sz w:val="21"/>
                <w:szCs w:val="21"/>
                <w:lang w:val="en-US" w:eastAsia="zh-CN"/>
              </w:rPr>
              <w:t>t/</w:t>
            </w:r>
            <w:r>
              <w:rPr>
                <w:rFonts w:hint="default" w:ascii="Times New Roman" w:hAnsi="Times New Roman" w:eastAsia="仿宋" w:cs="Times New Roman"/>
                <w:bCs/>
                <w:sz w:val="21"/>
                <w:szCs w:val="21"/>
              </w:rPr>
              <w:t>a</w:t>
            </w:r>
          </w:p>
        </w:tc>
        <w:tc>
          <w:tcPr>
            <w:tcW w:w="907" w:type="pct"/>
            <w:noWrap w:val="0"/>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sz w:val="21"/>
                <w:szCs w:val="21"/>
                <w:highlight w:val="none"/>
              </w:rPr>
            </w:pPr>
          </w:p>
        </w:tc>
        <w:tc>
          <w:tcPr>
            <w:tcW w:w="651" w:type="pct"/>
            <w:noWrap w:val="0"/>
            <w:vAlign w:val="center"/>
          </w:tcPr>
          <w:p>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仿宋" w:cs="Times New Roman"/>
                <w:i w:val="0"/>
                <w:color w:val="000000"/>
                <w:kern w:val="0"/>
                <w:sz w:val="21"/>
                <w:szCs w:val="21"/>
                <w:u w:val="none"/>
                <w:lang w:val="en-US" w:eastAsia="zh-CN" w:bidi="ar"/>
              </w:rPr>
              <w:t>0.0</w:t>
            </w:r>
            <w:r>
              <w:rPr>
                <w:rFonts w:hint="default" w:eastAsia="仿宋" w:cs="Times New Roman"/>
                <w:i w:val="0"/>
                <w:color w:val="000000"/>
                <w:kern w:val="0"/>
                <w:sz w:val="21"/>
                <w:szCs w:val="21"/>
                <w:u w:val="none"/>
                <w:lang w:val="en-US" w:eastAsia="zh-CN" w:bidi="ar"/>
              </w:rPr>
              <w:t>0</w:t>
            </w:r>
            <w:r>
              <w:rPr>
                <w:rFonts w:hint="eastAsia" w:eastAsia="仿宋" w:cs="Times New Roman"/>
                <w:i w:val="0"/>
                <w:color w:val="000000"/>
                <w:kern w:val="0"/>
                <w:sz w:val="21"/>
                <w:szCs w:val="21"/>
                <w:u w:val="none"/>
                <w:lang w:val="en-US" w:eastAsia="zh-CN" w:bidi="ar"/>
              </w:rPr>
              <w:t>004</w:t>
            </w:r>
          </w:p>
        </w:tc>
      </w:tr>
    </w:tbl>
    <w:p>
      <w:pPr>
        <w:adjustRightInd w:val="0"/>
        <w:snapToGrid w:val="0"/>
        <w:spacing w:line="360" w:lineRule="auto"/>
        <w:ind w:firstLine="504" w:firstLineChars="200"/>
        <w:rPr>
          <w:rFonts w:hint="default" w:ascii="Times New Roman" w:hAnsi="Times New Roman" w:cs="Times New Roman"/>
          <w:highlight w:val="none"/>
          <w:lang w:eastAsia="zh-CN"/>
        </w:rPr>
      </w:pPr>
      <w:r>
        <w:rPr>
          <w:color w:val="auto"/>
          <w:spacing w:val="6"/>
          <w:sz w:val="24"/>
          <w:highlight w:val="none"/>
          <w:lang w:val="zh-CN"/>
        </w:rPr>
        <w:t>由上表可知，本</w:t>
      </w:r>
      <w:r>
        <w:rPr>
          <w:rFonts w:hint="eastAsia"/>
          <w:color w:val="auto"/>
          <w:spacing w:val="6"/>
          <w:sz w:val="24"/>
          <w:highlight w:val="none"/>
          <w:lang w:val="zh-CN"/>
        </w:rPr>
        <w:t>厂区</w:t>
      </w:r>
      <w:r>
        <w:rPr>
          <w:color w:val="auto"/>
          <w:spacing w:val="6"/>
          <w:sz w:val="24"/>
          <w:highlight w:val="none"/>
          <w:lang w:val="zh-CN"/>
        </w:rPr>
        <w:t>所用风险物质贮存场所与使用场所在线量均低于《企业突发环境事件风险等级划分方法》（HJ941-2018）附录A中临界量，各风险物质与临界量比值的累加值：</w:t>
      </w:r>
      <w:r>
        <w:rPr>
          <w:color w:val="auto"/>
          <w:spacing w:val="6"/>
          <w:sz w:val="24"/>
          <w:szCs w:val="24"/>
          <w:highlight w:val="none"/>
          <w:lang w:val="zh-CN"/>
        </w:rPr>
        <w:t>Q=</w:t>
      </w:r>
      <w:r>
        <w:rPr>
          <w:rFonts w:hint="default" w:ascii="Times New Roman" w:hAnsi="Times New Roman" w:eastAsia="仿宋" w:cs="Times New Roman"/>
          <w:i w:val="0"/>
          <w:color w:val="000000"/>
          <w:kern w:val="0"/>
          <w:sz w:val="24"/>
          <w:szCs w:val="24"/>
          <w:u w:val="none"/>
          <w:lang w:val="en-US" w:eastAsia="zh-CN" w:bidi="ar"/>
        </w:rPr>
        <w:t>0.0</w:t>
      </w:r>
      <w:r>
        <w:rPr>
          <w:rFonts w:hint="default" w:eastAsia="仿宋" w:cs="Times New Roman"/>
          <w:i w:val="0"/>
          <w:color w:val="000000"/>
          <w:kern w:val="0"/>
          <w:sz w:val="24"/>
          <w:szCs w:val="24"/>
          <w:u w:val="none"/>
          <w:lang w:val="en-US" w:eastAsia="zh-CN" w:bidi="ar"/>
        </w:rPr>
        <w:t>0</w:t>
      </w:r>
      <w:r>
        <w:rPr>
          <w:rFonts w:hint="eastAsia" w:eastAsia="仿宋" w:cs="Times New Roman"/>
          <w:i w:val="0"/>
          <w:color w:val="000000"/>
          <w:kern w:val="0"/>
          <w:sz w:val="24"/>
          <w:szCs w:val="24"/>
          <w:u w:val="none"/>
          <w:lang w:val="en-US" w:eastAsia="zh-CN" w:bidi="ar"/>
        </w:rPr>
        <w:t>004</w:t>
      </w:r>
      <w:r>
        <w:rPr>
          <w:rFonts w:hint="default" w:ascii="Times New Roman" w:hAnsi="Times New Roman" w:cs="Times New Roman"/>
        </w:rPr>
        <w:t>＜</w:t>
      </w:r>
      <w:r>
        <w:rPr>
          <w:color w:val="auto"/>
          <w:spacing w:val="6"/>
          <w:sz w:val="24"/>
          <w:highlight w:val="none"/>
          <w:lang w:val="zh-CN"/>
        </w:rPr>
        <w:t>1</w:t>
      </w:r>
      <w:r>
        <w:rPr>
          <w:color w:val="auto"/>
          <w:sz w:val="24"/>
          <w:highlight w:val="none"/>
        </w:rPr>
        <w:t>。</w:t>
      </w:r>
    </w:p>
    <w:p>
      <w:pPr>
        <w:adjustRightInd w:val="0"/>
        <w:snapToGrid w:val="0"/>
        <w:spacing w:line="360" w:lineRule="auto"/>
        <w:ind w:firstLine="480" w:firstLineChars="200"/>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因此，由该项目风险物质总量和其临界量比值Q</w:t>
      </w:r>
      <w:r>
        <w:rPr>
          <w:rFonts w:hint="default" w:ascii="Times New Roman" w:hAnsi="Times New Roman" w:cs="Times New Roman"/>
          <w:sz w:val="24"/>
          <w:szCs w:val="24"/>
        </w:rPr>
        <w:t>＜</w:t>
      </w:r>
      <w:r>
        <w:rPr>
          <w:rFonts w:hint="default" w:ascii="Times New Roman" w:hAnsi="Times New Roman" w:cs="Times New Roman"/>
          <w:sz w:val="24"/>
          <w:szCs w:val="24"/>
          <w:highlight w:val="none"/>
        </w:rPr>
        <w:t>1</w:t>
      </w:r>
      <w:r>
        <w:rPr>
          <w:rFonts w:hint="default" w:ascii="Times New Roman" w:hAnsi="Times New Roman" w:cs="Times New Roman"/>
          <w:sz w:val="24"/>
          <w:szCs w:val="24"/>
          <w:highlight w:val="none"/>
          <w:lang w:val="en-US" w:eastAsia="zh-CN"/>
        </w:rPr>
        <w:t>，因此</w:t>
      </w:r>
      <w:r>
        <w:rPr>
          <w:rFonts w:hint="eastAsia" w:ascii="Times New Roman" w:hAnsi="Times New Roman" w:cs="Times New Roman"/>
          <w:sz w:val="24"/>
          <w:szCs w:val="24"/>
          <w:highlight w:val="none"/>
          <w:lang w:val="en-US" w:eastAsia="zh-CN"/>
        </w:rPr>
        <w:t>南昌慧华高科混凝土有限公司</w:t>
      </w:r>
      <w:r>
        <w:rPr>
          <w:rFonts w:hint="default" w:ascii="Times New Roman" w:hAnsi="Times New Roman" w:cs="Times New Roman"/>
          <w:sz w:val="24"/>
          <w:szCs w:val="24"/>
          <w:highlight w:val="none"/>
          <w:lang w:eastAsia="zh-CN"/>
        </w:rPr>
        <w:t>突发水</w:t>
      </w:r>
      <w:r>
        <w:rPr>
          <w:rFonts w:hint="default" w:ascii="Times New Roman" w:hAnsi="Times New Roman" w:cs="Times New Roman"/>
          <w:sz w:val="24"/>
          <w:szCs w:val="24"/>
          <w:highlight w:val="none"/>
        </w:rPr>
        <w:t>环境</w:t>
      </w:r>
      <w:r>
        <w:rPr>
          <w:rFonts w:hint="default" w:ascii="Times New Roman" w:hAnsi="Times New Roman" w:cs="Times New Roman"/>
          <w:sz w:val="24"/>
          <w:szCs w:val="24"/>
          <w:highlight w:val="none"/>
          <w:lang w:eastAsia="zh-CN"/>
        </w:rPr>
        <w:t>事件</w:t>
      </w:r>
      <w:r>
        <w:rPr>
          <w:rFonts w:hint="default" w:ascii="Times New Roman" w:hAnsi="Times New Roman" w:cs="Times New Roman"/>
          <w:sz w:val="24"/>
          <w:szCs w:val="24"/>
          <w:highlight w:val="none"/>
        </w:rPr>
        <w:t>风险等级为</w:t>
      </w:r>
      <w:r>
        <w:rPr>
          <w:rFonts w:hint="default" w:ascii="Times New Roman" w:hAnsi="Times New Roman" w:cs="Times New Roman"/>
          <w:sz w:val="24"/>
          <w:szCs w:val="24"/>
          <w:highlight w:val="none"/>
          <w:lang w:eastAsia="zh-CN"/>
        </w:rPr>
        <w:t>一般</w:t>
      </w:r>
      <w:r>
        <w:rPr>
          <w:rFonts w:hint="default" w:ascii="Times New Roman" w:hAnsi="Times New Roman" w:cs="Times New Roman"/>
          <w:sz w:val="24"/>
          <w:szCs w:val="24"/>
          <w:highlight w:val="none"/>
        </w:rPr>
        <w:t>环境风险。</w:t>
      </w:r>
    </w:p>
    <w:p>
      <w:pPr>
        <w:pStyle w:val="4"/>
        <w:numPr>
          <w:ilvl w:val="1"/>
          <w:numId w:val="0"/>
        </w:numPr>
        <w:ind w:leftChars="0"/>
        <w:rPr>
          <w:rFonts w:hint="default" w:ascii="Times New Roman" w:hAnsi="Times New Roman" w:cs="Times New Roman"/>
        </w:rPr>
      </w:pPr>
      <w:bookmarkStart w:id="82" w:name="_Toc12484"/>
      <w:bookmarkStart w:id="83" w:name="_Toc19131"/>
      <w:bookmarkStart w:id="84" w:name="_Toc6039"/>
      <w:bookmarkStart w:id="85" w:name="_Toc4505"/>
      <w:bookmarkStart w:id="86" w:name="_Toc22275"/>
      <w:r>
        <w:rPr>
          <w:rFonts w:hint="eastAsia" w:ascii="Times New Roman" w:hAnsi="Times New Roman" w:cs="Times New Roman"/>
          <w:lang w:val="en-US" w:eastAsia="zh-CN"/>
        </w:rPr>
        <w:t>7</w:t>
      </w:r>
      <w:r>
        <w:rPr>
          <w:rFonts w:hint="default" w:ascii="Times New Roman" w:hAnsi="Times New Roman" w:cs="Times New Roman"/>
          <w:lang w:val="en-US" w:eastAsia="zh-CN"/>
        </w:rPr>
        <w:t>.3</w:t>
      </w:r>
      <w:r>
        <w:rPr>
          <w:rFonts w:hint="default" w:ascii="Times New Roman" w:hAnsi="Times New Roman" w:cs="Times New Roman"/>
        </w:rPr>
        <w:t>企业环境风险等级划分</w:t>
      </w:r>
      <w:bookmarkEnd w:id="82"/>
      <w:bookmarkEnd w:id="83"/>
      <w:bookmarkEnd w:id="84"/>
      <w:bookmarkEnd w:id="85"/>
      <w:bookmarkEnd w:id="86"/>
    </w:p>
    <w:p>
      <w:pPr>
        <w:numPr>
          <w:ilvl w:val="0"/>
          <w:numId w:val="0"/>
        </w:numPr>
        <w:ind w:left="0" w:leftChars="0" w:firstLine="559" w:firstLineChars="233"/>
        <w:outlineLvl w:val="9"/>
      </w:pPr>
      <w:r>
        <w:rPr>
          <w:rFonts w:hint="default" w:ascii="Times New Roman" w:hAnsi="Times New Roman" w:eastAsia="宋体" w:cs="Times New Roman"/>
          <w:b w:val="0"/>
          <w:bCs w:val="0"/>
          <w:kern w:val="2"/>
          <w:sz w:val="24"/>
          <w:szCs w:val="24"/>
          <w:highlight w:val="none"/>
          <w:lang w:val="en-US" w:eastAsia="zh-CN" w:bidi="ar-SA"/>
        </w:rPr>
        <w:t>根据《企业突发环境事件风险分级方法》（HJ941-2018）规定，企业突发环境事件风险等级以企业突发大气环境事件风险和突发水环境事件风险等级高者确定企业突发环境事件风险等级。因此，</w:t>
      </w:r>
      <w:r>
        <w:rPr>
          <w:rFonts w:hint="eastAsia" w:ascii="Times New Roman" w:hAnsi="Times New Roman" w:cs="Times New Roman"/>
          <w:sz w:val="24"/>
          <w:szCs w:val="24"/>
          <w:highlight w:val="none"/>
          <w:lang w:val="en-US" w:eastAsia="zh-CN"/>
        </w:rPr>
        <w:t>南昌慧华高科混凝土有限公司</w:t>
      </w:r>
      <w:r>
        <w:rPr>
          <w:rFonts w:hint="default" w:ascii="Times New Roman" w:hAnsi="Times New Roman" w:eastAsia="宋体" w:cs="Times New Roman"/>
          <w:b w:val="0"/>
          <w:bCs w:val="0"/>
          <w:kern w:val="2"/>
          <w:sz w:val="24"/>
          <w:szCs w:val="24"/>
          <w:highlight w:val="none"/>
          <w:lang w:val="en-US" w:eastAsia="zh-CN" w:bidi="ar-SA"/>
        </w:rPr>
        <w:t>环境风险等级评定为“一般环境风险”。</w:t>
      </w:r>
    </w:p>
    <w:p>
      <w:pPr>
        <w:ind w:firstLine="0" w:firstLineChars="0"/>
        <w:jc w:val="left"/>
        <w:sectPr>
          <w:pgSz w:w="11906" w:h="16838"/>
          <w:pgMar w:top="1304" w:right="1247" w:bottom="1304" w:left="1531" w:header="851" w:footer="851" w:gutter="0"/>
          <w:pgBorders>
            <w:top w:val="none" w:sz="0" w:space="0"/>
            <w:left w:val="none" w:sz="0" w:space="0"/>
            <w:bottom w:val="none" w:sz="0" w:space="0"/>
            <w:right w:val="none" w:sz="0" w:space="0"/>
          </w:pgBorders>
          <w:pgNumType w:fmt="decimal"/>
          <w:cols w:space="425" w:num="1"/>
          <w:docGrid w:type="lines" w:linePitch="312" w:charSpace="0"/>
        </w:sectPr>
      </w:pPr>
    </w:p>
    <w:p>
      <w:pPr>
        <w:pStyle w:val="3"/>
        <w:rPr>
          <w:color w:val="000000" w:themeColor="text1"/>
          <w14:textFill>
            <w14:solidFill>
              <w14:schemeClr w14:val="tx1"/>
            </w14:solidFill>
          </w14:textFill>
        </w:rPr>
      </w:pPr>
      <w:bookmarkStart w:id="87" w:name="_Toc18494"/>
      <w:r>
        <w:rPr>
          <w:rFonts w:hint="eastAsia"/>
          <w:color w:val="000000" w:themeColor="text1"/>
          <w14:textFill>
            <w14:solidFill>
              <w14:schemeClr w14:val="tx1"/>
            </w14:solidFill>
          </w14:textFill>
        </w:rPr>
        <w:t>附图</w:t>
      </w:r>
      <w:bookmarkEnd w:id="87"/>
    </w:p>
    <w:p>
      <w:pPr>
        <w:ind w:firstLine="560"/>
      </w:pPr>
      <w:r>
        <w:rPr>
          <w:rFonts w:hint="eastAsia"/>
        </w:rPr>
        <w:t>附图1</w:t>
      </w:r>
      <w:r>
        <w:t xml:space="preserve"> </w:t>
      </w:r>
      <w:r>
        <w:rPr>
          <w:rFonts w:hint="eastAsia"/>
        </w:rPr>
        <w:t>企业地理位置图</w:t>
      </w:r>
    </w:p>
    <w:p>
      <w:pPr>
        <w:ind w:firstLine="560"/>
      </w:pPr>
      <w:r>
        <w:rPr>
          <w:rFonts w:hint="eastAsia"/>
        </w:rPr>
        <w:t>附图2</w:t>
      </w:r>
      <w:r>
        <w:t xml:space="preserve"> </w:t>
      </w:r>
      <w:r>
        <w:rPr>
          <w:rFonts w:hint="eastAsia"/>
        </w:rPr>
        <w:t>厂区平面布置图</w:t>
      </w:r>
    </w:p>
    <w:p>
      <w:pPr>
        <w:ind w:firstLine="560"/>
      </w:pPr>
      <w:r>
        <w:rPr>
          <w:rFonts w:hint="eastAsia"/>
        </w:rPr>
        <w:t>附图3</w:t>
      </w:r>
      <w:r>
        <w:t xml:space="preserve"> </w:t>
      </w:r>
      <w:r>
        <w:rPr>
          <w:rFonts w:hint="eastAsia"/>
          <w:lang w:eastAsia="zh-CN"/>
        </w:rPr>
        <w:t>周边敏感点分布</w:t>
      </w:r>
      <w:r>
        <w:rPr>
          <w:rFonts w:hint="eastAsia"/>
        </w:rPr>
        <w:t>图</w:t>
      </w:r>
    </w:p>
    <w:p>
      <w:pPr>
        <w:ind w:firstLine="560"/>
      </w:pPr>
      <w:r>
        <w:rPr>
          <w:rFonts w:hint="eastAsia"/>
        </w:rPr>
        <w:t>附图</w:t>
      </w:r>
      <w:r>
        <w:rPr>
          <w:rFonts w:hint="eastAsia"/>
          <w:lang w:val="en-US" w:eastAsia="zh-CN"/>
        </w:rPr>
        <w:t>4</w:t>
      </w:r>
      <w:r>
        <w:t xml:space="preserve"> </w:t>
      </w:r>
      <w:r>
        <w:rPr>
          <w:rFonts w:hint="eastAsia"/>
        </w:rPr>
        <w:t>企业雨污管网分布图</w:t>
      </w:r>
    </w:p>
    <w:p>
      <w:pPr>
        <w:ind w:firstLine="560"/>
        <w:rPr>
          <w:rFonts w:hint="eastAsia"/>
        </w:rPr>
      </w:pPr>
    </w:p>
    <w:p>
      <w:pPr>
        <w:ind w:firstLine="560"/>
        <w:sectPr>
          <w:pgSz w:w="11906" w:h="16838"/>
          <w:pgMar w:top="1440" w:right="1276" w:bottom="1440" w:left="1134" w:header="851" w:footer="992" w:gutter="0"/>
          <w:pgBorders>
            <w:top w:val="none" w:sz="0" w:space="0"/>
            <w:left w:val="none" w:sz="0" w:space="0"/>
            <w:bottom w:val="none" w:sz="0" w:space="0"/>
            <w:right w:val="none" w:sz="0" w:space="0"/>
          </w:pgBorders>
          <w:pgNumType w:fmt="decimal"/>
          <w:cols w:space="425" w:num="1"/>
          <w:docGrid w:type="linesAndChars" w:linePitch="381" w:charSpace="0"/>
        </w:sectPr>
      </w:pPr>
    </w:p>
    <w:p>
      <w:pPr>
        <w:ind w:firstLine="0" w:firstLineChars="0"/>
        <w:outlineLvl w:val="1"/>
      </w:pPr>
      <w:bookmarkStart w:id="88" w:name="_Toc17557"/>
      <w:r>
        <w:rPr>
          <w:rFonts w:hint="eastAsia"/>
        </w:rPr>
        <w:t>附图1企业地理位置图</w:t>
      </w:r>
      <w:bookmarkEnd w:id="88"/>
    </w:p>
    <w:p>
      <w:pPr>
        <w:ind w:firstLine="0" w:firstLineChars="0"/>
        <w:jc w:val="center"/>
        <w:rPr>
          <w:rFonts w:hint="eastAsia" w:eastAsia="宋体"/>
          <w:lang w:eastAsia="zh-CN"/>
        </w:rPr>
      </w:pPr>
      <w:r>
        <w:rPr>
          <w:lang w:val="zh-CN"/>
        </w:rPr>
        <w:drawing>
          <wp:anchor distT="0" distB="0" distL="114300" distR="114300" simplePos="0" relativeHeight="2604254208" behindDoc="0" locked="0" layoutInCell="1" allowOverlap="1">
            <wp:simplePos x="0" y="0"/>
            <wp:positionH relativeFrom="column">
              <wp:posOffset>8310245</wp:posOffset>
            </wp:positionH>
            <wp:positionV relativeFrom="paragraph">
              <wp:posOffset>100330</wp:posOffset>
            </wp:positionV>
            <wp:extent cx="545465" cy="899160"/>
            <wp:effectExtent l="9525" t="9525" r="16510" b="24765"/>
            <wp:wrapNone/>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19"/>
                    <a:stretch>
                      <a:fillRect/>
                    </a:stretch>
                  </pic:blipFill>
                  <pic:spPr>
                    <a:xfrm>
                      <a:off x="0" y="0"/>
                      <a:ext cx="545465" cy="899160"/>
                    </a:xfrm>
                    <a:prstGeom prst="rect">
                      <a:avLst/>
                    </a:prstGeom>
                    <a:noFill/>
                    <a:ln w="9525" cap="flat" cmpd="sng">
                      <a:solidFill>
                        <a:srgbClr val="000000"/>
                      </a:solidFill>
                      <a:prstDash val="solid"/>
                      <a:miter/>
                      <a:headEnd type="none" w="med" len="med"/>
                      <a:tailEnd type="none" w="med" len="med"/>
                    </a:ln>
                  </pic:spPr>
                </pic:pic>
              </a:graphicData>
            </a:graphic>
          </wp:anchor>
        </w:drawing>
      </w:r>
      <w:r>
        <w:rPr>
          <w:rFonts w:hint="eastAsia" w:eastAsia="宋体"/>
          <w:lang w:eastAsia="zh-CN"/>
        </w:rPr>
        <w:drawing>
          <wp:inline distT="0" distB="0" distL="114300" distR="114300">
            <wp:extent cx="8858250" cy="5365750"/>
            <wp:effectExtent l="15875" t="15875" r="22225" b="28575"/>
            <wp:docPr id="10" name="图片 10" descr="2020091614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20200916142004"/>
                    <pic:cNvPicPr>
                      <a:picLocks noChangeAspect="1"/>
                    </pic:cNvPicPr>
                  </pic:nvPicPr>
                  <pic:blipFill>
                    <a:blip r:embed="rId20"/>
                    <a:stretch>
                      <a:fillRect/>
                    </a:stretch>
                  </pic:blipFill>
                  <pic:spPr>
                    <a:xfrm>
                      <a:off x="0" y="0"/>
                      <a:ext cx="8858250" cy="5365750"/>
                    </a:xfrm>
                    <a:prstGeom prst="rect">
                      <a:avLst/>
                    </a:prstGeom>
                    <a:ln w="15875">
                      <a:solidFill>
                        <a:schemeClr val="tx1"/>
                      </a:solidFill>
                    </a:ln>
                  </pic:spPr>
                </pic:pic>
              </a:graphicData>
            </a:graphic>
          </wp:inline>
        </w:drawing>
      </w:r>
    </w:p>
    <w:p>
      <w:pPr>
        <w:ind w:firstLine="560"/>
        <w:sectPr>
          <w:pgSz w:w="16838" w:h="11905" w:orient="landscape"/>
          <w:pgMar w:top="1134" w:right="1440" w:bottom="1276" w:left="1440" w:header="851" w:footer="992" w:gutter="0"/>
          <w:pgBorders>
            <w:top w:val="none" w:sz="0" w:space="0"/>
            <w:left w:val="none" w:sz="0" w:space="0"/>
            <w:bottom w:val="none" w:sz="0" w:space="0"/>
            <w:right w:val="none" w:sz="0" w:space="0"/>
          </w:pgBorders>
          <w:pgNumType w:fmt="decimal"/>
          <w:cols w:space="0" w:num="1"/>
          <w:rtlGutter w:val="0"/>
          <w:docGrid w:type="linesAndChars" w:linePitch="381" w:charSpace="0"/>
        </w:sectPr>
      </w:pPr>
    </w:p>
    <w:p>
      <w:pPr>
        <w:ind w:firstLine="0" w:firstLineChars="0"/>
        <w:outlineLvl w:val="1"/>
      </w:pPr>
      <w:bookmarkStart w:id="89" w:name="_Toc12582"/>
      <w:r>
        <w:rPr>
          <w:rFonts w:hint="eastAsia"/>
        </w:rPr>
        <w:t>附图2</w:t>
      </w:r>
      <w:r>
        <w:t xml:space="preserve"> </w:t>
      </w:r>
      <w:r>
        <w:rPr>
          <w:rFonts w:hint="eastAsia"/>
        </w:rPr>
        <w:t>厂区平面布置图</w:t>
      </w:r>
      <w:bookmarkEnd w:id="89"/>
    </w:p>
    <w:p>
      <w:pPr>
        <w:ind w:firstLine="0" w:firstLineChars="0"/>
        <w:jc w:val="center"/>
        <w:rPr>
          <w:rFonts w:hint="eastAsia" w:eastAsia="宋体"/>
          <w:lang w:eastAsia="zh-CN"/>
        </w:rPr>
      </w:pPr>
      <w:r>
        <w:rPr>
          <w:lang w:val="zh-CN"/>
        </w:rPr>
        <w:drawing>
          <wp:anchor distT="0" distB="0" distL="114300" distR="114300" simplePos="0" relativeHeight="2604214272" behindDoc="0" locked="0" layoutInCell="1" allowOverlap="1">
            <wp:simplePos x="0" y="0"/>
            <wp:positionH relativeFrom="column">
              <wp:posOffset>7622540</wp:posOffset>
            </wp:positionH>
            <wp:positionV relativeFrom="paragraph">
              <wp:posOffset>36830</wp:posOffset>
            </wp:positionV>
            <wp:extent cx="545465" cy="899160"/>
            <wp:effectExtent l="9525" t="9525" r="16510" b="24765"/>
            <wp:wrapNone/>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19"/>
                    <a:stretch>
                      <a:fillRect/>
                    </a:stretch>
                  </pic:blipFill>
                  <pic:spPr>
                    <a:xfrm>
                      <a:off x="0" y="0"/>
                      <a:ext cx="545465" cy="899160"/>
                    </a:xfrm>
                    <a:prstGeom prst="rect">
                      <a:avLst/>
                    </a:prstGeom>
                    <a:noFill/>
                    <a:ln w="9525" cap="flat" cmpd="sng">
                      <a:solidFill>
                        <a:srgbClr val="000000"/>
                      </a:solidFill>
                      <a:prstDash val="solid"/>
                      <a:miter/>
                      <a:headEnd type="none" w="med" len="med"/>
                      <a:tailEnd type="none" w="med" len="med"/>
                    </a:ln>
                  </pic:spPr>
                </pic:pic>
              </a:graphicData>
            </a:graphic>
          </wp:anchor>
        </w:drawing>
      </w:r>
      <w:r>
        <w:rPr>
          <w:rFonts w:hint="eastAsia" w:eastAsia="宋体"/>
          <w:lang w:eastAsia="zh-CN"/>
        </w:rPr>
        <w:drawing>
          <wp:inline distT="0" distB="0" distL="114300" distR="114300">
            <wp:extent cx="7677150" cy="4791075"/>
            <wp:effectExtent l="12700" t="12700" r="25400" b="15875"/>
            <wp:docPr id="22" name="图片 22" descr="2020091615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20200916151337"/>
                    <pic:cNvPicPr>
                      <a:picLocks noChangeAspect="1"/>
                    </pic:cNvPicPr>
                  </pic:nvPicPr>
                  <pic:blipFill>
                    <a:blip r:embed="rId21"/>
                    <a:stretch>
                      <a:fillRect/>
                    </a:stretch>
                  </pic:blipFill>
                  <pic:spPr>
                    <a:xfrm>
                      <a:off x="0" y="0"/>
                      <a:ext cx="7677150" cy="4791075"/>
                    </a:xfrm>
                    <a:prstGeom prst="rect">
                      <a:avLst/>
                    </a:prstGeom>
                    <a:ln w="12700" cmpd="sng">
                      <a:solidFill>
                        <a:schemeClr val="tx1"/>
                      </a:solidFill>
                      <a:prstDash val="solid"/>
                    </a:ln>
                  </pic:spPr>
                </pic:pic>
              </a:graphicData>
            </a:graphic>
          </wp:inline>
        </w:drawing>
      </w:r>
    </w:p>
    <w:p>
      <w:pPr>
        <w:pStyle w:val="44"/>
        <w:rPr>
          <w:rFonts w:hint="eastAsia" w:eastAsia="宋体"/>
          <w:lang w:eastAsia="zh-CN"/>
        </w:rPr>
      </w:pPr>
    </w:p>
    <w:p>
      <w:pPr>
        <w:pStyle w:val="44"/>
        <w:rPr>
          <w:rFonts w:hint="eastAsia" w:eastAsia="宋体"/>
          <w:lang w:eastAsia="zh-CN"/>
        </w:rPr>
        <w:sectPr>
          <w:pgSz w:w="16838" w:h="11905" w:orient="landscape"/>
          <w:pgMar w:top="1134" w:right="1440" w:bottom="1276" w:left="1440" w:header="851" w:footer="992" w:gutter="0"/>
          <w:pgBorders>
            <w:top w:val="none" w:sz="0" w:space="0"/>
            <w:left w:val="none" w:sz="0" w:space="0"/>
            <w:bottom w:val="none" w:sz="0" w:space="0"/>
            <w:right w:val="none" w:sz="0" w:space="0"/>
          </w:pgBorders>
          <w:pgNumType w:fmt="decimal"/>
          <w:cols w:space="0" w:num="1"/>
          <w:rtlGutter w:val="0"/>
          <w:docGrid w:type="linesAndChars" w:linePitch="381" w:charSpace="0"/>
        </w:sectPr>
      </w:pPr>
    </w:p>
    <w:p>
      <w:pPr>
        <w:ind w:firstLine="0" w:firstLineChars="0"/>
        <w:outlineLvl w:val="1"/>
      </w:pPr>
      <w:bookmarkStart w:id="90" w:name="_Toc4514"/>
      <w:r>
        <w:rPr>
          <w:rFonts w:hint="eastAsia"/>
        </w:rPr>
        <w:t>附图3</w:t>
      </w:r>
      <w:r>
        <w:t xml:space="preserve"> </w:t>
      </w:r>
      <w:r>
        <w:rPr>
          <w:rFonts w:hint="eastAsia"/>
          <w:lang w:eastAsia="zh-CN"/>
        </w:rPr>
        <w:t>周边敏感点分布</w:t>
      </w:r>
      <w:r>
        <w:rPr>
          <w:rFonts w:hint="eastAsia"/>
        </w:rPr>
        <w:t>图</w:t>
      </w:r>
      <w:bookmarkEnd w:id="90"/>
    </w:p>
    <w:p>
      <w:pPr>
        <w:ind w:firstLine="0" w:firstLineChars="0"/>
        <w:jc w:val="center"/>
        <w:rPr>
          <w:rFonts w:hint="eastAsia" w:eastAsia="宋体"/>
          <w:lang w:eastAsia="zh-CN"/>
        </w:rPr>
      </w:pPr>
      <w:r>
        <w:rPr>
          <w:lang w:val="zh-CN"/>
        </w:rPr>
        <w:drawing>
          <wp:anchor distT="0" distB="0" distL="114300" distR="114300" simplePos="0" relativeHeight="2604254208" behindDoc="0" locked="0" layoutInCell="1" allowOverlap="1">
            <wp:simplePos x="0" y="0"/>
            <wp:positionH relativeFrom="column">
              <wp:posOffset>7664450</wp:posOffset>
            </wp:positionH>
            <wp:positionV relativeFrom="paragraph">
              <wp:posOffset>79375</wp:posOffset>
            </wp:positionV>
            <wp:extent cx="545465" cy="899160"/>
            <wp:effectExtent l="9525" t="9525" r="16510" b="24765"/>
            <wp:wrapNone/>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19"/>
                    <a:stretch>
                      <a:fillRect/>
                    </a:stretch>
                  </pic:blipFill>
                  <pic:spPr>
                    <a:xfrm>
                      <a:off x="0" y="0"/>
                      <a:ext cx="545465" cy="899160"/>
                    </a:xfrm>
                    <a:prstGeom prst="rect">
                      <a:avLst/>
                    </a:prstGeom>
                    <a:noFill/>
                    <a:ln w="9525" cap="flat" cmpd="sng">
                      <a:solidFill>
                        <a:srgbClr val="000000"/>
                      </a:solidFill>
                      <a:prstDash val="solid"/>
                      <a:miter/>
                      <a:headEnd type="none" w="med" len="med"/>
                      <a:tailEnd type="none" w="med" len="med"/>
                    </a:ln>
                  </pic:spPr>
                </pic:pic>
              </a:graphicData>
            </a:graphic>
          </wp:anchor>
        </w:drawing>
      </w:r>
      <w:r>
        <w:rPr>
          <w:sz w:val="28"/>
        </w:rPr>
        <mc:AlternateContent>
          <mc:Choice Requires="wps">
            <w:drawing>
              <wp:anchor distT="0" distB="0" distL="114300" distR="114300" simplePos="0" relativeHeight="251697152" behindDoc="0" locked="0" layoutInCell="1" allowOverlap="1">
                <wp:simplePos x="0" y="0"/>
                <wp:positionH relativeFrom="column">
                  <wp:posOffset>2026920</wp:posOffset>
                </wp:positionH>
                <wp:positionV relativeFrom="paragraph">
                  <wp:posOffset>4585335</wp:posOffset>
                </wp:positionV>
                <wp:extent cx="1152525" cy="38227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152525" cy="3822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ind w:left="0" w:leftChars="0" w:firstLine="0" w:firstLineChars="0"/>
                              <w:rPr>
                                <w:rFonts w:hint="eastAsia" w:eastAsia="宋体"/>
                                <w:b/>
                                <w:bCs/>
                                <w:color w:val="FF0000"/>
                                <w:sz w:val="21"/>
                                <w:szCs w:val="21"/>
                                <w:lang w:eastAsia="zh-CN"/>
                              </w:rPr>
                            </w:pPr>
                            <w:r>
                              <w:rPr>
                                <w:rFonts w:hint="eastAsia"/>
                                <w:b/>
                                <w:bCs/>
                                <w:color w:val="FF0000"/>
                                <w:sz w:val="21"/>
                                <w:szCs w:val="21"/>
                                <w:lang w:eastAsia="zh-CN"/>
                              </w:rPr>
                              <w:t>范家新村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59.6pt;margin-top:361.05pt;height:30.1pt;width:90.75pt;z-index:251697152;mso-width-relative:page;mso-height-relative:page;" filled="f" stroked="f" coordsize="21600,21600" o:gfxdata="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n/XT&#10;itsAAAALAQAADwAAAAAAAAABACAAAAAiAAAAZHJzL2Rvd25yZXYueG1sUEsBAhQAFAAAAAgAh07i&#10;QESCx1YfAgAAGgQAAA4AAAAAAAAAAQAgAAAAKgEAAGRycy9lMm9Eb2MueG1sUEsFBgAAAAAGAAYA&#10;WQEAALsFAAAAAA==&#10;">
                <v:fill on="f" focussize="0,0"/>
                <v:stroke on="f" weight="0.5pt"/>
                <v:imagedata o:title=""/>
                <o:lock v:ext="edit" aspectratio="f"/>
                <v:textbox>
                  <w:txbxContent>
                    <w:p>
                      <w:pPr>
                        <w:ind w:left="0" w:leftChars="0" w:firstLine="0" w:firstLineChars="0"/>
                        <w:rPr>
                          <w:rFonts w:hint="eastAsia" w:eastAsia="宋体"/>
                          <w:b/>
                          <w:bCs/>
                          <w:color w:val="FF0000"/>
                          <w:sz w:val="21"/>
                          <w:szCs w:val="21"/>
                          <w:lang w:eastAsia="zh-CN"/>
                        </w:rPr>
                      </w:pPr>
                      <w:r>
                        <w:rPr>
                          <w:rFonts w:hint="eastAsia"/>
                          <w:b/>
                          <w:bCs/>
                          <w:color w:val="FF0000"/>
                          <w:sz w:val="21"/>
                          <w:szCs w:val="21"/>
                          <w:lang w:eastAsia="zh-CN"/>
                        </w:rPr>
                        <w:t>范家新村</w:t>
                      </w:r>
                    </w:p>
                  </w:txbxContent>
                </v:textbox>
              </v:shape>
            </w:pict>
          </mc:Fallback>
        </mc:AlternateContent>
      </w:r>
      <w:r>
        <w:rPr>
          <w:sz w:val="28"/>
        </w:rPr>
        <mc:AlternateContent>
          <mc:Choice Requires="wps">
            <w:drawing>
              <wp:anchor distT="0" distB="0" distL="114300" distR="114300" simplePos="0" relativeHeight="251686912" behindDoc="0" locked="0" layoutInCell="1" allowOverlap="1">
                <wp:simplePos x="0" y="0"/>
                <wp:positionH relativeFrom="column">
                  <wp:posOffset>5318125</wp:posOffset>
                </wp:positionH>
                <wp:positionV relativeFrom="paragraph">
                  <wp:posOffset>1864995</wp:posOffset>
                </wp:positionV>
                <wp:extent cx="974090" cy="38227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974090" cy="3822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ind w:left="0" w:leftChars="0" w:firstLine="0" w:firstLineChars="0"/>
                              <w:rPr>
                                <w:rFonts w:hint="eastAsia" w:eastAsia="宋体"/>
                                <w:b/>
                                <w:bCs/>
                                <w:color w:val="FF0000"/>
                                <w:sz w:val="21"/>
                                <w:szCs w:val="21"/>
                                <w:lang w:eastAsia="zh-CN"/>
                              </w:rPr>
                            </w:pPr>
                            <w:r>
                              <w:rPr>
                                <w:rFonts w:hint="eastAsia"/>
                                <w:b/>
                                <w:bCs/>
                                <w:color w:val="FF0000"/>
                                <w:sz w:val="21"/>
                                <w:szCs w:val="21"/>
                                <w:lang w:eastAsia="zh-CN"/>
                              </w:rPr>
                              <w:t>公园一号小区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18.75pt;margin-top:146.85pt;height:30.1pt;width:76.7pt;z-index:251686912;mso-width-relative:page;mso-height-relative:page;" filled="f" stroked="f" coordsize="21600,21600" o:gfxdata="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I&#10;QubP3AAAAAsBAAAPAAAAAAAAAAEAIAAAACIAAABkcnMvZG93bnJldi54bWxQSwECFAAUAAAACACH&#10;TuJAUQN/MiACAAAZBAAADgAAAAAAAAABACAAAAArAQAAZHJzL2Uyb0RvYy54bWxQSwUGAAAAAAYA&#10;BgBZAQAAvQUAAAAA&#10;">
                <v:fill on="f" focussize="0,0"/>
                <v:stroke on="f" weight="0.5pt"/>
                <v:imagedata o:title=""/>
                <o:lock v:ext="edit" aspectratio="f"/>
                <v:textbox>
                  <w:txbxContent>
                    <w:p>
                      <w:pPr>
                        <w:ind w:left="0" w:leftChars="0" w:firstLine="0" w:firstLineChars="0"/>
                        <w:rPr>
                          <w:rFonts w:hint="eastAsia" w:eastAsia="宋体"/>
                          <w:b/>
                          <w:bCs/>
                          <w:color w:val="FF0000"/>
                          <w:sz w:val="21"/>
                          <w:szCs w:val="21"/>
                          <w:lang w:eastAsia="zh-CN"/>
                        </w:rPr>
                      </w:pPr>
                      <w:r>
                        <w:rPr>
                          <w:rFonts w:hint="eastAsia"/>
                          <w:b/>
                          <w:bCs/>
                          <w:color w:val="FF0000"/>
                          <w:sz w:val="21"/>
                          <w:szCs w:val="21"/>
                          <w:lang w:eastAsia="zh-CN"/>
                        </w:rPr>
                        <w:t>公园一号小区</w:t>
                      </w:r>
                    </w:p>
                  </w:txbxContent>
                </v:textbox>
              </v:shape>
            </w:pict>
          </mc:Fallback>
        </mc:AlternateContent>
      </w:r>
      <w:r>
        <w:rPr>
          <w:sz w:val="28"/>
        </w:rPr>
        <mc:AlternateContent>
          <mc:Choice Requires="wps">
            <w:drawing>
              <wp:anchor distT="0" distB="0" distL="114300" distR="114300" simplePos="0" relativeHeight="251677696" behindDoc="0" locked="0" layoutInCell="1" allowOverlap="1">
                <wp:simplePos x="0" y="0"/>
                <wp:positionH relativeFrom="column">
                  <wp:posOffset>2694305</wp:posOffset>
                </wp:positionH>
                <wp:positionV relativeFrom="paragraph">
                  <wp:posOffset>3896995</wp:posOffset>
                </wp:positionV>
                <wp:extent cx="1152525" cy="38227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152525" cy="3822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ind w:left="0" w:leftChars="0" w:firstLine="0" w:firstLineChars="0"/>
                              <w:rPr>
                                <w:rFonts w:hint="eastAsia" w:eastAsia="宋体"/>
                                <w:b/>
                                <w:bCs/>
                                <w:color w:val="FF0000"/>
                                <w:sz w:val="21"/>
                                <w:szCs w:val="21"/>
                                <w:lang w:eastAsia="zh-CN"/>
                              </w:rPr>
                            </w:pPr>
                            <w:r>
                              <w:rPr>
                                <w:rFonts w:hint="eastAsia"/>
                                <w:b/>
                                <w:bCs/>
                                <w:color w:val="FF0000"/>
                                <w:sz w:val="21"/>
                                <w:szCs w:val="21"/>
                                <w:lang w:eastAsia="zh-CN"/>
                              </w:rPr>
                              <w:t>厚溪陈家</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2.15pt;margin-top:306.85pt;height:30.1pt;width:90.75pt;z-index:251677696;mso-width-relative:page;mso-height-relative:page;" filled="f" stroked="f" coordsize="21600,21600" o:gfxdata="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2&#10;sllr3AAAAAsBAAAPAAAAAAAAAAEAIAAAACIAAABkcnMvZG93bnJldi54bWxQSwECFAAUAAAACACH&#10;TuJA+x8RjSACAAAaBAAADgAAAAAAAAABACAAAAArAQAAZHJzL2Uyb0RvYy54bWxQSwUGAAAAAAYA&#10;BgBZAQAAvQUAAAAA&#10;">
                <v:fill on="f" focussize="0,0"/>
                <v:stroke on="f" weight="0.5pt"/>
                <v:imagedata o:title=""/>
                <o:lock v:ext="edit" aspectratio="f"/>
                <v:textbox>
                  <w:txbxContent>
                    <w:p>
                      <w:pPr>
                        <w:ind w:left="0" w:leftChars="0" w:firstLine="0" w:firstLineChars="0"/>
                        <w:rPr>
                          <w:rFonts w:hint="eastAsia" w:eastAsia="宋体"/>
                          <w:b/>
                          <w:bCs/>
                          <w:color w:val="FF0000"/>
                          <w:sz w:val="21"/>
                          <w:szCs w:val="21"/>
                          <w:lang w:eastAsia="zh-CN"/>
                        </w:rPr>
                      </w:pPr>
                      <w:r>
                        <w:rPr>
                          <w:rFonts w:hint="eastAsia"/>
                          <w:b/>
                          <w:bCs/>
                          <w:color w:val="FF0000"/>
                          <w:sz w:val="21"/>
                          <w:szCs w:val="21"/>
                          <w:lang w:eastAsia="zh-CN"/>
                        </w:rPr>
                        <w:t>厚溪陈家</w:t>
                      </w:r>
                    </w:p>
                  </w:txbxContent>
                </v:textbox>
              </v:shape>
            </w:pict>
          </mc:Fallback>
        </mc:AlternateContent>
      </w:r>
      <w:r>
        <w:rPr>
          <w:sz w:val="28"/>
        </w:rPr>
        <mc:AlternateContent>
          <mc:Choice Requires="wps">
            <w:drawing>
              <wp:anchor distT="0" distB="0" distL="114300" distR="114300" simplePos="0" relativeHeight="251667456" behindDoc="0" locked="0" layoutInCell="1" allowOverlap="1">
                <wp:simplePos x="0" y="0"/>
                <wp:positionH relativeFrom="column">
                  <wp:posOffset>1116965</wp:posOffset>
                </wp:positionH>
                <wp:positionV relativeFrom="paragraph">
                  <wp:posOffset>3145790</wp:posOffset>
                </wp:positionV>
                <wp:extent cx="1152525" cy="38227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152525" cy="3822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ind w:left="0" w:leftChars="0" w:firstLine="0" w:firstLineChars="0"/>
                              <w:rPr>
                                <w:rFonts w:hint="eastAsia" w:eastAsia="宋体"/>
                                <w:b/>
                                <w:bCs/>
                                <w:color w:val="FF0000"/>
                                <w:sz w:val="21"/>
                                <w:szCs w:val="21"/>
                                <w:lang w:eastAsia="zh-CN"/>
                              </w:rPr>
                            </w:pPr>
                            <w:r>
                              <w:rPr>
                                <w:rFonts w:hint="eastAsia"/>
                                <w:b/>
                                <w:bCs/>
                                <w:color w:val="FF0000"/>
                                <w:sz w:val="21"/>
                                <w:szCs w:val="21"/>
                                <w:lang w:eastAsia="zh-CN"/>
                              </w:rPr>
                              <w:t>东华理工大学</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7.95pt;margin-top:247.7pt;height:30.1pt;width:90.75pt;z-index:251667456;mso-width-relative:page;mso-height-relative:page;" filled="f" stroked="f" coordsize="21600,21600" o:gfxdata="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Dr/&#10;vtPcAAAACwEAAA8AAAAAAAAAAQAgAAAAIgAAAGRycy9kb3ducmV2LnhtbFBLAQIUABQAAAAIAIdO&#10;4kBuZEcGHwIAABoEAAAOAAAAAAAAAAEAIAAAACsBAABkcnMvZTJvRG9jLnhtbFBLBQYAAAAABgAG&#10;AFkBAAC8BQAAAAA=&#10;">
                <v:fill on="f" focussize="0,0"/>
                <v:stroke on="f" weight="0.5pt"/>
                <v:imagedata o:title=""/>
                <o:lock v:ext="edit" aspectratio="f"/>
                <v:textbox>
                  <w:txbxContent>
                    <w:p>
                      <w:pPr>
                        <w:ind w:left="0" w:leftChars="0" w:firstLine="0" w:firstLineChars="0"/>
                        <w:rPr>
                          <w:rFonts w:hint="eastAsia" w:eastAsia="宋体"/>
                          <w:b/>
                          <w:bCs/>
                          <w:color w:val="FF0000"/>
                          <w:sz w:val="21"/>
                          <w:szCs w:val="21"/>
                          <w:lang w:eastAsia="zh-CN"/>
                        </w:rPr>
                      </w:pPr>
                      <w:r>
                        <w:rPr>
                          <w:rFonts w:hint="eastAsia"/>
                          <w:b/>
                          <w:bCs/>
                          <w:color w:val="FF0000"/>
                          <w:sz w:val="21"/>
                          <w:szCs w:val="21"/>
                          <w:lang w:eastAsia="zh-CN"/>
                        </w:rPr>
                        <w:t>东华理工大学</w:t>
                      </w:r>
                    </w:p>
                  </w:txbxContent>
                </v:textbox>
              </v:shape>
            </w:pict>
          </mc:Fallback>
        </mc:AlternateContent>
      </w:r>
      <w:r>
        <w:rPr>
          <w:sz w:val="28"/>
        </w:rPr>
        <mc:AlternateContent>
          <mc:Choice Requires="wps">
            <w:drawing>
              <wp:anchor distT="0" distB="0" distL="114300" distR="114300" simplePos="0" relativeHeight="251666432" behindDoc="0" locked="0" layoutInCell="1" allowOverlap="1">
                <wp:simplePos x="0" y="0"/>
                <wp:positionH relativeFrom="column">
                  <wp:posOffset>3825875</wp:posOffset>
                </wp:positionH>
                <wp:positionV relativeFrom="paragraph">
                  <wp:posOffset>1505585</wp:posOffset>
                </wp:positionV>
                <wp:extent cx="995045" cy="38227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995045" cy="3822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ind w:left="0" w:leftChars="0" w:firstLine="0" w:firstLineChars="0"/>
                              <w:rPr>
                                <w:rFonts w:hint="eastAsia" w:eastAsia="宋体"/>
                                <w:b/>
                                <w:bCs/>
                                <w:color w:val="FF0000"/>
                                <w:sz w:val="21"/>
                                <w:szCs w:val="21"/>
                                <w:lang w:eastAsia="zh-CN"/>
                              </w:rPr>
                            </w:pPr>
                            <w:r>
                              <w:rPr>
                                <w:rFonts w:hint="eastAsia"/>
                                <w:b/>
                                <w:bCs/>
                                <w:color w:val="FF0000"/>
                                <w:sz w:val="21"/>
                                <w:szCs w:val="21"/>
                                <w:lang w:eastAsia="zh-CN"/>
                              </w:rPr>
                              <w:t>二中农民公寓小区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1.25pt;margin-top:118.55pt;height:30.1pt;width:78.35pt;z-index:251666432;mso-width-relative:page;mso-height-relative:page;" filled="f" stroked="f" coordsize="21600,21600" o:gfxdata="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3ttdiNwAAAALAQAADwAAAAAAAAABACAAAAAiAAAAZHJzL2Rvd25yZXYueG1sUEsBAhQAFAAAAAgA&#10;h07iQP6IGiAhAgAAGQQAAA4AAAAAAAAAAQAgAAAAKwEAAGRycy9lMm9Eb2MueG1sUEsFBgAAAAAG&#10;AAYAWQEAAL4FAAAAAA==&#10;">
                <v:fill on="f" focussize="0,0"/>
                <v:stroke on="f" weight="0.5pt"/>
                <v:imagedata o:title=""/>
                <o:lock v:ext="edit" aspectratio="f"/>
                <v:textbox>
                  <w:txbxContent>
                    <w:p>
                      <w:pPr>
                        <w:ind w:left="0" w:leftChars="0" w:firstLine="0" w:firstLineChars="0"/>
                        <w:rPr>
                          <w:rFonts w:hint="eastAsia" w:eastAsia="宋体"/>
                          <w:b/>
                          <w:bCs/>
                          <w:color w:val="FF0000"/>
                          <w:sz w:val="21"/>
                          <w:szCs w:val="21"/>
                          <w:lang w:eastAsia="zh-CN"/>
                        </w:rPr>
                      </w:pPr>
                      <w:r>
                        <w:rPr>
                          <w:rFonts w:hint="eastAsia"/>
                          <w:b/>
                          <w:bCs/>
                          <w:color w:val="FF0000"/>
                          <w:sz w:val="21"/>
                          <w:szCs w:val="21"/>
                          <w:lang w:eastAsia="zh-CN"/>
                        </w:rPr>
                        <w:t>二中农民公寓小区</w:t>
                      </w:r>
                    </w:p>
                  </w:txbxContent>
                </v:textbox>
              </v:shape>
            </w:pict>
          </mc:Fallback>
        </mc:AlternateContent>
      </w:r>
      <w:r>
        <w:rPr>
          <w:sz w:val="28"/>
        </w:rPr>
        <mc:AlternateContent>
          <mc:Choice Requires="wps">
            <w:drawing>
              <wp:anchor distT="0" distB="0" distL="114300" distR="114300" simplePos="0" relativeHeight="251665408" behindDoc="0" locked="0" layoutInCell="1" allowOverlap="1">
                <wp:simplePos x="0" y="0"/>
                <wp:positionH relativeFrom="column">
                  <wp:posOffset>4524375</wp:posOffset>
                </wp:positionH>
                <wp:positionV relativeFrom="paragraph">
                  <wp:posOffset>859155</wp:posOffset>
                </wp:positionV>
                <wp:extent cx="868045" cy="38227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868045" cy="3822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ind w:left="0" w:leftChars="0" w:firstLine="0" w:firstLineChars="0"/>
                              <w:rPr>
                                <w:rFonts w:hint="eastAsia" w:eastAsia="宋体"/>
                                <w:b/>
                                <w:bCs/>
                                <w:color w:val="FF0000"/>
                                <w:lang w:eastAsia="zh-CN"/>
                              </w:rPr>
                            </w:pPr>
                            <w:r>
                              <w:rPr>
                                <w:rFonts w:hint="eastAsia"/>
                                <w:b/>
                                <w:bCs/>
                                <w:color w:val="FF0000"/>
                                <w:sz w:val="21"/>
                                <w:szCs w:val="21"/>
                                <w:lang w:eastAsia="zh-CN"/>
                              </w:rPr>
                              <w:t>南昌一专</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6.25pt;margin-top:67.65pt;height:30.1pt;width:68.35pt;z-index:251665408;mso-width-relative:page;mso-height-relative:page;" filled="f" stroked="f" coordsize="21600,21600" o:gfxdata="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C5J7B9wAAAALAQAADwAAAAAAAAABACAAAAAiAAAAZHJzL2Rvd25yZXYueG1sUEsBAhQAFAAAAAgA&#10;h07iQBitxJ4hAgAAGQQAAA4AAAAAAAAAAQAgAAAAKwEAAGRycy9lMm9Eb2MueG1sUEsFBgAAAAAG&#10;AAYAWQEAAL4FAAAAAA==&#10;">
                <v:fill on="f" focussize="0,0"/>
                <v:stroke on="f" weight="0.5pt"/>
                <v:imagedata o:title=""/>
                <o:lock v:ext="edit" aspectratio="f"/>
                <v:textbox>
                  <w:txbxContent>
                    <w:p>
                      <w:pPr>
                        <w:ind w:left="0" w:leftChars="0" w:firstLine="0" w:firstLineChars="0"/>
                        <w:rPr>
                          <w:rFonts w:hint="eastAsia" w:eastAsia="宋体"/>
                          <w:b/>
                          <w:bCs/>
                          <w:color w:val="FF0000"/>
                          <w:lang w:eastAsia="zh-CN"/>
                        </w:rPr>
                      </w:pPr>
                      <w:r>
                        <w:rPr>
                          <w:rFonts w:hint="eastAsia"/>
                          <w:b/>
                          <w:bCs/>
                          <w:color w:val="FF0000"/>
                          <w:sz w:val="21"/>
                          <w:szCs w:val="21"/>
                          <w:lang w:eastAsia="zh-CN"/>
                        </w:rPr>
                        <w:t>南昌一专</w:t>
                      </w:r>
                    </w:p>
                  </w:txbxContent>
                </v:textbox>
              </v:shape>
            </w:pict>
          </mc:Fallback>
        </mc:AlternateContent>
      </w:r>
      <w:r>
        <w:rPr>
          <w:sz w:val="28"/>
        </w:rPr>
        <mc:AlternateContent>
          <mc:Choice Requires="wps">
            <w:drawing>
              <wp:anchor distT="0" distB="0" distL="114300" distR="114300" simplePos="0" relativeHeight="251661312" behindDoc="0" locked="0" layoutInCell="1" allowOverlap="1">
                <wp:simplePos x="0" y="0"/>
                <wp:positionH relativeFrom="column">
                  <wp:posOffset>3762375</wp:posOffset>
                </wp:positionH>
                <wp:positionV relativeFrom="paragraph">
                  <wp:posOffset>965200</wp:posOffset>
                </wp:positionV>
                <wp:extent cx="868045" cy="38227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868045" cy="3822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ind w:left="0" w:leftChars="0" w:firstLine="0" w:firstLineChars="0"/>
                              <w:rPr>
                                <w:rFonts w:hint="eastAsia" w:eastAsia="宋体"/>
                                <w:b/>
                                <w:bCs/>
                                <w:color w:val="FF0000"/>
                                <w:lang w:eastAsia="zh-CN"/>
                              </w:rPr>
                            </w:pPr>
                            <w:r>
                              <w:rPr>
                                <w:rFonts w:hint="eastAsia"/>
                                <w:b/>
                                <w:bCs/>
                                <w:color w:val="FF0000"/>
                                <w:sz w:val="21"/>
                                <w:szCs w:val="21"/>
                                <w:lang w:eastAsia="zh-CN"/>
                              </w:rPr>
                              <w:t>润碧康城</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6.25pt;margin-top:76pt;height:30.1pt;width:68.35pt;z-index:251661312;mso-width-relative:page;mso-height-relative:page;" filled="f" stroked="f" coordsize="21600,21600" o:gfxdata="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FdI&#10;AKXbAAAACwEAAA8AAAAAAAAAAQAgAAAAIgAAAGRycy9kb3ducmV2LnhtbFBLAQIUABQAAAAIAIdO&#10;4kC3KvB8IAIAABkEAAAOAAAAAAAAAAEAIAAAACoBAABkcnMvZTJvRG9jLnhtbFBLBQYAAAAABgAG&#10;AFkBAAC8BQAAAAA=&#10;">
                <v:fill on="f" focussize="0,0"/>
                <v:stroke on="f" weight="0.5pt"/>
                <v:imagedata o:title=""/>
                <o:lock v:ext="edit" aspectratio="f"/>
                <v:textbox>
                  <w:txbxContent>
                    <w:p>
                      <w:pPr>
                        <w:ind w:left="0" w:leftChars="0" w:firstLine="0" w:firstLineChars="0"/>
                        <w:rPr>
                          <w:rFonts w:hint="eastAsia" w:eastAsia="宋体"/>
                          <w:b/>
                          <w:bCs/>
                          <w:color w:val="FF0000"/>
                          <w:lang w:eastAsia="zh-CN"/>
                        </w:rPr>
                      </w:pPr>
                      <w:r>
                        <w:rPr>
                          <w:rFonts w:hint="eastAsia"/>
                          <w:b/>
                          <w:bCs/>
                          <w:color w:val="FF0000"/>
                          <w:sz w:val="21"/>
                          <w:szCs w:val="21"/>
                          <w:lang w:eastAsia="zh-CN"/>
                        </w:rPr>
                        <w:t>润碧康城</w:t>
                      </w:r>
                    </w:p>
                  </w:txbxContent>
                </v:textbox>
              </v:shape>
            </w:pict>
          </mc:Fallback>
        </mc:AlternateContent>
      </w:r>
      <w:r>
        <w:rPr>
          <w:sz w:val="28"/>
        </w:rPr>
        <mc:AlternateContent>
          <mc:Choice Requires="wps">
            <w:drawing>
              <wp:anchor distT="0" distB="0" distL="114300" distR="114300" simplePos="0" relativeHeight="251659264" behindDoc="0" locked="0" layoutInCell="1" allowOverlap="1">
                <wp:simplePos x="0" y="0"/>
                <wp:positionH relativeFrom="column">
                  <wp:posOffset>3434080</wp:posOffset>
                </wp:positionH>
                <wp:positionV relativeFrom="paragraph">
                  <wp:posOffset>605790</wp:posOffset>
                </wp:positionV>
                <wp:extent cx="868045" cy="38227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868045" cy="3822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ind w:left="0" w:leftChars="0" w:firstLine="0" w:firstLineChars="0"/>
                              <w:rPr>
                                <w:rFonts w:hint="eastAsia" w:eastAsia="宋体"/>
                                <w:b/>
                                <w:bCs/>
                                <w:color w:val="FF0000"/>
                                <w:lang w:eastAsia="zh-CN"/>
                              </w:rPr>
                            </w:pPr>
                            <w:r>
                              <w:rPr>
                                <w:rFonts w:hint="eastAsia"/>
                                <w:b/>
                                <w:bCs/>
                                <w:color w:val="FF0000"/>
                                <w:sz w:val="21"/>
                                <w:szCs w:val="21"/>
                                <w:lang w:eastAsia="zh-CN"/>
                              </w:rPr>
                              <w:t>财经大学</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0.4pt;margin-top:47.7pt;height:30.1pt;width:68.35pt;z-index:251659264;mso-width-relative:page;mso-height-relative:page;" filled="f" stroked="f" coordsize="21600,21600" o:gfxdata="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f&#10;mQvP2wAAAAoBAAAPAAAAAAAAAAEAIAAAACIAAABkcnMvZG93bnJldi54bWxQSwECFAAUAAAACACH&#10;TuJA7VUzlCECAAAZBAAADgAAAAAAAAABACAAAAAqAQAAZHJzL2Uyb0RvYy54bWxQSwUGAAAAAAYA&#10;BgBZAQAAvQUAAAAA&#10;">
                <v:fill on="f" focussize="0,0"/>
                <v:stroke on="f" weight="0.5pt"/>
                <v:imagedata o:title=""/>
                <o:lock v:ext="edit" aspectratio="f"/>
                <v:textbox>
                  <w:txbxContent>
                    <w:p>
                      <w:pPr>
                        <w:ind w:left="0" w:leftChars="0" w:firstLine="0" w:firstLineChars="0"/>
                        <w:rPr>
                          <w:rFonts w:hint="eastAsia" w:eastAsia="宋体"/>
                          <w:b/>
                          <w:bCs/>
                          <w:color w:val="FF0000"/>
                          <w:lang w:eastAsia="zh-CN"/>
                        </w:rPr>
                      </w:pPr>
                      <w:r>
                        <w:rPr>
                          <w:rFonts w:hint="eastAsia"/>
                          <w:b/>
                          <w:bCs/>
                          <w:color w:val="FF0000"/>
                          <w:sz w:val="21"/>
                          <w:szCs w:val="21"/>
                          <w:lang w:eastAsia="zh-CN"/>
                        </w:rPr>
                        <w:t>财经大学</w:t>
                      </w:r>
                    </w:p>
                  </w:txbxContent>
                </v:textbox>
              </v:shape>
            </w:pict>
          </mc:Fallback>
        </mc:AlternateContent>
      </w:r>
      <w:r>
        <w:rPr>
          <w:sz w:val="28"/>
        </w:rPr>
        <mc:AlternateContent>
          <mc:Choice Requires="wps">
            <w:drawing>
              <wp:anchor distT="0" distB="0" distL="114300" distR="114300" simplePos="0" relativeHeight="251658240" behindDoc="0" locked="0" layoutInCell="1" allowOverlap="1">
                <wp:simplePos x="0" y="0"/>
                <wp:positionH relativeFrom="column">
                  <wp:posOffset>2936875</wp:posOffset>
                </wp:positionH>
                <wp:positionV relativeFrom="paragraph">
                  <wp:posOffset>1431290</wp:posOffset>
                </wp:positionV>
                <wp:extent cx="868045" cy="382270"/>
                <wp:effectExtent l="0" t="0" r="0" b="0"/>
                <wp:wrapNone/>
                <wp:docPr id="13" name="文本框 13"/>
                <wp:cNvGraphicFramePr/>
                <a:graphic xmlns:a="http://schemas.openxmlformats.org/drawingml/2006/main">
                  <a:graphicData uri="http://schemas.microsoft.com/office/word/2010/wordprocessingShape">
                    <wps:wsp>
                      <wps:cNvSpPr txBox="1"/>
                      <wps:spPr>
                        <a:xfrm>
                          <a:off x="4073525" y="2543175"/>
                          <a:ext cx="868045" cy="3822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ind w:left="0" w:leftChars="0" w:firstLine="0" w:firstLineChars="0"/>
                              <w:rPr>
                                <w:rFonts w:hint="eastAsia" w:eastAsia="宋体"/>
                                <w:b/>
                                <w:bCs/>
                                <w:color w:val="FF0000"/>
                                <w:sz w:val="21"/>
                                <w:szCs w:val="21"/>
                                <w:lang w:eastAsia="zh-CN"/>
                              </w:rPr>
                            </w:pPr>
                            <w:r>
                              <w:rPr>
                                <w:rFonts w:hint="eastAsia"/>
                                <w:b/>
                                <w:bCs/>
                                <w:color w:val="FF0000"/>
                                <w:sz w:val="21"/>
                                <w:szCs w:val="21"/>
                                <w:lang w:eastAsia="zh-CN"/>
                              </w:rPr>
                              <w:t>金桥慧景</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1.25pt;margin-top:112.7pt;height:30.1pt;width:68.35pt;z-index:251658240;mso-width-relative:page;mso-height-relative:page;" filled="f" stroked="f" coordsize="21600,21600" o:gfxdata="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1mXWH9wAAAALAQAADwAAAAAAAAABACAAAAAiAAAAZHJzL2Rvd25yZXYueG1s&#10;UEsBAhQAFAAAAAgAh07iQGf3MMctAgAAJQQAAA4AAAAAAAAAAQAgAAAAKwEAAGRycy9lMm9Eb2Mu&#10;eG1sUEsFBgAAAAAGAAYAWQEAAMoFAAAAAA==&#10;">
                <v:fill on="f" focussize="0,0"/>
                <v:stroke on="f" weight="0.5pt"/>
                <v:imagedata o:title=""/>
                <o:lock v:ext="edit" aspectratio="f"/>
                <v:textbox>
                  <w:txbxContent>
                    <w:p>
                      <w:pPr>
                        <w:ind w:left="0" w:leftChars="0" w:firstLine="0" w:firstLineChars="0"/>
                        <w:rPr>
                          <w:rFonts w:hint="eastAsia" w:eastAsia="宋体"/>
                          <w:b/>
                          <w:bCs/>
                          <w:color w:val="FF0000"/>
                          <w:sz w:val="21"/>
                          <w:szCs w:val="21"/>
                          <w:lang w:eastAsia="zh-CN"/>
                        </w:rPr>
                      </w:pPr>
                      <w:r>
                        <w:rPr>
                          <w:rFonts w:hint="eastAsia"/>
                          <w:b/>
                          <w:bCs/>
                          <w:color w:val="FF0000"/>
                          <w:sz w:val="21"/>
                          <w:szCs w:val="21"/>
                          <w:lang w:eastAsia="zh-CN"/>
                        </w:rPr>
                        <w:t>金桥慧景</w:t>
                      </w:r>
                    </w:p>
                  </w:txbxContent>
                </v:textbox>
              </v:shape>
            </w:pict>
          </mc:Fallback>
        </mc:AlternateContent>
      </w:r>
      <w:r>
        <w:rPr>
          <w:rFonts w:hint="eastAsia" w:eastAsia="宋体"/>
          <w:lang w:eastAsia="zh-CN"/>
        </w:rPr>
        <w:drawing>
          <wp:inline distT="0" distB="0" distL="114300" distR="114300">
            <wp:extent cx="7755255" cy="5419090"/>
            <wp:effectExtent l="15875" t="15875" r="20320" b="32385"/>
            <wp:docPr id="12" name="图片 12" descr="2020091614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20200916143427"/>
                    <pic:cNvPicPr>
                      <a:picLocks noChangeAspect="1"/>
                    </pic:cNvPicPr>
                  </pic:nvPicPr>
                  <pic:blipFill>
                    <a:blip r:embed="rId22"/>
                    <a:stretch>
                      <a:fillRect/>
                    </a:stretch>
                  </pic:blipFill>
                  <pic:spPr>
                    <a:xfrm>
                      <a:off x="0" y="0"/>
                      <a:ext cx="7755255" cy="5419090"/>
                    </a:xfrm>
                    <a:prstGeom prst="rect">
                      <a:avLst/>
                    </a:prstGeom>
                    <a:ln w="15875">
                      <a:solidFill>
                        <a:schemeClr val="tx1"/>
                      </a:solidFill>
                    </a:ln>
                  </pic:spPr>
                </pic:pic>
              </a:graphicData>
            </a:graphic>
          </wp:inline>
        </w:drawing>
      </w:r>
    </w:p>
    <w:p>
      <w:pPr>
        <w:ind w:firstLine="0" w:firstLineChars="0"/>
        <w:rPr>
          <w:rFonts w:hint="eastAsia" w:eastAsia="宋体"/>
          <w:lang w:eastAsia="zh-CN"/>
        </w:rPr>
        <w:sectPr>
          <w:pgSz w:w="16838" w:h="11905" w:orient="landscape"/>
          <w:pgMar w:top="1134" w:right="1440" w:bottom="1276" w:left="1440" w:header="851" w:footer="992" w:gutter="0"/>
          <w:pgBorders>
            <w:top w:val="none" w:sz="0" w:space="0"/>
            <w:left w:val="none" w:sz="0" w:space="0"/>
            <w:bottom w:val="none" w:sz="0" w:space="0"/>
            <w:right w:val="none" w:sz="0" w:space="0"/>
          </w:pgBorders>
          <w:pgNumType w:fmt="decimal"/>
          <w:cols w:space="0" w:num="1"/>
          <w:rtlGutter w:val="0"/>
          <w:docGrid w:type="linesAndChars" w:linePitch="381" w:charSpace="0"/>
        </w:sectPr>
      </w:pPr>
    </w:p>
    <w:p>
      <w:pPr>
        <w:ind w:firstLine="0" w:firstLineChars="0"/>
        <w:outlineLvl w:val="1"/>
      </w:pPr>
      <w:bookmarkStart w:id="91" w:name="_Toc23764"/>
      <w:r>
        <w:rPr>
          <w:rFonts w:hint="eastAsia"/>
        </w:rPr>
        <w:t>附图</w:t>
      </w:r>
      <w:r>
        <w:rPr>
          <w:rFonts w:hint="eastAsia"/>
          <w:lang w:val="en-US" w:eastAsia="zh-CN"/>
        </w:rPr>
        <w:t>4</w:t>
      </w:r>
      <w:r>
        <w:t xml:space="preserve"> </w:t>
      </w:r>
      <w:r>
        <w:rPr>
          <w:rFonts w:hint="eastAsia"/>
        </w:rPr>
        <w:t>企业雨</w:t>
      </w:r>
      <w:r>
        <w:rPr>
          <w:rFonts w:hint="eastAsia"/>
          <w:lang w:eastAsia="zh-CN"/>
        </w:rPr>
        <w:t>污</w:t>
      </w:r>
      <w:r>
        <w:rPr>
          <w:rFonts w:hint="eastAsia"/>
        </w:rPr>
        <w:t>管网</w:t>
      </w:r>
      <w:r>
        <w:rPr>
          <w:rFonts w:hint="eastAsia"/>
          <w:lang w:eastAsia="zh-CN"/>
        </w:rPr>
        <w:t>及应急设施</w:t>
      </w:r>
      <w:r>
        <w:rPr>
          <w:rFonts w:hint="eastAsia"/>
        </w:rPr>
        <w:t>分布图</w:t>
      </w:r>
      <w:bookmarkEnd w:id="91"/>
    </w:p>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eastAsia="宋体"/>
          <w:lang w:eastAsia="zh-CN"/>
        </w:rPr>
      </w:pPr>
      <w:r>
        <w:rPr>
          <w:rFonts w:hint="eastAsia" w:eastAsia="宋体"/>
          <w:lang w:eastAsia="zh-CN"/>
        </w:rPr>
        <w:drawing>
          <wp:inline distT="0" distB="0" distL="114300" distR="114300">
            <wp:extent cx="7658100" cy="4914900"/>
            <wp:effectExtent l="0" t="0" r="0" b="0"/>
            <wp:docPr id="27" name="图片 27" descr="20200916170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20200916170423"/>
                    <pic:cNvPicPr>
                      <a:picLocks noChangeAspect="1"/>
                    </pic:cNvPicPr>
                  </pic:nvPicPr>
                  <pic:blipFill>
                    <a:blip r:embed="rId23"/>
                    <a:stretch>
                      <a:fillRect/>
                    </a:stretch>
                  </pic:blipFill>
                  <pic:spPr>
                    <a:xfrm>
                      <a:off x="0" y="0"/>
                      <a:ext cx="7658100" cy="4914900"/>
                    </a:xfrm>
                    <a:prstGeom prst="rect">
                      <a:avLst/>
                    </a:prstGeom>
                  </pic:spPr>
                </pic:pic>
              </a:graphicData>
            </a:graphic>
          </wp:inline>
        </w:drawing>
      </w:r>
    </w:p>
    <w:sectPr>
      <w:pgSz w:w="16838" w:h="11905" w:orient="landscape"/>
      <w:pgMar w:top="1134" w:right="1440" w:bottom="1276" w:left="1440" w:header="851" w:footer="992" w:gutter="0"/>
      <w:pgBorders>
        <w:top w:val="none" w:sz="0" w:space="0"/>
        <w:left w:val="none" w:sz="0" w:space="0"/>
        <w:bottom w:val="none" w:sz="0" w:space="0"/>
        <w:right w:val="none" w:sz="0" w:space="0"/>
      </w:pgBorders>
      <w:pgNumType w:fmt="decimal"/>
      <w:cols w:space="0" w:num="1"/>
      <w:rtlGutter w:val="0"/>
      <w:docGrid w:type="linesAndChars" w:linePitch="38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0"/>
    <w:family w:val="roma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Arial Unicode MS">
    <w:altName w:val="宋体"/>
    <w:panose1 w:val="020B0604020202020204"/>
    <w:charset w:val="86"/>
    <w:family w:val="roman"/>
    <w:pitch w:val="default"/>
    <w:sig w:usb0="00000000" w:usb1="00000000" w:usb2="0000003F" w:usb3="00000000" w:csb0="603F01FF" w:csb1="FFFF0000"/>
  </w:font>
  <w:font w:name="等线">
    <w:altName w:val="微软雅黑"/>
    <w:panose1 w:val="02010600030101010101"/>
    <w:charset w:val="86"/>
    <w:family w:val="auto"/>
    <w:pitch w:val="default"/>
    <w:sig w:usb0="00000000" w:usb1="00000000" w:usb2="00000016" w:usb3="00000000" w:csb0="0004000F" w:csb1="00000000"/>
  </w:font>
  <w:font w:name="仿宋_GB2312">
    <w:altName w:val="仿宋"/>
    <w:panose1 w:val="00000000000000000000"/>
    <w:charset w:val="86"/>
    <w:family w:val="modern"/>
    <w:pitch w:val="default"/>
    <w:sig w:usb0="00000000" w:usb1="00000000" w:usb2="00000010" w:usb3="00000000" w:csb0="00040000" w:csb1="00000000"/>
  </w:font>
  <w:font w:name="微软雅黑">
    <w:panose1 w:val="020B0503020204020204"/>
    <w:charset w:val="86"/>
    <w:family w:val="auto"/>
    <w:pitch w:val="default"/>
    <w:sig w:usb0="80000287" w:usb1="280F3C52" w:usb2="00000016" w:usb3="00000000" w:csb0="0004001F" w:csb1="00000000"/>
  </w:font>
  <w:font w:name="仿宋">
    <w:panose1 w:val="02010609060101010101"/>
    <w:charset w:val="86"/>
    <w:family w:val="modern"/>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 w:name="等线">
    <w:altName w:val="微软雅黑"/>
    <w:panose1 w:val="00000000000000000000"/>
    <w:charset w:val="00"/>
    <w:family w:val="auto"/>
    <w:pitch w:val="default"/>
    <w:sig w:usb0="00000000" w:usb1="00000000" w:usb2="00000000" w:usb3="00000000" w:csb0="00000000" w:csb1="00000000"/>
  </w:font>
  <w:font w:name="Arial">
    <w:panose1 w:val="020B0604020202020204"/>
    <w:charset w:val="00"/>
    <w:family w:val="auto"/>
    <w:pitch w:val="default"/>
    <w:sig w:usb0="E0002AFF" w:usb1="C0007843"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ind w:firstLine="0" w:firstLineChars="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Bdr>
        <w:top w:val="thickThinSmallGap" w:color="auto" w:sz="24" w:space="1"/>
      </w:pBdr>
      <w:spacing w:line="200" w:lineRule="exact"/>
      <w:ind w:firstLine="0" w:firstLineChars="0"/>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3"/>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JvSDC8VAgAAEwQAAA4AAAAAAAAA&#10;AQAgAAAAHwEAAGRycy9lMm9Eb2MueG1sUEsFBgAAAAAGAAYAWQEAAKYFAAAAAA==&#10;">
              <v:fill on="f" focussize="0,0"/>
              <v:stroke on="f" weight="0.5pt"/>
              <v:imagedata o:title=""/>
              <o:lock v:ext="edit" aspectratio="f"/>
              <v:textbox inset="0mm,0mm,0mm,0mm" style="mso-fit-shape-to-text:t;">
                <w:txbxContent>
                  <w:p>
                    <w:pPr>
                      <w:pStyle w:val="13"/>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Bdr>
        <w:bottom w:val="none" w:color="auto" w:sz="0" w:space="0"/>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Bdr>
        <w:bottom w:val="thinThickSmallGap" w:color="auto" w:sz="24" w:space="1"/>
      </w:pBdr>
      <w:ind w:firstLine="360"/>
    </w:pPr>
    <w:r>
      <w:rPr>
        <w:rFonts w:hint="eastAsia"/>
        <w:lang w:eastAsia="zh-CN"/>
      </w:rPr>
      <w:t>南昌慧华高科混凝土有限公司</w:t>
    </w:r>
    <w:r>
      <w:rPr>
        <w:rFonts w:hint="eastAsia"/>
      </w:rPr>
      <w:t>突发环境事件风险评估报告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47BD130"/>
    <w:multiLevelType w:val="singleLevel"/>
    <w:tmpl w:val="A47BD130"/>
    <w:lvl w:ilvl="0" w:tentative="0">
      <w:start w:val="1"/>
      <w:numFmt w:val="decimal"/>
      <w:suff w:val="nothing"/>
      <w:lvlText w:val="%1）"/>
      <w:lvlJc w:val="left"/>
    </w:lvl>
  </w:abstractNum>
  <w:abstractNum w:abstractNumId="1">
    <w:nsid w:val="10013FAB"/>
    <w:multiLevelType w:val="singleLevel"/>
    <w:tmpl w:val="10013FAB"/>
    <w:lvl w:ilvl="0" w:tentative="0">
      <w:start w:val="1"/>
      <w:numFmt w:val="decimal"/>
      <w:suff w:val="nothing"/>
      <w:lvlText w:val="%1、"/>
      <w:lvlJc w:val="left"/>
    </w:lvl>
  </w:abstractNum>
  <w:abstractNum w:abstractNumId="2">
    <w:nsid w:val="498C39C0"/>
    <w:multiLevelType w:val="multilevel"/>
    <w:tmpl w:val="498C39C0"/>
    <w:lvl w:ilvl="0" w:tentative="0">
      <w:start w:val="1"/>
      <w:numFmt w:val="decimal"/>
      <w:pStyle w:val="3"/>
      <w:suff w:val="space"/>
      <w:lvlText w:val="%1"/>
      <w:lvlJc w:val="left"/>
      <w:pPr>
        <w:ind w:left="425" w:hanging="425"/>
      </w:pPr>
      <w:rPr>
        <w:rFonts w:hint="default" w:ascii="Times New Roman" w:hAnsi="Times New Roman" w:eastAsia="宋体"/>
        <w:b/>
        <w:i w:val="0"/>
        <w:sz w:val="32"/>
      </w:rPr>
    </w:lvl>
    <w:lvl w:ilvl="1" w:tentative="0">
      <w:start w:val="1"/>
      <w:numFmt w:val="decimal"/>
      <w:pStyle w:val="4"/>
      <w:suff w:val="space"/>
      <w:lvlText w:val="%1.%2"/>
      <w:lvlJc w:val="left"/>
      <w:pPr>
        <w:ind w:left="992" w:hanging="992"/>
      </w:pPr>
      <w:rPr>
        <w:rFonts w:hint="default" w:ascii="Times New Roman" w:hAnsi="Times New Roman" w:eastAsia="宋体"/>
        <w:b/>
        <w:i w:val="0"/>
        <w:sz w:val="30"/>
        <w:szCs w:val="30"/>
      </w:rPr>
    </w:lvl>
    <w:lvl w:ilvl="2" w:tentative="0">
      <w:start w:val="1"/>
      <w:numFmt w:val="decimal"/>
      <w:pStyle w:val="6"/>
      <w:suff w:val="space"/>
      <w:lvlText w:val="%1.%2.%3"/>
      <w:lvlJc w:val="left"/>
      <w:pPr>
        <w:ind w:left="1418" w:hanging="1418"/>
      </w:pPr>
      <w:rPr>
        <w:rFonts w:hint="default" w:ascii="Times New Roman" w:hAnsi="Times New Roman" w:eastAsia="宋体"/>
        <w:b/>
        <w:i w:val="0"/>
        <w:sz w:val="28"/>
      </w:rPr>
    </w:lvl>
    <w:lvl w:ilvl="3" w:tentative="0">
      <w:start w:val="1"/>
      <w:numFmt w:val="decimal"/>
      <w:pStyle w:val="9"/>
      <w:suff w:val="space"/>
      <w:lvlText w:val="%1.%2.%3.%4"/>
      <w:lvlJc w:val="left"/>
      <w:pPr>
        <w:ind w:left="1984" w:hanging="1984"/>
      </w:pPr>
      <w:rPr>
        <w:rFonts w:hint="default" w:ascii="Times New Roman" w:hAnsi="Times New Roman" w:eastAsia="宋体"/>
        <w:b/>
        <w:i w:val="0"/>
        <w:sz w:val="28"/>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3">
    <w:nsid w:val="59CBAB03"/>
    <w:multiLevelType w:val="singleLevel"/>
    <w:tmpl w:val="59CBAB03"/>
    <w:lvl w:ilvl="0" w:tentative="0">
      <w:start w:val="1"/>
      <w:numFmt w:val="decimal"/>
      <w:suff w:val="nothing"/>
      <w:lvlText w:val="%1、"/>
      <w:lvlJc w:val="left"/>
    </w:lvl>
  </w:abstractNum>
  <w:num w:numId="1">
    <w:abstractNumId w:val="2"/>
  </w:num>
  <w:num w:numId="2">
    <w:abstractNumId w:val="3"/>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37C3E"/>
    <w:rsid w:val="00003231"/>
    <w:rsid w:val="00003C78"/>
    <w:rsid w:val="000068A1"/>
    <w:rsid w:val="00006B40"/>
    <w:rsid w:val="00007309"/>
    <w:rsid w:val="00007B0A"/>
    <w:rsid w:val="00007FA4"/>
    <w:rsid w:val="00010D8F"/>
    <w:rsid w:val="0001245E"/>
    <w:rsid w:val="00013D35"/>
    <w:rsid w:val="000144CF"/>
    <w:rsid w:val="000155C3"/>
    <w:rsid w:val="00015F33"/>
    <w:rsid w:val="000176CD"/>
    <w:rsid w:val="00020ADC"/>
    <w:rsid w:val="00021CA7"/>
    <w:rsid w:val="00023160"/>
    <w:rsid w:val="00024EF6"/>
    <w:rsid w:val="0002521C"/>
    <w:rsid w:val="00030360"/>
    <w:rsid w:val="00031F0E"/>
    <w:rsid w:val="00034412"/>
    <w:rsid w:val="0003466F"/>
    <w:rsid w:val="00034AB2"/>
    <w:rsid w:val="0003561F"/>
    <w:rsid w:val="00035996"/>
    <w:rsid w:val="00036CE0"/>
    <w:rsid w:val="00037AF8"/>
    <w:rsid w:val="00040132"/>
    <w:rsid w:val="000422A0"/>
    <w:rsid w:val="00042486"/>
    <w:rsid w:val="0004289E"/>
    <w:rsid w:val="000430FE"/>
    <w:rsid w:val="00043A89"/>
    <w:rsid w:val="00043DCC"/>
    <w:rsid w:val="0004483F"/>
    <w:rsid w:val="00045315"/>
    <w:rsid w:val="00047499"/>
    <w:rsid w:val="00051B25"/>
    <w:rsid w:val="00052145"/>
    <w:rsid w:val="00052330"/>
    <w:rsid w:val="000534C8"/>
    <w:rsid w:val="00054C62"/>
    <w:rsid w:val="000564CE"/>
    <w:rsid w:val="00056DF3"/>
    <w:rsid w:val="00056E28"/>
    <w:rsid w:val="000570A9"/>
    <w:rsid w:val="00061E4E"/>
    <w:rsid w:val="0006338B"/>
    <w:rsid w:val="00063E85"/>
    <w:rsid w:val="00065393"/>
    <w:rsid w:val="00065AA6"/>
    <w:rsid w:val="00065F6F"/>
    <w:rsid w:val="0006655F"/>
    <w:rsid w:val="00066858"/>
    <w:rsid w:val="00066C15"/>
    <w:rsid w:val="0006778C"/>
    <w:rsid w:val="00070505"/>
    <w:rsid w:val="00071D28"/>
    <w:rsid w:val="000733B9"/>
    <w:rsid w:val="00073F92"/>
    <w:rsid w:val="0007404E"/>
    <w:rsid w:val="00074B2A"/>
    <w:rsid w:val="00074B2C"/>
    <w:rsid w:val="00075E80"/>
    <w:rsid w:val="00076EC1"/>
    <w:rsid w:val="00077ED2"/>
    <w:rsid w:val="00082F0A"/>
    <w:rsid w:val="00085F13"/>
    <w:rsid w:val="0008624F"/>
    <w:rsid w:val="00087118"/>
    <w:rsid w:val="0009113F"/>
    <w:rsid w:val="0009284B"/>
    <w:rsid w:val="00093DD0"/>
    <w:rsid w:val="0009608D"/>
    <w:rsid w:val="000A1848"/>
    <w:rsid w:val="000A1D86"/>
    <w:rsid w:val="000A261E"/>
    <w:rsid w:val="000A4898"/>
    <w:rsid w:val="000A4B30"/>
    <w:rsid w:val="000A5B9E"/>
    <w:rsid w:val="000A5D37"/>
    <w:rsid w:val="000A5F21"/>
    <w:rsid w:val="000A78C6"/>
    <w:rsid w:val="000A7F46"/>
    <w:rsid w:val="000B0487"/>
    <w:rsid w:val="000B0B57"/>
    <w:rsid w:val="000B151F"/>
    <w:rsid w:val="000B2FF1"/>
    <w:rsid w:val="000B4E35"/>
    <w:rsid w:val="000C1857"/>
    <w:rsid w:val="000C1EC1"/>
    <w:rsid w:val="000C4095"/>
    <w:rsid w:val="000C4350"/>
    <w:rsid w:val="000D07A4"/>
    <w:rsid w:val="000D3DB0"/>
    <w:rsid w:val="000D5813"/>
    <w:rsid w:val="000D6A42"/>
    <w:rsid w:val="000D761C"/>
    <w:rsid w:val="000E0F39"/>
    <w:rsid w:val="000E17CB"/>
    <w:rsid w:val="000E1EA1"/>
    <w:rsid w:val="000E2541"/>
    <w:rsid w:val="000E2A26"/>
    <w:rsid w:val="000E2E19"/>
    <w:rsid w:val="000E3226"/>
    <w:rsid w:val="000E375A"/>
    <w:rsid w:val="000E42E5"/>
    <w:rsid w:val="000E430D"/>
    <w:rsid w:val="000E46BF"/>
    <w:rsid w:val="000E55BF"/>
    <w:rsid w:val="000E6B83"/>
    <w:rsid w:val="000F1880"/>
    <w:rsid w:val="000F31BE"/>
    <w:rsid w:val="000F49CC"/>
    <w:rsid w:val="000F5540"/>
    <w:rsid w:val="000F652A"/>
    <w:rsid w:val="000F739F"/>
    <w:rsid w:val="0010005B"/>
    <w:rsid w:val="00100141"/>
    <w:rsid w:val="00101D17"/>
    <w:rsid w:val="001028E7"/>
    <w:rsid w:val="00106CF4"/>
    <w:rsid w:val="00106EBF"/>
    <w:rsid w:val="001077A0"/>
    <w:rsid w:val="00107D91"/>
    <w:rsid w:val="00107EE4"/>
    <w:rsid w:val="0011044A"/>
    <w:rsid w:val="00110B0F"/>
    <w:rsid w:val="00111500"/>
    <w:rsid w:val="0011172A"/>
    <w:rsid w:val="00114F2C"/>
    <w:rsid w:val="00115DB3"/>
    <w:rsid w:val="00116818"/>
    <w:rsid w:val="00120228"/>
    <w:rsid w:val="0012076D"/>
    <w:rsid w:val="00120E5E"/>
    <w:rsid w:val="00122664"/>
    <w:rsid w:val="00124424"/>
    <w:rsid w:val="001250AD"/>
    <w:rsid w:val="001273F1"/>
    <w:rsid w:val="00127B5D"/>
    <w:rsid w:val="00131777"/>
    <w:rsid w:val="00132091"/>
    <w:rsid w:val="001356F1"/>
    <w:rsid w:val="00136C84"/>
    <w:rsid w:val="001371EC"/>
    <w:rsid w:val="00137ADA"/>
    <w:rsid w:val="00140A35"/>
    <w:rsid w:val="0014119E"/>
    <w:rsid w:val="0014253E"/>
    <w:rsid w:val="001430CD"/>
    <w:rsid w:val="0014480D"/>
    <w:rsid w:val="00144A89"/>
    <w:rsid w:val="00144C6B"/>
    <w:rsid w:val="001453A6"/>
    <w:rsid w:val="00145838"/>
    <w:rsid w:val="001465E7"/>
    <w:rsid w:val="001466B9"/>
    <w:rsid w:val="001466BC"/>
    <w:rsid w:val="001467E8"/>
    <w:rsid w:val="00151FE1"/>
    <w:rsid w:val="00152BF9"/>
    <w:rsid w:val="00153BB0"/>
    <w:rsid w:val="001542C7"/>
    <w:rsid w:val="00154C98"/>
    <w:rsid w:val="00154F10"/>
    <w:rsid w:val="0015671B"/>
    <w:rsid w:val="001620B5"/>
    <w:rsid w:val="00162FCB"/>
    <w:rsid w:val="0016397F"/>
    <w:rsid w:val="00163CDF"/>
    <w:rsid w:val="0016457C"/>
    <w:rsid w:val="00164720"/>
    <w:rsid w:val="001659C2"/>
    <w:rsid w:val="00166C58"/>
    <w:rsid w:val="00170A2C"/>
    <w:rsid w:val="00173C96"/>
    <w:rsid w:val="00175494"/>
    <w:rsid w:val="00176362"/>
    <w:rsid w:val="00176CB7"/>
    <w:rsid w:val="001815E2"/>
    <w:rsid w:val="0018182F"/>
    <w:rsid w:val="00183A0A"/>
    <w:rsid w:val="00186904"/>
    <w:rsid w:val="0018694F"/>
    <w:rsid w:val="00187120"/>
    <w:rsid w:val="00192123"/>
    <w:rsid w:val="00194A08"/>
    <w:rsid w:val="00194FC0"/>
    <w:rsid w:val="0019529E"/>
    <w:rsid w:val="00195AA5"/>
    <w:rsid w:val="001966C2"/>
    <w:rsid w:val="0019713A"/>
    <w:rsid w:val="001A1E1F"/>
    <w:rsid w:val="001A6C14"/>
    <w:rsid w:val="001A79D2"/>
    <w:rsid w:val="001A7D2B"/>
    <w:rsid w:val="001B020C"/>
    <w:rsid w:val="001B0292"/>
    <w:rsid w:val="001B0A0A"/>
    <w:rsid w:val="001B0DA4"/>
    <w:rsid w:val="001B1392"/>
    <w:rsid w:val="001B24C0"/>
    <w:rsid w:val="001B2EE0"/>
    <w:rsid w:val="001B36FF"/>
    <w:rsid w:val="001B7105"/>
    <w:rsid w:val="001B71BE"/>
    <w:rsid w:val="001C012A"/>
    <w:rsid w:val="001C2068"/>
    <w:rsid w:val="001C4286"/>
    <w:rsid w:val="001C60AF"/>
    <w:rsid w:val="001C6842"/>
    <w:rsid w:val="001C7365"/>
    <w:rsid w:val="001D0575"/>
    <w:rsid w:val="001D168D"/>
    <w:rsid w:val="001D2832"/>
    <w:rsid w:val="001D2B66"/>
    <w:rsid w:val="001D35C3"/>
    <w:rsid w:val="001D524A"/>
    <w:rsid w:val="001D533D"/>
    <w:rsid w:val="001D5559"/>
    <w:rsid w:val="001D5DC2"/>
    <w:rsid w:val="001D772E"/>
    <w:rsid w:val="001E0674"/>
    <w:rsid w:val="001E12A7"/>
    <w:rsid w:val="001E19C6"/>
    <w:rsid w:val="001E1D6B"/>
    <w:rsid w:val="001E2113"/>
    <w:rsid w:val="001E31AA"/>
    <w:rsid w:val="001E5471"/>
    <w:rsid w:val="001E5B2C"/>
    <w:rsid w:val="001E5E70"/>
    <w:rsid w:val="001E637C"/>
    <w:rsid w:val="001E63A2"/>
    <w:rsid w:val="001E7C9E"/>
    <w:rsid w:val="001F2349"/>
    <w:rsid w:val="001F4384"/>
    <w:rsid w:val="001F4B74"/>
    <w:rsid w:val="001F5969"/>
    <w:rsid w:val="00200180"/>
    <w:rsid w:val="00200292"/>
    <w:rsid w:val="0020045C"/>
    <w:rsid w:val="002014C9"/>
    <w:rsid w:val="002025F2"/>
    <w:rsid w:val="0020711D"/>
    <w:rsid w:val="002073EA"/>
    <w:rsid w:val="00207F12"/>
    <w:rsid w:val="00214B21"/>
    <w:rsid w:val="00215650"/>
    <w:rsid w:val="00216DB9"/>
    <w:rsid w:val="002207D2"/>
    <w:rsid w:val="00220D4E"/>
    <w:rsid w:val="002210AA"/>
    <w:rsid w:val="002224BA"/>
    <w:rsid w:val="00222AC8"/>
    <w:rsid w:val="00223A07"/>
    <w:rsid w:val="00225402"/>
    <w:rsid w:val="00226B3A"/>
    <w:rsid w:val="002274CB"/>
    <w:rsid w:val="00227A04"/>
    <w:rsid w:val="002308C9"/>
    <w:rsid w:val="00232531"/>
    <w:rsid w:val="00232F5E"/>
    <w:rsid w:val="00232F88"/>
    <w:rsid w:val="00233E7D"/>
    <w:rsid w:val="00233F0B"/>
    <w:rsid w:val="0023515A"/>
    <w:rsid w:val="002378D5"/>
    <w:rsid w:val="00243080"/>
    <w:rsid w:val="00243FAB"/>
    <w:rsid w:val="00244A83"/>
    <w:rsid w:val="002479B3"/>
    <w:rsid w:val="00251069"/>
    <w:rsid w:val="002536FE"/>
    <w:rsid w:val="002541E0"/>
    <w:rsid w:val="002545FA"/>
    <w:rsid w:val="0025518C"/>
    <w:rsid w:val="00256EC1"/>
    <w:rsid w:val="002574A9"/>
    <w:rsid w:val="00257640"/>
    <w:rsid w:val="002679BF"/>
    <w:rsid w:val="002706A1"/>
    <w:rsid w:val="002712FD"/>
    <w:rsid w:val="00271720"/>
    <w:rsid w:val="00272295"/>
    <w:rsid w:val="00272701"/>
    <w:rsid w:val="00272B9C"/>
    <w:rsid w:val="00274505"/>
    <w:rsid w:val="0027451B"/>
    <w:rsid w:val="00274718"/>
    <w:rsid w:val="00277289"/>
    <w:rsid w:val="002776FA"/>
    <w:rsid w:val="00277A64"/>
    <w:rsid w:val="00280274"/>
    <w:rsid w:val="00283161"/>
    <w:rsid w:val="00283166"/>
    <w:rsid w:val="00283B17"/>
    <w:rsid w:val="002861C4"/>
    <w:rsid w:val="002862C8"/>
    <w:rsid w:val="002873C6"/>
    <w:rsid w:val="0028758D"/>
    <w:rsid w:val="00287D8C"/>
    <w:rsid w:val="00290174"/>
    <w:rsid w:val="00290315"/>
    <w:rsid w:val="00290F50"/>
    <w:rsid w:val="00291CA0"/>
    <w:rsid w:val="00292379"/>
    <w:rsid w:val="0029374A"/>
    <w:rsid w:val="002942CE"/>
    <w:rsid w:val="00294CF7"/>
    <w:rsid w:val="00294FDC"/>
    <w:rsid w:val="00296045"/>
    <w:rsid w:val="00296505"/>
    <w:rsid w:val="002966EB"/>
    <w:rsid w:val="002A0B29"/>
    <w:rsid w:val="002A0FF4"/>
    <w:rsid w:val="002A1706"/>
    <w:rsid w:val="002A2EC8"/>
    <w:rsid w:val="002A6F4C"/>
    <w:rsid w:val="002A75C9"/>
    <w:rsid w:val="002B2418"/>
    <w:rsid w:val="002B2EF7"/>
    <w:rsid w:val="002B2F3E"/>
    <w:rsid w:val="002B381B"/>
    <w:rsid w:val="002B4092"/>
    <w:rsid w:val="002B55DF"/>
    <w:rsid w:val="002B5EFA"/>
    <w:rsid w:val="002B75E0"/>
    <w:rsid w:val="002C1E9B"/>
    <w:rsid w:val="002C20D4"/>
    <w:rsid w:val="002C2D0A"/>
    <w:rsid w:val="002C53F8"/>
    <w:rsid w:val="002C62F8"/>
    <w:rsid w:val="002C79FB"/>
    <w:rsid w:val="002D086D"/>
    <w:rsid w:val="002D175B"/>
    <w:rsid w:val="002D35EB"/>
    <w:rsid w:val="002D4BEE"/>
    <w:rsid w:val="002D4CC9"/>
    <w:rsid w:val="002D51E3"/>
    <w:rsid w:val="002D6C5A"/>
    <w:rsid w:val="002E385D"/>
    <w:rsid w:val="002E56D5"/>
    <w:rsid w:val="002E5779"/>
    <w:rsid w:val="002E62D0"/>
    <w:rsid w:val="002E6649"/>
    <w:rsid w:val="002E699E"/>
    <w:rsid w:val="002E72D4"/>
    <w:rsid w:val="002F0357"/>
    <w:rsid w:val="002F0636"/>
    <w:rsid w:val="002F6549"/>
    <w:rsid w:val="002F7168"/>
    <w:rsid w:val="00302A60"/>
    <w:rsid w:val="0030338B"/>
    <w:rsid w:val="00303690"/>
    <w:rsid w:val="00303B94"/>
    <w:rsid w:val="00306A50"/>
    <w:rsid w:val="00307022"/>
    <w:rsid w:val="003113D2"/>
    <w:rsid w:val="00312E2F"/>
    <w:rsid w:val="0031379A"/>
    <w:rsid w:val="003141CD"/>
    <w:rsid w:val="00314479"/>
    <w:rsid w:val="00314534"/>
    <w:rsid w:val="0031601A"/>
    <w:rsid w:val="00316352"/>
    <w:rsid w:val="00317580"/>
    <w:rsid w:val="00320616"/>
    <w:rsid w:val="0032086E"/>
    <w:rsid w:val="003220F3"/>
    <w:rsid w:val="00323437"/>
    <w:rsid w:val="00325611"/>
    <w:rsid w:val="00325BF3"/>
    <w:rsid w:val="0033161B"/>
    <w:rsid w:val="00332973"/>
    <w:rsid w:val="00334491"/>
    <w:rsid w:val="0033732B"/>
    <w:rsid w:val="00337D81"/>
    <w:rsid w:val="00340DA4"/>
    <w:rsid w:val="003426A2"/>
    <w:rsid w:val="00343216"/>
    <w:rsid w:val="003445EA"/>
    <w:rsid w:val="0034596D"/>
    <w:rsid w:val="003460C5"/>
    <w:rsid w:val="003477BD"/>
    <w:rsid w:val="00351E2A"/>
    <w:rsid w:val="003535D8"/>
    <w:rsid w:val="00353755"/>
    <w:rsid w:val="003551EF"/>
    <w:rsid w:val="00356D4D"/>
    <w:rsid w:val="00357128"/>
    <w:rsid w:val="00360CB1"/>
    <w:rsid w:val="00361301"/>
    <w:rsid w:val="00361E25"/>
    <w:rsid w:val="00365294"/>
    <w:rsid w:val="00366C5A"/>
    <w:rsid w:val="003671D5"/>
    <w:rsid w:val="00367E26"/>
    <w:rsid w:val="00371D47"/>
    <w:rsid w:val="003720AF"/>
    <w:rsid w:val="00372DF2"/>
    <w:rsid w:val="00372F41"/>
    <w:rsid w:val="00375C13"/>
    <w:rsid w:val="0038097D"/>
    <w:rsid w:val="00380EDD"/>
    <w:rsid w:val="00382ED6"/>
    <w:rsid w:val="00383D7D"/>
    <w:rsid w:val="0038519B"/>
    <w:rsid w:val="00385A8B"/>
    <w:rsid w:val="00390881"/>
    <w:rsid w:val="00390E5F"/>
    <w:rsid w:val="0039165B"/>
    <w:rsid w:val="003916E7"/>
    <w:rsid w:val="00393925"/>
    <w:rsid w:val="0039789D"/>
    <w:rsid w:val="003A06AF"/>
    <w:rsid w:val="003A1B92"/>
    <w:rsid w:val="003A2A3F"/>
    <w:rsid w:val="003A2EA3"/>
    <w:rsid w:val="003A43C7"/>
    <w:rsid w:val="003A45B7"/>
    <w:rsid w:val="003A4734"/>
    <w:rsid w:val="003A4D6E"/>
    <w:rsid w:val="003A5524"/>
    <w:rsid w:val="003B0012"/>
    <w:rsid w:val="003B1E76"/>
    <w:rsid w:val="003B3D0F"/>
    <w:rsid w:val="003B6003"/>
    <w:rsid w:val="003B7F78"/>
    <w:rsid w:val="003C33B5"/>
    <w:rsid w:val="003C35F0"/>
    <w:rsid w:val="003C38A3"/>
    <w:rsid w:val="003C4181"/>
    <w:rsid w:val="003C7F7B"/>
    <w:rsid w:val="003D1BC0"/>
    <w:rsid w:val="003D2A51"/>
    <w:rsid w:val="003D441B"/>
    <w:rsid w:val="003D583B"/>
    <w:rsid w:val="003D5AAE"/>
    <w:rsid w:val="003D5EC5"/>
    <w:rsid w:val="003D74C1"/>
    <w:rsid w:val="003D76D0"/>
    <w:rsid w:val="003D7B98"/>
    <w:rsid w:val="003E0DE0"/>
    <w:rsid w:val="003E1905"/>
    <w:rsid w:val="003E35F6"/>
    <w:rsid w:val="003E3AA5"/>
    <w:rsid w:val="003E3CF6"/>
    <w:rsid w:val="003E42D1"/>
    <w:rsid w:val="003E453B"/>
    <w:rsid w:val="003E482C"/>
    <w:rsid w:val="003E4899"/>
    <w:rsid w:val="003E61B4"/>
    <w:rsid w:val="003E7E4E"/>
    <w:rsid w:val="003F1E9F"/>
    <w:rsid w:val="003F4107"/>
    <w:rsid w:val="003F47D9"/>
    <w:rsid w:val="003F5300"/>
    <w:rsid w:val="003F5447"/>
    <w:rsid w:val="003F67AD"/>
    <w:rsid w:val="00401D01"/>
    <w:rsid w:val="004032C5"/>
    <w:rsid w:val="0040418A"/>
    <w:rsid w:val="0040558D"/>
    <w:rsid w:val="004068B6"/>
    <w:rsid w:val="00407A4D"/>
    <w:rsid w:val="0041193B"/>
    <w:rsid w:val="00412089"/>
    <w:rsid w:val="00413BEB"/>
    <w:rsid w:val="00413FF3"/>
    <w:rsid w:val="00415569"/>
    <w:rsid w:val="00416768"/>
    <w:rsid w:val="004171D8"/>
    <w:rsid w:val="00417874"/>
    <w:rsid w:val="0042073A"/>
    <w:rsid w:val="00421EAF"/>
    <w:rsid w:val="004221D7"/>
    <w:rsid w:val="00422FFF"/>
    <w:rsid w:val="00424E21"/>
    <w:rsid w:val="00425821"/>
    <w:rsid w:val="00427388"/>
    <w:rsid w:val="00427D54"/>
    <w:rsid w:val="0043004B"/>
    <w:rsid w:val="00432096"/>
    <w:rsid w:val="0043262B"/>
    <w:rsid w:val="00433382"/>
    <w:rsid w:val="004335A5"/>
    <w:rsid w:val="0043397D"/>
    <w:rsid w:val="00434028"/>
    <w:rsid w:val="00434A65"/>
    <w:rsid w:val="0043529F"/>
    <w:rsid w:val="004369F4"/>
    <w:rsid w:val="00437217"/>
    <w:rsid w:val="00437EFF"/>
    <w:rsid w:val="00441857"/>
    <w:rsid w:val="00442ABF"/>
    <w:rsid w:val="0044333A"/>
    <w:rsid w:val="004438CB"/>
    <w:rsid w:val="0044460D"/>
    <w:rsid w:val="00444D28"/>
    <w:rsid w:val="004451F9"/>
    <w:rsid w:val="00445508"/>
    <w:rsid w:val="004476A1"/>
    <w:rsid w:val="00447E2E"/>
    <w:rsid w:val="0045063E"/>
    <w:rsid w:val="00451614"/>
    <w:rsid w:val="00451C0E"/>
    <w:rsid w:val="0045338F"/>
    <w:rsid w:val="00453C55"/>
    <w:rsid w:val="00454328"/>
    <w:rsid w:val="0045439E"/>
    <w:rsid w:val="00455322"/>
    <w:rsid w:val="00456E06"/>
    <w:rsid w:val="0045792C"/>
    <w:rsid w:val="00457B2F"/>
    <w:rsid w:val="00461996"/>
    <w:rsid w:val="00462835"/>
    <w:rsid w:val="00464EBA"/>
    <w:rsid w:val="0046691A"/>
    <w:rsid w:val="00467CEB"/>
    <w:rsid w:val="00470C67"/>
    <w:rsid w:val="00471695"/>
    <w:rsid w:val="004716C9"/>
    <w:rsid w:val="00473C90"/>
    <w:rsid w:val="004742EE"/>
    <w:rsid w:val="00474E51"/>
    <w:rsid w:val="00476E95"/>
    <w:rsid w:val="004807B2"/>
    <w:rsid w:val="00480B7B"/>
    <w:rsid w:val="00483D61"/>
    <w:rsid w:val="00490A6C"/>
    <w:rsid w:val="00494BE0"/>
    <w:rsid w:val="004961A4"/>
    <w:rsid w:val="004961E7"/>
    <w:rsid w:val="004A0E23"/>
    <w:rsid w:val="004A0E6E"/>
    <w:rsid w:val="004A0EB0"/>
    <w:rsid w:val="004A29D5"/>
    <w:rsid w:val="004A30BD"/>
    <w:rsid w:val="004A6696"/>
    <w:rsid w:val="004B1D54"/>
    <w:rsid w:val="004B1F33"/>
    <w:rsid w:val="004B283F"/>
    <w:rsid w:val="004B32BE"/>
    <w:rsid w:val="004B3B94"/>
    <w:rsid w:val="004B54C2"/>
    <w:rsid w:val="004B5C3F"/>
    <w:rsid w:val="004C1EAB"/>
    <w:rsid w:val="004C42CD"/>
    <w:rsid w:val="004C46E0"/>
    <w:rsid w:val="004C50CF"/>
    <w:rsid w:val="004C54E1"/>
    <w:rsid w:val="004D003E"/>
    <w:rsid w:val="004D041D"/>
    <w:rsid w:val="004D09FD"/>
    <w:rsid w:val="004D2EAB"/>
    <w:rsid w:val="004D3458"/>
    <w:rsid w:val="004D3CB2"/>
    <w:rsid w:val="004D5872"/>
    <w:rsid w:val="004D6D37"/>
    <w:rsid w:val="004D74E3"/>
    <w:rsid w:val="004D79CE"/>
    <w:rsid w:val="004E47B4"/>
    <w:rsid w:val="004E495A"/>
    <w:rsid w:val="004E69F2"/>
    <w:rsid w:val="004E7E48"/>
    <w:rsid w:val="004F1648"/>
    <w:rsid w:val="004F336D"/>
    <w:rsid w:val="004F3EC5"/>
    <w:rsid w:val="004F4BF7"/>
    <w:rsid w:val="004F6B7B"/>
    <w:rsid w:val="004F6E29"/>
    <w:rsid w:val="004F705F"/>
    <w:rsid w:val="004F7F82"/>
    <w:rsid w:val="00501499"/>
    <w:rsid w:val="00503240"/>
    <w:rsid w:val="00504032"/>
    <w:rsid w:val="0050442F"/>
    <w:rsid w:val="00505744"/>
    <w:rsid w:val="00506B8A"/>
    <w:rsid w:val="00506E72"/>
    <w:rsid w:val="005074F5"/>
    <w:rsid w:val="00507C5A"/>
    <w:rsid w:val="0051160F"/>
    <w:rsid w:val="00511D50"/>
    <w:rsid w:val="00513E3D"/>
    <w:rsid w:val="00515656"/>
    <w:rsid w:val="00515D2E"/>
    <w:rsid w:val="00516B0D"/>
    <w:rsid w:val="0052376C"/>
    <w:rsid w:val="00524C30"/>
    <w:rsid w:val="00524CFE"/>
    <w:rsid w:val="00524D2A"/>
    <w:rsid w:val="00524E64"/>
    <w:rsid w:val="0052502A"/>
    <w:rsid w:val="005254A5"/>
    <w:rsid w:val="00525A2C"/>
    <w:rsid w:val="005342C3"/>
    <w:rsid w:val="0053489F"/>
    <w:rsid w:val="00535C05"/>
    <w:rsid w:val="00535F0C"/>
    <w:rsid w:val="005365D0"/>
    <w:rsid w:val="005374F9"/>
    <w:rsid w:val="0053783C"/>
    <w:rsid w:val="00541632"/>
    <w:rsid w:val="005427DD"/>
    <w:rsid w:val="00544450"/>
    <w:rsid w:val="005449C5"/>
    <w:rsid w:val="00544C4A"/>
    <w:rsid w:val="0054597F"/>
    <w:rsid w:val="00547140"/>
    <w:rsid w:val="00547FF9"/>
    <w:rsid w:val="005511CA"/>
    <w:rsid w:val="00551B52"/>
    <w:rsid w:val="00551BFD"/>
    <w:rsid w:val="005523E3"/>
    <w:rsid w:val="0055358E"/>
    <w:rsid w:val="00554777"/>
    <w:rsid w:val="00554FA5"/>
    <w:rsid w:val="005602F4"/>
    <w:rsid w:val="00560F5E"/>
    <w:rsid w:val="0056439E"/>
    <w:rsid w:val="00565A89"/>
    <w:rsid w:val="00565D13"/>
    <w:rsid w:val="0056632F"/>
    <w:rsid w:val="005667F8"/>
    <w:rsid w:val="00567387"/>
    <w:rsid w:val="0057147D"/>
    <w:rsid w:val="00571A0F"/>
    <w:rsid w:val="0057308C"/>
    <w:rsid w:val="005731D7"/>
    <w:rsid w:val="00574FCB"/>
    <w:rsid w:val="005751EB"/>
    <w:rsid w:val="00576046"/>
    <w:rsid w:val="00576351"/>
    <w:rsid w:val="0058055B"/>
    <w:rsid w:val="005809C5"/>
    <w:rsid w:val="005817DF"/>
    <w:rsid w:val="00581EAD"/>
    <w:rsid w:val="00582A2F"/>
    <w:rsid w:val="00582B76"/>
    <w:rsid w:val="00583134"/>
    <w:rsid w:val="005845DA"/>
    <w:rsid w:val="005848B9"/>
    <w:rsid w:val="005855DC"/>
    <w:rsid w:val="00586EFA"/>
    <w:rsid w:val="005902C6"/>
    <w:rsid w:val="005903A3"/>
    <w:rsid w:val="00590E40"/>
    <w:rsid w:val="00592524"/>
    <w:rsid w:val="00594C4A"/>
    <w:rsid w:val="00594FFC"/>
    <w:rsid w:val="005973E2"/>
    <w:rsid w:val="005A0C65"/>
    <w:rsid w:val="005A1FE8"/>
    <w:rsid w:val="005A34EA"/>
    <w:rsid w:val="005A3CB7"/>
    <w:rsid w:val="005A4973"/>
    <w:rsid w:val="005A5DEA"/>
    <w:rsid w:val="005A6AED"/>
    <w:rsid w:val="005B26A4"/>
    <w:rsid w:val="005B2E3D"/>
    <w:rsid w:val="005B3F39"/>
    <w:rsid w:val="005B6440"/>
    <w:rsid w:val="005B656A"/>
    <w:rsid w:val="005B69D1"/>
    <w:rsid w:val="005C1537"/>
    <w:rsid w:val="005C42E5"/>
    <w:rsid w:val="005C6168"/>
    <w:rsid w:val="005C7BE7"/>
    <w:rsid w:val="005D1A02"/>
    <w:rsid w:val="005D2A5E"/>
    <w:rsid w:val="005D31A4"/>
    <w:rsid w:val="005D436E"/>
    <w:rsid w:val="005D4742"/>
    <w:rsid w:val="005D6BC2"/>
    <w:rsid w:val="005D7D4D"/>
    <w:rsid w:val="005E0548"/>
    <w:rsid w:val="005E2068"/>
    <w:rsid w:val="005E2844"/>
    <w:rsid w:val="005E355E"/>
    <w:rsid w:val="005E59E6"/>
    <w:rsid w:val="005E6635"/>
    <w:rsid w:val="005E7166"/>
    <w:rsid w:val="005F2276"/>
    <w:rsid w:val="005F2680"/>
    <w:rsid w:val="005F26AB"/>
    <w:rsid w:val="005F2A7B"/>
    <w:rsid w:val="005F3A25"/>
    <w:rsid w:val="005F41DF"/>
    <w:rsid w:val="005F48C9"/>
    <w:rsid w:val="005F7BB8"/>
    <w:rsid w:val="006008F9"/>
    <w:rsid w:val="006017E5"/>
    <w:rsid w:val="00601EEF"/>
    <w:rsid w:val="00602210"/>
    <w:rsid w:val="00607275"/>
    <w:rsid w:val="00610F4E"/>
    <w:rsid w:val="00612577"/>
    <w:rsid w:val="00612763"/>
    <w:rsid w:val="006129D9"/>
    <w:rsid w:val="00612C44"/>
    <w:rsid w:val="00615E99"/>
    <w:rsid w:val="0061711B"/>
    <w:rsid w:val="00621F8B"/>
    <w:rsid w:val="00622D10"/>
    <w:rsid w:val="00623720"/>
    <w:rsid w:val="00625820"/>
    <w:rsid w:val="00625C2D"/>
    <w:rsid w:val="006321C6"/>
    <w:rsid w:val="00634760"/>
    <w:rsid w:val="00635EB5"/>
    <w:rsid w:val="00636789"/>
    <w:rsid w:val="00637C3E"/>
    <w:rsid w:val="0064099F"/>
    <w:rsid w:val="006424B3"/>
    <w:rsid w:val="00642736"/>
    <w:rsid w:val="006427E2"/>
    <w:rsid w:val="00644793"/>
    <w:rsid w:val="00644CA4"/>
    <w:rsid w:val="006456E5"/>
    <w:rsid w:val="0064617E"/>
    <w:rsid w:val="006464B0"/>
    <w:rsid w:val="00651A02"/>
    <w:rsid w:val="006520ED"/>
    <w:rsid w:val="00652620"/>
    <w:rsid w:val="00652B29"/>
    <w:rsid w:val="006536BA"/>
    <w:rsid w:val="006540AF"/>
    <w:rsid w:val="0065561D"/>
    <w:rsid w:val="006564B8"/>
    <w:rsid w:val="00656BC2"/>
    <w:rsid w:val="00663A2A"/>
    <w:rsid w:val="00663AC4"/>
    <w:rsid w:val="0066621D"/>
    <w:rsid w:val="0066622E"/>
    <w:rsid w:val="006663FC"/>
    <w:rsid w:val="00666F3A"/>
    <w:rsid w:val="0066730B"/>
    <w:rsid w:val="00667E5D"/>
    <w:rsid w:val="00672550"/>
    <w:rsid w:val="0067394E"/>
    <w:rsid w:val="006739A0"/>
    <w:rsid w:val="00674255"/>
    <w:rsid w:val="00674E73"/>
    <w:rsid w:val="006761D6"/>
    <w:rsid w:val="006765A9"/>
    <w:rsid w:val="006777DB"/>
    <w:rsid w:val="00680C37"/>
    <w:rsid w:val="006812C5"/>
    <w:rsid w:val="00681513"/>
    <w:rsid w:val="0068278D"/>
    <w:rsid w:val="00683A2E"/>
    <w:rsid w:val="00683F41"/>
    <w:rsid w:val="00684C5E"/>
    <w:rsid w:val="0068649A"/>
    <w:rsid w:val="006902A1"/>
    <w:rsid w:val="00691078"/>
    <w:rsid w:val="006913AA"/>
    <w:rsid w:val="0069220E"/>
    <w:rsid w:val="006927D1"/>
    <w:rsid w:val="00693385"/>
    <w:rsid w:val="006940C7"/>
    <w:rsid w:val="00694948"/>
    <w:rsid w:val="00694B59"/>
    <w:rsid w:val="006953A5"/>
    <w:rsid w:val="006957AA"/>
    <w:rsid w:val="00697C01"/>
    <w:rsid w:val="006A0EFE"/>
    <w:rsid w:val="006A3A83"/>
    <w:rsid w:val="006A4B57"/>
    <w:rsid w:val="006A58CF"/>
    <w:rsid w:val="006A61F8"/>
    <w:rsid w:val="006A6454"/>
    <w:rsid w:val="006A68BF"/>
    <w:rsid w:val="006A69C2"/>
    <w:rsid w:val="006B0B8F"/>
    <w:rsid w:val="006B77AB"/>
    <w:rsid w:val="006B7B96"/>
    <w:rsid w:val="006C0013"/>
    <w:rsid w:val="006C1315"/>
    <w:rsid w:val="006C1352"/>
    <w:rsid w:val="006C16AC"/>
    <w:rsid w:val="006C1ED4"/>
    <w:rsid w:val="006C2B22"/>
    <w:rsid w:val="006C2CD4"/>
    <w:rsid w:val="006C4188"/>
    <w:rsid w:val="006C466E"/>
    <w:rsid w:val="006C49A1"/>
    <w:rsid w:val="006C4F8C"/>
    <w:rsid w:val="006C6319"/>
    <w:rsid w:val="006C74AF"/>
    <w:rsid w:val="006C7B33"/>
    <w:rsid w:val="006C7F63"/>
    <w:rsid w:val="006D051A"/>
    <w:rsid w:val="006D199E"/>
    <w:rsid w:val="006D4556"/>
    <w:rsid w:val="006D4952"/>
    <w:rsid w:val="006D4AFB"/>
    <w:rsid w:val="006D6D41"/>
    <w:rsid w:val="006E1F5A"/>
    <w:rsid w:val="006E264B"/>
    <w:rsid w:val="006E3CE1"/>
    <w:rsid w:val="006E462E"/>
    <w:rsid w:val="006E4FA5"/>
    <w:rsid w:val="006F6075"/>
    <w:rsid w:val="006F7CD2"/>
    <w:rsid w:val="00700A5E"/>
    <w:rsid w:val="00701CA6"/>
    <w:rsid w:val="00703456"/>
    <w:rsid w:val="0070367E"/>
    <w:rsid w:val="007047CB"/>
    <w:rsid w:val="0070649B"/>
    <w:rsid w:val="0070663B"/>
    <w:rsid w:val="007077D4"/>
    <w:rsid w:val="0071008F"/>
    <w:rsid w:val="007109EE"/>
    <w:rsid w:val="00722469"/>
    <w:rsid w:val="00722910"/>
    <w:rsid w:val="00731684"/>
    <w:rsid w:val="007319DA"/>
    <w:rsid w:val="00732CB0"/>
    <w:rsid w:val="007347A0"/>
    <w:rsid w:val="00734BD0"/>
    <w:rsid w:val="00735E8C"/>
    <w:rsid w:val="00736944"/>
    <w:rsid w:val="00736FB1"/>
    <w:rsid w:val="0074583F"/>
    <w:rsid w:val="00745E30"/>
    <w:rsid w:val="007467B9"/>
    <w:rsid w:val="00746DB1"/>
    <w:rsid w:val="00746FC0"/>
    <w:rsid w:val="007503A6"/>
    <w:rsid w:val="00750470"/>
    <w:rsid w:val="00750BEC"/>
    <w:rsid w:val="00751001"/>
    <w:rsid w:val="00751D6E"/>
    <w:rsid w:val="00752643"/>
    <w:rsid w:val="007531DD"/>
    <w:rsid w:val="00755386"/>
    <w:rsid w:val="0076008C"/>
    <w:rsid w:val="00760E7A"/>
    <w:rsid w:val="00762434"/>
    <w:rsid w:val="00762FEC"/>
    <w:rsid w:val="00763A47"/>
    <w:rsid w:val="0076544B"/>
    <w:rsid w:val="00765E94"/>
    <w:rsid w:val="0076604D"/>
    <w:rsid w:val="00766B91"/>
    <w:rsid w:val="0076748C"/>
    <w:rsid w:val="00767863"/>
    <w:rsid w:val="00770551"/>
    <w:rsid w:val="00771901"/>
    <w:rsid w:val="00771A00"/>
    <w:rsid w:val="00772702"/>
    <w:rsid w:val="007737D9"/>
    <w:rsid w:val="007742B8"/>
    <w:rsid w:val="00775AEC"/>
    <w:rsid w:val="007777E2"/>
    <w:rsid w:val="00780725"/>
    <w:rsid w:val="0078089D"/>
    <w:rsid w:val="00781DEB"/>
    <w:rsid w:val="00782A01"/>
    <w:rsid w:val="00783702"/>
    <w:rsid w:val="00783F5D"/>
    <w:rsid w:val="00786554"/>
    <w:rsid w:val="00786557"/>
    <w:rsid w:val="0078668F"/>
    <w:rsid w:val="00792004"/>
    <w:rsid w:val="00795080"/>
    <w:rsid w:val="0079674E"/>
    <w:rsid w:val="00796A37"/>
    <w:rsid w:val="00797158"/>
    <w:rsid w:val="00797C9F"/>
    <w:rsid w:val="007A1396"/>
    <w:rsid w:val="007A3093"/>
    <w:rsid w:val="007A4ADB"/>
    <w:rsid w:val="007B00F0"/>
    <w:rsid w:val="007B1365"/>
    <w:rsid w:val="007B1F25"/>
    <w:rsid w:val="007B2ADF"/>
    <w:rsid w:val="007B30EE"/>
    <w:rsid w:val="007B5A39"/>
    <w:rsid w:val="007B5E6F"/>
    <w:rsid w:val="007B7405"/>
    <w:rsid w:val="007C2F35"/>
    <w:rsid w:val="007C4385"/>
    <w:rsid w:val="007C4BD4"/>
    <w:rsid w:val="007C4C46"/>
    <w:rsid w:val="007C5110"/>
    <w:rsid w:val="007C5F41"/>
    <w:rsid w:val="007C6F6F"/>
    <w:rsid w:val="007D1BFF"/>
    <w:rsid w:val="007D1EAE"/>
    <w:rsid w:val="007D1F10"/>
    <w:rsid w:val="007D428B"/>
    <w:rsid w:val="007D50C1"/>
    <w:rsid w:val="007D5E73"/>
    <w:rsid w:val="007D6147"/>
    <w:rsid w:val="007D655B"/>
    <w:rsid w:val="007D7E6D"/>
    <w:rsid w:val="007E0267"/>
    <w:rsid w:val="007E0646"/>
    <w:rsid w:val="007E3DDA"/>
    <w:rsid w:val="007E41C5"/>
    <w:rsid w:val="007E4201"/>
    <w:rsid w:val="007E4A48"/>
    <w:rsid w:val="007E6290"/>
    <w:rsid w:val="007F0934"/>
    <w:rsid w:val="007F0B25"/>
    <w:rsid w:val="007F2368"/>
    <w:rsid w:val="007F3CBD"/>
    <w:rsid w:val="007F6B75"/>
    <w:rsid w:val="007F7F9C"/>
    <w:rsid w:val="00800BAE"/>
    <w:rsid w:val="00800F96"/>
    <w:rsid w:val="00800FA3"/>
    <w:rsid w:val="0080112F"/>
    <w:rsid w:val="00804FE7"/>
    <w:rsid w:val="00815532"/>
    <w:rsid w:val="00815EFD"/>
    <w:rsid w:val="008178D7"/>
    <w:rsid w:val="00817DC6"/>
    <w:rsid w:val="00821053"/>
    <w:rsid w:val="0082322B"/>
    <w:rsid w:val="008235EE"/>
    <w:rsid w:val="00823808"/>
    <w:rsid w:val="008267B7"/>
    <w:rsid w:val="00826884"/>
    <w:rsid w:val="00826DDD"/>
    <w:rsid w:val="0082751E"/>
    <w:rsid w:val="00827593"/>
    <w:rsid w:val="008300A4"/>
    <w:rsid w:val="008309C0"/>
    <w:rsid w:val="008309D2"/>
    <w:rsid w:val="00830C4C"/>
    <w:rsid w:val="00831ACF"/>
    <w:rsid w:val="00831F1F"/>
    <w:rsid w:val="0083342A"/>
    <w:rsid w:val="00835709"/>
    <w:rsid w:val="008374CF"/>
    <w:rsid w:val="0084130F"/>
    <w:rsid w:val="00841B72"/>
    <w:rsid w:val="0084241B"/>
    <w:rsid w:val="008437F2"/>
    <w:rsid w:val="0084786A"/>
    <w:rsid w:val="008479F7"/>
    <w:rsid w:val="00847B21"/>
    <w:rsid w:val="008514DC"/>
    <w:rsid w:val="008555D0"/>
    <w:rsid w:val="0085577C"/>
    <w:rsid w:val="00855AE6"/>
    <w:rsid w:val="00855C94"/>
    <w:rsid w:val="0086005A"/>
    <w:rsid w:val="00860794"/>
    <w:rsid w:val="00860AE8"/>
    <w:rsid w:val="00862822"/>
    <w:rsid w:val="00863013"/>
    <w:rsid w:val="00864592"/>
    <w:rsid w:val="00866CA9"/>
    <w:rsid w:val="00871540"/>
    <w:rsid w:val="008718E2"/>
    <w:rsid w:val="00871C40"/>
    <w:rsid w:val="00872D2E"/>
    <w:rsid w:val="0087301F"/>
    <w:rsid w:val="00875473"/>
    <w:rsid w:val="00875ECC"/>
    <w:rsid w:val="00880567"/>
    <w:rsid w:val="00880E98"/>
    <w:rsid w:val="00881AE5"/>
    <w:rsid w:val="00883D1C"/>
    <w:rsid w:val="0088467A"/>
    <w:rsid w:val="00885B09"/>
    <w:rsid w:val="008875DB"/>
    <w:rsid w:val="00891027"/>
    <w:rsid w:val="008910B4"/>
    <w:rsid w:val="00891A88"/>
    <w:rsid w:val="00891F92"/>
    <w:rsid w:val="00892298"/>
    <w:rsid w:val="008923D2"/>
    <w:rsid w:val="0089256F"/>
    <w:rsid w:val="00893C25"/>
    <w:rsid w:val="00893FC8"/>
    <w:rsid w:val="00896694"/>
    <w:rsid w:val="008968BC"/>
    <w:rsid w:val="00896D8C"/>
    <w:rsid w:val="008974D9"/>
    <w:rsid w:val="008A0C9A"/>
    <w:rsid w:val="008A141D"/>
    <w:rsid w:val="008A1C1F"/>
    <w:rsid w:val="008A1F22"/>
    <w:rsid w:val="008A4B45"/>
    <w:rsid w:val="008A7C98"/>
    <w:rsid w:val="008B2599"/>
    <w:rsid w:val="008B27C8"/>
    <w:rsid w:val="008B41CA"/>
    <w:rsid w:val="008B51A8"/>
    <w:rsid w:val="008B56A5"/>
    <w:rsid w:val="008B668E"/>
    <w:rsid w:val="008B748A"/>
    <w:rsid w:val="008B7E8B"/>
    <w:rsid w:val="008C2141"/>
    <w:rsid w:val="008C3099"/>
    <w:rsid w:val="008D0FFC"/>
    <w:rsid w:val="008D1283"/>
    <w:rsid w:val="008D17E6"/>
    <w:rsid w:val="008D2935"/>
    <w:rsid w:val="008D5765"/>
    <w:rsid w:val="008D6085"/>
    <w:rsid w:val="008D6EC8"/>
    <w:rsid w:val="008D7534"/>
    <w:rsid w:val="008E11FC"/>
    <w:rsid w:val="008E2F9C"/>
    <w:rsid w:val="008E4DD6"/>
    <w:rsid w:val="008E6072"/>
    <w:rsid w:val="008E6F86"/>
    <w:rsid w:val="008E76BE"/>
    <w:rsid w:val="008F0440"/>
    <w:rsid w:val="008F078F"/>
    <w:rsid w:val="008F0B53"/>
    <w:rsid w:val="008F0B9A"/>
    <w:rsid w:val="008F3A94"/>
    <w:rsid w:val="008F4233"/>
    <w:rsid w:val="008F4235"/>
    <w:rsid w:val="008F5D49"/>
    <w:rsid w:val="008F6E1E"/>
    <w:rsid w:val="008F78BE"/>
    <w:rsid w:val="00901E21"/>
    <w:rsid w:val="009020D3"/>
    <w:rsid w:val="0090223D"/>
    <w:rsid w:val="009035D6"/>
    <w:rsid w:val="0090469A"/>
    <w:rsid w:val="00906A2F"/>
    <w:rsid w:val="00912C34"/>
    <w:rsid w:val="0091347C"/>
    <w:rsid w:val="00913B18"/>
    <w:rsid w:val="009144C8"/>
    <w:rsid w:val="00915A3F"/>
    <w:rsid w:val="00917663"/>
    <w:rsid w:val="00917B9D"/>
    <w:rsid w:val="00917E70"/>
    <w:rsid w:val="00917ED8"/>
    <w:rsid w:val="009205B1"/>
    <w:rsid w:val="00922075"/>
    <w:rsid w:val="009221FF"/>
    <w:rsid w:val="009222DF"/>
    <w:rsid w:val="0092282E"/>
    <w:rsid w:val="0092287E"/>
    <w:rsid w:val="00923E1E"/>
    <w:rsid w:val="00924DAC"/>
    <w:rsid w:val="00926CE0"/>
    <w:rsid w:val="00927D61"/>
    <w:rsid w:val="00932630"/>
    <w:rsid w:val="0093272C"/>
    <w:rsid w:val="0093342B"/>
    <w:rsid w:val="009351DD"/>
    <w:rsid w:val="009354C6"/>
    <w:rsid w:val="009357C1"/>
    <w:rsid w:val="00936286"/>
    <w:rsid w:val="00936FDC"/>
    <w:rsid w:val="00937CDF"/>
    <w:rsid w:val="00937F96"/>
    <w:rsid w:val="00942435"/>
    <w:rsid w:val="009432A7"/>
    <w:rsid w:val="00944FD9"/>
    <w:rsid w:val="009453F0"/>
    <w:rsid w:val="00945403"/>
    <w:rsid w:val="009516FA"/>
    <w:rsid w:val="0095188B"/>
    <w:rsid w:val="00952127"/>
    <w:rsid w:val="00952162"/>
    <w:rsid w:val="00952C00"/>
    <w:rsid w:val="00953B5A"/>
    <w:rsid w:val="00956376"/>
    <w:rsid w:val="0095743F"/>
    <w:rsid w:val="00957D1C"/>
    <w:rsid w:val="00961625"/>
    <w:rsid w:val="009662C0"/>
    <w:rsid w:val="00966C29"/>
    <w:rsid w:val="00973854"/>
    <w:rsid w:val="00975878"/>
    <w:rsid w:val="00976299"/>
    <w:rsid w:val="00977AC0"/>
    <w:rsid w:val="00977E93"/>
    <w:rsid w:val="00980F96"/>
    <w:rsid w:val="00983B16"/>
    <w:rsid w:val="00984262"/>
    <w:rsid w:val="00984C25"/>
    <w:rsid w:val="00985A61"/>
    <w:rsid w:val="009917E0"/>
    <w:rsid w:val="009930BE"/>
    <w:rsid w:val="0099336E"/>
    <w:rsid w:val="00993C13"/>
    <w:rsid w:val="00996E40"/>
    <w:rsid w:val="009A157A"/>
    <w:rsid w:val="009A1A8B"/>
    <w:rsid w:val="009A218D"/>
    <w:rsid w:val="009A226D"/>
    <w:rsid w:val="009A36B8"/>
    <w:rsid w:val="009A4AE8"/>
    <w:rsid w:val="009A5435"/>
    <w:rsid w:val="009B02A1"/>
    <w:rsid w:val="009B0DB0"/>
    <w:rsid w:val="009B22A5"/>
    <w:rsid w:val="009B2705"/>
    <w:rsid w:val="009B4838"/>
    <w:rsid w:val="009B4C41"/>
    <w:rsid w:val="009B4F73"/>
    <w:rsid w:val="009B60CF"/>
    <w:rsid w:val="009B730A"/>
    <w:rsid w:val="009B7A3B"/>
    <w:rsid w:val="009C022A"/>
    <w:rsid w:val="009C0EE4"/>
    <w:rsid w:val="009C1F40"/>
    <w:rsid w:val="009C476E"/>
    <w:rsid w:val="009C5CD8"/>
    <w:rsid w:val="009C6075"/>
    <w:rsid w:val="009C6C4C"/>
    <w:rsid w:val="009D18A4"/>
    <w:rsid w:val="009D28A1"/>
    <w:rsid w:val="009D34AD"/>
    <w:rsid w:val="009D38CC"/>
    <w:rsid w:val="009D39CB"/>
    <w:rsid w:val="009D7179"/>
    <w:rsid w:val="009E3949"/>
    <w:rsid w:val="009E413E"/>
    <w:rsid w:val="009E4DC8"/>
    <w:rsid w:val="009E5036"/>
    <w:rsid w:val="009E6185"/>
    <w:rsid w:val="009E776E"/>
    <w:rsid w:val="009E7BFB"/>
    <w:rsid w:val="009F27B3"/>
    <w:rsid w:val="009F329D"/>
    <w:rsid w:val="009F5D3E"/>
    <w:rsid w:val="009F679E"/>
    <w:rsid w:val="009F6A56"/>
    <w:rsid w:val="00A00135"/>
    <w:rsid w:val="00A00DEC"/>
    <w:rsid w:val="00A01235"/>
    <w:rsid w:val="00A01DFC"/>
    <w:rsid w:val="00A034A0"/>
    <w:rsid w:val="00A04E43"/>
    <w:rsid w:val="00A07B9F"/>
    <w:rsid w:val="00A1244E"/>
    <w:rsid w:val="00A124E0"/>
    <w:rsid w:val="00A12DED"/>
    <w:rsid w:val="00A14B78"/>
    <w:rsid w:val="00A15401"/>
    <w:rsid w:val="00A17416"/>
    <w:rsid w:val="00A201EF"/>
    <w:rsid w:val="00A25EF3"/>
    <w:rsid w:val="00A2619C"/>
    <w:rsid w:val="00A31A63"/>
    <w:rsid w:val="00A31D7B"/>
    <w:rsid w:val="00A32F3B"/>
    <w:rsid w:val="00A37518"/>
    <w:rsid w:val="00A37DA9"/>
    <w:rsid w:val="00A408E3"/>
    <w:rsid w:val="00A415F0"/>
    <w:rsid w:val="00A41755"/>
    <w:rsid w:val="00A42264"/>
    <w:rsid w:val="00A468BE"/>
    <w:rsid w:val="00A46DBC"/>
    <w:rsid w:val="00A47628"/>
    <w:rsid w:val="00A50BD7"/>
    <w:rsid w:val="00A5106B"/>
    <w:rsid w:val="00A51762"/>
    <w:rsid w:val="00A537F2"/>
    <w:rsid w:val="00A54520"/>
    <w:rsid w:val="00A566B8"/>
    <w:rsid w:val="00A6327D"/>
    <w:rsid w:val="00A637A7"/>
    <w:rsid w:val="00A63F2B"/>
    <w:rsid w:val="00A64F7F"/>
    <w:rsid w:val="00A652C3"/>
    <w:rsid w:val="00A659A4"/>
    <w:rsid w:val="00A66F16"/>
    <w:rsid w:val="00A67551"/>
    <w:rsid w:val="00A67CB6"/>
    <w:rsid w:val="00A7055B"/>
    <w:rsid w:val="00A718D0"/>
    <w:rsid w:val="00A71C53"/>
    <w:rsid w:val="00A7236F"/>
    <w:rsid w:val="00A72666"/>
    <w:rsid w:val="00A73562"/>
    <w:rsid w:val="00A743F3"/>
    <w:rsid w:val="00A74784"/>
    <w:rsid w:val="00A74940"/>
    <w:rsid w:val="00A74CBD"/>
    <w:rsid w:val="00A77394"/>
    <w:rsid w:val="00A775C8"/>
    <w:rsid w:val="00A778DB"/>
    <w:rsid w:val="00A8093D"/>
    <w:rsid w:val="00A80A9C"/>
    <w:rsid w:val="00A83993"/>
    <w:rsid w:val="00A84CBA"/>
    <w:rsid w:val="00A85ACC"/>
    <w:rsid w:val="00A85C9F"/>
    <w:rsid w:val="00A85E6E"/>
    <w:rsid w:val="00A8733B"/>
    <w:rsid w:val="00A909DC"/>
    <w:rsid w:val="00A9154F"/>
    <w:rsid w:val="00A92060"/>
    <w:rsid w:val="00A9590E"/>
    <w:rsid w:val="00A96598"/>
    <w:rsid w:val="00A969FF"/>
    <w:rsid w:val="00AA2511"/>
    <w:rsid w:val="00AA601C"/>
    <w:rsid w:val="00AA76E8"/>
    <w:rsid w:val="00AB0337"/>
    <w:rsid w:val="00AB0771"/>
    <w:rsid w:val="00AB13E0"/>
    <w:rsid w:val="00AB18EE"/>
    <w:rsid w:val="00AB1C49"/>
    <w:rsid w:val="00AB5687"/>
    <w:rsid w:val="00AC14C0"/>
    <w:rsid w:val="00AC25A3"/>
    <w:rsid w:val="00AC315C"/>
    <w:rsid w:val="00AC3CEA"/>
    <w:rsid w:val="00AC3F5A"/>
    <w:rsid w:val="00AC49A4"/>
    <w:rsid w:val="00AC5BA4"/>
    <w:rsid w:val="00AD00D5"/>
    <w:rsid w:val="00AD0462"/>
    <w:rsid w:val="00AD11BD"/>
    <w:rsid w:val="00AD123B"/>
    <w:rsid w:val="00AD34B8"/>
    <w:rsid w:val="00AD4139"/>
    <w:rsid w:val="00AD693C"/>
    <w:rsid w:val="00AD6BA4"/>
    <w:rsid w:val="00AE1E70"/>
    <w:rsid w:val="00AE2105"/>
    <w:rsid w:val="00AE2219"/>
    <w:rsid w:val="00AE250D"/>
    <w:rsid w:val="00AE2817"/>
    <w:rsid w:val="00AE3236"/>
    <w:rsid w:val="00AE64AF"/>
    <w:rsid w:val="00AF0137"/>
    <w:rsid w:val="00AF07D6"/>
    <w:rsid w:val="00AF46E8"/>
    <w:rsid w:val="00AF4A16"/>
    <w:rsid w:val="00AF5223"/>
    <w:rsid w:val="00AF5B07"/>
    <w:rsid w:val="00AF5D7A"/>
    <w:rsid w:val="00AF692B"/>
    <w:rsid w:val="00B00F5E"/>
    <w:rsid w:val="00B04131"/>
    <w:rsid w:val="00B0428D"/>
    <w:rsid w:val="00B05089"/>
    <w:rsid w:val="00B103FC"/>
    <w:rsid w:val="00B14C1B"/>
    <w:rsid w:val="00B14D1B"/>
    <w:rsid w:val="00B159FE"/>
    <w:rsid w:val="00B17A4E"/>
    <w:rsid w:val="00B225DC"/>
    <w:rsid w:val="00B2492A"/>
    <w:rsid w:val="00B30ACA"/>
    <w:rsid w:val="00B35EC7"/>
    <w:rsid w:val="00B35EF3"/>
    <w:rsid w:val="00B36C04"/>
    <w:rsid w:val="00B36FF0"/>
    <w:rsid w:val="00B370BA"/>
    <w:rsid w:val="00B37837"/>
    <w:rsid w:val="00B41C6E"/>
    <w:rsid w:val="00B4208A"/>
    <w:rsid w:val="00B42340"/>
    <w:rsid w:val="00B431C1"/>
    <w:rsid w:val="00B4727E"/>
    <w:rsid w:val="00B47A35"/>
    <w:rsid w:val="00B50A5C"/>
    <w:rsid w:val="00B510C3"/>
    <w:rsid w:val="00B528C5"/>
    <w:rsid w:val="00B52B53"/>
    <w:rsid w:val="00B52CB9"/>
    <w:rsid w:val="00B52D0F"/>
    <w:rsid w:val="00B539CB"/>
    <w:rsid w:val="00B53F2C"/>
    <w:rsid w:val="00B5405A"/>
    <w:rsid w:val="00B55817"/>
    <w:rsid w:val="00B56F17"/>
    <w:rsid w:val="00B57262"/>
    <w:rsid w:val="00B57CD4"/>
    <w:rsid w:val="00B57DF1"/>
    <w:rsid w:val="00B601D0"/>
    <w:rsid w:val="00B60319"/>
    <w:rsid w:val="00B61056"/>
    <w:rsid w:val="00B61E06"/>
    <w:rsid w:val="00B63F73"/>
    <w:rsid w:val="00B65CC6"/>
    <w:rsid w:val="00B6619B"/>
    <w:rsid w:val="00B67326"/>
    <w:rsid w:val="00B70F3E"/>
    <w:rsid w:val="00B71804"/>
    <w:rsid w:val="00B729CC"/>
    <w:rsid w:val="00B731B5"/>
    <w:rsid w:val="00B75568"/>
    <w:rsid w:val="00B767BD"/>
    <w:rsid w:val="00B80A96"/>
    <w:rsid w:val="00B823B5"/>
    <w:rsid w:val="00B82EA4"/>
    <w:rsid w:val="00B83AFB"/>
    <w:rsid w:val="00B83F5E"/>
    <w:rsid w:val="00B84097"/>
    <w:rsid w:val="00B853B3"/>
    <w:rsid w:val="00B85BBB"/>
    <w:rsid w:val="00B8643D"/>
    <w:rsid w:val="00B8683D"/>
    <w:rsid w:val="00B90D8F"/>
    <w:rsid w:val="00B90FB8"/>
    <w:rsid w:val="00B91AF2"/>
    <w:rsid w:val="00B92672"/>
    <w:rsid w:val="00B95119"/>
    <w:rsid w:val="00B978D5"/>
    <w:rsid w:val="00BA0AB5"/>
    <w:rsid w:val="00BA48F6"/>
    <w:rsid w:val="00BA556C"/>
    <w:rsid w:val="00BA5DF6"/>
    <w:rsid w:val="00BA7C3D"/>
    <w:rsid w:val="00BB23D6"/>
    <w:rsid w:val="00BB29D2"/>
    <w:rsid w:val="00BB2C23"/>
    <w:rsid w:val="00BB6855"/>
    <w:rsid w:val="00BC096C"/>
    <w:rsid w:val="00BC24F8"/>
    <w:rsid w:val="00BC2D83"/>
    <w:rsid w:val="00BC382D"/>
    <w:rsid w:val="00BC3B9B"/>
    <w:rsid w:val="00BD0658"/>
    <w:rsid w:val="00BD0E6A"/>
    <w:rsid w:val="00BD2282"/>
    <w:rsid w:val="00BD351E"/>
    <w:rsid w:val="00BD38C7"/>
    <w:rsid w:val="00BD4576"/>
    <w:rsid w:val="00BD464F"/>
    <w:rsid w:val="00BE0BE9"/>
    <w:rsid w:val="00BF02AA"/>
    <w:rsid w:val="00BF1E76"/>
    <w:rsid w:val="00BF1ECB"/>
    <w:rsid w:val="00BF73FD"/>
    <w:rsid w:val="00BF7CAD"/>
    <w:rsid w:val="00C01418"/>
    <w:rsid w:val="00C01438"/>
    <w:rsid w:val="00C04841"/>
    <w:rsid w:val="00C05332"/>
    <w:rsid w:val="00C0548F"/>
    <w:rsid w:val="00C056FF"/>
    <w:rsid w:val="00C07232"/>
    <w:rsid w:val="00C07A2F"/>
    <w:rsid w:val="00C07C94"/>
    <w:rsid w:val="00C107DD"/>
    <w:rsid w:val="00C108D0"/>
    <w:rsid w:val="00C11A97"/>
    <w:rsid w:val="00C125DB"/>
    <w:rsid w:val="00C16041"/>
    <w:rsid w:val="00C16D50"/>
    <w:rsid w:val="00C20A31"/>
    <w:rsid w:val="00C223F6"/>
    <w:rsid w:val="00C22C1F"/>
    <w:rsid w:val="00C2530F"/>
    <w:rsid w:val="00C26DE7"/>
    <w:rsid w:val="00C26F45"/>
    <w:rsid w:val="00C35E2B"/>
    <w:rsid w:val="00C35F2C"/>
    <w:rsid w:val="00C37000"/>
    <w:rsid w:val="00C37352"/>
    <w:rsid w:val="00C374A0"/>
    <w:rsid w:val="00C43A8B"/>
    <w:rsid w:val="00C444CA"/>
    <w:rsid w:val="00C45302"/>
    <w:rsid w:val="00C46B87"/>
    <w:rsid w:val="00C50F5C"/>
    <w:rsid w:val="00C530F5"/>
    <w:rsid w:val="00C53E01"/>
    <w:rsid w:val="00C5433D"/>
    <w:rsid w:val="00C5474C"/>
    <w:rsid w:val="00C5537F"/>
    <w:rsid w:val="00C553B3"/>
    <w:rsid w:val="00C61222"/>
    <w:rsid w:val="00C61BD5"/>
    <w:rsid w:val="00C6426D"/>
    <w:rsid w:val="00C64D3F"/>
    <w:rsid w:val="00C665A5"/>
    <w:rsid w:val="00C666D9"/>
    <w:rsid w:val="00C708C8"/>
    <w:rsid w:val="00C70952"/>
    <w:rsid w:val="00C70B29"/>
    <w:rsid w:val="00C71229"/>
    <w:rsid w:val="00C719A9"/>
    <w:rsid w:val="00C71E69"/>
    <w:rsid w:val="00C72572"/>
    <w:rsid w:val="00C7403E"/>
    <w:rsid w:val="00C769A1"/>
    <w:rsid w:val="00C774F6"/>
    <w:rsid w:val="00C77878"/>
    <w:rsid w:val="00C81815"/>
    <w:rsid w:val="00C81F23"/>
    <w:rsid w:val="00C82BC9"/>
    <w:rsid w:val="00C84DC8"/>
    <w:rsid w:val="00C85247"/>
    <w:rsid w:val="00C85488"/>
    <w:rsid w:val="00C87212"/>
    <w:rsid w:val="00C87FC0"/>
    <w:rsid w:val="00C9072A"/>
    <w:rsid w:val="00C9219D"/>
    <w:rsid w:val="00C93721"/>
    <w:rsid w:val="00C94B0F"/>
    <w:rsid w:val="00C9519F"/>
    <w:rsid w:val="00C96A9A"/>
    <w:rsid w:val="00C973E2"/>
    <w:rsid w:val="00CA23B9"/>
    <w:rsid w:val="00CA273E"/>
    <w:rsid w:val="00CA27A4"/>
    <w:rsid w:val="00CA2B07"/>
    <w:rsid w:val="00CA2BD0"/>
    <w:rsid w:val="00CA32BF"/>
    <w:rsid w:val="00CA3DB3"/>
    <w:rsid w:val="00CA5790"/>
    <w:rsid w:val="00CA7693"/>
    <w:rsid w:val="00CB0F26"/>
    <w:rsid w:val="00CB1768"/>
    <w:rsid w:val="00CB1BB0"/>
    <w:rsid w:val="00CB2DC7"/>
    <w:rsid w:val="00CB33B9"/>
    <w:rsid w:val="00CB4ED2"/>
    <w:rsid w:val="00CB5157"/>
    <w:rsid w:val="00CB5255"/>
    <w:rsid w:val="00CB6452"/>
    <w:rsid w:val="00CB7099"/>
    <w:rsid w:val="00CC0732"/>
    <w:rsid w:val="00CC096E"/>
    <w:rsid w:val="00CC420A"/>
    <w:rsid w:val="00CC713E"/>
    <w:rsid w:val="00CD011F"/>
    <w:rsid w:val="00CD14BF"/>
    <w:rsid w:val="00CD523A"/>
    <w:rsid w:val="00CD540E"/>
    <w:rsid w:val="00CD6910"/>
    <w:rsid w:val="00CE1472"/>
    <w:rsid w:val="00CE39A5"/>
    <w:rsid w:val="00CE7610"/>
    <w:rsid w:val="00CF0F94"/>
    <w:rsid w:val="00CF226E"/>
    <w:rsid w:val="00CF4E74"/>
    <w:rsid w:val="00CF7514"/>
    <w:rsid w:val="00CF797C"/>
    <w:rsid w:val="00CF7A09"/>
    <w:rsid w:val="00D01DCC"/>
    <w:rsid w:val="00D04D23"/>
    <w:rsid w:val="00D0604E"/>
    <w:rsid w:val="00D07352"/>
    <w:rsid w:val="00D0778A"/>
    <w:rsid w:val="00D10189"/>
    <w:rsid w:val="00D117A4"/>
    <w:rsid w:val="00D11ECE"/>
    <w:rsid w:val="00D120EA"/>
    <w:rsid w:val="00D122EE"/>
    <w:rsid w:val="00D1298F"/>
    <w:rsid w:val="00D1378D"/>
    <w:rsid w:val="00D15CC7"/>
    <w:rsid w:val="00D172A2"/>
    <w:rsid w:val="00D17F19"/>
    <w:rsid w:val="00D23267"/>
    <w:rsid w:val="00D23318"/>
    <w:rsid w:val="00D23CA2"/>
    <w:rsid w:val="00D25F9D"/>
    <w:rsid w:val="00D272AC"/>
    <w:rsid w:val="00D32DC4"/>
    <w:rsid w:val="00D34A3F"/>
    <w:rsid w:val="00D34CA2"/>
    <w:rsid w:val="00D34CA8"/>
    <w:rsid w:val="00D35082"/>
    <w:rsid w:val="00D3635F"/>
    <w:rsid w:val="00D3661F"/>
    <w:rsid w:val="00D3760B"/>
    <w:rsid w:val="00D406C4"/>
    <w:rsid w:val="00D4086F"/>
    <w:rsid w:val="00D40BF7"/>
    <w:rsid w:val="00D40F9A"/>
    <w:rsid w:val="00D41B49"/>
    <w:rsid w:val="00D42DB3"/>
    <w:rsid w:val="00D45ED5"/>
    <w:rsid w:val="00D46223"/>
    <w:rsid w:val="00D46713"/>
    <w:rsid w:val="00D46BE2"/>
    <w:rsid w:val="00D50867"/>
    <w:rsid w:val="00D513BB"/>
    <w:rsid w:val="00D55439"/>
    <w:rsid w:val="00D60885"/>
    <w:rsid w:val="00D60C0C"/>
    <w:rsid w:val="00D60D6D"/>
    <w:rsid w:val="00D60EEE"/>
    <w:rsid w:val="00D616DB"/>
    <w:rsid w:val="00D61725"/>
    <w:rsid w:val="00D62433"/>
    <w:rsid w:val="00D64C9B"/>
    <w:rsid w:val="00D65084"/>
    <w:rsid w:val="00D65BEC"/>
    <w:rsid w:val="00D66027"/>
    <w:rsid w:val="00D70075"/>
    <w:rsid w:val="00D719C7"/>
    <w:rsid w:val="00D725A1"/>
    <w:rsid w:val="00D730C4"/>
    <w:rsid w:val="00D738A0"/>
    <w:rsid w:val="00D73F63"/>
    <w:rsid w:val="00D74A83"/>
    <w:rsid w:val="00D755D0"/>
    <w:rsid w:val="00D75FD0"/>
    <w:rsid w:val="00D77B57"/>
    <w:rsid w:val="00D80698"/>
    <w:rsid w:val="00D8075D"/>
    <w:rsid w:val="00D81091"/>
    <w:rsid w:val="00D82821"/>
    <w:rsid w:val="00D82FA7"/>
    <w:rsid w:val="00D849E9"/>
    <w:rsid w:val="00D85570"/>
    <w:rsid w:val="00D87D9E"/>
    <w:rsid w:val="00D87DE8"/>
    <w:rsid w:val="00D9148E"/>
    <w:rsid w:val="00D922D3"/>
    <w:rsid w:val="00D92B75"/>
    <w:rsid w:val="00D9443C"/>
    <w:rsid w:val="00D946F8"/>
    <w:rsid w:val="00D956F8"/>
    <w:rsid w:val="00D95973"/>
    <w:rsid w:val="00D96119"/>
    <w:rsid w:val="00D9642C"/>
    <w:rsid w:val="00D96C1E"/>
    <w:rsid w:val="00DA040E"/>
    <w:rsid w:val="00DA58DA"/>
    <w:rsid w:val="00DA5F08"/>
    <w:rsid w:val="00DA61B7"/>
    <w:rsid w:val="00DA69BC"/>
    <w:rsid w:val="00DA71A2"/>
    <w:rsid w:val="00DA7636"/>
    <w:rsid w:val="00DA7984"/>
    <w:rsid w:val="00DB1EFB"/>
    <w:rsid w:val="00DB228C"/>
    <w:rsid w:val="00DB26E9"/>
    <w:rsid w:val="00DB33B6"/>
    <w:rsid w:val="00DB3757"/>
    <w:rsid w:val="00DB3E5D"/>
    <w:rsid w:val="00DC0D32"/>
    <w:rsid w:val="00DC2508"/>
    <w:rsid w:val="00DC69B7"/>
    <w:rsid w:val="00DC6A15"/>
    <w:rsid w:val="00DC70D9"/>
    <w:rsid w:val="00DC7D9A"/>
    <w:rsid w:val="00DD1A05"/>
    <w:rsid w:val="00DD2333"/>
    <w:rsid w:val="00DD5FB7"/>
    <w:rsid w:val="00DD663D"/>
    <w:rsid w:val="00DD6D0A"/>
    <w:rsid w:val="00DD72DB"/>
    <w:rsid w:val="00DD7C77"/>
    <w:rsid w:val="00DE3F49"/>
    <w:rsid w:val="00DE4421"/>
    <w:rsid w:val="00DE7078"/>
    <w:rsid w:val="00DF143D"/>
    <w:rsid w:val="00DF1F31"/>
    <w:rsid w:val="00DF236C"/>
    <w:rsid w:val="00DF2C84"/>
    <w:rsid w:val="00DF36AF"/>
    <w:rsid w:val="00DF54BC"/>
    <w:rsid w:val="00DF554B"/>
    <w:rsid w:val="00E03D1E"/>
    <w:rsid w:val="00E044FA"/>
    <w:rsid w:val="00E04FC3"/>
    <w:rsid w:val="00E053E9"/>
    <w:rsid w:val="00E05E59"/>
    <w:rsid w:val="00E10F32"/>
    <w:rsid w:val="00E10FAB"/>
    <w:rsid w:val="00E132FB"/>
    <w:rsid w:val="00E13A62"/>
    <w:rsid w:val="00E14825"/>
    <w:rsid w:val="00E14968"/>
    <w:rsid w:val="00E20493"/>
    <w:rsid w:val="00E23936"/>
    <w:rsid w:val="00E23AEB"/>
    <w:rsid w:val="00E2563E"/>
    <w:rsid w:val="00E25AF2"/>
    <w:rsid w:val="00E26810"/>
    <w:rsid w:val="00E30273"/>
    <w:rsid w:val="00E30A60"/>
    <w:rsid w:val="00E31E68"/>
    <w:rsid w:val="00E322CB"/>
    <w:rsid w:val="00E3299F"/>
    <w:rsid w:val="00E32C0F"/>
    <w:rsid w:val="00E33186"/>
    <w:rsid w:val="00E3328C"/>
    <w:rsid w:val="00E3433E"/>
    <w:rsid w:val="00E3667D"/>
    <w:rsid w:val="00E36814"/>
    <w:rsid w:val="00E36ED1"/>
    <w:rsid w:val="00E370A7"/>
    <w:rsid w:val="00E37734"/>
    <w:rsid w:val="00E40003"/>
    <w:rsid w:val="00E4173B"/>
    <w:rsid w:val="00E41855"/>
    <w:rsid w:val="00E42316"/>
    <w:rsid w:val="00E42832"/>
    <w:rsid w:val="00E42A93"/>
    <w:rsid w:val="00E4366C"/>
    <w:rsid w:val="00E43865"/>
    <w:rsid w:val="00E47983"/>
    <w:rsid w:val="00E50298"/>
    <w:rsid w:val="00E51A34"/>
    <w:rsid w:val="00E52AFD"/>
    <w:rsid w:val="00E52CBD"/>
    <w:rsid w:val="00E55557"/>
    <w:rsid w:val="00E55B4D"/>
    <w:rsid w:val="00E57FE8"/>
    <w:rsid w:val="00E615C8"/>
    <w:rsid w:val="00E616D6"/>
    <w:rsid w:val="00E61853"/>
    <w:rsid w:val="00E62127"/>
    <w:rsid w:val="00E62152"/>
    <w:rsid w:val="00E63171"/>
    <w:rsid w:val="00E6524F"/>
    <w:rsid w:val="00E65B20"/>
    <w:rsid w:val="00E666B1"/>
    <w:rsid w:val="00E66723"/>
    <w:rsid w:val="00E66F53"/>
    <w:rsid w:val="00E67451"/>
    <w:rsid w:val="00E679BE"/>
    <w:rsid w:val="00E701FB"/>
    <w:rsid w:val="00E702C0"/>
    <w:rsid w:val="00E705F1"/>
    <w:rsid w:val="00E7078F"/>
    <w:rsid w:val="00E70C6E"/>
    <w:rsid w:val="00E72981"/>
    <w:rsid w:val="00E730ED"/>
    <w:rsid w:val="00E731EA"/>
    <w:rsid w:val="00E75CBA"/>
    <w:rsid w:val="00E761B0"/>
    <w:rsid w:val="00E76BA6"/>
    <w:rsid w:val="00E76C60"/>
    <w:rsid w:val="00E8014F"/>
    <w:rsid w:val="00E803B8"/>
    <w:rsid w:val="00E8378E"/>
    <w:rsid w:val="00E85E17"/>
    <w:rsid w:val="00E8641A"/>
    <w:rsid w:val="00E86466"/>
    <w:rsid w:val="00E8663E"/>
    <w:rsid w:val="00E9015A"/>
    <w:rsid w:val="00E90FFB"/>
    <w:rsid w:val="00E91FB9"/>
    <w:rsid w:val="00E96AF3"/>
    <w:rsid w:val="00E97CE0"/>
    <w:rsid w:val="00EA0955"/>
    <w:rsid w:val="00EA2E6B"/>
    <w:rsid w:val="00EA3744"/>
    <w:rsid w:val="00EA3DBA"/>
    <w:rsid w:val="00EA51E2"/>
    <w:rsid w:val="00EA5885"/>
    <w:rsid w:val="00EA6FF0"/>
    <w:rsid w:val="00EA7414"/>
    <w:rsid w:val="00EA765D"/>
    <w:rsid w:val="00EB0E93"/>
    <w:rsid w:val="00EB11E4"/>
    <w:rsid w:val="00EB151B"/>
    <w:rsid w:val="00EB4220"/>
    <w:rsid w:val="00EB57EE"/>
    <w:rsid w:val="00EB70D0"/>
    <w:rsid w:val="00EC01C4"/>
    <w:rsid w:val="00EC0CEA"/>
    <w:rsid w:val="00EC25FC"/>
    <w:rsid w:val="00EC324E"/>
    <w:rsid w:val="00ED169D"/>
    <w:rsid w:val="00ED29A8"/>
    <w:rsid w:val="00ED2D8F"/>
    <w:rsid w:val="00ED4BB3"/>
    <w:rsid w:val="00ED77CC"/>
    <w:rsid w:val="00ED7C84"/>
    <w:rsid w:val="00EE02CE"/>
    <w:rsid w:val="00EE0373"/>
    <w:rsid w:val="00EE131F"/>
    <w:rsid w:val="00EE28AA"/>
    <w:rsid w:val="00EE302C"/>
    <w:rsid w:val="00EE317F"/>
    <w:rsid w:val="00EE3BE1"/>
    <w:rsid w:val="00EE4996"/>
    <w:rsid w:val="00EE6498"/>
    <w:rsid w:val="00EE786D"/>
    <w:rsid w:val="00EE7AA1"/>
    <w:rsid w:val="00EF0003"/>
    <w:rsid w:val="00EF5625"/>
    <w:rsid w:val="00EF56B6"/>
    <w:rsid w:val="00EF5B9D"/>
    <w:rsid w:val="00EF7F08"/>
    <w:rsid w:val="00F065F8"/>
    <w:rsid w:val="00F073E5"/>
    <w:rsid w:val="00F10465"/>
    <w:rsid w:val="00F10A81"/>
    <w:rsid w:val="00F12E81"/>
    <w:rsid w:val="00F1693B"/>
    <w:rsid w:val="00F176A8"/>
    <w:rsid w:val="00F20C4D"/>
    <w:rsid w:val="00F20DB2"/>
    <w:rsid w:val="00F20FE6"/>
    <w:rsid w:val="00F25B10"/>
    <w:rsid w:val="00F27910"/>
    <w:rsid w:val="00F30E52"/>
    <w:rsid w:val="00F3103C"/>
    <w:rsid w:val="00F32B6D"/>
    <w:rsid w:val="00F330D1"/>
    <w:rsid w:val="00F342CD"/>
    <w:rsid w:val="00F347B6"/>
    <w:rsid w:val="00F35246"/>
    <w:rsid w:val="00F40085"/>
    <w:rsid w:val="00F402B6"/>
    <w:rsid w:val="00F46C88"/>
    <w:rsid w:val="00F47CDC"/>
    <w:rsid w:val="00F512D9"/>
    <w:rsid w:val="00F5419B"/>
    <w:rsid w:val="00F55371"/>
    <w:rsid w:val="00F555C1"/>
    <w:rsid w:val="00F561DA"/>
    <w:rsid w:val="00F56422"/>
    <w:rsid w:val="00F5642A"/>
    <w:rsid w:val="00F6184E"/>
    <w:rsid w:val="00F61AF5"/>
    <w:rsid w:val="00F620D1"/>
    <w:rsid w:val="00F66304"/>
    <w:rsid w:val="00F66667"/>
    <w:rsid w:val="00F708C7"/>
    <w:rsid w:val="00F71DDD"/>
    <w:rsid w:val="00F738D5"/>
    <w:rsid w:val="00F73DFE"/>
    <w:rsid w:val="00F767F2"/>
    <w:rsid w:val="00F76BA5"/>
    <w:rsid w:val="00F77E88"/>
    <w:rsid w:val="00F81169"/>
    <w:rsid w:val="00F8148F"/>
    <w:rsid w:val="00F830D1"/>
    <w:rsid w:val="00F84596"/>
    <w:rsid w:val="00F84BA2"/>
    <w:rsid w:val="00F84CEC"/>
    <w:rsid w:val="00F8575F"/>
    <w:rsid w:val="00F86510"/>
    <w:rsid w:val="00F86572"/>
    <w:rsid w:val="00F87B66"/>
    <w:rsid w:val="00F910E9"/>
    <w:rsid w:val="00F915B7"/>
    <w:rsid w:val="00F91738"/>
    <w:rsid w:val="00F92A37"/>
    <w:rsid w:val="00F92B7A"/>
    <w:rsid w:val="00F92DD4"/>
    <w:rsid w:val="00F9585E"/>
    <w:rsid w:val="00F95AAC"/>
    <w:rsid w:val="00F97629"/>
    <w:rsid w:val="00FA1985"/>
    <w:rsid w:val="00FA349A"/>
    <w:rsid w:val="00FA4CB9"/>
    <w:rsid w:val="00FA5379"/>
    <w:rsid w:val="00FA6600"/>
    <w:rsid w:val="00FB08FF"/>
    <w:rsid w:val="00FB0B08"/>
    <w:rsid w:val="00FB0C93"/>
    <w:rsid w:val="00FB1E0D"/>
    <w:rsid w:val="00FB298A"/>
    <w:rsid w:val="00FB3727"/>
    <w:rsid w:val="00FB3963"/>
    <w:rsid w:val="00FB5B39"/>
    <w:rsid w:val="00FB5CAE"/>
    <w:rsid w:val="00FB6BD7"/>
    <w:rsid w:val="00FB7086"/>
    <w:rsid w:val="00FC01CF"/>
    <w:rsid w:val="00FC0572"/>
    <w:rsid w:val="00FC111C"/>
    <w:rsid w:val="00FC2CF5"/>
    <w:rsid w:val="00FC3291"/>
    <w:rsid w:val="00FC37A7"/>
    <w:rsid w:val="00FC3841"/>
    <w:rsid w:val="00FC4BBD"/>
    <w:rsid w:val="00FC6539"/>
    <w:rsid w:val="00FC6690"/>
    <w:rsid w:val="00FC6CF0"/>
    <w:rsid w:val="00FC6D8E"/>
    <w:rsid w:val="00FC7F4B"/>
    <w:rsid w:val="00FD0FEF"/>
    <w:rsid w:val="00FD205E"/>
    <w:rsid w:val="00FD5D27"/>
    <w:rsid w:val="00FD7A54"/>
    <w:rsid w:val="00FD7E6D"/>
    <w:rsid w:val="00FE06CC"/>
    <w:rsid w:val="00FE18E6"/>
    <w:rsid w:val="00FE203F"/>
    <w:rsid w:val="00FE22E9"/>
    <w:rsid w:val="00FE357C"/>
    <w:rsid w:val="00FE47D8"/>
    <w:rsid w:val="00FE4901"/>
    <w:rsid w:val="00FE5238"/>
    <w:rsid w:val="00FE549F"/>
    <w:rsid w:val="00FE7C81"/>
    <w:rsid w:val="00FF029D"/>
    <w:rsid w:val="00FF0E05"/>
    <w:rsid w:val="00FF2433"/>
    <w:rsid w:val="00FF25BC"/>
    <w:rsid w:val="00FF2E66"/>
    <w:rsid w:val="00FF3625"/>
    <w:rsid w:val="010D0DAC"/>
    <w:rsid w:val="025267E9"/>
    <w:rsid w:val="02A42CCF"/>
    <w:rsid w:val="030A6B14"/>
    <w:rsid w:val="03D93D76"/>
    <w:rsid w:val="04641955"/>
    <w:rsid w:val="064E6A51"/>
    <w:rsid w:val="084A69E5"/>
    <w:rsid w:val="085E32C4"/>
    <w:rsid w:val="08FC5FA3"/>
    <w:rsid w:val="093C5EA1"/>
    <w:rsid w:val="0A547851"/>
    <w:rsid w:val="0AC27AAB"/>
    <w:rsid w:val="0BB24B42"/>
    <w:rsid w:val="0BC36A9F"/>
    <w:rsid w:val="0D5F75DC"/>
    <w:rsid w:val="0DF424D1"/>
    <w:rsid w:val="0EE5170A"/>
    <w:rsid w:val="0F182E79"/>
    <w:rsid w:val="0F9746D1"/>
    <w:rsid w:val="1087478E"/>
    <w:rsid w:val="10E43C76"/>
    <w:rsid w:val="10F62C77"/>
    <w:rsid w:val="11302771"/>
    <w:rsid w:val="11371F97"/>
    <w:rsid w:val="120E0569"/>
    <w:rsid w:val="121E0D2D"/>
    <w:rsid w:val="12696C62"/>
    <w:rsid w:val="12880349"/>
    <w:rsid w:val="13FB16A0"/>
    <w:rsid w:val="14244B63"/>
    <w:rsid w:val="14BE6C5C"/>
    <w:rsid w:val="14E10A85"/>
    <w:rsid w:val="15CE5855"/>
    <w:rsid w:val="17217481"/>
    <w:rsid w:val="188E7B2E"/>
    <w:rsid w:val="191A33DD"/>
    <w:rsid w:val="192D5C0C"/>
    <w:rsid w:val="1AD263C5"/>
    <w:rsid w:val="1C013679"/>
    <w:rsid w:val="1C0D4001"/>
    <w:rsid w:val="1C4D5BE4"/>
    <w:rsid w:val="1C8B2CC2"/>
    <w:rsid w:val="1EBC6AD9"/>
    <w:rsid w:val="1EC218B1"/>
    <w:rsid w:val="1EE41655"/>
    <w:rsid w:val="1F257033"/>
    <w:rsid w:val="1F963647"/>
    <w:rsid w:val="20041F2F"/>
    <w:rsid w:val="200E7698"/>
    <w:rsid w:val="20CC02AE"/>
    <w:rsid w:val="21E95B26"/>
    <w:rsid w:val="22077D7C"/>
    <w:rsid w:val="222C5EFF"/>
    <w:rsid w:val="228922F2"/>
    <w:rsid w:val="22BE42DA"/>
    <w:rsid w:val="24BC7F66"/>
    <w:rsid w:val="24F32FDF"/>
    <w:rsid w:val="251B5277"/>
    <w:rsid w:val="25E447BE"/>
    <w:rsid w:val="25E747FD"/>
    <w:rsid w:val="26871C2B"/>
    <w:rsid w:val="268804E5"/>
    <w:rsid w:val="28155B73"/>
    <w:rsid w:val="282304A1"/>
    <w:rsid w:val="282966A8"/>
    <w:rsid w:val="285331A7"/>
    <w:rsid w:val="28F37CF2"/>
    <w:rsid w:val="29585909"/>
    <w:rsid w:val="2AAF351B"/>
    <w:rsid w:val="2C36226D"/>
    <w:rsid w:val="2CC4686C"/>
    <w:rsid w:val="2D3B5270"/>
    <w:rsid w:val="2DF071EA"/>
    <w:rsid w:val="2E3C3B2C"/>
    <w:rsid w:val="2EFD522F"/>
    <w:rsid w:val="2F6C5BA0"/>
    <w:rsid w:val="2FF12864"/>
    <w:rsid w:val="30756F03"/>
    <w:rsid w:val="31AD2639"/>
    <w:rsid w:val="330E5CCD"/>
    <w:rsid w:val="34A76EBE"/>
    <w:rsid w:val="35801CD3"/>
    <w:rsid w:val="358513EE"/>
    <w:rsid w:val="3599326A"/>
    <w:rsid w:val="359B4D45"/>
    <w:rsid w:val="35FD2942"/>
    <w:rsid w:val="3623142B"/>
    <w:rsid w:val="36EC70E1"/>
    <w:rsid w:val="370F6791"/>
    <w:rsid w:val="373522E3"/>
    <w:rsid w:val="39B17A8D"/>
    <w:rsid w:val="39C9192F"/>
    <w:rsid w:val="39F25E32"/>
    <w:rsid w:val="3A51140C"/>
    <w:rsid w:val="3BC324FC"/>
    <w:rsid w:val="3C0E29C4"/>
    <w:rsid w:val="3C9E5A7D"/>
    <w:rsid w:val="3DB308C2"/>
    <w:rsid w:val="3E857FEF"/>
    <w:rsid w:val="3EE54A97"/>
    <w:rsid w:val="3EF9586C"/>
    <w:rsid w:val="400D5BA2"/>
    <w:rsid w:val="411C28C3"/>
    <w:rsid w:val="41A423D0"/>
    <w:rsid w:val="42EF31E3"/>
    <w:rsid w:val="446D5406"/>
    <w:rsid w:val="44723B10"/>
    <w:rsid w:val="45EA1E73"/>
    <w:rsid w:val="45F25260"/>
    <w:rsid w:val="464E040D"/>
    <w:rsid w:val="46A06A21"/>
    <w:rsid w:val="478E14ED"/>
    <w:rsid w:val="47E46D3C"/>
    <w:rsid w:val="48A330BB"/>
    <w:rsid w:val="48A33A30"/>
    <w:rsid w:val="48BA5985"/>
    <w:rsid w:val="49077B34"/>
    <w:rsid w:val="4A5D4267"/>
    <w:rsid w:val="4A6461D7"/>
    <w:rsid w:val="4AFD4055"/>
    <w:rsid w:val="4B5C1B30"/>
    <w:rsid w:val="4C073C77"/>
    <w:rsid w:val="4C461218"/>
    <w:rsid w:val="4CD50980"/>
    <w:rsid w:val="4DA66A58"/>
    <w:rsid w:val="4E7E238C"/>
    <w:rsid w:val="4F6C7F49"/>
    <w:rsid w:val="4FFC17F5"/>
    <w:rsid w:val="50E62030"/>
    <w:rsid w:val="51E1203C"/>
    <w:rsid w:val="526771E9"/>
    <w:rsid w:val="52C22E66"/>
    <w:rsid w:val="52E03B8E"/>
    <w:rsid w:val="53310B5C"/>
    <w:rsid w:val="535624EA"/>
    <w:rsid w:val="53B73307"/>
    <w:rsid w:val="547167CE"/>
    <w:rsid w:val="547B5FFB"/>
    <w:rsid w:val="54F36A40"/>
    <w:rsid w:val="55130B80"/>
    <w:rsid w:val="559B5B2A"/>
    <w:rsid w:val="55E2107C"/>
    <w:rsid w:val="567A7CEA"/>
    <w:rsid w:val="56FC6E90"/>
    <w:rsid w:val="5763636E"/>
    <w:rsid w:val="584477AE"/>
    <w:rsid w:val="58C13A72"/>
    <w:rsid w:val="58F41C0C"/>
    <w:rsid w:val="59BF1F2C"/>
    <w:rsid w:val="5A3248E8"/>
    <w:rsid w:val="5A471215"/>
    <w:rsid w:val="5A8B2A7E"/>
    <w:rsid w:val="5A9B5C12"/>
    <w:rsid w:val="5BA7798D"/>
    <w:rsid w:val="5C677A06"/>
    <w:rsid w:val="5D0157BC"/>
    <w:rsid w:val="5E8B720B"/>
    <w:rsid w:val="5EF44981"/>
    <w:rsid w:val="5F0A300B"/>
    <w:rsid w:val="5F3048E3"/>
    <w:rsid w:val="5FC74AC9"/>
    <w:rsid w:val="602E2BE8"/>
    <w:rsid w:val="60C06DD4"/>
    <w:rsid w:val="60D43EF5"/>
    <w:rsid w:val="626F2E77"/>
    <w:rsid w:val="64941EB1"/>
    <w:rsid w:val="652B2601"/>
    <w:rsid w:val="657E2AC0"/>
    <w:rsid w:val="67087DEC"/>
    <w:rsid w:val="6835466D"/>
    <w:rsid w:val="68661777"/>
    <w:rsid w:val="6980274E"/>
    <w:rsid w:val="6A1742BC"/>
    <w:rsid w:val="6AE724D5"/>
    <w:rsid w:val="6BF945BE"/>
    <w:rsid w:val="6C4479CC"/>
    <w:rsid w:val="6D5B46FA"/>
    <w:rsid w:val="6F6511B6"/>
    <w:rsid w:val="6F6C397F"/>
    <w:rsid w:val="6FA32BCF"/>
    <w:rsid w:val="6FD654FA"/>
    <w:rsid w:val="70800D52"/>
    <w:rsid w:val="7093531B"/>
    <w:rsid w:val="70A85750"/>
    <w:rsid w:val="728422FA"/>
    <w:rsid w:val="731712D1"/>
    <w:rsid w:val="73952A04"/>
    <w:rsid w:val="742D7CBF"/>
    <w:rsid w:val="7433653C"/>
    <w:rsid w:val="746D0D52"/>
    <w:rsid w:val="74C501D3"/>
    <w:rsid w:val="75AB7D09"/>
    <w:rsid w:val="75EE4A44"/>
    <w:rsid w:val="768E5A8E"/>
    <w:rsid w:val="77035D85"/>
    <w:rsid w:val="77AD1C22"/>
    <w:rsid w:val="77C11EF4"/>
    <w:rsid w:val="77D97CC1"/>
    <w:rsid w:val="77E24F7D"/>
    <w:rsid w:val="783B560B"/>
    <w:rsid w:val="78977A2A"/>
    <w:rsid w:val="78A06EBC"/>
    <w:rsid w:val="78AE6C27"/>
    <w:rsid w:val="78F42637"/>
    <w:rsid w:val="79057ACE"/>
    <w:rsid w:val="79361A9E"/>
    <w:rsid w:val="79AC1F2B"/>
    <w:rsid w:val="7BE00EE4"/>
    <w:rsid w:val="7C063E8F"/>
    <w:rsid w:val="7C2D3294"/>
    <w:rsid w:val="7D781723"/>
    <w:rsid w:val="7DFE0A14"/>
    <w:rsid w:val="7E784D82"/>
    <w:rsid w:val="7EF542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Calibr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200" w:firstLineChars="200"/>
      <w:jc w:val="both"/>
    </w:pPr>
    <w:rPr>
      <w:rFonts w:ascii="Times New Roman" w:hAnsi="Times New Roman" w:eastAsia="宋体" w:cstheme="minorBidi"/>
      <w:kern w:val="2"/>
      <w:sz w:val="28"/>
      <w:szCs w:val="22"/>
      <w:lang w:val="en-US" w:eastAsia="zh-CN" w:bidi="ar-SA"/>
    </w:rPr>
  </w:style>
  <w:style w:type="paragraph" w:styleId="3">
    <w:name w:val="heading 1"/>
    <w:basedOn w:val="1"/>
    <w:next w:val="4"/>
    <w:link w:val="24"/>
    <w:qFormat/>
    <w:uiPriority w:val="9"/>
    <w:pPr>
      <w:keepNext/>
      <w:keepLines/>
      <w:numPr>
        <w:ilvl w:val="0"/>
        <w:numId w:val="1"/>
      </w:numPr>
      <w:ind w:left="0" w:firstLine="0" w:firstLineChars="0"/>
      <w:jc w:val="left"/>
      <w:outlineLvl w:val="0"/>
    </w:pPr>
    <w:rPr>
      <w:b/>
      <w:bCs/>
      <w:kern w:val="44"/>
      <w:sz w:val="32"/>
      <w:szCs w:val="44"/>
    </w:rPr>
  </w:style>
  <w:style w:type="paragraph" w:styleId="4">
    <w:name w:val="heading 2"/>
    <w:basedOn w:val="1"/>
    <w:next w:val="5"/>
    <w:link w:val="26"/>
    <w:unhideWhenUsed/>
    <w:qFormat/>
    <w:uiPriority w:val="9"/>
    <w:pPr>
      <w:keepNext/>
      <w:keepLines/>
      <w:numPr>
        <w:ilvl w:val="1"/>
        <w:numId w:val="1"/>
      </w:numPr>
      <w:ind w:left="0" w:firstLine="0" w:firstLineChars="0"/>
      <w:jc w:val="left"/>
      <w:outlineLvl w:val="1"/>
    </w:pPr>
    <w:rPr>
      <w:rFonts w:cstheme="majorBidi"/>
      <w:b/>
      <w:bCs/>
      <w:sz w:val="30"/>
      <w:szCs w:val="32"/>
    </w:rPr>
  </w:style>
  <w:style w:type="paragraph" w:styleId="6">
    <w:name w:val="heading 3"/>
    <w:basedOn w:val="1"/>
    <w:next w:val="7"/>
    <w:link w:val="27"/>
    <w:unhideWhenUsed/>
    <w:qFormat/>
    <w:uiPriority w:val="9"/>
    <w:pPr>
      <w:keepNext/>
      <w:keepLines/>
      <w:numPr>
        <w:ilvl w:val="2"/>
        <w:numId w:val="1"/>
      </w:numPr>
      <w:ind w:left="0" w:firstLine="0" w:firstLineChars="0"/>
      <w:jc w:val="left"/>
      <w:outlineLvl w:val="2"/>
    </w:pPr>
    <w:rPr>
      <w:b/>
      <w:bCs/>
      <w:szCs w:val="32"/>
    </w:rPr>
  </w:style>
  <w:style w:type="paragraph" w:styleId="9">
    <w:name w:val="heading 4"/>
    <w:basedOn w:val="1"/>
    <w:next w:val="1"/>
    <w:link w:val="28"/>
    <w:unhideWhenUsed/>
    <w:qFormat/>
    <w:uiPriority w:val="9"/>
    <w:pPr>
      <w:keepNext/>
      <w:keepLines/>
      <w:numPr>
        <w:ilvl w:val="3"/>
        <w:numId w:val="1"/>
      </w:numPr>
      <w:ind w:left="0" w:firstLine="0" w:firstLineChars="0"/>
      <w:jc w:val="left"/>
      <w:outlineLvl w:val="3"/>
    </w:pPr>
    <w:rPr>
      <w:rFonts w:cstheme="majorBidi"/>
      <w:b/>
      <w:bCs/>
      <w:szCs w:val="28"/>
    </w:rPr>
  </w:style>
  <w:style w:type="character" w:default="1" w:styleId="20">
    <w:name w:val="Default Paragraph Font"/>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2">
    <w:name w:val="Body Text Indent"/>
    <w:basedOn w:val="1"/>
    <w:unhideWhenUsed/>
    <w:qFormat/>
    <w:uiPriority w:val="99"/>
    <w:pPr>
      <w:ind w:firstLine="435"/>
    </w:pPr>
  </w:style>
  <w:style w:type="paragraph" w:styleId="5">
    <w:name w:val="Normal Indent"/>
    <w:basedOn w:val="1"/>
    <w:qFormat/>
    <w:uiPriority w:val="0"/>
    <w:pPr>
      <w:spacing w:line="360" w:lineRule="auto"/>
      <w:ind w:firstLine="420"/>
    </w:pPr>
    <w:rPr>
      <w:sz w:val="24"/>
    </w:rPr>
  </w:style>
  <w:style w:type="paragraph" w:styleId="7">
    <w:name w:val="Body Text First Indent"/>
    <w:basedOn w:val="8"/>
    <w:qFormat/>
    <w:uiPriority w:val="0"/>
    <w:pPr>
      <w:ind w:firstLine="420" w:firstLineChars="100"/>
    </w:pPr>
    <w:rPr>
      <w:sz w:val="21"/>
    </w:rPr>
  </w:style>
  <w:style w:type="paragraph" w:styleId="8">
    <w:name w:val="Body Text"/>
    <w:basedOn w:val="1"/>
    <w:qFormat/>
    <w:uiPriority w:val="0"/>
    <w:pPr>
      <w:spacing w:after="120"/>
    </w:pPr>
  </w:style>
  <w:style w:type="paragraph" w:styleId="10">
    <w:name w:val="caption"/>
    <w:basedOn w:val="1"/>
    <w:next w:val="1"/>
    <w:unhideWhenUsed/>
    <w:qFormat/>
    <w:uiPriority w:val="35"/>
    <w:pPr>
      <w:ind w:firstLine="0" w:firstLineChars="0"/>
      <w:jc w:val="center"/>
    </w:pPr>
    <w:rPr>
      <w:rFonts w:cstheme="majorBidi"/>
      <w:szCs w:val="20"/>
    </w:rPr>
  </w:style>
  <w:style w:type="paragraph" w:styleId="11">
    <w:name w:val="Plain Text"/>
    <w:basedOn w:val="1"/>
    <w:qFormat/>
    <w:uiPriority w:val="0"/>
    <w:rPr>
      <w:rFonts w:ascii="黑体" w:hAnsi="宋体" w:eastAsia="黑体"/>
      <w:b/>
      <w:sz w:val="44"/>
      <w:szCs w:val="44"/>
    </w:rPr>
  </w:style>
  <w:style w:type="paragraph" w:styleId="12">
    <w:name w:val="Balloon Text"/>
    <w:basedOn w:val="1"/>
    <w:link w:val="30"/>
    <w:semiHidden/>
    <w:unhideWhenUsed/>
    <w:qFormat/>
    <w:uiPriority w:val="99"/>
    <w:pPr>
      <w:spacing w:line="240" w:lineRule="auto"/>
    </w:pPr>
    <w:rPr>
      <w:sz w:val="18"/>
      <w:szCs w:val="18"/>
    </w:rPr>
  </w:style>
  <w:style w:type="paragraph" w:styleId="13">
    <w:name w:val="footer"/>
    <w:basedOn w:val="1"/>
    <w:link w:val="23"/>
    <w:unhideWhenUsed/>
    <w:qFormat/>
    <w:uiPriority w:val="99"/>
    <w:pPr>
      <w:tabs>
        <w:tab w:val="center" w:pos="4153"/>
        <w:tab w:val="right" w:pos="8306"/>
      </w:tabs>
      <w:snapToGrid w:val="0"/>
      <w:jc w:val="left"/>
    </w:pPr>
    <w:rPr>
      <w:sz w:val="18"/>
      <w:szCs w:val="18"/>
    </w:rPr>
  </w:style>
  <w:style w:type="paragraph" w:styleId="14">
    <w:name w:val="header"/>
    <w:basedOn w:val="1"/>
    <w:link w:val="22"/>
    <w:unhideWhenUsed/>
    <w:qFormat/>
    <w:uiPriority w:val="99"/>
    <w:pPr>
      <w:pBdr>
        <w:bottom w:val="single" w:color="auto" w:sz="6" w:space="1"/>
      </w:pBdr>
      <w:tabs>
        <w:tab w:val="center" w:pos="4153"/>
        <w:tab w:val="right" w:pos="8306"/>
      </w:tabs>
      <w:snapToGrid w:val="0"/>
      <w:jc w:val="center"/>
    </w:pPr>
    <w:rPr>
      <w:sz w:val="18"/>
      <w:szCs w:val="18"/>
    </w:rPr>
  </w:style>
  <w:style w:type="paragraph" w:styleId="15">
    <w:name w:val="toc 1"/>
    <w:basedOn w:val="1"/>
    <w:next w:val="1"/>
    <w:unhideWhenUsed/>
    <w:qFormat/>
    <w:uiPriority w:val="39"/>
    <w:pPr>
      <w:tabs>
        <w:tab w:val="right" w:leader="dot" w:pos="9118"/>
      </w:tabs>
      <w:ind w:firstLine="0" w:firstLineChars="0"/>
    </w:pPr>
  </w:style>
  <w:style w:type="paragraph" w:styleId="16">
    <w:name w:val="toc 2"/>
    <w:basedOn w:val="1"/>
    <w:next w:val="1"/>
    <w:unhideWhenUsed/>
    <w:qFormat/>
    <w:uiPriority w:val="39"/>
    <w:pPr>
      <w:tabs>
        <w:tab w:val="right" w:leader="dot" w:pos="9118"/>
      </w:tabs>
      <w:ind w:firstLine="560"/>
    </w:pPr>
  </w:style>
  <w:style w:type="paragraph" w:styleId="17">
    <w:name w:val="Normal (Web)"/>
    <w:basedOn w:val="1"/>
    <w:unhideWhenUsed/>
    <w:qFormat/>
    <w:uiPriority w:val="99"/>
    <w:pPr>
      <w:widowControl/>
      <w:spacing w:before="100" w:beforeAutospacing="1" w:after="100" w:afterAutospacing="1" w:line="240" w:lineRule="auto"/>
      <w:ind w:firstLine="0" w:firstLineChars="0"/>
      <w:jc w:val="left"/>
    </w:pPr>
    <w:rPr>
      <w:rFonts w:ascii="Arial Unicode MS" w:hAnsi="Arial Unicode MS" w:eastAsia="Arial Unicode MS" w:cs="Times New Roman"/>
      <w:kern w:val="0"/>
      <w:sz w:val="24"/>
      <w:szCs w:val="24"/>
    </w:rPr>
  </w:style>
  <w:style w:type="table" w:styleId="19">
    <w:name w:val="Table Grid"/>
    <w:basedOn w:val="18"/>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Hyperlink"/>
    <w:basedOn w:val="20"/>
    <w:unhideWhenUsed/>
    <w:qFormat/>
    <w:uiPriority w:val="99"/>
    <w:rPr>
      <w:color w:val="0563C1" w:themeColor="hyperlink"/>
      <w:u w:val="single"/>
      <w14:textFill>
        <w14:solidFill>
          <w14:schemeClr w14:val="hlink"/>
        </w14:solidFill>
      </w14:textFill>
    </w:rPr>
  </w:style>
  <w:style w:type="character" w:customStyle="1" w:styleId="22">
    <w:name w:val="页眉 字符"/>
    <w:basedOn w:val="20"/>
    <w:link w:val="14"/>
    <w:qFormat/>
    <w:uiPriority w:val="99"/>
    <w:rPr>
      <w:sz w:val="18"/>
      <w:szCs w:val="18"/>
    </w:rPr>
  </w:style>
  <w:style w:type="character" w:customStyle="1" w:styleId="23">
    <w:name w:val="页脚 字符"/>
    <w:basedOn w:val="20"/>
    <w:link w:val="13"/>
    <w:qFormat/>
    <w:uiPriority w:val="99"/>
    <w:rPr>
      <w:sz w:val="18"/>
      <w:szCs w:val="18"/>
    </w:rPr>
  </w:style>
  <w:style w:type="character" w:customStyle="1" w:styleId="24">
    <w:name w:val="标题 1 字符"/>
    <w:basedOn w:val="20"/>
    <w:link w:val="3"/>
    <w:qFormat/>
    <w:uiPriority w:val="9"/>
    <w:rPr>
      <w:rFonts w:ascii="Times New Roman" w:hAnsi="Times New Roman" w:eastAsia="宋体"/>
      <w:b/>
      <w:bCs/>
      <w:kern w:val="44"/>
      <w:sz w:val="32"/>
      <w:szCs w:val="44"/>
    </w:rPr>
  </w:style>
  <w:style w:type="paragraph" w:styleId="25">
    <w:name w:val="List Paragraph"/>
    <w:basedOn w:val="1"/>
    <w:qFormat/>
    <w:uiPriority w:val="34"/>
    <w:pPr>
      <w:ind w:firstLine="420"/>
    </w:pPr>
  </w:style>
  <w:style w:type="character" w:customStyle="1" w:styleId="26">
    <w:name w:val="标题 2 字符"/>
    <w:basedOn w:val="20"/>
    <w:link w:val="4"/>
    <w:qFormat/>
    <w:uiPriority w:val="9"/>
    <w:rPr>
      <w:rFonts w:ascii="Times New Roman" w:hAnsi="Times New Roman" w:eastAsia="宋体" w:cstheme="majorBidi"/>
      <w:b/>
      <w:bCs/>
      <w:sz w:val="30"/>
      <w:szCs w:val="32"/>
    </w:rPr>
  </w:style>
  <w:style w:type="character" w:customStyle="1" w:styleId="27">
    <w:name w:val="标题 3 字符"/>
    <w:basedOn w:val="20"/>
    <w:link w:val="6"/>
    <w:qFormat/>
    <w:uiPriority w:val="9"/>
    <w:rPr>
      <w:rFonts w:ascii="Times New Roman" w:hAnsi="Times New Roman" w:eastAsia="宋体"/>
      <w:b/>
      <w:bCs/>
      <w:sz w:val="28"/>
      <w:szCs w:val="32"/>
    </w:rPr>
  </w:style>
  <w:style w:type="character" w:customStyle="1" w:styleId="28">
    <w:name w:val="标题 4 字符"/>
    <w:basedOn w:val="20"/>
    <w:link w:val="9"/>
    <w:qFormat/>
    <w:uiPriority w:val="9"/>
    <w:rPr>
      <w:rFonts w:ascii="Times New Roman" w:hAnsi="Times New Roman" w:eastAsia="宋体" w:cstheme="majorBidi"/>
      <w:b/>
      <w:bCs/>
      <w:sz w:val="24"/>
      <w:szCs w:val="28"/>
    </w:rPr>
  </w:style>
  <w:style w:type="paragraph" w:customStyle="1" w:styleId="29">
    <w:name w:val="Default"/>
    <w:qFormat/>
    <w:uiPriority w:val="0"/>
    <w:pPr>
      <w:widowControl w:val="0"/>
      <w:autoSpaceDE w:val="0"/>
      <w:autoSpaceDN w:val="0"/>
      <w:adjustRightInd w:val="0"/>
    </w:pPr>
    <w:rPr>
      <w:rFonts w:ascii="Times New Roman" w:hAnsi="Times New Roman" w:cs="Times New Roman" w:eastAsiaTheme="minorEastAsia"/>
      <w:color w:val="000000"/>
      <w:kern w:val="0"/>
      <w:sz w:val="24"/>
      <w:szCs w:val="24"/>
      <w:lang w:val="en-US" w:eastAsia="zh-CN" w:bidi="ar-SA"/>
    </w:rPr>
  </w:style>
  <w:style w:type="character" w:customStyle="1" w:styleId="30">
    <w:name w:val="批注框文本 字符"/>
    <w:basedOn w:val="20"/>
    <w:link w:val="12"/>
    <w:semiHidden/>
    <w:qFormat/>
    <w:uiPriority w:val="99"/>
    <w:rPr>
      <w:rFonts w:ascii="Times New Roman" w:hAnsi="Times New Roman" w:eastAsia="宋体"/>
      <w:sz w:val="18"/>
      <w:szCs w:val="18"/>
    </w:rPr>
  </w:style>
  <w:style w:type="paragraph" w:customStyle="1" w:styleId="31">
    <w:name w:val="Table Paragraph"/>
    <w:basedOn w:val="1"/>
    <w:qFormat/>
    <w:uiPriority w:val="0"/>
    <w:pPr>
      <w:spacing w:line="240" w:lineRule="auto"/>
      <w:ind w:firstLine="0" w:firstLineChars="0"/>
      <w:jc w:val="left"/>
    </w:pPr>
    <w:rPr>
      <w:rFonts w:asciiTheme="minorHAnsi" w:hAnsiTheme="minorHAnsi" w:eastAsiaTheme="minorEastAsia"/>
      <w:kern w:val="0"/>
      <w:sz w:val="22"/>
      <w:lang w:eastAsia="en-US"/>
    </w:rPr>
  </w:style>
  <w:style w:type="table" w:customStyle="1" w:styleId="32">
    <w:name w:val="Table Normal"/>
    <w:semiHidden/>
    <w:unhideWhenUsed/>
    <w:qFormat/>
    <w:uiPriority w:val="2"/>
    <w:rPr>
      <w:rFonts w:ascii="Times New Roman" w:hAnsi="Times New Roman" w:eastAsia="宋体" w:cs="Times New Roman"/>
      <w:kern w:val="0"/>
      <w:sz w:val="20"/>
      <w:szCs w:val="20"/>
    </w:rPr>
    <w:tblPr>
      <w:tblCellMar>
        <w:top w:w="0" w:type="dxa"/>
        <w:left w:w="0" w:type="dxa"/>
        <w:bottom w:w="0" w:type="dxa"/>
        <w:right w:w="0" w:type="dxa"/>
      </w:tblCellMar>
    </w:tblPr>
  </w:style>
  <w:style w:type="table" w:customStyle="1" w:styleId="33">
    <w:name w:val="网格型1"/>
    <w:basedOn w:val="18"/>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4">
    <w:name w:val="环评正文 Char"/>
    <w:link w:val="35"/>
    <w:qFormat/>
    <w:uiPriority w:val="0"/>
    <w:rPr>
      <w:rFonts w:ascii="宋体" w:hAnsi="宋体" w:cs="宋体"/>
      <w:sz w:val="24"/>
      <w:szCs w:val="24"/>
    </w:rPr>
  </w:style>
  <w:style w:type="paragraph" w:customStyle="1" w:styleId="35">
    <w:name w:val="环评正文"/>
    <w:basedOn w:val="1"/>
    <w:link w:val="34"/>
    <w:qFormat/>
    <w:uiPriority w:val="0"/>
    <w:pPr>
      <w:ind w:firstLine="0" w:firstLineChars="0"/>
    </w:pPr>
    <w:rPr>
      <w:rFonts w:ascii="宋体" w:hAnsi="宋体" w:cs="宋体" w:eastAsiaTheme="minorEastAsia"/>
      <w:sz w:val="24"/>
      <w:szCs w:val="24"/>
    </w:rPr>
  </w:style>
  <w:style w:type="character" w:customStyle="1" w:styleId="36">
    <w:name w:val="排版正文 Char Char"/>
    <w:basedOn w:val="20"/>
    <w:link w:val="37"/>
    <w:qFormat/>
    <w:uiPriority w:val="0"/>
    <w:rPr>
      <w:rFonts w:ascii="仿宋_GB2312" w:eastAsia="仿宋_GB2312"/>
      <w:spacing w:val="8"/>
      <w:sz w:val="28"/>
    </w:rPr>
  </w:style>
  <w:style w:type="paragraph" w:customStyle="1" w:styleId="37">
    <w:name w:val="排版正文"/>
    <w:link w:val="36"/>
    <w:qFormat/>
    <w:uiPriority w:val="0"/>
    <w:pPr>
      <w:widowControl w:val="0"/>
      <w:spacing w:line="460" w:lineRule="exact"/>
      <w:ind w:firstLine="592" w:firstLineChars="200"/>
      <w:jc w:val="both"/>
    </w:pPr>
    <w:rPr>
      <w:rFonts w:ascii="仿宋_GB2312" w:eastAsia="仿宋_GB2312" w:hAnsiTheme="minorHAnsi" w:cstheme="minorBidi"/>
      <w:spacing w:val="8"/>
      <w:kern w:val="2"/>
      <w:sz w:val="28"/>
      <w:szCs w:val="22"/>
      <w:lang w:val="en-US" w:eastAsia="zh-CN" w:bidi="ar-SA"/>
    </w:rPr>
  </w:style>
  <w:style w:type="paragraph" w:customStyle="1" w:styleId="38">
    <w:name w:val="D表内1磅"/>
    <w:qFormat/>
    <w:uiPriority w:val="0"/>
    <w:pPr>
      <w:spacing w:before="20" w:after="20"/>
    </w:pPr>
    <w:rPr>
      <w:rFonts w:ascii="Times New Roman" w:hAnsi="Times New Roman" w:eastAsia="宋体" w:cs="Times New Roman"/>
      <w:sz w:val="21"/>
      <w:lang w:val="en-US" w:eastAsia="zh-CN" w:bidi="ar-SA"/>
    </w:rPr>
  </w:style>
  <w:style w:type="table" w:customStyle="1" w:styleId="39">
    <w:name w:val="A表格样式"/>
    <w:basedOn w:val="18"/>
    <w:qFormat/>
    <w:uiPriority w:val="0"/>
    <w:pPr>
      <w:widowControl w:val="0"/>
      <w:jc w:val="center"/>
    </w:pPr>
    <w:rPr>
      <w:rFonts w:ascii="Times New Roman" w:hAnsi="Times New Roman" w:eastAsia="宋体" w:cs="Times New Roman"/>
    </w:rPr>
    <w:tblPr>
      <w:tblBorders>
        <w:top w:val="single" w:color="000000" w:sz="12" w:space="0"/>
        <w:bottom w:val="single" w:color="000000" w:sz="12" w:space="0"/>
        <w:insideH w:val="single" w:color="auto" w:sz="4" w:space="0"/>
        <w:insideV w:val="single" w:color="auto" w:sz="4" w:space="0"/>
      </w:tblBorders>
      <w:tblCellMar>
        <w:top w:w="0" w:type="dxa"/>
        <w:left w:w="0" w:type="dxa"/>
        <w:bottom w:w="0" w:type="dxa"/>
        <w:right w:w="0" w:type="dxa"/>
      </w:tblCellMar>
    </w:tblPr>
    <w:tcPr>
      <w:vAlign w:val="center"/>
    </w:tcPr>
    <w:tblStylePr w:type="firstRow">
      <w:rPr>
        <w:b/>
      </w:rPr>
    </w:tblStylePr>
  </w:style>
  <w:style w:type="paragraph" w:customStyle="1" w:styleId="40">
    <w:name w:val="A标题3级"/>
    <w:basedOn w:val="6"/>
    <w:qFormat/>
    <w:uiPriority w:val="0"/>
    <w:pPr>
      <w:spacing w:before="0" w:after="0" w:line="500" w:lineRule="exact"/>
    </w:pPr>
    <w:rPr>
      <w:rFonts w:ascii="Times New Roman" w:hAnsi="Times New Roman" w:eastAsia="黑体" w:cs="宋体"/>
      <w:b w:val="0"/>
      <w:spacing w:val="6"/>
      <w:kern w:val="0"/>
      <w:sz w:val="24"/>
      <w:szCs w:val="20"/>
    </w:rPr>
  </w:style>
  <w:style w:type="paragraph" w:customStyle="1" w:styleId="41">
    <w:name w:val="A表头"/>
    <w:basedOn w:val="1"/>
    <w:qFormat/>
    <w:uiPriority w:val="0"/>
    <w:pPr>
      <w:spacing w:before="50" w:beforeLines="50" w:line="240" w:lineRule="atLeast"/>
    </w:pPr>
    <w:rPr>
      <w:rFonts w:ascii="Times New Roman" w:hAnsi="Times New Roman" w:eastAsia="黑体" w:cs="宋体"/>
      <w:kern w:val="2"/>
      <w:szCs w:val="20"/>
      <w:lang w:eastAsia="zh-CN"/>
    </w:rPr>
  </w:style>
  <w:style w:type="paragraph" w:customStyle="1" w:styleId="42">
    <w:name w:val="表格内容"/>
    <w:basedOn w:val="1"/>
    <w:qFormat/>
    <w:uiPriority w:val="99"/>
    <w:pPr>
      <w:spacing w:line="260" w:lineRule="exact"/>
      <w:jc w:val="center"/>
    </w:pPr>
    <w:rPr>
      <w:rFonts w:ascii="Times New Roman" w:hAnsi="Times New Roman"/>
    </w:rPr>
  </w:style>
  <w:style w:type="paragraph" w:customStyle="1" w:styleId="43">
    <w:name w:val="样式 正文文本文本正文正文文字 Char Char Char Char + 居中 首行缩进:  0 厘米 段前: 6 磅"/>
    <w:basedOn w:val="8"/>
    <w:qFormat/>
    <w:uiPriority w:val="0"/>
    <w:pPr>
      <w:spacing w:before="120" w:after="0"/>
      <w:jc w:val="center"/>
    </w:pPr>
    <w:rPr>
      <w:rFonts w:ascii="Times New Roman" w:hAnsi="Times New Roman" w:cs="宋体"/>
      <w:color w:val="000000"/>
      <w:w w:val="90"/>
      <w:szCs w:val="20"/>
    </w:rPr>
  </w:style>
  <w:style w:type="paragraph" w:customStyle="1" w:styleId="44">
    <w:name w:val="Default1"/>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45">
    <w:name w:val="表格文字"/>
    <w:basedOn w:val="1"/>
    <w:qFormat/>
    <w:uiPriority w:val="0"/>
    <w:pPr>
      <w:jc w:val="center"/>
    </w:pPr>
    <w:rPr>
      <w:szCs w:val="21"/>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customXml" Target="../customXml/item2.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wmf"/><Relationship Id="rId15" Type="http://schemas.openxmlformats.org/officeDocument/2006/relationships/oleObject" Target="embeddings/oleObject2.bin"/><Relationship Id="rId14" Type="http://schemas.openxmlformats.org/officeDocument/2006/relationships/image" Target="media/image2.png"/><Relationship Id="rId13" Type="http://schemas.openxmlformats.org/officeDocument/2006/relationships/image" Target="media/image1.emf"/><Relationship Id="rId12" Type="http://schemas.openxmlformats.org/officeDocument/2006/relationships/oleObject" Target="embeddings/oleObject1.bin"/><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F4CF975-525F-4985-8023-BC5426880C8A}">
  <ds:schemaRefs/>
</ds:datastoreItem>
</file>

<file path=docProps/app.xml><?xml version="1.0" encoding="utf-8"?>
<Properties xmlns="http://schemas.openxmlformats.org/officeDocument/2006/extended-properties" xmlns:vt="http://schemas.openxmlformats.org/officeDocument/2006/docPropsVTypes">
  <Template>Normal.dotm</Template>
  <Pages>63</Pages>
  <Words>5654</Words>
  <Characters>32229</Characters>
  <Lines>268</Lines>
  <Paragraphs>75</Paragraphs>
  <TotalTime>8</TotalTime>
  <ScaleCrop>false</ScaleCrop>
  <LinksUpToDate>false</LinksUpToDate>
  <CharactersWithSpaces>37808</CharactersWithSpaces>
  <Application>WPS Office_11.1.0.9440_F1E327BC-269C-435d-A152-05C5408002CA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2018-10-08T11:59:00Z</dcterms:created>
  <dc:creator>谢玉锦 赣安</dc:creator>
  <cp:lastModifiedBy>军妮</cp:lastModifiedBy>
  <cp:lastPrinted>2020-06-01T05:33:00Z</cp:lastPrinted>
  <dcterms:modified xsi:type="dcterms:W3CDTF">2020-09-20T08:07:22Z</dcterms:modified>
  <cp:revision>261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2052-11.1.0.9440</vt:lpwstr>
  </property>
</Properties>
</file>