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0" w:firstLineChars="0"/>
        <w:jc w:val="right"/>
      </w:pPr>
    </w:p>
    <w:p>
      <w:pPr>
        <w:ind w:firstLine="0" w:firstLineChars="0"/>
        <w:jc w:val="right"/>
      </w:pPr>
    </w:p>
    <w:p>
      <w:pPr>
        <w:ind w:firstLine="0" w:firstLineChars="0"/>
        <w:jc w:val="right"/>
      </w:pPr>
    </w:p>
    <w:p>
      <w:pPr>
        <w:ind w:firstLine="0" w:firstLineChars="0"/>
        <w:jc w:val="right"/>
      </w:pPr>
    </w:p>
    <w:p>
      <w:pPr>
        <w:ind w:firstLine="0" w:firstLineChars="0"/>
        <w:jc w:val="center"/>
      </w:pPr>
    </w:p>
    <w:p>
      <w:pPr>
        <w:ind w:firstLine="0" w:firstLineChars="0"/>
        <w:jc w:val="center"/>
      </w:pPr>
    </w:p>
    <w:p>
      <w:pPr>
        <w:ind w:firstLine="0" w:firstLineChars="0"/>
        <w:jc w:val="center"/>
      </w:pPr>
    </w:p>
    <w:p>
      <w:pPr>
        <w:ind w:firstLine="0" w:firstLineChars="0"/>
        <w:jc w:val="center"/>
      </w:pPr>
    </w:p>
    <w:p>
      <w:pPr>
        <w:ind w:firstLine="0" w:firstLineChars="0"/>
        <w:jc w:val="center"/>
        <w:rPr>
          <w:b/>
          <w:sz w:val="52"/>
        </w:rPr>
      </w:pPr>
      <w:r>
        <w:rPr>
          <w:rFonts w:hint="eastAsia"/>
          <w:b/>
          <w:sz w:val="52"/>
          <w:lang w:eastAsia="zh-CN"/>
        </w:rPr>
        <w:t>南昌慧华高科混凝土有限公司</w:t>
      </w:r>
    </w:p>
    <w:p>
      <w:pPr>
        <w:ind w:firstLine="0" w:firstLineChars="0"/>
        <w:jc w:val="center"/>
        <w:rPr>
          <w:b/>
          <w:sz w:val="48"/>
        </w:rPr>
      </w:pPr>
      <w:r>
        <w:rPr>
          <w:rFonts w:hint="eastAsia"/>
          <w:b/>
          <w:sz w:val="52"/>
        </w:rPr>
        <w:t>突发环境事件应急预案</w:t>
      </w:r>
    </w:p>
    <w:p>
      <w:pPr>
        <w:ind w:firstLine="0" w:firstLineChars="0"/>
        <w:jc w:val="center"/>
      </w:pPr>
    </w:p>
    <w:p>
      <w:pPr>
        <w:ind w:firstLine="0" w:firstLineChars="0"/>
        <w:jc w:val="center"/>
      </w:pPr>
    </w:p>
    <w:p>
      <w:pPr>
        <w:ind w:firstLine="0" w:firstLineChars="0"/>
        <w:jc w:val="center"/>
      </w:pPr>
    </w:p>
    <w:p>
      <w:pPr>
        <w:ind w:firstLine="0" w:firstLineChars="0"/>
        <w:jc w:val="center"/>
      </w:pPr>
    </w:p>
    <w:p>
      <w:pPr>
        <w:ind w:firstLine="0" w:firstLineChars="0"/>
        <w:jc w:val="center"/>
      </w:pPr>
    </w:p>
    <w:tbl>
      <w:tblPr>
        <w:tblStyle w:val="1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263"/>
        <w:gridCol w:w="53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263" w:type="dxa"/>
            <w:vAlign w:val="center"/>
          </w:tcPr>
          <w:p>
            <w:pPr>
              <w:ind w:firstLine="0" w:firstLineChars="0"/>
              <w:jc w:val="right"/>
              <w:rPr>
                <w:b/>
                <w:sz w:val="32"/>
              </w:rPr>
            </w:pPr>
            <w:r>
              <w:rPr>
                <w:rFonts w:hint="eastAsia"/>
                <w:b/>
                <w:sz w:val="32"/>
              </w:rPr>
              <w:t>编制单位：</w:t>
            </w:r>
          </w:p>
        </w:tc>
        <w:tc>
          <w:tcPr>
            <w:tcW w:w="5387" w:type="dxa"/>
            <w:vAlign w:val="center"/>
          </w:tcPr>
          <w:p>
            <w:pPr>
              <w:ind w:firstLine="0" w:firstLineChars="0"/>
              <w:jc w:val="left"/>
              <w:rPr>
                <w:b/>
                <w:sz w:val="32"/>
              </w:rPr>
            </w:pPr>
            <w:r>
              <w:rPr>
                <w:rFonts w:hint="eastAsia"/>
                <w:b/>
                <w:sz w:val="32"/>
                <w:lang w:eastAsia="zh-CN"/>
              </w:rPr>
              <w:t>南昌慧华高科混凝土有限公司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7650" w:type="dxa"/>
            <w:gridSpan w:val="2"/>
            <w:vAlign w:val="center"/>
          </w:tcPr>
          <w:p>
            <w:pPr>
              <w:ind w:firstLine="321" w:firstLineChars="100"/>
              <w:jc w:val="left"/>
              <w:rPr>
                <w:rFonts w:hint="eastAsia" w:eastAsia="宋体"/>
                <w:b/>
                <w:sz w:val="32"/>
                <w:lang w:eastAsia="zh-CN"/>
              </w:rPr>
            </w:pPr>
            <w:r>
              <w:rPr>
                <w:rFonts w:hint="eastAsia"/>
                <w:b/>
                <w:sz w:val="32"/>
              </w:rPr>
              <w:t>签署负责人：</w:t>
            </w:r>
            <w:r>
              <w:rPr>
                <w:rFonts w:hint="eastAsia"/>
                <w:b/>
                <w:sz w:val="32"/>
                <w:lang w:eastAsia="zh-CN"/>
              </w:rPr>
              <w:t>周剑文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263" w:type="dxa"/>
            <w:vAlign w:val="center"/>
          </w:tcPr>
          <w:p>
            <w:pPr>
              <w:ind w:firstLine="0" w:firstLineChars="0"/>
              <w:jc w:val="right"/>
              <w:rPr>
                <w:b/>
                <w:sz w:val="32"/>
              </w:rPr>
            </w:pPr>
            <w:r>
              <w:rPr>
                <w:rFonts w:hint="eastAsia"/>
                <w:b/>
                <w:sz w:val="32"/>
              </w:rPr>
              <w:t>发布日期：</w:t>
            </w:r>
          </w:p>
        </w:tc>
        <w:tc>
          <w:tcPr>
            <w:tcW w:w="5387" w:type="dxa"/>
            <w:vAlign w:val="center"/>
          </w:tcPr>
          <w:p>
            <w:pPr>
              <w:ind w:firstLine="0" w:firstLineChars="0"/>
              <w:jc w:val="left"/>
              <w:rPr>
                <w:b/>
                <w:sz w:val="32"/>
              </w:rPr>
            </w:pPr>
            <w:r>
              <w:rPr>
                <w:rFonts w:hint="eastAsia"/>
                <w:b/>
                <w:sz w:val="32"/>
              </w:rPr>
              <w:t>2</w:t>
            </w:r>
            <w:r>
              <w:rPr>
                <w:b/>
                <w:sz w:val="32"/>
              </w:rPr>
              <w:t>0</w:t>
            </w:r>
            <w:r>
              <w:rPr>
                <w:rFonts w:hint="eastAsia"/>
                <w:b/>
                <w:sz w:val="32"/>
                <w:lang w:val="en-US" w:eastAsia="zh-CN"/>
              </w:rPr>
              <w:t>20</w:t>
            </w:r>
            <w:r>
              <w:rPr>
                <w:rFonts w:hint="eastAsia"/>
                <w:b/>
                <w:sz w:val="32"/>
              </w:rPr>
              <w:t>年</w:t>
            </w:r>
            <w:r>
              <w:rPr>
                <w:rFonts w:hint="eastAsia"/>
                <w:b/>
                <w:sz w:val="32"/>
                <w:lang w:val="en-US" w:eastAsia="zh-CN"/>
              </w:rPr>
              <w:t>9</w:t>
            </w:r>
            <w:r>
              <w:rPr>
                <w:rFonts w:hint="eastAsia"/>
                <w:b/>
                <w:sz w:val="32"/>
              </w:rPr>
              <w:t>月</w:t>
            </w:r>
            <w:r>
              <w:rPr>
                <w:rFonts w:hint="eastAsia"/>
                <w:b/>
                <w:sz w:val="32"/>
                <w:lang w:val="en-US" w:eastAsia="zh-CN"/>
              </w:rPr>
              <w:t>25</w:t>
            </w:r>
            <w:r>
              <w:rPr>
                <w:rFonts w:hint="eastAsia"/>
                <w:b/>
                <w:sz w:val="32"/>
              </w:rPr>
              <w:t>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263" w:type="dxa"/>
            <w:vAlign w:val="center"/>
          </w:tcPr>
          <w:p>
            <w:pPr>
              <w:ind w:firstLine="0" w:firstLineChars="0"/>
              <w:jc w:val="right"/>
              <w:rPr>
                <w:b/>
                <w:sz w:val="32"/>
              </w:rPr>
            </w:pPr>
            <w:r>
              <w:rPr>
                <w:rFonts w:hint="eastAsia"/>
                <w:b/>
                <w:sz w:val="32"/>
              </w:rPr>
              <w:t>实施日期：</w:t>
            </w:r>
          </w:p>
        </w:tc>
        <w:tc>
          <w:tcPr>
            <w:tcW w:w="5387" w:type="dxa"/>
            <w:vAlign w:val="center"/>
          </w:tcPr>
          <w:p>
            <w:pPr>
              <w:ind w:firstLine="0" w:firstLineChars="0"/>
              <w:jc w:val="left"/>
              <w:rPr>
                <w:b/>
                <w:sz w:val="32"/>
              </w:rPr>
            </w:pPr>
            <w:r>
              <w:rPr>
                <w:rFonts w:hint="eastAsia"/>
                <w:b/>
                <w:sz w:val="32"/>
              </w:rPr>
              <w:t>2</w:t>
            </w:r>
            <w:r>
              <w:rPr>
                <w:b/>
                <w:sz w:val="32"/>
              </w:rPr>
              <w:t>0</w:t>
            </w:r>
            <w:r>
              <w:rPr>
                <w:rFonts w:hint="eastAsia"/>
                <w:b/>
                <w:sz w:val="32"/>
                <w:lang w:val="en-US" w:eastAsia="zh-CN"/>
              </w:rPr>
              <w:t>20</w:t>
            </w:r>
            <w:r>
              <w:rPr>
                <w:rFonts w:hint="eastAsia"/>
                <w:b/>
                <w:sz w:val="32"/>
              </w:rPr>
              <w:t>年</w:t>
            </w:r>
            <w:r>
              <w:rPr>
                <w:rFonts w:hint="eastAsia"/>
                <w:b/>
                <w:sz w:val="32"/>
                <w:lang w:val="en-US" w:eastAsia="zh-CN"/>
              </w:rPr>
              <w:t>9</w:t>
            </w:r>
            <w:r>
              <w:rPr>
                <w:rFonts w:hint="eastAsia"/>
                <w:b/>
                <w:sz w:val="32"/>
              </w:rPr>
              <w:t>月</w:t>
            </w:r>
            <w:r>
              <w:rPr>
                <w:rFonts w:hint="eastAsia"/>
                <w:b/>
                <w:sz w:val="32"/>
                <w:lang w:val="en-US" w:eastAsia="zh-CN"/>
              </w:rPr>
              <w:t>28</w:t>
            </w:r>
            <w:r>
              <w:rPr>
                <w:rFonts w:hint="eastAsia"/>
                <w:b/>
                <w:sz w:val="32"/>
              </w:rPr>
              <w:t>日</w:t>
            </w:r>
          </w:p>
        </w:tc>
      </w:tr>
    </w:tbl>
    <w:p>
      <w:pPr>
        <w:widowControl/>
        <w:spacing w:line="240" w:lineRule="auto"/>
        <w:ind w:firstLine="0" w:firstLineChars="0"/>
        <w:jc w:val="left"/>
        <w:rPr>
          <w:sz w:val="52"/>
        </w:rPr>
        <w:sectPr>
          <w:headerReference r:id="rId5" w:type="first"/>
          <w:footerReference r:id="rId8" w:type="first"/>
          <w:headerReference r:id="rId3" w:type="default"/>
          <w:footerReference r:id="rId6" w:type="default"/>
          <w:headerReference r:id="rId4" w:type="even"/>
          <w:footerReference r:id="rId7" w:type="even"/>
          <w:pgSz w:w="11906" w:h="16838"/>
          <w:pgMar w:top="1304" w:right="1247" w:bottom="1304" w:left="1531" w:header="851" w:footer="851" w:gutter="0"/>
          <w:pgNumType w:fmt="decimal"/>
          <w:cols w:space="425" w:num="1"/>
          <w:docGrid w:type="lines" w:linePitch="312" w:charSpace="0"/>
        </w:sectPr>
      </w:pPr>
    </w:p>
    <w:p>
      <w:pPr>
        <w:widowControl/>
        <w:spacing w:line="240" w:lineRule="auto"/>
        <w:ind w:firstLine="0" w:firstLineChars="0"/>
        <w:jc w:val="left"/>
        <w:rPr>
          <w:sz w:val="52"/>
        </w:rPr>
        <w:sectPr>
          <w:footerReference r:id="rId9" w:type="default"/>
          <w:pgSz w:w="11906" w:h="16838"/>
          <w:pgMar w:top="1304" w:right="1247" w:bottom="1304" w:left="1531" w:header="851" w:footer="851" w:gutter="0"/>
          <w:pgNumType w:fmt="decimal" w:start="1"/>
          <w:cols w:space="425" w:num="1"/>
          <w:docGrid w:type="lines" w:linePitch="312" w:charSpace="0"/>
        </w:sectPr>
      </w:pPr>
    </w:p>
    <w:p>
      <w:pPr>
        <w:widowControl/>
        <w:spacing w:line="240" w:lineRule="auto"/>
        <w:ind w:firstLine="0" w:firstLineChars="0"/>
        <w:jc w:val="left"/>
        <w:rPr>
          <w:sz w:val="52"/>
        </w:rPr>
      </w:pPr>
    </w:p>
    <w:p>
      <w:pPr>
        <w:widowControl/>
        <w:spacing w:line="240" w:lineRule="auto"/>
        <w:ind w:firstLine="0" w:firstLineChars="0"/>
        <w:jc w:val="center"/>
        <w:rPr>
          <w:b/>
          <w:sz w:val="52"/>
        </w:rPr>
      </w:pPr>
      <w:r>
        <w:rPr>
          <w:rFonts w:hint="eastAsia"/>
          <w:b/>
          <w:sz w:val="52"/>
          <w:lang w:eastAsia="zh-CN"/>
        </w:rPr>
        <w:t>南昌慧华高科混凝土有限公司</w:t>
      </w:r>
    </w:p>
    <w:p>
      <w:pPr>
        <w:widowControl/>
        <w:spacing w:line="240" w:lineRule="auto"/>
        <w:ind w:firstLine="0" w:firstLineChars="0"/>
        <w:jc w:val="center"/>
        <w:rPr>
          <w:sz w:val="52"/>
        </w:rPr>
      </w:pPr>
      <w:r>
        <w:rPr>
          <w:rFonts w:hint="eastAsia"/>
          <w:b/>
          <w:sz w:val="52"/>
        </w:rPr>
        <w:t>突发环境事件应急预案批准页</w:t>
      </w:r>
    </w:p>
    <w:p>
      <w:pPr>
        <w:widowControl/>
        <w:spacing w:line="240" w:lineRule="auto"/>
        <w:ind w:firstLine="0" w:firstLineChars="0"/>
        <w:jc w:val="left"/>
      </w:pPr>
    </w:p>
    <w:p>
      <w:pPr>
        <w:widowControl/>
        <w:spacing w:line="240" w:lineRule="auto"/>
        <w:ind w:firstLine="0" w:firstLineChars="0"/>
        <w:jc w:val="left"/>
      </w:pPr>
    </w:p>
    <w:p>
      <w:pPr>
        <w:widowControl/>
        <w:spacing w:line="240" w:lineRule="auto"/>
        <w:ind w:firstLine="0" w:firstLineChars="0"/>
        <w:jc w:val="left"/>
      </w:pPr>
    </w:p>
    <w:p>
      <w:pPr>
        <w:widowControl/>
        <w:spacing w:line="240" w:lineRule="auto"/>
        <w:ind w:firstLine="0" w:firstLineChars="0"/>
        <w:jc w:val="left"/>
      </w:pPr>
    </w:p>
    <w:p>
      <w:pPr>
        <w:widowControl/>
        <w:spacing w:line="240" w:lineRule="auto"/>
        <w:ind w:firstLine="0" w:firstLineChars="0"/>
        <w:jc w:val="left"/>
      </w:pPr>
    </w:p>
    <w:p>
      <w:pPr>
        <w:widowControl/>
        <w:spacing w:line="240" w:lineRule="auto"/>
        <w:ind w:firstLine="0" w:firstLineChars="0"/>
        <w:jc w:val="left"/>
      </w:pPr>
    </w:p>
    <w:tbl>
      <w:tblPr>
        <w:tblStyle w:val="17"/>
        <w:tblW w:w="3805"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901"/>
        <w:gridCol w:w="421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2040" w:type="pct"/>
            <w:vAlign w:val="center"/>
          </w:tcPr>
          <w:p>
            <w:pPr>
              <w:tabs>
                <w:tab w:val="center" w:pos="1400"/>
              </w:tabs>
              <w:ind w:firstLine="0" w:firstLineChars="0"/>
              <w:rPr>
                <w:rFonts w:hint="eastAsia" w:eastAsia="宋体"/>
                <w:b/>
                <w:sz w:val="32"/>
                <w:lang w:eastAsia="zh-CN"/>
              </w:rPr>
            </w:pPr>
            <w:r>
              <w:rPr>
                <w:rFonts w:hint="eastAsia"/>
                <w:b/>
                <w:sz w:val="32"/>
              </w:rPr>
              <w:t>编制：</w:t>
            </w:r>
            <w:r>
              <w:rPr>
                <w:rFonts w:hint="eastAsia"/>
                <w:b/>
                <w:sz w:val="32"/>
                <w:lang w:eastAsia="zh-CN"/>
              </w:rPr>
              <w:t>夏丽梅</w:t>
            </w:r>
          </w:p>
        </w:tc>
        <w:tc>
          <w:tcPr>
            <w:tcW w:w="2960" w:type="pct"/>
            <w:vAlign w:val="center"/>
          </w:tcPr>
          <w:p>
            <w:pPr>
              <w:tabs>
                <w:tab w:val="center" w:pos="1400"/>
              </w:tabs>
              <w:ind w:firstLine="0" w:firstLineChars="0"/>
              <w:jc w:val="center"/>
              <w:rPr>
                <w:b/>
                <w:sz w:val="32"/>
              </w:rPr>
            </w:pPr>
            <w:r>
              <w:rPr>
                <w:rFonts w:hint="eastAsia"/>
                <w:b/>
                <w:sz w:val="32"/>
              </w:rPr>
              <w:t>2</w:t>
            </w:r>
            <w:r>
              <w:rPr>
                <w:b/>
                <w:sz w:val="32"/>
              </w:rPr>
              <w:t>0</w:t>
            </w:r>
            <w:r>
              <w:rPr>
                <w:rFonts w:hint="eastAsia"/>
                <w:b/>
                <w:sz w:val="32"/>
                <w:lang w:val="en-US" w:eastAsia="zh-CN"/>
              </w:rPr>
              <w:t>20</w:t>
            </w:r>
            <w:r>
              <w:rPr>
                <w:rFonts w:hint="eastAsia"/>
                <w:b/>
                <w:sz w:val="32"/>
              </w:rPr>
              <w:t>年</w:t>
            </w:r>
            <w:r>
              <w:rPr>
                <w:rFonts w:hint="eastAsia"/>
                <w:b/>
                <w:sz w:val="32"/>
                <w:lang w:val="en-US" w:eastAsia="zh-CN"/>
              </w:rPr>
              <w:t>7</w:t>
            </w:r>
            <w:r>
              <w:rPr>
                <w:rFonts w:hint="eastAsia"/>
                <w:b/>
                <w:sz w:val="32"/>
              </w:rPr>
              <w:t>月</w:t>
            </w:r>
            <w:r>
              <w:rPr>
                <w:rFonts w:hint="eastAsia"/>
                <w:b/>
                <w:sz w:val="32"/>
                <w:lang w:val="en-US" w:eastAsia="zh-CN"/>
              </w:rPr>
              <w:t>3</w:t>
            </w:r>
            <w:r>
              <w:rPr>
                <w:rFonts w:hint="eastAsia"/>
                <w:b/>
                <w:sz w:val="32"/>
              </w:rPr>
              <w:t>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2040" w:type="pct"/>
            <w:vAlign w:val="center"/>
          </w:tcPr>
          <w:p>
            <w:pPr>
              <w:ind w:firstLine="0" w:firstLineChars="0"/>
              <w:rPr>
                <w:rFonts w:hint="eastAsia" w:eastAsia="宋体"/>
                <w:b/>
                <w:sz w:val="32"/>
                <w:lang w:eastAsia="zh-CN"/>
              </w:rPr>
            </w:pPr>
            <w:r>
              <w:rPr>
                <w:rFonts w:hint="eastAsia"/>
                <w:b/>
                <w:sz w:val="32"/>
              </w:rPr>
              <w:t>复核：</w:t>
            </w:r>
            <w:r>
              <w:rPr>
                <w:rFonts w:hint="eastAsia"/>
                <w:b/>
                <w:sz w:val="32"/>
                <w:lang w:eastAsia="zh-CN"/>
              </w:rPr>
              <w:t>陈  勇</w:t>
            </w:r>
          </w:p>
        </w:tc>
        <w:tc>
          <w:tcPr>
            <w:tcW w:w="2960" w:type="pct"/>
            <w:vAlign w:val="center"/>
          </w:tcPr>
          <w:p>
            <w:pPr>
              <w:ind w:firstLine="0" w:firstLineChars="0"/>
              <w:jc w:val="center"/>
              <w:rPr>
                <w:b/>
                <w:sz w:val="32"/>
              </w:rPr>
            </w:pPr>
            <w:r>
              <w:rPr>
                <w:rFonts w:hint="eastAsia"/>
                <w:b/>
                <w:sz w:val="32"/>
              </w:rPr>
              <w:t>2</w:t>
            </w:r>
            <w:r>
              <w:rPr>
                <w:b/>
                <w:sz w:val="32"/>
              </w:rPr>
              <w:t>0</w:t>
            </w:r>
            <w:r>
              <w:rPr>
                <w:rFonts w:hint="eastAsia"/>
                <w:b/>
                <w:sz w:val="32"/>
                <w:lang w:val="en-US" w:eastAsia="zh-CN"/>
              </w:rPr>
              <w:t>20</w:t>
            </w:r>
            <w:r>
              <w:rPr>
                <w:rFonts w:hint="eastAsia"/>
                <w:b/>
                <w:sz w:val="32"/>
              </w:rPr>
              <w:t xml:space="preserve">年 </w:t>
            </w:r>
            <w:r>
              <w:rPr>
                <w:rFonts w:hint="eastAsia"/>
                <w:b/>
                <w:sz w:val="32"/>
                <w:lang w:val="en-US" w:eastAsia="zh-CN"/>
              </w:rPr>
              <w:t>9</w:t>
            </w:r>
            <w:r>
              <w:rPr>
                <w:rFonts w:hint="eastAsia"/>
                <w:b/>
                <w:sz w:val="32"/>
              </w:rPr>
              <w:t>月</w:t>
            </w:r>
            <w:r>
              <w:rPr>
                <w:rFonts w:hint="eastAsia"/>
                <w:b/>
                <w:sz w:val="32"/>
                <w:lang w:val="en-US" w:eastAsia="zh-CN"/>
              </w:rPr>
              <w:t>7</w:t>
            </w:r>
            <w:r>
              <w:rPr>
                <w:rFonts w:hint="eastAsia"/>
                <w:b/>
                <w:sz w:val="32"/>
              </w:rPr>
              <w:t>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2040" w:type="pct"/>
            <w:vAlign w:val="center"/>
          </w:tcPr>
          <w:p>
            <w:pPr>
              <w:ind w:firstLine="0" w:firstLineChars="0"/>
              <w:rPr>
                <w:rFonts w:hint="eastAsia" w:eastAsia="宋体"/>
                <w:b/>
                <w:sz w:val="32"/>
                <w:lang w:eastAsia="zh-CN"/>
              </w:rPr>
            </w:pPr>
            <w:r>
              <w:rPr>
                <w:rFonts w:hint="eastAsia"/>
                <w:b/>
                <w:sz w:val="32"/>
              </w:rPr>
              <w:t>审核：</w:t>
            </w:r>
            <w:r>
              <w:rPr>
                <w:rFonts w:hint="eastAsia"/>
                <w:b/>
                <w:sz w:val="32"/>
                <w:lang w:eastAsia="zh-CN"/>
              </w:rPr>
              <w:t>胡文斌</w:t>
            </w:r>
          </w:p>
        </w:tc>
        <w:tc>
          <w:tcPr>
            <w:tcW w:w="2960" w:type="pct"/>
            <w:vAlign w:val="center"/>
          </w:tcPr>
          <w:p>
            <w:pPr>
              <w:ind w:firstLine="0" w:firstLineChars="0"/>
              <w:jc w:val="center"/>
              <w:rPr>
                <w:b/>
                <w:sz w:val="32"/>
              </w:rPr>
            </w:pPr>
            <w:r>
              <w:rPr>
                <w:rFonts w:hint="eastAsia"/>
                <w:b/>
                <w:sz w:val="32"/>
                <w:lang w:eastAsia="zh-CN"/>
              </w:rPr>
              <w:t>2020</w:t>
            </w:r>
            <w:r>
              <w:rPr>
                <w:rFonts w:hint="eastAsia"/>
                <w:b/>
                <w:sz w:val="32"/>
              </w:rPr>
              <w:t xml:space="preserve">年 </w:t>
            </w:r>
            <w:r>
              <w:rPr>
                <w:rFonts w:hint="eastAsia"/>
                <w:b/>
                <w:sz w:val="32"/>
                <w:lang w:val="en-US" w:eastAsia="zh-CN"/>
              </w:rPr>
              <w:t>9</w:t>
            </w:r>
            <w:r>
              <w:rPr>
                <w:rFonts w:hint="eastAsia"/>
                <w:b/>
                <w:sz w:val="32"/>
              </w:rPr>
              <w:t>月</w:t>
            </w:r>
            <w:r>
              <w:rPr>
                <w:rFonts w:hint="eastAsia"/>
                <w:b/>
                <w:sz w:val="32"/>
                <w:lang w:val="en-US" w:eastAsia="zh-CN"/>
              </w:rPr>
              <w:t xml:space="preserve"> 10</w:t>
            </w:r>
            <w:r>
              <w:rPr>
                <w:rFonts w:hint="eastAsia"/>
                <w:b/>
                <w:sz w:val="32"/>
              </w:rPr>
              <w:t>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2040" w:type="pct"/>
            <w:vAlign w:val="center"/>
          </w:tcPr>
          <w:p>
            <w:pPr>
              <w:ind w:firstLine="0" w:firstLineChars="0"/>
              <w:rPr>
                <w:rFonts w:hint="eastAsia" w:eastAsia="宋体"/>
                <w:b/>
                <w:sz w:val="32"/>
                <w:lang w:eastAsia="zh-CN"/>
              </w:rPr>
            </w:pPr>
            <w:r>
              <w:rPr>
                <w:rFonts w:hint="eastAsia"/>
                <w:b/>
                <w:sz w:val="32"/>
              </w:rPr>
              <w:t>批准：</w:t>
            </w:r>
            <w:r>
              <w:rPr>
                <w:rFonts w:hint="eastAsia"/>
                <w:b/>
                <w:sz w:val="32"/>
                <w:lang w:eastAsia="zh-CN"/>
              </w:rPr>
              <w:t>周剑文</w:t>
            </w:r>
          </w:p>
        </w:tc>
        <w:tc>
          <w:tcPr>
            <w:tcW w:w="2960" w:type="pct"/>
            <w:vAlign w:val="center"/>
          </w:tcPr>
          <w:p>
            <w:pPr>
              <w:ind w:firstLine="0" w:firstLineChars="0"/>
              <w:jc w:val="center"/>
              <w:rPr>
                <w:b/>
                <w:sz w:val="32"/>
              </w:rPr>
            </w:pPr>
            <w:r>
              <w:rPr>
                <w:rFonts w:hint="eastAsia"/>
                <w:b/>
                <w:sz w:val="32"/>
                <w:lang w:eastAsia="zh-CN"/>
              </w:rPr>
              <w:t>2020</w:t>
            </w:r>
            <w:r>
              <w:rPr>
                <w:rFonts w:hint="eastAsia"/>
                <w:b/>
                <w:sz w:val="32"/>
              </w:rPr>
              <w:t>年</w:t>
            </w:r>
            <w:r>
              <w:rPr>
                <w:rFonts w:hint="eastAsia"/>
                <w:b/>
                <w:sz w:val="32"/>
                <w:lang w:val="en-US" w:eastAsia="zh-CN"/>
              </w:rPr>
              <w:t>9</w:t>
            </w:r>
            <w:r>
              <w:rPr>
                <w:rFonts w:hint="eastAsia"/>
                <w:b/>
                <w:sz w:val="32"/>
              </w:rPr>
              <w:t>月</w:t>
            </w:r>
            <w:r>
              <w:rPr>
                <w:rFonts w:hint="eastAsia"/>
                <w:b/>
                <w:sz w:val="32"/>
                <w:lang w:val="en-US" w:eastAsia="zh-CN"/>
              </w:rPr>
              <w:t>25</w:t>
            </w:r>
            <w:r>
              <w:rPr>
                <w:rFonts w:hint="eastAsia"/>
                <w:b/>
                <w:sz w:val="32"/>
              </w:rPr>
              <w:t>日</w:t>
            </w:r>
          </w:p>
        </w:tc>
      </w:tr>
    </w:tbl>
    <w:p>
      <w:pPr>
        <w:widowControl/>
        <w:spacing w:line="240" w:lineRule="auto"/>
        <w:ind w:firstLine="0" w:firstLineChars="0"/>
        <w:jc w:val="left"/>
      </w:pPr>
    </w:p>
    <w:p>
      <w:pPr>
        <w:widowControl/>
        <w:spacing w:line="240" w:lineRule="auto"/>
        <w:ind w:firstLine="0" w:firstLineChars="0"/>
        <w:jc w:val="left"/>
      </w:pPr>
    </w:p>
    <w:p>
      <w:pPr>
        <w:widowControl/>
        <w:spacing w:line="240" w:lineRule="auto"/>
        <w:ind w:firstLine="0" w:firstLineChars="0"/>
        <w:jc w:val="left"/>
      </w:pPr>
      <w:r>
        <w:br w:type="page"/>
      </w:r>
    </w:p>
    <w:p>
      <w:pPr>
        <w:widowControl/>
        <w:spacing w:line="240" w:lineRule="auto"/>
        <w:ind w:firstLine="0" w:firstLineChars="0"/>
        <w:jc w:val="center"/>
        <w:rPr>
          <w:b/>
          <w:sz w:val="32"/>
        </w:rPr>
        <w:sectPr>
          <w:pgSz w:w="11906" w:h="16838"/>
          <w:pgMar w:top="1304" w:right="1247" w:bottom="1304" w:left="1531" w:header="851" w:footer="851" w:gutter="0"/>
          <w:pgNumType w:fmt="decimal"/>
          <w:cols w:space="425" w:num="1"/>
          <w:docGrid w:type="lines" w:linePitch="312" w:charSpace="0"/>
        </w:sectPr>
      </w:pPr>
    </w:p>
    <w:p>
      <w:pPr>
        <w:widowControl/>
        <w:spacing w:line="240" w:lineRule="auto"/>
        <w:ind w:firstLine="0" w:firstLineChars="0"/>
        <w:jc w:val="center"/>
        <w:rPr>
          <w:b/>
          <w:sz w:val="32"/>
        </w:rPr>
      </w:pPr>
    </w:p>
    <w:p>
      <w:pPr>
        <w:widowControl/>
        <w:spacing w:line="240" w:lineRule="auto"/>
        <w:ind w:firstLine="0" w:firstLineChars="0"/>
        <w:jc w:val="center"/>
        <w:rPr>
          <w:b/>
          <w:sz w:val="32"/>
        </w:rPr>
      </w:pPr>
    </w:p>
    <w:p>
      <w:pPr>
        <w:widowControl/>
        <w:spacing w:line="240" w:lineRule="auto"/>
        <w:ind w:firstLine="0" w:firstLineChars="0"/>
        <w:jc w:val="center"/>
        <w:rPr>
          <w:b/>
          <w:sz w:val="32"/>
        </w:rPr>
      </w:pPr>
      <w:r>
        <w:rPr>
          <w:rFonts w:hint="eastAsia"/>
          <w:b/>
          <w:sz w:val="32"/>
          <w:lang w:eastAsia="zh-CN"/>
        </w:rPr>
        <w:t>南昌慧华高科混凝土有限公司</w:t>
      </w:r>
      <w:r>
        <w:rPr>
          <w:rFonts w:hint="eastAsia"/>
          <w:b/>
          <w:sz w:val="32"/>
        </w:rPr>
        <w:t>突发环境事件应急预案发布令</w:t>
      </w:r>
    </w:p>
    <w:p>
      <w:pPr>
        <w:spacing w:beforeLines="100"/>
        <w:ind w:firstLine="560"/>
      </w:pPr>
      <w:r>
        <w:rPr>
          <w:rFonts w:hint="eastAsia"/>
        </w:rPr>
        <w:t>公司全体同仁：</w:t>
      </w:r>
    </w:p>
    <w:p>
      <w:pPr>
        <w:ind w:firstLine="560"/>
      </w:pPr>
      <w:r>
        <w:rPr>
          <w:rFonts w:hint="eastAsia"/>
        </w:rPr>
        <w:t>为贯彻以人为本，预防为主的方针，提高公司应对突发环境事件和险情的处置能力，提升公司应急管理水平，保证员工生命财产安全，保护生态环境和资源，依据《中华人民共和国环境保护法》、《中华人民共和国水污染防治法》、《中华人民共和国大气污染防治法》、《中华人民共和国固体废物污染环境防治法》、《中华人民共和国突发事件应对法》、《国家突发公共事件总体应急预案》、《国家突发环境事件应急预案》、《危险化学品名录》、《国家危险废物名录》等法律、法规及相关文件，本公司制定了突发环境事件应急预案。</w:t>
      </w:r>
    </w:p>
    <w:p>
      <w:pPr>
        <w:ind w:firstLine="560"/>
      </w:pPr>
      <w:r>
        <w:rPr>
          <w:rFonts w:hint="eastAsia"/>
        </w:rPr>
        <w:t>公司突发环境事件应急预案是公司应急管理工作纲领性文件，明确了公司应急机构及职责，建立了应急指挥系统及应急响应程序，是指导应急管理工作指南，各部门要认真贯彻和学习，确保公司应急管理工作得到有效落实。</w:t>
      </w:r>
    </w:p>
    <w:p>
      <w:pPr>
        <w:ind w:firstLine="560"/>
      </w:pPr>
      <w:r>
        <w:rPr>
          <w:rFonts w:hint="eastAsia"/>
        </w:rPr>
        <w:t>本突发环境事件应急预案，于</w:t>
      </w:r>
      <w:r>
        <w:rPr>
          <w:rFonts w:hint="eastAsia"/>
          <w:lang w:eastAsia="zh-CN"/>
        </w:rPr>
        <w:t>2020</w:t>
      </w:r>
      <w:r>
        <w:rPr>
          <w:rFonts w:hint="eastAsia"/>
        </w:rPr>
        <w:t>年</w:t>
      </w:r>
      <w:r>
        <w:rPr>
          <w:rFonts w:hint="eastAsia"/>
          <w:lang w:val="en-US" w:eastAsia="zh-CN"/>
        </w:rPr>
        <w:t>9</w:t>
      </w:r>
      <w:r>
        <w:rPr>
          <w:rFonts w:hint="eastAsia"/>
        </w:rPr>
        <w:t>月</w:t>
      </w:r>
      <w:r>
        <w:rPr>
          <w:rFonts w:hint="eastAsia"/>
          <w:lang w:val="en-US" w:eastAsia="zh-CN"/>
        </w:rPr>
        <w:t>25</w:t>
      </w:r>
      <w:r>
        <w:rPr>
          <w:rFonts w:hint="eastAsia"/>
        </w:rPr>
        <w:t>日批准发布，</w:t>
      </w:r>
      <w:r>
        <w:rPr>
          <w:rFonts w:hint="eastAsia"/>
          <w:lang w:eastAsia="zh-CN"/>
        </w:rPr>
        <w:t>2020</w:t>
      </w:r>
      <w:r>
        <w:rPr>
          <w:rFonts w:hint="eastAsia"/>
        </w:rPr>
        <w:t>年</w:t>
      </w:r>
      <w:r>
        <w:rPr>
          <w:rFonts w:hint="eastAsia"/>
          <w:lang w:val="en-US" w:eastAsia="zh-CN"/>
        </w:rPr>
        <w:t>9</w:t>
      </w:r>
      <w:r>
        <w:rPr>
          <w:rFonts w:hint="eastAsia"/>
        </w:rPr>
        <w:t>月</w:t>
      </w:r>
      <w:r>
        <w:rPr>
          <w:rFonts w:hint="eastAsia"/>
          <w:lang w:val="en-US" w:eastAsia="zh-CN"/>
        </w:rPr>
        <w:t>28</w:t>
      </w:r>
      <w:r>
        <w:rPr>
          <w:rFonts w:hint="eastAsia"/>
        </w:rPr>
        <w:t>日起实施。</w:t>
      </w:r>
    </w:p>
    <w:p>
      <w:pPr>
        <w:widowControl/>
        <w:spacing w:line="240" w:lineRule="auto"/>
        <w:ind w:firstLine="0" w:firstLineChars="0"/>
        <w:jc w:val="left"/>
      </w:pPr>
    </w:p>
    <w:p>
      <w:pPr>
        <w:widowControl/>
        <w:spacing w:line="240" w:lineRule="auto"/>
        <w:ind w:firstLine="0" w:firstLineChars="0"/>
        <w:jc w:val="right"/>
      </w:pPr>
      <w:r>
        <w:rPr>
          <w:rFonts w:hint="eastAsia"/>
          <w:lang w:eastAsia="zh-CN"/>
        </w:rPr>
        <w:t>南昌慧华高科混凝土有限公司</w:t>
      </w:r>
    </w:p>
    <w:p>
      <w:pPr>
        <w:widowControl/>
        <w:wordWrap w:val="0"/>
        <w:spacing w:line="240" w:lineRule="auto"/>
        <w:ind w:right="420" w:firstLine="0" w:firstLineChars="0"/>
        <w:jc w:val="right"/>
        <w:rPr>
          <w:rFonts w:hint="default" w:eastAsia="宋体"/>
          <w:lang w:val="en-US" w:eastAsia="zh-CN"/>
        </w:rPr>
      </w:pPr>
      <w:r>
        <w:rPr>
          <w:rFonts w:hint="eastAsia"/>
        </w:rPr>
        <w:t>总经理（签字）：</w:t>
      </w:r>
      <w:r>
        <w:rPr>
          <w:rFonts w:hint="eastAsia"/>
          <w:lang w:val="en-US" w:eastAsia="zh-CN"/>
        </w:rPr>
        <w:t xml:space="preserve">      </w:t>
      </w:r>
    </w:p>
    <w:p>
      <w:pPr>
        <w:widowControl/>
        <w:wordWrap w:val="0"/>
        <w:spacing w:line="240" w:lineRule="auto"/>
        <w:ind w:firstLine="0" w:firstLineChars="0"/>
        <w:jc w:val="right"/>
      </w:pPr>
      <w:r>
        <w:rPr>
          <w:rFonts w:hint="eastAsia"/>
          <w:lang w:eastAsia="zh-CN"/>
        </w:rPr>
        <w:t>2020</w:t>
      </w:r>
      <w:r>
        <w:rPr>
          <w:rFonts w:hint="eastAsia"/>
        </w:rPr>
        <w:t xml:space="preserve">年 </w:t>
      </w:r>
      <w:r>
        <w:rPr>
          <w:rFonts w:hint="eastAsia"/>
          <w:lang w:val="en-US" w:eastAsia="zh-CN"/>
        </w:rPr>
        <w:t>9</w:t>
      </w:r>
      <w:r>
        <w:rPr>
          <w:rFonts w:hint="eastAsia"/>
        </w:rPr>
        <w:t xml:space="preserve">月 </w:t>
      </w:r>
      <w:r>
        <w:rPr>
          <w:rFonts w:hint="eastAsia"/>
          <w:lang w:val="en-US" w:eastAsia="zh-CN"/>
        </w:rPr>
        <w:t>25</w:t>
      </w:r>
      <w:r>
        <w:t xml:space="preserve"> </w:t>
      </w:r>
      <w:r>
        <w:rPr>
          <w:rFonts w:hint="eastAsia"/>
        </w:rPr>
        <w:t>日</w:t>
      </w:r>
    </w:p>
    <w:p>
      <w:pPr>
        <w:widowControl/>
        <w:spacing w:line="240" w:lineRule="auto"/>
        <w:ind w:firstLine="0" w:firstLineChars="0"/>
        <w:jc w:val="left"/>
        <w:sectPr>
          <w:pgSz w:w="11906" w:h="16838"/>
          <w:pgMar w:top="1304" w:right="1247" w:bottom="1304" w:left="1531" w:header="851" w:footer="851" w:gutter="0"/>
          <w:pgNumType w:fmt="decimal"/>
          <w:cols w:space="425" w:num="1"/>
          <w:docGrid w:type="lines" w:linePitch="312" w:charSpace="0"/>
        </w:sectPr>
      </w:pPr>
      <w:r>
        <w:br w:type="page"/>
      </w:r>
    </w:p>
    <w:p>
      <w:pPr>
        <w:widowControl/>
        <w:spacing w:line="240" w:lineRule="auto"/>
        <w:ind w:firstLine="0" w:firstLineChars="0"/>
        <w:jc w:val="left"/>
        <w:sectPr>
          <w:pgSz w:w="11906" w:h="16838"/>
          <w:pgMar w:top="1304" w:right="1247" w:bottom="1304" w:left="1531" w:header="851" w:footer="851" w:gutter="0"/>
          <w:pgNumType w:fmt="decimal"/>
          <w:cols w:space="425" w:num="1"/>
          <w:docGrid w:type="lines" w:linePitch="312" w:charSpace="0"/>
        </w:sectPr>
      </w:pPr>
    </w:p>
    <w:p>
      <w:pPr>
        <w:ind w:firstLine="0" w:firstLineChars="0"/>
        <w:jc w:val="center"/>
        <w:rPr>
          <w:b/>
        </w:rPr>
      </w:pPr>
      <w:r>
        <w:rPr>
          <w:rFonts w:hint="eastAsia"/>
          <w:b/>
        </w:rPr>
        <w:t>目录</w:t>
      </w:r>
    </w:p>
    <w:p>
      <w:pPr>
        <w:pStyle w:val="13"/>
        <w:tabs>
          <w:tab w:val="right" w:leader="dot" w:pos="9128"/>
          <w:tab w:val="clear" w:pos="9118"/>
        </w:tabs>
        <w:rPr>
          <w:sz w:val="24"/>
          <w:szCs w:val="24"/>
        </w:rPr>
      </w:pPr>
      <w:r>
        <w:rPr>
          <w:sz w:val="24"/>
          <w:szCs w:val="24"/>
        </w:rPr>
        <w:fldChar w:fldCharType="begin"/>
      </w:r>
      <w:r>
        <w:rPr>
          <w:sz w:val="24"/>
          <w:szCs w:val="24"/>
        </w:rPr>
        <w:instrText xml:space="preserve"> TOC \o "1-2" \h \z \u </w:instrText>
      </w:r>
      <w:r>
        <w:rPr>
          <w:sz w:val="24"/>
          <w:szCs w:val="24"/>
        </w:rPr>
        <w:fldChar w:fldCharType="separate"/>
      </w:r>
      <w:r>
        <w:rPr>
          <w:sz w:val="24"/>
          <w:szCs w:val="24"/>
        </w:rPr>
        <w:fldChar w:fldCharType="begin"/>
      </w:r>
      <w:r>
        <w:rPr>
          <w:sz w:val="24"/>
          <w:szCs w:val="24"/>
        </w:rPr>
        <w:instrText xml:space="preserve"> HYPERLINK \l _Toc24774 </w:instrText>
      </w:r>
      <w:r>
        <w:rPr>
          <w:sz w:val="24"/>
          <w:szCs w:val="24"/>
        </w:rPr>
        <w:fldChar w:fldCharType="separate"/>
      </w:r>
      <w:r>
        <w:rPr>
          <w:rFonts w:hint="default" w:ascii="Times New Roman" w:hAnsi="Times New Roman" w:eastAsia="宋体"/>
          <w:i w:val="0"/>
          <w:sz w:val="24"/>
          <w:szCs w:val="24"/>
        </w:rPr>
        <w:t xml:space="preserve">1 </w:t>
      </w:r>
      <w:r>
        <w:rPr>
          <w:rFonts w:hint="eastAsia"/>
          <w:sz w:val="24"/>
          <w:szCs w:val="24"/>
        </w:rPr>
        <w:t>总则</w:t>
      </w:r>
      <w:r>
        <w:rPr>
          <w:sz w:val="24"/>
          <w:szCs w:val="24"/>
        </w:rPr>
        <w:tab/>
      </w:r>
      <w:r>
        <w:rPr>
          <w:sz w:val="24"/>
          <w:szCs w:val="24"/>
        </w:rPr>
        <w:fldChar w:fldCharType="begin"/>
      </w:r>
      <w:r>
        <w:rPr>
          <w:sz w:val="24"/>
          <w:szCs w:val="24"/>
        </w:rPr>
        <w:instrText xml:space="preserve"> PAGEREF _Toc24774 </w:instrText>
      </w:r>
      <w:r>
        <w:rPr>
          <w:sz w:val="24"/>
          <w:szCs w:val="24"/>
        </w:rPr>
        <w:fldChar w:fldCharType="separate"/>
      </w:r>
      <w:r>
        <w:rPr>
          <w:sz w:val="24"/>
          <w:szCs w:val="24"/>
        </w:rPr>
        <w:t>1</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_Toc23246 </w:instrText>
      </w:r>
      <w:r>
        <w:rPr>
          <w:sz w:val="24"/>
          <w:szCs w:val="24"/>
        </w:rPr>
        <w:fldChar w:fldCharType="separate"/>
      </w:r>
      <w:r>
        <w:rPr>
          <w:rFonts w:hint="default" w:ascii="Times New Roman" w:hAnsi="Times New Roman" w:eastAsia="宋体"/>
          <w:i w:val="0"/>
          <w:sz w:val="24"/>
          <w:szCs w:val="24"/>
        </w:rPr>
        <w:t xml:space="preserve">1.1 </w:t>
      </w:r>
      <w:r>
        <w:rPr>
          <w:rFonts w:hint="eastAsia"/>
          <w:sz w:val="24"/>
          <w:szCs w:val="24"/>
        </w:rPr>
        <w:t>编制目的</w:t>
      </w:r>
      <w:r>
        <w:rPr>
          <w:sz w:val="24"/>
          <w:szCs w:val="24"/>
        </w:rPr>
        <w:tab/>
      </w:r>
      <w:r>
        <w:rPr>
          <w:sz w:val="24"/>
          <w:szCs w:val="24"/>
        </w:rPr>
        <w:fldChar w:fldCharType="begin"/>
      </w:r>
      <w:r>
        <w:rPr>
          <w:sz w:val="24"/>
          <w:szCs w:val="24"/>
        </w:rPr>
        <w:instrText xml:space="preserve"> PAGEREF _Toc23246 </w:instrText>
      </w:r>
      <w:r>
        <w:rPr>
          <w:sz w:val="24"/>
          <w:szCs w:val="24"/>
        </w:rPr>
        <w:fldChar w:fldCharType="separate"/>
      </w:r>
      <w:r>
        <w:rPr>
          <w:sz w:val="24"/>
          <w:szCs w:val="24"/>
        </w:rPr>
        <w:t>1</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_Toc23915 </w:instrText>
      </w:r>
      <w:r>
        <w:rPr>
          <w:sz w:val="24"/>
          <w:szCs w:val="24"/>
        </w:rPr>
        <w:fldChar w:fldCharType="separate"/>
      </w:r>
      <w:r>
        <w:rPr>
          <w:rFonts w:hint="default" w:ascii="Times New Roman" w:hAnsi="Times New Roman" w:eastAsia="宋体"/>
          <w:i w:val="0"/>
          <w:sz w:val="24"/>
          <w:szCs w:val="24"/>
        </w:rPr>
        <w:t xml:space="preserve">1.2 </w:t>
      </w:r>
      <w:r>
        <w:rPr>
          <w:rFonts w:hint="eastAsia"/>
          <w:sz w:val="24"/>
          <w:szCs w:val="24"/>
        </w:rPr>
        <w:t>编制依据</w:t>
      </w:r>
      <w:r>
        <w:rPr>
          <w:sz w:val="24"/>
          <w:szCs w:val="24"/>
        </w:rPr>
        <w:tab/>
      </w:r>
      <w:r>
        <w:rPr>
          <w:sz w:val="24"/>
          <w:szCs w:val="24"/>
        </w:rPr>
        <w:fldChar w:fldCharType="begin"/>
      </w:r>
      <w:r>
        <w:rPr>
          <w:sz w:val="24"/>
          <w:szCs w:val="24"/>
        </w:rPr>
        <w:instrText xml:space="preserve"> PAGEREF _Toc23915 </w:instrText>
      </w:r>
      <w:r>
        <w:rPr>
          <w:sz w:val="24"/>
          <w:szCs w:val="24"/>
        </w:rPr>
        <w:fldChar w:fldCharType="separate"/>
      </w:r>
      <w:r>
        <w:rPr>
          <w:sz w:val="24"/>
          <w:szCs w:val="24"/>
        </w:rPr>
        <w:t>1</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_Toc5347 </w:instrText>
      </w:r>
      <w:r>
        <w:rPr>
          <w:sz w:val="24"/>
          <w:szCs w:val="24"/>
        </w:rPr>
        <w:fldChar w:fldCharType="separate"/>
      </w:r>
      <w:r>
        <w:rPr>
          <w:rFonts w:hint="default" w:ascii="Times New Roman" w:hAnsi="Times New Roman" w:eastAsia="宋体"/>
          <w:i w:val="0"/>
          <w:sz w:val="24"/>
          <w:szCs w:val="24"/>
        </w:rPr>
        <w:t xml:space="preserve">1.3 </w:t>
      </w:r>
      <w:r>
        <w:rPr>
          <w:rFonts w:hint="eastAsia"/>
          <w:sz w:val="24"/>
          <w:szCs w:val="24"/>
        </w:rPr>
        <w:t>适用范围</w:t>
      </w:r>
      <w:r>
        <w:rPr>
          <w:sz w:val="24"/>
          <w:szCs w:val="24"/>
        </w:rPr>
        <w:tab/>
      </w:r>
      <w:r>
        <w:rPr>
          <w:sz w:val="24"/>
          <w:szCs w:val="24"/>
        </w:rPr>
        <w:fldChar w:fldCharType="begin"/>
      </w:r>
      <w:r>
        <w:rPr>
          <w:sz w:val="24"/>
          <w:szCs w:val="24"/>
        </w:rPr>
        <w:instrText xml:space="preserve"> PAGEREF _Toc5347 </w:instrText>
      </w:r>
      <w:r>
        <w:rPr>
          <w:sz w:val="24"/>
          <w:szCs w:val="24"/>
        </w:rPr>
        <w:fldChar w:fldCharType="separate"/>
      </w:r>
      <w:r>
        <w:rPr>
          <w:sz w:val="24"/>
          <w:szCs w:val="24"/>
        </w:rPr>
        <w:t>4</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_Toc15424 </w:instrText>
      </w:r>
      <w:r>
        <w:rPr>
          <w:sz w:val="24"/>
          <w:szCs w:val="24"/>
        </w:rPr>
        <w:fldChar w:fldCharType="separate"/>
      </w:r>
      <w:r>
        <w:rPr>
          <w:rFonts w:hint="default" w:ascii="Times New Roman" w:hAnsi="Times New Roman" w:eastAsia="宋体"/>
          <w:i w:val="0"/>
          <w:sz w:val="24"/>
          <w:szCs w:val="24"/>
        </w:rPr>
        <w:t xml:space="preserve">1.4 </w:t>
      </w:r>
      <w:r>
        <w:rPr>
          <w:rFonts w:hint="eastAsia"/>
          <w:sz w:val="24"/>
          <w:szCs w:val="24"/>
        </w:rPr>
        <w:t>事件分级</w:t>
      </w:r>
      <w:r>
        <w:rPr>
          <w:sz w:val="24"/>
          <w:szCs w:val="24"/>
        </w:rPr>
        <w:tab/>
      </w:r>
      <w:r>
        <w:rPr>
          <w:sz w:val="24"/>
          <w:szCs w:val="24"/>
        </w:rPr>
        <w:fldChar w:fldCharType="begin"/>
      </w:r>
      <w:r>
        <w:rPr>
          <w:sz w:val="24"/>
          <w:szCs w:val="24"/>
        </w:rPr>
        <w:instrText xml:space="preserve"> PAGEREF _Toc15424 </w:instrText>
      </w:r>
      <w:r>
        <w:rPr>
          <w:sz w:val="24"/>
          <w:szCs w:val="24"/>
        </w:rPr>
        <w:fldChar w:fldCharType="separate"/>
      </w:r>
      <w:r>
        <w:rPr>
          <w:sz w:val="24"/>
          <w:szCs w:val="24"/>
        </w:rPr>
        <w:t>4</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_Toc31186 </w:instrText>
      </w:r>
      <w:r>
        <w:rPr>
          <w:sz w:val="24"/>
          <w:szCs w:val="24"/>
        </w:rPr>
        <w:fldChar w:fldCharType="separate"/>
      </w:r>
      <w:r>
        <w:rPr>
          <w:rFonts w:hint="default" w:ascii="Times New Roman" w:hAnsi="Times New Roman" w:eastAsia="宋体"/>
          <w:i w:val="0"/>
          <w:sz w:val="24"/>
          <w:szCs w:val="24"/>
        </w:rPr>
        <w:t xml:space="preserve">1.5 </w:t>
      </w:r>
      <w:r>
        <w:rPr>
          <w:rFonts w:hint="eastAsia"/>
          <w:sz w:val="24"/>
          <w:szCs w:val="24"/>
        </w:rPr>
        <w:t>工作原则</w:t>
      </w:r>
      <w:r>
        <w:rPr>
          <w:sz w:val="24"/>
          <w:szCs w:val="24"/>
        </w:rPr>
        <w:tab/>
      </w:r>
      <w:r>
        <w:rPr>
          <w:sz w:val="24"/>
          <w:szCs w:val="24"/>
        </w:rPr>
        <w:fldChar w:fldCharType="begin"/>
      </w:r>
      <w:r>
        <w:rPr>
          <w:sz w:val="24"/>
          <w:szCs w:val="24"/>
        </w:rPr>
        <w:instrText xml:space="preserve"> PAGEREF _Toc31186 </w:instrText>
      </w:r>
      <w:r>
        <w:rPr>
          <w:sz w:val="24"/>
          <w:szCs w:val="24"/>
        </w:rPr>
        <w:fldChar w:fldCharType="separate"/>
      </w:r>
      <w:r>
        <w:rPr>
          <w:sz w:val="24"/>
          <w:szCs w:val="24"/>
        </w:rPr>
        <w:t>4</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_Toc3922 </w:instrText>
      </w:r>
      <w:r>
        <w:rPr>
          <w:sz w:val="24"/>
          <w:szCs w:val="24"/>
        </w:rPr>
        <w:fldChar w:fldCharType="separate"/>
      </w:r>
      <w:r>
        <w:rPr>
          <w:rFonts w:hint="default" w:ascii="Times New Roman" w:hAnsi="Times New Roman" w:eastAsia="宋体"/>
          <w:i w:val="0"/>
          <w:sz w:val="24"/>
          <w:szCs w:val="24"/>
        </w:rPr>
        <w:t xml:space="preserve">1.6 </w:t>
      </w:r>
      <w:r>
        <w:rPr>
          <w:rFonts w:hint="eastAsia"/>
          <w:sz w:val="24"/>
          <w:szCs w:val="24"/>
        </w:rPr>
        <w:t>应急预案体系</w:t>
      </w:r>
      <w:r>
        <w:rPr>
          <w:sz w:val="24"/>
          <w:szCs w:val="24"/>
        </w:rPr>
        <w:tab/>
      </w:r>
      <w:r>
        <w:rPr>
          <w:sz w:val="24"/>
          <w:szCs w:val="24"/>
        </w:rPr>
        <w:fldChar w:fldCharType="begin"/>
      </w:r>
      <w:r>
        <w:rPr>
          <w:sz w:val="24"/>
          <w:szCs w:val="24"/>
        </w:rPr>
        <w:instrText xml:space="preserve"> PAGEREF _Toc3922 </w:instrText>
      </w:r>
      <w:r>
        <w:rPr>
          <w:sz w:val="24"/>
          <w:szCs w:val="24"/>
        </w:rPr>
        <w:fldChar w:fldCharType="separate"/>
      </w:r>
      <w:r>
        <w:rPr>
          <w:sz w:val="24"/>
          <w:szCs w:val="24"/>
        </w:rPr>
        <w:t>5</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_Toc26782 </w:instrText>
      </w:r>
      <w:r>
        <w:rPr>
          <w:sz w:val="24"/>
          <w:szCs w:val="24"/>
        </w:rPr>
        <w:fldChar w:fldCharType="separate"/>
      </w:r>
      <w:r>
        <w:rPr>
          <w:rFonts w:hint="default" w:ascii="Times New Roman" w:hAnsi="Times New Roman" w:eastAsia="宋体"/>
          <w:i w:val="0"/>
          <w:sz w:val="24"/>
          <w:szCs w:val="24"/>
        </w:rPr>
        <w:t xml:space="preserve">2 </w:t>
      </w:r>
      <w:r>
        <w:rPr>
          <w:rFonts w:hint="eastAsia"/>
          <w:sz w:val="24"/>
          <w:szCs w:val="24"/>
        </w:rPr>
        <w:t>基本情况</w:t>
      </w:r>
      <w:r>
        <w:rPr>
          <w:sz w:val="24"/>
          <w:szCs w:val="24"/>
        </w:rPr>
        <w:tab/>
      </w:r>
      <w:r>
        <w:rPr>
          <w:sz w:val="24"/>
          <w:szCs w:val="24"/>
        </w:rPr>
        <w:fldChar w:fldCharType="begin"/>
      </w:r>
      <w:r>
        <w:rPr>
          <w:sz w:val="24"/>
          <w:szCs w:val="24"/>
        </w:rPr>
        <w:instrText xml:space="preserve"> PAGEREF _Toc26782 </w:instrText>
      </w:r>
      <w:r>
        <w:rPr>
          <w:sz w:val="24"/>
          <w:szCs w:val="24"/>
        </w:rPr>
        <w:fldChar w:fldCharType="separate"/>
      </w:r>
      <w:r>
        <w:rPr>
          <w:sz w:val="24"/>
          <w:szCs w:val="24"/>
        </w:rPr>
        <w:t>6</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_Toc16899 </w:instrText>
      </w:r>
      <w:r>
        <w:rPr>
          <w:sz w:val="24"/>
          <w:szCs w:val="24"/>
        </w:rPr>
        <w:fldChar w:fldCharType="separate"/>
      </w:r>
      <w:r>
        <w:rPr>
          <w:rFonts w:hint="default" w:ascii="Times New Roman" w:hAnsi="Times New Roman" w:eastAsia="宋体"/>
          <w:i w:val="0"/>
          <w:sz w:val="24"/>
          <w:szCs w:val="24"/>
        </w:rPr>
        <w:t xml:space="preserve">2.1 </w:t>
      </w:r>
      <w:r>
        <w:rPr>
          <w:rFonts w:hint="eastAsia"/>
          <w:sz w:val="24"/>
          <w:szCs w:val="24"/>
        </w:rPr>
        <w:t>企业概况</w:t>
      </w:r>
      <w:r>
        <w:rPr>
          <w:sz w:val="24"/>
          <w:szCs w:val="24"/>
        </w:rPr>
        <w:tab/>
      </w:r>
      <w:r>
        <w:rPr>
          <w:sz w:val="24"/>
          <w:szCs w:val="24"/>
        </w:rPr>
        <w:fldChar w:fldCharType="begin"/>
      </w:r>
      <w:r>
        <w:rPr>
          <w:sz w:val="24"/>
          <w:szCs w:val="24"/>
        </w:rPr>
        <w:instrText xml:space="preserve"> PAGEREF _Toc16899 </w:instrText>
      </w:r>
      <w:r>
        <w:rPr>
          <w:sz w:val="24"/>
          <w:szCs w:val="24"/>
        </w:rPr>
        <w:fldChar w:fldCharType="separate"/>
      </w:r>
      <w:r>
        <w:rPr>
          <w:sz w:val="24"/>
          <w:szCs w:val="24"/>
        </w:rPr>
        <w:t>6</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_Toc11751 </w:instrText>
      </w:r>
      <w:r>
        <w:rPr>
          <w:sz w:val="24"/>
          <w:szCs w:val="24"/>
        </w:rPr>
        <w:fldChar w:fldCharType="separate"/>
      </w:r>
      <w:r>
        <w:rPr>
          <w:rFonts w:hint="default" w:ascii="Times New Roman" w:hAnsi="Times New Roman" w:eastAsia="宋体"/>
          <w:i w:val="0"/>
          <w:sz w:val="24"/>
          <w:szCs w:val="24"/>
        </w:rPr>
        <w:t xml:space="preserve">3 </w:t>
      </w:r>
      <w:r>
        <w:rPr>
          <w:rFonts w:hint="eastAsia"/>
          <w:sz w:val="24"/>
          <w:szCs w:val="24"/>
        </w:rPr>
        <w:t>环境风险</w:t>
      </w:r>
      <w:r>
        <w:rPr>
          <w:rFonts w:hint="eastAsia"/>
          <w:sz w:val="24"/>
          <w:szCs w:val="24"/>
          <w:lang w:eastAsia="zh-CN"/>
        </w:rPr>
        <w:t>分析</w:t>
      </w:r>
      <w:r>
        <w:rPr>
          <w:sz w:val="24"/>
          <w:szCs w:val="24"/>
        </w:rPr>
        <w:tab/>
      </w:r>
      <w:r>
        <w:rPr>
          <w:sz w:val="24"/>
          <w:szCs w:val="24"/>
        </w:rPr>
        <w:fldChar w:fldCharType="begin"/>
      </w:r>
      <w:r>
        <w:rPr>
          <w:sz w:val="24"/>
          <w:szCs w:val="24"/>
        </w:rPr>
        <w:instrText xml:space="preserve"> PAGEREF _Toc11751 </w:instrText>
      </w:r>
      <w:r>
        <w:rPr>
          <w:sz w:val="24"/>
          <w:szCs w:val="24"/>
        </w:rPr>
        <w:fldChar w:fldCharType="separate"/>
      </w:r>
      <w:r>
        <w:rPr>
          <w:sz w:val="24"/>
          <w:szCs w:val="24"/>
        </w:rPr>
        <w:t>13</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_Toc18991 </w:instrText>
      </w:r>
      <w:r>
        <w:rPr>
          <w:sz w:val="24"/>
          <w:szCs w:val="24"/>
        </w:rPr>
        <w:fldChar w:fldCharType="separate"/>
      </w:r>
      <w:r>
        <w:rPr>
          <w:rFonts w:hint="default" w:ascii="Times New Roman" w:hAnsi="Times New Roman" w:eastAsia="宋体"/>
          <w:i w:val="0"/>
          <w:sz w:val="24"/>
          <w:szCs w:val="24"/>
        </w:rPr>
        <w:t xml:space="preserve">3.1 </w:t>
      </w:r>
      <w:r>
        <w:rPr>
          <w:rFonts w:hint="eastAsia"/>
          <w:sz w:val="24"/>
          <w:szCs w:val="24"/>
        </w:rPr>
        <w:t>环境风险等级</w:t>
      </w:r>
      <w:r>
        <w:rPr>
          <w:sz w:val="24"/>
          <w:szCs w:val="24"/>
        </w:rPr>
        <w:tab/>
      </w:r>
      <w:r>
        <w:rPr>
          <w:sz w:val="24"/>
          <w:szCs w:val="24"/>
        </w:rPr>
        <w:fldChar w:fldCharType="begin"/>
      </w:r>
      <w:r>
        <w:rPr>
          <w:sz w:val="24"/>
          <w:szCs w:val="24"/>
        </w:rPr>
        <w:instrText xml:space="preserve"> PAGEREF _Toc18991 </w:instrText>
      </w:r>
      <w:r>
        <w:rPr>
          <w:sz w:val="24"/>
          <w:szCs w:val="24"/>
        </w:rPr>
        <w:fldChar w:fldCharType="separate"/>
      </w:r>
      <w:r>
        <w:rPr>
          <w:sz w:val="24"/>
          <w:szCs w:val="24"/>
        </w:rPr>
        <w:t>13</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_Toc15598 </w:instrText>
      </w:r>
      <w:r>
        <w:rPr>
          <w:sz w:val="24"/>
          <w:szCs w:val="24"/>
        </w:rPr>
        <w:fldChar w:fldCharType="separate"/>
      </w:r>
      <w:r>
        <w:rPr>
          <w:rFonts w:hint="default" w:ascii="Times New Roman" w:hAnsi="Times New Roman" w:eastAsia="宋体"/>
          <w:i w:val="0"/>
          <w:sz w:val="24"/>
          <w:szCs w:val="24"/>
        </w:rPr>
        <w:t xml:space="preserve">3.2 </w:t>
      </w:r>
      <w:r>
        <w:rPr>
          <w:rFonts w:hint="eastAsia"/>
          <w:sz w:val="24"/>
          <w:szCs w:val="24"/>
          <w:lang w:eastAsia="zh-CN"/>
        </w:rPr>
        <w:t>主要风险源</w:t>
      </w:r>
      <w:r>
        <w:rPr>
          <w:sz w:val="24"/>
          <w:szCs w:val="24"/>
        </w:rPr>
        <w:tab/>
      </w:r>
      <w:r>
        <w:rPr>
          <w:sz w:val="24"/>
          <w:szCs w:val="24"/>
        </w:rPr>
        <w:fldChar w:fldCharType="begin"/>
      </w:r>
      <w:r>
        <w:rPr>
          <w:sz w:val="24"/>
          <w:szCs w:val="24"/>
        </w:rPr>
        <w:instrText xml:space="preserve"> PAGEREF _Toc15598 </w:instrText>
      </w:r>
      <w:r>
        <w:rPr>
          <w:sz w:val="24"/>
          <w:szCs w:val="24"/>
        </w:rPr>
        <w:fldChar w:fldCharType="separate"/>
      </w:r>
      <w:r>
        <w:rPr>
          <w:sz w:val="24"/>
          <w:szCs w:val="24"/>
        </w:rPr>
        <w:t>13</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_Toc6044 </w:instrText>
      </w:r>
      <w:r>
        <w:rPr>
          <w:sz w:val="24"/>
          <w:szCs w:val="24"/>
        </w:rPr>
        <w:fldChar w:fldCharType="separate"/>
      </w:r>
      <w:r>
        <w:rPr>
          <w:rFonts w:hint="default" w:ascii="Times New Roman" w:hAnsi="Times New Roman" w:eastAsia="宋体"/>
          <w:i w:val="0"/>
          <w:sz w:val="24"/>
          <w:szCs w:val="24"/>
        </w:rPr>
        <w:t xml:space="preserve">4 </w:t>
      </w:r>
      <w:r>
        <w:rPr>
          <w:rFonts w:hint="eastAsia"/>
          <w:sz w:val="24"/>
          <w:szCs w:val="24"/>
          <w:lang w:eastAsia="zh-CN"/>
        </w:rPr>
        <w:t>应急</w:t>
      </w:r>
      <w:r>
        <w:rPr>
          <w:rFonts w:hint="eastAsia"/>
          <w:sz w:val="24"/>
          <w:szCs w:val="24"/>
        </w:rPr>
        <w:t>组织机构和职责</w:t>
      </w:r>
      <w:r>
        <w:rPr>
          <w:sz w:val="24"/>
          <w:szCs w:val="24"/>
        </w:rPr>
        <w:tab/>
      </w:r>
      <w:r>
        <w:rPr>
          <w:sz w:val="24"/>
          <w:szCs w:val="24"/>
        </w:rPr>
        <w:fldChar w:fldCharType="begin"/>
      </w:r>
      <w:r>
        <w:rPr>
          <w:sz w:val="24"/>
          <w:szCs w:val="24"/>
        </w:rPr>
        <w:instrText xml:space="preserve"> PAGEREF _Toc6044 </w:instrText>
      </w:r>
      <w:r>
        <w:rPr>
          <w:sz w:val="24"/>
          <w:szCs w:val="24"/>
        </w:rPr>
        <w:fldChar w:fldCharType="separate"/>
      </w:r>
      <w:r>
        <w:rPr>
          <w:sz w:val="24"/>
          <w:szCs w:val="24"/>
        </w:rPr>
        <w:t>14</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_Toc4543 </w:instrText>
      </w:r>
      <w:r>
        <w:rPr>
          <w:sz w:val="24"/>
          <w:szCs w:val="24"/>
        </w:rPr>
        <w:fldChar w:fldCharType="separate"/>
      </w:r>
      <w:r>
        <w:rPr>
          <w:rFonts w:hint="default" w:ascii="Times New Roman" w:hAnsi="Times New Roman" w:eastAsia="宋体"/>
          <w:i w:val="0"/>
          <w:sz w:val="24"/>
          <w:szCs w:val="24"/>
        </w:rPr>
        <w:t xml:space="preserve">4.1 </w:t>
      </w:r>
      <w:r>
        <w:rPr>
          <w:rFonts w:hint="eastAsia"/>
          <w:sz w:val="24"/>
          <w:szCs w:val="24"/>
          <w:lang w:eastAsia="zh-CN"/>
        </w:rPr>
        <w:t>内部应急</w:t>
      </w:r>
      <w:r>
        <w:rPr>
          <w:rFonts w:hint="eastAsia"/>
          <w:sz w:val="24"/>
          <w:szCs w:val="24"/>
        </w:rPr>
        <w:t>组织机构</w:t>
      </w:r>
      <w:r>
        <w:rPr>
          <w:sz w:val="24"/>
          <w:szCs w:val="24"/>
        </w:rPr>
        <w:tab/>
      </w:r>
      <w:r>
        <w:rPr>
          <w:sz w:val="24"/>
          <w:szCs w:val="24"/>
        </w:rPr>
        <w:fldChar w:fldCharType="begin"/>
      </w:r>
      <w:r>
        <w:rPr>
          <w:sz w:val="24"/>
          <w:szCs w:val="24"/>
        </w:rPr>
        <w:instrText xml:space="preserve"> PAGEREF _Toc4543 </w:instrText>
      </w:r>
      <w:r>
        <w:rPr>
          <w:sz w:val="24"/>
          <w:szCs w:val="24"/>
        </w:rPr>
        <w:fldChar w:fldCharType="separate"/>
      </w:r>
      <w:r>
        <w:rPr>
          <w:sz w:val="24"/>
          <w:szCs w:val="24"/>
        </w:rPr>
        <w:t>14</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_Toc23554 </w:instrText>
      </w:r>
      <w:r>
        <w:rPr>
          <w:sz w:val="24"/>
          <w:szCs w:val="24"/>
        </w:rPr>
        <w:fldChar w:fldCharType="separate"/>
      </w:r>
      <w:r>
        <w:rPr>
          <w:rFonts w:hint="default" w:ascii="Times New Roman" w:hAnsi="Times New Roman" w:eastAsia="宋体"/>
          <w:i w:val="0"/>
          <w:sz w:val="24"/>
          <w:szCs w:val="24"/>
        </w:rPr>
        <w:t xml:space="preserve">4.2 </w:t>
      </w:r>
      <w:r>
        <w:rPr>
          <w:rFonts w:hint="eastAsia"/>
          <w:sz w:val="24"/>
          <w:szCs w:val="24"/>
        </w:rPr>
        <w:t>职责</w:t>
      </w:r>
      <w:r>
        <w:rPr>
          <w:sz w:val="24"/>
          <w:szCs w:val="24"/>
        </w:rPr>
        <w:tab/>
      </w:r>
      <w:r>
        <w:rPr>
          <w:sz w:val="24"/>
          <w:szCs w:val="24"/>
        </w:rPr>
        <w:fldChar w:fldCharType="begin"/>
      </w:r>
      <w:r>
        <w:rPr>
          <w:sz w:val="24"/>
          <w:szCs w:val="24"/>
        </w:rPr>
        <w:instrText xml:space="preserve"> PAGEREF _Toc23554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_Toc3495 </w:instrText>
      </w:r>
      <w:r>
        <w:rPr>
          <w:sz w:val="24"/>
          <w:szCs w:val="24"/>
        </w:rPr>
        <w:fldChar w:fldCharType="separate"/>
      </w:r>
      <w:r>
        <w:rPr>
          <w:rFonts w:hint="eastAsia" w:ascii="Times New Roman" w:hAnsi="Times New Roman"/>
          <w:bCs/>
          <w:sz w:val="24"/>
          <w:szCs w:val="24"/>
          <w:lang w:val="en-US" w:eastAsia="zh-CN"/>
        </w:rPr>
        <w:t>4.</w:t>
      </w:r>
      <w:r>
        <w:rPr>
          <w:rFonts w:ascii="Times New Roman" w:hAnsi="Times New Roman"/>
          <w:bCs/>
          <w:sz w:val="24"/>
          <w:szCs w:val="24"/>
        </w:rPr>
        <w:t>2.1应急指挥中心</w:t>
      </w:r>
      <w:r>
        <w:rPr>
          <w:sz w:val="24"/>
          <w:szCs w:val="24"/>
        </w:rPr>
        <w:tab/>
      </w:r>
      <w:r>
        <w:rPr>
          <w:sz w:val="24"/>
          <w:szCs w:val="24"/>
        </w:rPr>
        <w:fldChar w:fldCharType="begin"/>
      </w:r>
      <w:r>
        <w:rPr>
          <w:sz w:val="24"/>
          <w:szCs w:val="24"/>
        </w:rPr>
        <w:instrText xml:space="preserve"> PAGEREF _Toc3495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_Toc22562 </w:instrText>
      </w:r>
      <w:r>
        <w:rPr>
          <w:sz w:val="24"/>
          <w:szCs w:val="24"/>
        </w:rPr>
        <w:fldChar w:fldCharType="separate"/>
      </w:r>
      <w:r>
        <w:rPr>
          <w:rFonts w:hint="eastAsia" w:ascii="Times New Roman" w:hAnsi="Times New Roman"/>
          <w:bCs/>
          <w:sz w:val="24"/>
          <w:szCs w:val="24"/>
          <w:lang w:val="en-US" w:eastAsia="zh-CN"/>
        </w:rPr>
        <w:t>4.</w:t>
      </w:r>
      <w:r>
        <w:rPr>
          <w:rFonts w:ascii="Times New Roman" w:hAnsi="Times New Roman"/>
          <w:bCs/>
          <w:sz w:val="24"/>
          <w:szCs w:val="24"/>
        </w:rPr>
        <w:t>2.2应急办公室</w:t>
      </w:r>
      <w:r>
        <w:rPr>
          <w:sz w:val="24"/>
          <w:szCs w:val="24"/>
        </w:rPr>
        <w:tab/>
      </w:r>
      <w:r>
        <w:rPr>
          <w:sz w:val="24"/>
          <w:szCs w:val="24"/>
        </w:rPr>
        <w:fldChar w:fldCharType="begin"/>
      </w:r>
      <w:r>
        <w:rPr>
          <w:sz w:val="24"/>
          <w:szCs w:val="24"/>
        </w:rPr>
        <w:instrText xml:space="preserve"> PAGEREF _Toc22562 </w:instrText>
      </w:r>
      <w:r>
        <w:rPr>
          <w:sz w:val="24"/>
          <w:szCs w:val="24"/>
        </w:rPr>
        <w:fldChar w:fldCharType="separate"/>
      </w:r>
      <w:r>
        <w:rPr>
          <w:sz w:val="24"/>
          <w:szCs w:val="24"/>
        </w:rPr>
        <w:t>16</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_Toc26719 </w:instrText>
      </w:r>
      <w:r>
        <w:rPr>
          <w:sz w:val="24"/>
          <w:szCs w:val="24"/>
        </w:rPr>
        <w:fldChar w:fldCharType="separate"/>
      </w:r>
      <w:r>
        <w:rPr>
          <w:rFonts w:hint="eastAsia" w:ascii="Times New Roman" w:hAnsi="Times New Roman"/>
          <w:bCs/>
          <w:sz w:val="24"/>
          <w:szCs w:val="24"/>
          <w:lang w:val="en-US" w:eastAsia="zh-CN"/>
        </w:rPr>
        <w:t>4.</w:t>
      </w:r>
      <w:r>
        <w:rPr>
          <w:rFonts w:ascii="Times New Roman" w:hAnsi="Times New Roman"/>
          <w:bCs/>
          <w:sz w:val="24"/>
          <w:szCs w:val="24"/>
        </w:rPr>
        <w:t>2.3现场指挥部</w:t>
      </w:r>
      <w:r>
        <w:rPr>
          <w:sz w:val="24"/>
          <w:szCs w:val="24"/>
        </w:rPr>
        <w:tab/>
      </w:r>
      <w:r>
        <w:rPr>
          <w:sz w:val="24"/>
          <w:szCs w:val="24"/>
        </w:rPr>
        <w:fldChar w:fldCharType="begin"/>
      </w:r>
      <w:r>
        <w:rPr>
          <w:sz w:val="24"/>
          <w:szCs w:val="24"/>
        </w:rPr>
        <w:instrText xml:space="preserve"> PAGEREF _Toc26719 </w:instrText>
      </w:r>
      <w:r>
        <w:rPr>
          <w:sz w:val="24"/>
          <w:szCs w:val="24"/>
        </w:rPr>
        <w:fldChar w:fldCharType="separate"/>
      </w:r>
      <w:r>
        <w:rPr>
          <w:sz w:val="24"/>
          <w:szCs w:val="24"/>
        </w:rPr>
        <w:t>16</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_Toc32457 </w:instrText>
      </w:r>
      <w:r>
        <w:rPr>
          <w:sz w:val="24"/>
          <w:szCs w:val="24"/>
        </w:rPr>
        <w:fldChar w:fldCharType="separate"/>
      </w:r>
      <w:r>
        <w:rPr>
          <w:rFonts w:hint="eastAsia" w:ascii="Times New Roman" w:hAnsi="Times New Roman"/>
          <w:bCs/>
          <w:sz w:val="24"/>
          <w:szCs w:val="24"/>
          <w:lang w:val="en-US" w:eastAsia="zh-CN"/>
        </w:rPr>
        <w:t>4.</w:t>
      </w:r>
      <w:r>
        <w:rPr>
          <w:rFonts w:ascii="Times New Roman" w:hAnsi="Times New Roman"/>
          <w:bCs/>
          <w:sz w:val="24"/>
          <w:szCs w:val="24"/>
        </w:rPr>
        <w:t>2.4应急工作小组</w:t>
      </w:r>
      <w:r>
        <w:rPr>
          <w:sz w:val="24"/>
          <w:szCs w:val="24"/>
        </w:rPr>
        <w:tab/>
      </w:r>
      <w:r>
        <w:rPr>
          <w:sz w:val="24"/>
          <w:szCs w:val="24"/>
        </w:rPr>
        <w:fldChar w:fldCharType="begin"/>
      </w:r>
      <w:r>
        <w:rPr>
          <w:sz w:val="24"/>
          <w:szCs w:val="24"/>
        </w:rPr>
        <w:instrText xml:space="preserve"> PAGEREF _Toc32457 </w:instrText>
      </w:r>
      <w:r>
        <w:rPr>
          <w:sz w:val="24"/>
          <w:szCs w:val="24"/>
        </w:rPr>
        <w:fldChar w:fldCharType="separate"/>
      </w:r>
      <w:r>
        <w:rPr>
          <w:sz w:val="24"/>
          <w:szCs w:val="24"/>
        </w:rPr>
        <w:t>16</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_Toc25496 </w:instrText>
      </w:r>
      <w:r>
        <w:rPr>
          <w:sz w:val="24"/>
          <w:szCs w:val="24"/>
        </w:rPr>
        <w:fldChar w:fldCharType="separate"/>
      </w:r>
      <w:r>
        <w:rPr>
          <w:rFonts w:hint="default" w:ascii="Times New Roman" w:hAnsi="Times New Roman" w:eastAsia="宋体"/>
          <w:i w:val="0"/>
          <w:sz w:val="24"/>
          <w:szCs w:val="24"/>
        </w:rPr>
        <w:t xml:space="preserve">4.3 </w:t>
      </w:r>
      <w:r>
        <w:rPr>
          <w:rFonts w:hint="eastAsia"/>
          <w:sz w:val="24"/>
          <w:szCs w:val="24"/>
          <w:lang w:eastAsia="zh-CN"/>
        </w:rPr>
        <w:t>外部应急救援机构</w:t>
      </w:r>
      <w:r>
        <w:rPr>
          <w:sz w:val="24"/>
          <w:szCs w:val="24"/>
        </w:rPr>
        <w:tab/>
      </w:r>
      <w:r>
        <w:rPr>
          <w:sz w:val="24"/>
          <w:szCs w:val="24"/>
        </w:rPr>
        <w:fldChar w:fldCharType="begin"/>
      </w:r>
      <w:r>
        <w:rPr>
          <w:sz w:val="24"/>
          <w:szCs w:val="24"/>
        </w:rPr>
        <w:instrText xml:space="preserve"> PAGEREF _Toc25496 </w:instrText>
      </w:r>
      <w:r>
        <w:rPr>
          <w:sz w:val="24"/>
          <w:szCs w:val="24"/>
        </w:rPr>
        <w:fldChar w:fldCharType="separate"/>
      </w:r>
      <w:r>
        <w:rPr>
          <w:sz w:val="24"/>
          <w:szCs w:val="24"/>
        </w:rPr>
        <w:t>18</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_Toc1201 </w:instrText>
      </w:r>
      <w:r>
        <w:rPr>
          <w:sz w:val="24"/>
          <w:szCs w:val="24"/>
        </w:rPr>
        <w:fldChar w:fldCharType="separate"/>
      </w:r>
      <w:r>
        <w:rPr>
          <w:rFonts w:hint="default" w:ascii="Times New Roman" w:hAnsi="Times New Roman" w:eastAsia="宋体"/>
          <w:i w:val="0"/>
          <w:sz w:val="24"/>
          <w:szCs w:val="24"/>
        </w:rPr>
        <w:t xml:space="preserve">5 </w:t>
      </w:r>
      <w:r>
        <w:rPr>
          <w:rFonts w:hint="eastAsia"/>
          <w:sz w:val="24"/>
          <w:szCs w:val="24"/>
        </w:rPr>
        <w:t>预防、预警及信息报告</w:t>
      </w:r>
      <w:r>
        <w:rPr>
          <w:sz w:val="24"/>
          <w:szCs w:val="24"/>
        </w:rPr>
        <w:tab/>
      </w:r>
      <w:r>
        <w:rPr>
          <w:sz w:val="24"/>
          <w:szCs w:val="24"/>
        </w:rPr>
        <w:fldChar w:fldCharType="begin"/>
      </w:r>
      <w:r>
        <w:rPr>
          <w:sz w:val="24"/>
          <w:szCs w:val="24"/>
        </w:rPr>
        <w:instrText xml:space="preserve"> PAGEREF _Toc1201 </w:instrText>
      </w:r>
      <w:r>
        <w:rPr>
          <w:sz w:val="24"/>
          <w:szCs w:val="24"/>
        </w:rPr>
        <w:fldChar w:fldCharType="separate"/>
      </w:r>
      <w:r>
        <w:rPr>
          <w:sz w:val="24"/>
          <w:szCs w:val="24"/>
        </w:rPr>
        <w:t>20</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_Toc7110 </w:instrText>
      </w:r>
      <w:r>
        <w:rPr>
          <w:sz w:val="24"/>
          <w:szCs w:val="24"/>
        </w:rPr>
        <w:fldChar w:fldCharType="separate"/>
      </w:r>
      <w:r>
        <w:rPr>
          <w:rFonts w:hint="default" w:ascii="Times New Roman" w:hAnsi="Times New Roman" w:eastAsia="宋体"/>
          <w:i w:val="0"/>
          <w:sz w:val="24"/>
          <w:szCs w:val="24"/>
        </w:rPr>
        <w:t xml:space="preserve">5.1 </w:t>
      </w:r>
      <w:r>
        <w:rPr>
          <w:rFonts w:hint="eastAsia"/>
          <w:sz w:val="24"/>
          <w:szCs w:val="24"/>
        </w:rPr>
        <w:t>预防</w:t>
      </w:r>
      <w:r>
        <w:rPr>
          <w:sz w:val="24"/>
          <w:szCs w:val="24"/>
        </w:rPr>
        <w:tab/>
      </w:r>
      <w:r>
        <w:rPr>
          <w:sz w:val="24"/>
          <w:szCs w:val="24"/>
        </w:rPr>
        <w:fldChar w:fldCharType="begin"/>
      </w:r>
      <w:r>
        <w:rPr>
          <w:sz w:val="24"/>
          <w:szCs w:val="24"/>
        </w:rPr>
        <w:instrText xml:space="preserve"> PAGEREF _Toc7110 </w:instrText>
      </w:r>
      <w:r>
        <w:rPr>
          <w:sz w:val="24"/>
          <w:szCs w:val="24"/>
        </w:rPr>
        <w:fldChar w:fldCharType="separate"/>
      </w:r>
      <w:r>
        <w:rPr>
          <w:sz w:val="24"/>
          <w:szCs w:val="24"/>
        </w:rPr>
        <w:t>20</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_Toc27802 </w:instrText>
      </w:r>
      <w:r>
        <w:rPr>
          <w:sz w:val="24"/>
          <w:szCs w:val="24"/>
        </w:rPr>
        <w:fldChar w:fldCharType="separate"/>
      </w:r>
      <w:r>
        <w:rPr>
          <w:rFonts w:hint="default" w:ascii="Times New Roman" w:hAnsi="Times New Roman" w:eastAsia="宋体"/>
          <w:i w:val="0"/>
          <w:sz w:val="24"/>
          <w:szCs w:val="24"/>
        </w:rPr>
        <w:t xml:space="preserve">5.2 </w:t>
      </w:r>
      <w:r>
        <w:rPr>
          <w:rFonts w:hint="eastAsia"/>
          <w:sz w:val="24"/>
          <w:szCs w:val="24"/>
        </w:rPr>
        <w:t>预警</w:t>
      </w:r>
      <w:r>
        <w:rPr>
          <w:sz w:val="24"/>
          <w:szCs w:val="24"/>
        </w:rPr>
        <w:tab/>
      </w:r>
      <w:r>
        <w:rPr>
          <w:sz w:val="24"/>
          <w:szCs w:val="24"/>
        </w:rPr>
        <w:fldChar w:fldCharType="begin"/>
      </w:r>
      <w:r>
        <w:rPr>
          <w:sz w:val="24"/>
          <w:szCs w:val="24"/>
        </w:rPr>
        <w:instrText xml:space="preserve"> PAGEREF _Toc27802 </w:instrText>
      </w:r>
      <w:r>
        <w:rPr>
          <w:sz w:val="24"/>
          <w:szCs w:val="24"/>
        </w:rPr>
        <w:fldChar w:fldCharType="separate"/>
      </w:r>
      <w:r>
        <w:rPr>
          <w:sz w:val="24"/>
          <w:szCs w:val="24"/>
        </w:rPr>
        <w:t>21</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_Toc26712 </w:instrText>
      </w:r>
      <w:r>
        <w:rPr>
          <w:sz w:val="24"/>
          <w:szCs w:val="24"/>
        </w:rPr>
        <w:fldChar w:fldCharType="separate"/>
      </w:r>
      <w:r>
        <w:rPr>
          <w:rFonts w:hint="default" w:ascii="Times New Roman" w:hAnsi="Times New Roman" w:eastAsia="宋体"/>
          <w:i w:val="0"/>
          <w:sz w:val="24"/>
          <w:szCs w:val="24"/>
        </w:rPr>
        <w:t xml:space="preserve">5.3 </w:t>
      </w:r>
      <w:r>
        <w:rPr>
          <w:rFonts w:hint="eastAsia"/>
          <w:sz w:val="24"/>
          <w:szCs w:val="24"/>
        </w:rPr>
        <w:t>信息报告</w:t>
      </w:r>
      <w:r>
        <w:rPr>
          <w:sz w:val="24"/>
          <w:szCs w:val="24"/>
        </w:rPr>
        <w:tab/>
      </w:r>
      <w:r>
        <w:rPr>
          <w:sz w:val="24"/>
          <w:szCs w:val="24"/>
        </w:rPr>
        <w:fldChar w:fldCharType="begin"/>
      </w:r>
      <w:r>
        <w:rPr>
          <w:sz w:val="24"/>
          <w:szCs w:val="24"/>
        </w:rPr>
        <w:instrText xml:space="preserve"> PAGEREF _Toc26712 </w:instrText>
      </w:r>
      <w:r>
        <w:rPr>
          <w:sz w:val="24"/>
          <w:szCs w:val="24"/>
        </w:rPr>
        <w:fldChar w:fldCharType="separate"/>
      </w:r>
      <w:r>
        <w:rPr>
          <w:sz w:val="24"/>
          <w:szCs w:val="24"/>
        </w:rPr>
        <w:t>22</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_Toc22810 </w:instrText>
      </w:r>
      <w:r>
        <w:rPr>
          <w:sz w:val="24"/>
          <w:szCs w:val="24"/>
        </w:rPr>
        <w:fldChar w:fldCharType="separate"/>
      </w:r>
      <w:r>
        <w:rPr>
          <w:rFonts w:hint="default" w:ascii="Times New Roman" w:hAnsi="Times New Roman" w:eastAsia="宋体"/>
          <w:i w:val="0"/>
          <w:sz w:val="24"/>
          <w:szCs w:val="24"/>
        </w:rPr>
        <w:t xml:space="preserve">6 </w:t>
      </w:r>
      <w:r>
        <w:rPr>
          <w:rFonts w:hint="eastAsia"/>
          <w:sz w:val="24"/>
          <w:szCs w:val="24"/>
        </w:rPr>
        <w:t>信息报告与通报</w:t>
      </w:r>
      <w:r>
        <w:rPr>
          <w:sz w:val="24"/>
          <w:szCs w:val="24"/>
        </w:rPr>
        <w:tab/>
      </w:r>
      <w:r>
        <w:rPr>
          <w:sz w:val="24"/>
          <w:szCs w:val="24"/>
        </w:rPr>
        <w:fldChar w:fldCharType="begin"/>
      </w:r>
      <w:r>
        <w:rPr>
          <w:sz w:val="24"/>
          <w:szCs w:val="24"/>
        </w:rPr>
        <w:instrText xml:space="preserve"> PAGEREF _Toc22810 </w:instrText>
      </w:r>
      <w:r>
        <w:rPr>
          <w:sz w:val="24"/>
          <w:szCs w:val="24"/>
        </w:rPr>
        <w:fldChar w:fldCharType="separate"/>
      </w:r>
      <w:r>
        <w:rPr>
          <w:sz w:val="24"/>
          <w:szCs w:val="24"/>
        </w:rPr>
        <w:t>23</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_Toc3791 </w:instrText>
      </w:r>
      <w:r>
        <w:rPr>
          <w:sz w:val="24"/>
          <w:szCs w:val="24"/>
        </w:rPr>
        <w:fldChar w:fldCharType="separate"/>
      </w:r>
      <w:r>
        <w:rPr>
          <w:rFonts w:hint="default" w:ascii="Times New Roman" w:hAnsi="Times New Roman" w:eastAsia="宋体"/>
          <w:i w:val="0"/>
          <w:sz w:val="24"/>
          <w:szCs w:val="24"/>
        </w:rPr>
        <w:t xml:space="preserve">6.1 </w:t>
      </w:r>
      <w:r>
        <w:rPr>
          <w:rFonts w:hint="eastAsia"/>
          <w:sz w:val="24"/>
          <w:szCs w:val="24"/>
        </w:rPr>
        <w:t>内部报告</w:t>
      </w:r>
      <w:r>
        <w:rPr>
          <w:sz w:val="24"/>
          <w:szCs w:val="24"/>
        </w:rPr>
        <w:tab/>
      </w:r>
      <w:r>
        <w:rPr>
          <w:sz w:val="24"/>
          <w:szCs w:val="24"/>
        </w:rPr>
        <w:fldChar w:fldCharType="begin"/>
      </w:r>
      <w:r>
        <w:rPr>
          <w:sz w:val="24"/>
          <w:szCs w:val="24"/>
        </w:rPr>
        <w:instrText xml:space="preserve"> PAGEREF _Toc3791 </w:instrText>
      </w:r>
      <w:r>
        <w:rPr>
          <w:sz w:val="24"/>
          <w:szCs w:val="24"/>
        </w:rPr>
        <w:fldChar w:fldCharType="separate"/>
      </w:r>
      <w:r>
        <w:rPr>
          <w:sz w:val="24"/>
          <w:szCs w:val="24"/>
        </w:rPr>
        <w:t>23</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_Toc31216 </w:instrText>
      </w:r>
      <w:r>
        <w:rPr>
          <w:sz w:val="24"/>
          <w:szCs w:val="24"/>
        </w:rPr>
        <w:fldChar w:fldCharType="separate"/>
      </w:r>
      <w:r>
        <w:rPr>
          <w:rFonts w:hint="default" w:ascii="Times New Roman" w:hAnsi="Times New Roman" w:eastAsia="宋体"/>
          <w:i w:val="0"/>
          <w:sz w:val="24"/>
          <w:szCs w:val="24"/>
        </w:rPr>
        <w:t xml:space="preserve">6.2 </w:t>
      </w:r>
      <w:r>
        <w:rPr>
          <w:rFonts w:hint="eastAsia"/>
          <w:sz w:val="24"/>
          <w:szCs w:val="24"/>
        </w:rPr>
        <w:t>信息上报</w:t>
      </w:r>
      <w:r>
        <w:rPr>
          <w:sz w:val="24"/>
          <w:szCs w:val="24"/>
        </w:rPr>
        <w:tab/>
      </w:r>
      <w:r>
        <w:rPr>
          <w:sz w:val="24"/>
          <w:szCs w:val="24"/>
        </w:rPr>
        <w:fldChar w:fldCharType="begin"/>
      </w:r>
      <w:r>
        <w:rPr>
          <w:sz w:val="24"/>
          <w:szCs w:val="24"/>
        </w:rPr>
        <w:instrText xml:space="preserve"> PAGEREF _Toc31216 </w:instrText>
      </w:r>
      <w:r>
        <w:rPr>
          <w:sz w:val="24"/>
          <w:szCs w:val="24"/>
        </w:rPr>
        <w:fldChar w:fldCharType="separate"/>
      </w:r>
      <w:r>
        <w:rPr>
          <w:sz w:val="24"/>
          <w:szCs w:val="24"/>
        </w:rPr>
        <w:t>24</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_Toc26435 </w:instrText>
      </w:r>
      <w:r>
        <w:rPr>
          <w:sz w:val="24"/>
          <w:szCs w:val="24"/>
        </w:rPr>
        <w:fldChar w:fldCharType="separate"/>
      </w:r>
      <w:r>
        <w:rPr>
          <w:rFonts w:hint="default" w:ascii="Times New Roman" w:hAnsi="Times New Roman" w:eastAsia="宋体"/>
          <w:i w:val="0"/>
          <w:sz w:val="24"/>
          <w:szCs w:val="24"/>
        </w:rPr>
        <w:t xml:space="preserve">6.3 </w:t>
      </w:r>
      <w:r>
        <w:rPr>
          <w:rFonts w:hint="eastAsia"/>
          <w:sz w:val="24"/>
          <w:szCs w:val="24"/>
        </w:rPr>
        <w:t>事故报告内容</w:t>
      </w:r>
      <w:r>
        <w:rPr>
          <w:sz w:val="24"/>
          <w:szCs w:val="24"/>
        </w:rPr>
        <w:tab/>
      </w:r>
      <w:r>
        <w:rPr>
          <w:sz w:val="24"/>
          <w:szCs w:val="24"/>
        </w:rPr>
        <w:fldChar w:fldCharType="begin"/>
      </w:r>
      <w:r>
        <w:rPr>
          <w:sz w:val="24"/>
          <w:szCs w:val="24"/>
        </w:rPr>
        <w:instrText xml:space="preserve"> PAGEREF _Toc26435 </w:instrText>
      </w:r>
      <w:r>
        <w:rPr>
          <w:sz w:val="24"/>
          <w:szCs w:val="24"/>
        </w:rPr>
        <w:fldChar w:fldCharType="separate"/>
      </w:r>
      <w:r>
        <w:rPr>
          <w:sz w:val="24"/>
          <w:szCs w:val="24"/>
        </w:rPr>
        <w:t>26</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_Toc22745 </w:instrText>
      </w:r>
      <w:r>
        <w:rPr>
          <w:sz w:val="24"/>
          <w:szCs w:val="24"/>
        </w:rPr>
        <w:fldChar w:fldCharType="separate"/>
      </w:r>
      <w:r>
        <w:rPr>
          <w:rFonts w:hint="default" w:ascii="Times New Roman" w:hAnsi="Times New Roman" w:eastAsia="宋体"/>
          <w:i w:val="0"/>
          <w:sz w:val="24"/>
          <w:szCs w:val="24"/>
        </w:rPr>
        <w:t xml:space="preserve">7 </w:t>
      </w:r>
      <w:r>
        <w:rPr>
          <w:rFonts w:hint="eastAsia"/>
          <w:sz w:val="24"/>
          <w:szCs w:val="24"/>
        </w:rPr>
        <w:t>应急响应</w:t>
      </w:r>
      <w:r>
        <w:rPr>
          <w:sz w:val="24"/>
          <w:szCs w:val="24"/>
        </w:rPr>
        <w:tab/>
      </w:r>
      <w:r>
        <w:rPr>
          <w:sz w:val="24"/>
          <w:szCs w:val="24"/>
        </w:rPr>
        <w:fldChar w:fldCharType="begin"/>
      </w:r>
      <w:r>
        <w:rPr>
          <w:sz w:val="24"/>
          <w:szCs w:val="24"/>
        </w:rPr>
        <w:instrText xml:space="preserve"> PAGEREF _Toc22745 </w:instrText>
      </w:r>
      <w:r>
        <w:rPr>
          <w:sz w:val="24"/>
          <w:szCs w:val="24"/>
        </w:rPr>
        <w:fldChar w:fldCharType="separate"/>
      </w:r>
      <w:r>
        <w:rPr>
          <w:sz w:val="24"/>
          <w:szCs w:val="24"/>
        </w:rPr>
        <w:t>27</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_Toc18008 </w:instrText>
      </w:r>
      <w:r>
        <w:rPr>
          <w:sz w:val="24"/>
          <w:szCs w:val="24"/>
        </w:rPr>
        <w:fldChar w:fldCharType="separate"/>
      </w:r>
      <w:r>
        <w:rPr>
          <w:rFonts w:hint="default" w:ascii="Times New Roman" w:hAnsi="Times New Roman" w:eastAsia="宋体"/>
          <w:i w:val="0"/>
          <w:sz w:val="24"/>
          <w:szCs w:val="24"/>
        </w:rPr>
        <w:t xml:space="preserve">7.1 </w:t>
      </w:r>
      <w:r>
        <w:rPr>
          <w:rFonts w:hint="eastAsia"/>
          <w:sz w:val="24"/>
          <w:szCs w:val="24"/>
        </w:rPr>
        <w:t>响应分级</w:t>
      </w:r>
      <w:r>
        <w:rPr>
          <w:sz w:val="24"/>
          <w:szCs w:val="24"/>
        </w:rPr>
        <w:tab/>
      </w:r>
      <w:r>
        <w:rPr>
          <w:sz w:val="24"/>
          <w:szCs w:val="24"/>
        </w:rPr>
        <w:fldChar w:fldCharType="begin"/>
      </w:r>
      <w:r>
        <w:rPr>
          <w:sz w:val="24"/>
          <w:szCs w:val="24"/>
        </w:rPr>
        <w:instrText xml:space="preserve"> PAGEREF _Toc18008 </w:instrText>
      </w:r>
      <w:r>
        <w:rPr>
          <w:sz w:val="24"/>
          <w:szCs w:val="24"/>
        </w:rPr>
        <w:fldChar w:fldCharType="separate"/>
      </w:r>
      <w:r>
        <w:rPr>
          <w:sz w:val="24"/>
          <w:szCs w:val="24"/>
        </w:rPr>
        <w:t>27</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_Toc10819 </w:instrText>
      </w:r>
      <w:r>
        <w:rPr>
          <w:sz w:val="24"/>
          <w:szCs w:val="24"/>
        </w:rPr>
        <w:fldChar w:fldCharType="separate"/>
      </w:r>
      <w:r>
        <w:rPr>
          <w:rFonts w:hint="default" w:ascii="Times New Roman" w:hAnsi="Times New Roman" w:eastAsia="宋体"/>
          <w:i w:val="0"/>
          <w:sz w:val="24"/>
          <w:szCs w:val="24"/>
        </w:rPr>
        <w:t xml:space="preserve">7.2 </w:t>
      </w:r>
      <w:r>
        <w:rPr>
          <w:rFonts w:hint="eastAsia"/>
          <w:sz w:val="24"/>
          <w:szCs w:val="24"/>
        </w:rPr>
        <w:t>响应程序</w:t>
      </w:r>
      <w:r>
        <w:rPr>
          <w:sz w:val="24"/>
          <w:szCs w:val="24"/>
        </w:rPr>
        <w:tab/>
      </w:r>
      <w:r>
        <w:rPr>
          <w:sz w:val="24"/>
          <w:szCs w:val="24"/>
        </w:rPr>
        <w:fldChar w:fldCharType="begin"/>
      </w:r>
      <w:r>
        <w:rPr>
          <w:sz w:val="24"/>
          <w:szCs w:val="24"/>
        </w:rPr>
        <w:instrText xml:space="preserve"> PAGEREF _Toc10819 </w:instrText>
      </w:r>
      <w:r>
        <w:rPr>
          <w:sz w:val="24"/>
          <w:szCs w:val="24"/>
        </w:rPr>
        <w:fldChar w:fldCharType="separate"/>
      </w:r>
      <w:r>
        <w:rPr>
          <w:sz w:val="24"/>
          <w:szCs w:val="24"/>
        </w:rPr>
        <w:t>28</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_Toc24511 </w:instrText>
      </w:r>
      <w:r>
        <w:rPr>
          <w:sz w:val="24"/>
          <w:szCs w:val="24"/>
        </w:rPr>
        <w:fldChar w:fldCharType="separate"/>
      </w:r>
      <w:r>
        <w:rPr>
          <w:rFonts w:hint="default" w:ascii="Times New Roman" w:hAnsi="Times New Roman" w:eastAsia="宋体"/>
          <w:i w:val="0"/>
          <w:sz w:val="24"/>
          <w:szCs w:val="24"/>
        </w:rPr>
        <w:t xml:space="preserve">7.3 </w:t>
      </w:r>
      <w:r>
        <w:rPr>
          <w:rFonts w:hint="eastAsia"/>
          <w:sz w:val="24"/>
          <w:szCs w:val="24"/>
        </w:rPr>
        <w:t>应急处置</w:t>
      </w:r>
      <w:r>
        <w:rPr>
          <w:sz w:val="24"/>
          <w:szCs w:val="24"/>
        </w:rPr>
        <w:tab/>
      </w:r>
      <w:r>
        <w:rPr>
          <w:sz w:val="24"/>
          <w:szCs w:val="24"/>
        </w:rPr>
        <w:fldChar w:fldCharType="begin"/>
      </w:r>
      <w:r>
        <w:rPr>
          <w:sz w:val="24"/>
          <w:szCs w:val="24"/>
        </w:rPr>
        <w:instrText xml:space="preserve"> PAGEREF _Toc24511 </w:instrText>
      </w:r>
      <w:r>
        <w:rPr>
          <w:sz w:val="24"/>
          <w:szCs w:val="24"/>
        </w:rPr>
        <w:fldChar w:fldCharType="separate"/>
      </w:r>
      <w:r>
        <w:rPr>
          <w:sz w:val="24"/>
          <w:szCs w:val="24"/>
        </w:rPr>
        <w:t>29</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_Toc10312 </w:instrText>
      </w:r>
      <w:r>
        <w:rPr>
          <w:sz w:val="24"/>
          <w:szCs w:val="24"/>
        </w:rPr>
        <w:fldChar w:fldCharType="separate"/>
      </w:r>
      <w:r>
        <w:rPr>
          <w:rFonts w:hint="default" w:ascii="Times New Roman" w:hAnsi="Times New Roman" w:eastAsia="宋体"/>
          <w:i w:val="0"/>
          <w:sz w:val="24"/>
          <w:szCs w:val="24"/>
        </w:rPr>
        <w:t xml:space="preserve">7.4 </w:t>
      </w:r>
      <w:r>
        <w:rPr>
          <w:rFonts w:hint="eastAsia"/>
          <w:sz w:val="24"/>
          <w:szCs w:val="24"/>
        </w:rPr>
        <w:t>应急监测</w:t>
      </w:r>
      <w:r>
        <w:rPr>
          <w:sz w:val="24"/>
          <w:szCs w:val="24"/>
        </w:rPr>
        <w:tab/>
      </w:r>
      <w:r>
        <w:rPr>
          <w:sz w:val="24"/>
          <w:szCs w:val="24"/>
        </w:rPr>
        <w:fldChar w:fldCharType="begin"/>
      </w:r>
      <w:r>
        <w:rPr>
          <w:sz w:val="24"/>
          <w:szCs w:val="24"/>
        </w:rPr>
        <w:instrText xml:space="preserve"> PAGEREF _Toc10312 </w:instrText>
      </w:r>
      <w:r>
        <w:rPr>
          <w:sz w:val="24"/>
          <w:szCs w:val="24"/>
        </w:rPr>
        <w:fldChar w:fldCharType="separate"/>
      </w:r>
      <w:r>
        <w:rPr>
          <w:sz w:val="24"/>
          <w:szCs w:val="24"/>
        </w:rPr>
        <w:t>39</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_Toc11684 </w:instrText>
      </w:r>
      <w:r>
        <w:rPr>
          <w:sz w:val="24"/>
          <w:szCs w:val="24"/>
        </w:rPr>
        <w:fldChar w:fldCharType="separate"/>
      </w:r>
      <w:r>
        <w:rPr>
          <w:rFonts w:hint="default" w:ascii="Times New Roman" w:hAnsi="Times New Roman" w:eastAsia="宋体"/>
          <w:i w:val="0"/>
          <w:sz w:val="24"/>
          <w:szCs w:val="24"/>
        </w:rPr>
        <w:t xml:space="preserve">7.5 </w:t>
      </w:r>
      <w:r>
        <w:rPr>
          <w:rFonts w:hint="eastAsia"/>
          <w:sz w:val="24"/>
          <w:szCs w:val="24"/>
        </w:rPr>
        <w:t>应急终止</w:t>
      </w:r>
      <w:r>
        <w:rPr>
          <w:sz w:val="24"/>
          <w:szCs w:val="24"/>
        </w:rPr>
        <w:tab/>
      </w:r>
      <w:r>
        <w:rPr>
          <w:sz w:val="24"/>
          <w:szCs w:val="24"/>
        </w:rPr>
        <w:fldChar w:fldCharType="begin"/>
      </w:r>
      <w:r>
        <w:rPr>
          <w:sz w:val="24"/>
          <w:szCs w:val="24"/>
        </w:rPr>
        <w:instrText xml:space="preserve"> PAGEREF _Toc11684 </w:instrText>
      </w:r>
      <w:r>
        <w:rPr>
          <w:sz w:val="24"/>
          <w:szCs w:val="24"/>
        </w:rPr>
        <w:fldChar w:fldCharType="separate"/>
      </w:r>
      <w:r>
        <w:rPr>
          <w:sz w:val="24"/>
          <w:szCs w:val="24"/>
        </w:rPr>
        <w:t>40</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_Toc29403 </w:instrText>
      </w:r>
      <w:r>
        <w:rPr>
          <w:sz w:val="24"/>
          <w:szCs w:val="24"/>
        </w:rPr>
        <w:fldChar w:fldCharType="separate"/>
      </w:r>
      <w:r>
        <w:rPr>
          <w:rFonts w:hint="default" w:ascii="Times New Roman" w:hAnsi="Times New Roman" w:eastAsia="宋体"/>
          <w:i w:val="0"/>
          <w:sz w:val="24"/>
          <w:szCs w:val="24"/>
        </w:rPr>
        <w:t xml:space="preserve">8 </w:t>
      </w:r>
      <w:r>
        <w:rPr>
          <w:rFonts w:hint="eastAsia"/>
          <w:sz w:val="24"/>
          <w:szCs w:val="24"/>
        </w:rPr>
        <w:t>信息公开</w:t>
      </w:r>
      <w:r>
        <w:rPr>
          <w:sz w:val="24"/>
          <w:szCs w:val="24"/>
        </w:rPr>
        <w:tab/>
      </w:r>
      <w:r>
        <w:rPr>
          <w:sz w:val="24"/>
          <w:szCs w:val="24"/>
        </w:rPr>
        <w:fldChar w:fldCharType="begin"/>
      </w:r>
      <w:r>
        <w:rPr>
          <w:sz w:val="24"/>
          <w:szCs w:val="24"/>
        </w:rPr>
        <w:instrText xml:space="preserve"> PAGEREF _Toc29403 </w:instrText>
      </w:r>
      <w:r>
        <w:rPr>
          <w:sz w:val="24"/>
          <w:szCs w:val="24"/>
        </w:rPr>
        <w:fldChar w:fldCharType="separate"/>
      </w:r>
      <w:r>
        <w:rPr>
          <w:sz w:val="24"/>
          <w:szCs w:val="24"/>
        </w:rPr>
        <w:t>44</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_Toc3268 </w:instrText>
      </w:r>
      <w:r>
        <w:rPr>
          <w:sz w:val="24"/>
          <w:szCs w:val="24"/>
        </w:rPr>
        <w:fldChar w:fldCharType="separate"/>
      </w:r>
      <w:r>
        <w:rPr>
          <w:rFonts w:hint="default" w:ascii="Times New Roman" w:hAnsi="Times New Roman" w:eastAsia="宋体"/>
          <w:i w:val="0"/>
          <w:sz w:val="24"/>
          <w:szCs w:val="24"/>
        </w:rPr>
        <w:t xml:space="preserve">9 </w:t>
      </w:r>
      <w:r>
        <w:rPr>
          <w:rFonts w:hint="eastAsia"/>
          <w:sz w:val="24"/>
          <w:szCs w:val="24"/>
        </w:rPr>
        <w:t>后期处置</w:t>
      </w:r>
      <w:r>
        <w:rPr>
          <w:sz w:val="24"/>
          <w:szCs w:val="24"/>
        </w:rPr>
        <w:tab/>
      </w:r>
      <w:r>
        <w:rPr>
          <w:sz w:val="24"/>
          <w:szCs w:val="24"/>
        </w:rPr>
        <w:fldChar w:fldCharType="begin"/>
      </w:r>
      <w:r>
        <w:rPr>
          <w:sz w:val="24"/>
          <w:szCs w:val="24"/>
        </w:rPr>
        <w:instrText xml:space="preserve"> PAGEREF _Toc3268 </w:instrText>
      </w:r>
      <w:r>
        <w:rPr>
          <w:sz w:val="24"/>
          <w:szCs w:val="24"/>
        </w:rPr>
        <w:fldChar w:fldCharType="separate"/>
      </w:r>
      <w:r>
        <w:rPr>
          <w:sz w:val="24"/>
          <w:szCs w:val="24"/>
        </w:rPr>
        <w:t>45</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_Toc1554 </w:instrText>
      </w:r>
      <w:r>
        <w:rPr>
          <w:sz w:val="24"/>
          <w:szCs w:val="24"/>
        </w:rPr>
        <w:fldChar w:fldCharType="separate"/>
      </w:r>
      <w:r>
        <w:rPr>
          <w:rFonts w:hint="default" w:ascii="Times New Roman" w:hAnsi="Times New Roman" w:eastAsia="宋体"/>
          <w:i w:val="0"/>
          <w:sz w:val="24"/>
          <w:szCs w:val="24"/>
        </w:rPr>
        <w:t xml:space="preserve">9.1 </w:t>
      </w:r>
      <w:r>
        <w:rPr>
          <w:rFonts w:hint="eastAsia"/>
          <w:sz w:val="24"/>
          <w:szCs w:val="24"/>
        </w:rPr>
        <w:t>善后处置</w:t>
      </w:r>
      <w:r>
        <w:rPr>
          <w:sz w:val="24"/>
          <w:szCs w:val="24"/>
        </w:rPr>
        <w:tab/>
      </w:r>
      <w:r>
        <w:rPr>
          <w:sz w:val="24"/>
          <w:szCs w:val="24"/>
        </w:rPr>
        <w:fldChar w:fldCharType="begin"/>
      </w:r>
      <w:r>
        <w:rPr>
          <w:sz w:val="24"/>
          <w:szCs w:val="24"/>
        </w:rPr>
        <w:instrText xml:space="preserve"> PAGEREF _Toc1554 </w:instrText>
      </w:r>
      <w:r>
        <w:rPr>
          <w:sz w:val="24"/>
          <w:szCs w:val="24"/>
        </w:rPr>
        <w:fldChar w:fldCharType="separate"/>
      </w:r>
      <w:r>
        <w:rPr>
          <w:sz w:val="24"/>
          <w:szCs w:val="24"/>
        </w:rPr>
        <w:t>45</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_Toc31230 </w:instrText>
      </w:r>
      <w:r>
        <w:rPr>
          <w:sz w:val="24"/>
          <w:szCs w:val="24"/>
        </w:rPr>
        <w:fldChar w:fldCharType="separate"/>
      </w:r>
      <w:r>
        <w:rPr>
          <w:rFonts w:hint="default" w:ascii="Times New Roman" w:hAnsi="Times New Roman" w:eastAsia="宋体"/>
          <w:i w:val="0"/>
          <w:sz w:val="24"/>
          <w:szCs w:val="24"/>
        </w:rPr>
        <w:t xml:space="preserve">9.2 </w:t>
      </w:r>
      <w:r>
        <w:rPr>
          <w:rFonts w:hint="eastAsia"/>
          <w:sz w:val="24"/>
          <w:szCs w:val="24"/>
        </w:rPr>
        <w:t>调查与评估</w:t>
      </w:r>
      <w:r>
        <w:rPr>
          <w:sz w:val="24"/>
          <w:szCs w:val="24"/>
        </w:rPr>
        <w:tab/>
      </w:r>
      <w:r>
        <w:rPr>
          <w:sz w:val="24"/>
          <w:szCs w:val="24"/>
        </w:rPr>
        <w:fldChar w:fldCharType="begin"/>
      </w:r>
      <w:r>
        <w:rPr>
          <w:sz w:val="24"/>
          <w:szCs w:val="24"/>
        </w:rPr>
        <w:instrText xml:space="preserve"> PAGEREF _Toc31230 </w:instrText>
      </w:r>
      <w:r>
        <w:rPr>
          <w:sz w:val="24"/>
          <w:szCs w:val="24"/>
        </w:rPr>
        <w:fldChar w:fldCharType="separate"/>
      </w:r>
      <w:r>
        <w:rPr>
          <w:sz w:val="24"/>
          <w:szCs w:val="24"/>
        </w:rPr>
        <w:t>46</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_Toc8165 </w:instrText>
      </w:r>
      <w:r>
        <w:rPr>
          <w:sz w:val="24"/>
          <w:szCs w:val="24"/>
        </w:rPr>
        <w:fldChar w:fldCharType="separate"/>
      </w:r>
      <w:r>
        <w:rPr>
          <w:rFonts w:hint="default" w:ascii="Times New Roman" w:hAnsi="Times New Roman" w:eastAsia="宋体"/>
          <w:i w:val="0"/>
          <w:sz w:val="24"/>
          <w:szCs w:val="24"/>
        </w:rPr>
        <w:t xml:space="preserve">9.3 </w:t>
      </w:r>
      <w:r>
        <w:rPr>
          <w:rFonts w:hint="eastAsia"/>
          <w:sz w:val="24"/>
          <w:szCs w:val="24"/>
        </w:rPr>
        <w:t>恢复重建</w:t>
      </w:r>
      <w:r>
        <w:rPr>
          <w:sz w:val="24"/>
          <w:szCs w:val="24"/>
        </w:rPr>
        <w:tab/>
      </w:r>
      <w:r>
        <w:rPr>
          <w:sz w:val="24"/>
          <w:szCs w:val="24"/>
        </w:rPr>
        <w:fldChar w:fldCharType="begin"/>
      </w:r>
      <w:r>
        <w:rPr>
          <w:sz w:val="24"/>
          <w:szCs w:val="24"/>
        </w:rPr>
        <w:instrText xml:space="preserve"> PAGEREF _Toc8165 </w:instrText>
      </w:r>
      <w:r>
        <w:rPr>
          <w:sz w:val="24"/>
          <w:szCs w:val="24"/>
        </w:rPr>
        <w:fldChar w:fldCharType="separate"/>
      </w:r>
      <w:r>
        <w:rPr>
          <w:sz w:val="24"/>
          <w:szCs w:val="24"/>
        </w:rPr>
        <w:t>46</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_Toc1435 </w:instrText>
      </w:r>
      <w:r>
        <w:rPr>
          <w:sz w:val="24"/>
          <w:szCs w:val="24"/>
        </w:rPr>
        <w:fldChar w:fldCharType="separate"/>
      </w:r>
      <w:r>
        <w:rPr>
          <w:rFonts w:hint="default" w:ascii="Times New Roman" w:hAnsi="Times New Roman" w:eastAsia="宋体"/>
          <w:i w:val="0"/>
          <w:sz w:val="24"/>
          <w:szCs w:val="24"/>
        </w:rPr>
        <w:t xml:space="preserve">10 </w:t>
      </w:r>
      <w:r>
        <w:rPr>
          <w:rFonts w:hint="eastAsia"/>
          <w:sz w:val="24"/>
          <w:szCs w:val="24"/>
        </w:rPr>
        <w:t>保障措施</w:t>
      </w:r>
      <w:r>
        <w:rPr>
          <w:sz w:val="24"/>
          <w:szCs w:val="24"/>
        </w:rPr>
        <w:tab/>
      </w:r>
      <w:r>
        <w:rPr>
          <w:sz w:val="24"/>
          <w:szCs w:val="24"/>
        </w:rPr>
        <w:fldChar w:fldCharType="begin"/>
      </w:r>
      <w:r>
        <w:rPr>
          <w:sz w:val="24"/>
          <w:szCs w:val="24"/>
        </w:rPr>
        <w:instrText xml:space="preserve"> PAGEREF _Toc1435 </w:instrText>
      </w:r>
      <w:r>
        <w:rPr>
          <w:sz w:val="24"/>
          <w:szCs w:val="24"/>
        </w:rPr>
        <w:fldChar w:fldCharType="separate"/>
      </w:r>
      <w:r>
        <w:rPr>
          <w:sz w:val="24"/>
          <w:szCs w:val="24"/>
        </w:rPr>
        <w:t>47</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_Toc30953 </w:instrText>
      </w:r>
      <w:r>
        <w:rPr>
          <w:sz w:val="24"/>
          <w:szCs w:val="24"/>
        </w:rPr>
        <w:fldChar w:fldCharType="separate"/>
      </w:r>
      <w:r>
        <w:rPr>
          <w:rFonts w:hint="default" w:ascii="Times New Roman" w:hAnsi="Times New Roman" w:eastAsia="宋体"/>
          <w:i w:val="0"/>
          <w:sz w:val="24"/>
          <w:szCs w:val="24"/>
        </w:rPr>
        <w:t xml:space="preserve">10.1 </w:t>
      </w:r>
      <w:r>
        <w:rPr>
          <w:rFonts w:hint="eastAsia"/>
          <w:sz w:val="24"/>
          <w:szCs w:val="24"/>
        </w:rPr>
        <w:t>应急通信与信息保障</w:t>
      </w:r>
      <w:r>
        <w:rPr>
          <w:sz w:val="24"/>
          <w:szCs w:val="24"/>
        </w:rPr>
        <w:tab/>
      </w:r>
      <w:r>
        <w:rPr>
          <w:sz w:val="24"/>
          <w:szCs w:val="24"/>
        </w:rPr>
        <w:fldChar w:fldCharType="begin"/>
      </w:r>
      <w:r>
        <w:rPr>
          <w:sz w:val="24"/>
          <w:szCs w:val="24"/>
        </w:rPr>
        <w:instrText xml:space="preserve"> PAGEREF _Toc30953 </w:instrText>
      </w:r>
      <w:r>
        <w:rPr>
          <w:sz w:val="24"/>
          <w:szCs w:val="24"/>
        </w:rPr>
        <w:fldChar w:fldCharType="separate"/>
      </w:r>
      <w:r>
        <w:rPr>
          <w:sz w:val="24"/>
          <w:szCs w:val="24"/>
        </w:rPr>
        <w:t>47</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_Toc29087 </w:instrText>
      </w:r>
      <w:r>
        <w:rPr>
          <w:sz w:val="24"/>
          <w:szCs w:val="24"/>
        </w:rPr>
        <w:fldChar w:fldCharType="separate"/>
      </w:r>
      <w:r>
        <w:rPr>
          <w:rFonts w:hint="default" w:ascii="Times New Roman" w:hAnsi="Times New Roman" w:eastAsia="宋体"/>
          <w:i w:val="0"/>
          <w:sz w:val="24"/>
          <w:szCs w:val="24"/>
        </w:rPr>
        <w:t xml:space="preserve">10.2 </w:t>
      </w:r>
      <w:r>
        <w:rPr>
          <w:rFonts w:hint="eastAsia"/>
          <w:sz w:val="24"/>
          <w:szCs w:val="24"/>
        </w:rPr>
        <w:t>应急队伍保障</w:t>
      </w:r>
      <w:r>
        <w:rPr>
          <w:sz w:val="24"/>
          <w:szCs w:val="24"/>
        </w:rPr>
        <w:tab/>
      </w:r>
      <w:r>
        <w:rPr>
          <w:sz w:val="24"/>
          <w:szCs w:val="24"/>
        </w:rPr>
        <w:fldChar w:fldCharType="begin"/>
      </w:r>
      <w:r>
        <w:rPr>
          <w:sz w:val="24"/>
          <w:szCs w:val="24"/>
        </w:rPr>
        <w:instrText xml:space="preserve"> PAGEREF _Toc29087 </w:instrText>
      </w:r>
      <w:r>
        <w:rPr>
          <w:sz w:val="24"/>
          <w:szCs w:val="24"/>
        </w:rPr>
        <w:fldChar w:fldCharType="separate"/>
      </w:r>
      <w:r>
        <w:rPr>
          <w:sz w:val="24"/>
          <w:szCs w:val="24"/>
        </w:rPr>
        <w:t>47</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_Toc4039 </w:instrText>
      </w:r>
      <w:r>
        <w:rPr>
          <w:sz w:val="24"/>
          <w:szCs w:val="24"/>
        </w:rPr>
        <w:fldChar w:fldCharType="separate"/>
      </w:r>
      <w:r>
        <w:rPr>
          <w:rFonts w:hint="default" w:ascii="Times New Roman" w:hAnsi="Times New Roman" w:eastAsia="宋体"/>
          <w:i w:val="0"/>
          <w:sz w:val="24"/>
          <w:szCs w:val="24"/>
        </w:rPr>
        <w:t xml:space="preserve">10.3 </w:t>
      </w:r>
      <w:r>
        <w:rPr>
          <w:rFonts w:hint="eastAsia"/>
          <w:sz w:val="24"/>
          <w:szCs w:val="24"/>
        </w:rPr>
        <w:t>应急装备保障</w:t>
      </w:r>
      <w:r>
        <w:rPr>
          <w:sz w:val="24"/>
          <w:szCs w:val="24"/>
        </w:rPr>
        <w:tab/>
      </w:r>
      <w:r>
        <w:rPr>
          <w:sz w:val="24"/>
          <w:szCs w:val="24"/>
        </w:rPr>
        <w:fldChar w:fldCharType="begin"/>
      </w:r>
      <w:r>
        <w:rPr>
          <w:sz w:val="24"/>
          <w:szCs w:val="24"/>
        </w:rPr>
        <w:instrText xml:space="preserve"> PAGEREF _Toc4039 </w:instrText>
      </w:r>
      <w:r>
        <w:rPr>
          <w:sz w:val="24"/>
          <w:szCs w:val="24"/>
        </w:rPr>
        <w:fldChar w:fldCharType="separate"/>
      </w:r>
      <w:r>
        <w:rPr>
          <w:sz w:val="24"/>
          <w:szCs w:val="24"/>
        </w:rPr>
        <w:t>47</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_Toc23525 </w:instrText>
      </w:r>
      <w:r>
        <w:rPr>
          <w:sz w:val="24"/>
          <w:szCs w:val="24"/>
        </w:rPr>
        <w:fldChar w:fldCharType="separate"/>
      </w:r>
      <w:r>
        <w:rPr>
          <w:rFonts w:hint="default" w:ascii="Times New Roman" w:hAnsi="Times New Roman" w:eastAsia="宋体"/>
          <w:i w:val="0"/>
          <w:sz w:val="24"/>
          <w:szCs w:val="24"/>
        </w:rPr>
        <w:t xml:space="preserve">10.4 </w:t>
      </w:r>
      <w:r>
        <w:rPr>
          <w:rFonts w:hint="eastAsia"/>
          <w:sz w:val="24"/>
          <w:szCs w:val="24"/>
        </w:rPr>
        <w:t>其他保障</w:t>
      </w:r>
      <w:r>
        <w:rPr>
          <w:sz w:val="24"/>
          <w:szCs w:val="24"/>
        </w:rPr>
        <w:tab/>
      </w:r>
      <w:r>
        <w:rPr>
          <w:sz w:val="24"/>
          <w:szCs w:val="24"/>
        </w:rPr>
        <w:fldChar w:fldCharType="begin"/>
      </w:r>
      <w:r>
        <w:rPr>
          <w:sz w:val="24"/>
          <w:szCs w:val="24"/>
        </w:rPr>
        <w:instrText xml:space="preserve"> PAGEREF _Toc23525 </w:instrText>
      </w:r>
      <w:r>
        <w:rPr>
          <w:sz w:val="24"/>
          <w:szCs w:val="24"/>
        </w:rPr>
        <w:fldChar w:fldCharType="separate"/>
      </w:r>
      <w:r>
        <w:rPr>
          <w:sz w:val="24"/>
          <w:szCs w:val="24"/>
        </w:rPr>
        <w:t>48</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_Toc1404 </w:instrText>
      </w:r>
      <w:r>
        <w:rPr>
          <w:sz w:val="24"/>
          <w:szCs w:val="24"/>
        </w:rPr>
        <w:fldChar w:fldCharType="separate"/>
      </w:r>
      <w:r>
        <w:rPr>
          <w:rFonts w:hint="default" w:ascii="Times New Roman" w:hAnsi="Times New Roman" w:eastAsia="宋体"/>
          <w:i w:val="0"/>
          <w:sz w:val="24"/>
          <w:szCs w:val="24"/>
        </w:rPr>
        <w:t xml:space="preserve">11 </w:t>
      </w:r>
      <w:r>
        <w:rPr>
          <w:rFonts w:hint="eastAsia"/>
          <w:sz w:val="24"/>
          <w:szCs w:val="24"/>
        </w:rPr>
        <w:t>预案管理</w:t>
      </w:r>
      <w:r>
        <w:rPr>
          <w:sz w:val="24"/>
          <w:szCs w:val="24"/>
        </w:rPr>
        <w:tab/>
      </w:r>
      <w:r>
        <w:rPr>
          <w:sz w:val="24"/>
          <w:szCs w:val="24"/>
        </w:rPr>
        <w:fldChar w:fldCharType="begin"/>
      </w:r>
      <w:r>
        <w:rPr>
          <w:sz w:val="24"/>
          <w:szCs w:val="24"/>
        </w:rPr>
        <w:instrText xml:space="preserve"> PAGEREF _Toc1404 </w:instrText>
      </w:r>
      <w:r>
        <w:rPr>
          <w:sz w:val="24"/>
          <w:szCs w:val="24"/>
        </w:rPr>
        <w:fldChar w:fldCharType="separate"/>
      </w:r>
      <w:r>
        <w:rPr>
          <w:sz w:val="24"/>
          <w:szCs w:val="24"/>
        </w:rPr>
        <w:t>49</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_Toc6610 </w:instrText>
      </w:r>
      <w:r>
        <w:rPr>
          <w:sz w:val="24"/>
          <w:szCs w:val="24"/>
        </w:rPr>
        <w:fldChar w:fldCharType="separate"/>
      </w:r>
      <w:r>
        <w:rPr>
          <w:rFonts w:hint="default" w:ascii="Times New Roman" w:hAnsi="Times New Roman" w:eastAsia="宋体"/>
          <w:i w:val="0"/>
          <w:sz w:val="24"/>
          <w:szCs w:val="24"/>
        </w:rPr>
        <w:t xml:space="preserve">11.1 </w:t>
      </w:r>
      <w:r>
        <w:rPr>
          <w:rFonts w:hint="eastAsia"/>
          <w:sz w:val="24"/>
          <w:szCs w:val="24"/>
        </w:rPr>
        <w:t>培训</w:t>
      </w:r>
      <w:r>
        <w:rPr>
          <w:sz w:val="24"/>
          <w:szCs w:val="24"/>
        </w:rPr>
        <w:tab/>
      </w:r>
      <w:r>
        <w:rPr>
          <w:sz w:val="24"/>
          <w:szCs w:val="24"/>
        </w:rPr>
        <w:fldChar w:fldCharType="begin"/>
      </w:r>
      <w:r>
        <w:rPr>
          <w:sz w:val="24"/>
          <w:szCs w:val="24"/>
        </w:rPr>
        <w:instrText xml:space="preserve"> PAGEREF _Toc6610 </w:instrText>
      </w:r>
      <w:r>
        <w:rPr>
          <w:sz w:val="24"/>
          <w:szCs w:val="24"/>
        </w:rPr>
        <w:fldChar w:fldCharType="separate"/>
      </w:r>
      <w:r>
        <w:rPr>
          <w:sz w:val="24"/>
          <w:szCs w:val="24"/>
        </w:rPr>
        <w:t>49</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_Toc14513 </w:instrText>
      </w:r>
      <w:r>
        <w:rPr>
          <w:sz w:val="24"/>
          <w:szCs w:val="24"/>
        </w:rPr>
        <w:fldChar w:fldCharType="separate"/>
      </w:r>
      <w:r>
        <w:rPr>
          <w:rFonts w:hint="default" w:ascii="Times New Roman" w:hAnsi="Times New Roman" w:eastAsia="宋体"/>
          <w:i w:val="0"/>
          <w:sz w:val="24"/>
          <w:szCs w:val="24"/>
        </w:rPr>
        <w:t xml:space="preserve">11.2 </w:t>
      </w:r>
      <w:r>
        <w:rPr>
          <w:rFonts w:hint="eastAsia"/>
          <w:sz w:val="24"/>
          <w:szCs w:val="24"/>
        </w:rPr>
        <w:t>演练</w:t>
      </w:r>
      <w:r>
        <w:rPr>
          <w:sz w:val="24"/>
          <w:szCs w:val="24"/>
        </w:rPr>
        <w:tab/>
      </w:r>
      <w:r>
        <w:rPr>
          <w:sz w:val="24"/>
          <w:szCs w:val="24"/>
        </w:rPr>
        <w:fldChar w:fldCharType="begin"/>
      </w:r>
      <w:r>
        <w:rPr>
          <w:sz w:val="24"/>
          <w:szCs w:val="24"/>
        </w:rPr>
        <w:instrText xml:space="preserve"> PAGEREF _Toc14513 </w:instrText>
      </w:r>
      <w:r>
        <w:rPr>
          <w:sz w:val="24"/>
          <w:szCs w:val="24"/>
        </w:rPr>
        <w:fldChar w:fldCharType="separate"/>
      </w:r>
      <w:r>
        <w:rPr>
          <w:sz w:val="24"/>
          <w:szCs w:val="24"/>
        </w:rPr>
        <w:t>54</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_Toc23264 </w:instrText>
      </w:r>
      <w:r>
        <w:rPr>
          <w:sz w:val="24"/>
          <w:szCs w:val="24"/>
        </w:rPr>
        <w:fldChar w:fldCharType="separate"/>
      </w:r>
      <w:r>
        <w:rPr>
          <w:rFonts w:hint="default" w:ascii="Times New Roman" w:hAnsi="Times New Roman" w:eastAsia="宋体"/>
          <w:i w:val="0"/>
          <w:sz w:val="24"/>
          <w:szCs w:val="24"/>
        </w:rPr>
        <w:t xml:space="preserve">11.3 </w:t>
      </w:r>
      <w:r>
        <w:rPr>
          <w:rFonts w:hint="eastAsia"/>
          <w:sz w:val="24"/>
          <w:szCs w:val="24"/>
        </w:rPr>
        <w:t>责任与奖惩</w:t>
      </w:r>
      <w:r>
        <w:rPr>
          <w:sz w:val="24"/>
          <w:szCs w:val="24"/>
        </w:rPr>
        <w:tab/>
      </w:r>
      <w:r>
        <w:rPr>
          <w:sz w:val="24"/>
          <w:szCs w:val="24"/>
        </w:rPr>
        <w:fldChar w:fldCharType="begin"/>
      </w:r>
      <w:r>
        <w:rPr>
          <w:sz w:val="24"/>
          <w:szCs w:val="24"/>
        </w:rPr>
        <w:instrText xml:space="preserve"> PAGEREF _Toc23264 </w:instrText>
      </w:r>
      <w:r>
        <w:rPr>
          <w:sz w:val="24"/>
          <w:szCs w:val="24"/>
        </w:rPr>
        <w:fldChar w:fldCharType="separate"/>
      </w:r>
      <w:r>
        <w:rPr>
          <w:sz w:val="24"/>
          <w:szCs w:val="24"/>
        </w:rPr>
        <w:t>55</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_Toc163 </w:instrText>
      </w:r>
      <w:r>
        <w:rPr>
          <w:sz w:val="24"/>
          <w:szCs w:val="24"/>
        </w:rPr>
        <w:fldChar w:fldCharType="separate"/>
      </w:r>
      <w:r>
        <w:rPr>
          <w:rFonts w:hint="default" w:ascii="Times New Roman" w:hAnsi="Times New Roman" w:eastAsia="宋体"/>
          <w:i w:val="0"/>
          <w:sz w:val="24"/>
          <w:szCs w:val="24"/>
        </w:rPr>
        <w:t xml:space="preserve">11.4 </w:t>
      </w:r>
      <w:r>
        <w:rPr>
          <w:rFonts w:hint="eastAsia"/>
          <w:sz w:val="24"/>
          <w:szCs w:val="24"/>
        </w:rPr>
        <w:t>评估及修订</w:t>
      </w:r>
      <w:r>
        <w:rPr>
          <w:sz w:val="24"/>
          <w:szCs w:val="24"/>
        </w:rPr>
        <w:tab/>
      </w:r>
      <w:r>
        <w:rPr>
          <w:sz w:val="24"/>
          <w:szCs w:val="24"/>
        </w:rPr>
        <w:fldChar w:fldCharType="begin"/>
      </w:r>
      <w:r>
        <w:rPr>
          <w:sz w:val="24"/>
          <w:szCs w:val="24"/>
        </w:rPr>
        <w:instrText xml:space="preserve"> PAGEREF _Toc163 </w:instrText>
      </w:r>
      <w:r>
        <w:rPr>
          <w:sz w:val="24"/>
          <w:szCs w:val="24"/>
        </w:rPr>
        <w:fldChar w:fldCharType="separate"/>
      </w:r>
      <w:r>
        <w:rPr>
          <w:sz w:val="24"/>
          <w:szCs w:val="24"/>
        </w:rPr>
        <w:t>55</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_Toc4182 </w:instrText>
      </w:r>
      <w:r>
        <w:rPr>
          <w:sz w:val="24"/>
          <w:szCs w:val="24"/>
        </w:rPr>
        <w:fldChar w:fldCharType="separate"/>
      </w:r>
      <w:r>
        <w:rPr>
          <w:rFonts w:hint="default" w:ascii="Times New Roman" w:hAnsi="Times New Roman" w:eastAsia="宋体"/>
          <w:i w:val="0"/>
          <w:sz w:val="24"/>
          <w:szCs w:val="24"/>
        </w:rPr>
        <w:t xml:space="preserve">11.5 </w:t>
      </w:r>
      <w:r>
        <w:rPr>
          <w:rFonts w:hint="eastAsia"/>
          <w:sz w:val="24"/>
          <w:szCs w:val="24"/>
        </w:rPr>
        <w:t>备案</w:t>
      </w:r>
      <w:r>
        <w:rPr>
          <w:sz w:val="24"/>
          <w:szCs w:val="24"/>
        </w:rPr>
        <w:tab/>
      </w:r>
      <w:r>
        <w:rPr>
          <w:sz w:val="24"/>
          <w:szCs w:val="24"/>
        </w:rPr>
        <w:fldChar w:fldCharType="begin"/>
      </w:r>
      <w:r>
        <w:rPr>
          <w:sz w:val="24"/>
          <w:szCs w:val="24"/>
        </w:rPr>
        <w:instrText xml:space="preserve"> PAGEREF _Toc4182 </w:instrText>
      </w:r>
      <w:r>
        <w:rPr>
          <w:sz w:val="24"/>
          <w:szCs w:val="24"/>
        </w:rPr>
        <w:fldChar w:fldCharType="separate"/>
      </w:r>
      <w:r>
        <w:rPr>
          <w:sz w:val="24"/>
          <w:szCs w:val="24"/>
        </w:rPr>
        <w:t>56</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_Toc11380 </w:instrText>
      </w:r>
      <w:r>
        <w:rPr>
          <w:sz w:val="24"/>
          <w:szCs w:val="24"/>
        </w:rPr>
        <w:fldChar w:fldCharType="separate"/>
      </w:r>
      <w:r>
        <w:rPr>
          <w:rFonts w:hint="default" w:ascii="Times New Roman" w:hAnsi="Times New Roman" w:eastAsia="宋体"/>
          <w:i w:val="0"/>
          <w:sz w:val="24"/>
          <w:szCs w:val="24"/>
        </w:rPr>
        <w:t xml:space="preserve">11.6 </w:t>
      </w:r>
      <w:r>
        <w:rPr>
          <w:rFonts w:hint="eastAsia"/>
          <w:sz w:val="24"/>
          <w:szCs w:val="24"/>
        </w:rPr>
        <w:t>签署发布</w:t>
      </w:r>
      <w:r>
        <w:rPr>
          <w:sz w:val="24"/>
          <w:szCs w:val="24"/>
        </w:rPr>
        <w:tab/>
      </w:r>
      <w:r>
        <w:rPr>
          <w:sz w:val="24"/>
          <w:szCs w:val="24"/>
        </w:rPr>
        <w:fldChar w:fldCharType="begin"/>
      </w:r>
      <w:r>
        <w:rPr>
          <w:sz w:val="24"/>
          <w:szCs w:val="24"/>
        </w:rPr>
        <w:instrText xml:space="preserve"> PAGEREF _Toc11380 </w:instrText>
      </w:r>
      <w:r>
        <w:rPr>
          <w:sz w:val="24"/>
          <w:szCs w:val="24"/>
        </w:rPr>
        <w:fldChar w:fldCharType="separate"/>
      </w:r>
      <w:r>
        <w:rPr>
          <w:sz w:val="24"/>
          <w:szCs w:val="24"/>
        </w:rPr>
        <w:t>56</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_Toc19430 </w:instrText>
      </w:r>
      <w:r>
        <w:rPr>
          <w:sz w:val="24"/>
          <w:szCs w:val="24"/>
        </w:rPr>
        <w:fldChar w:fldCharType="separate"/>
      </w:r>
      <w:r>
        <w:rPr>
          <w:rFonts w:hint="default" w:ascii="Times New Roman" w:hAnsi="Times New Roman" w:eastAsia="宋体"/>
          <w:i w:val="0"/>
          <w:sz w:val="24"/>
          <w:szCs w:val="24"/>
        </w:rPr>
        <w:t xml:space="preserve">11.7 </w:t>
      </w:r>
      <w:r>
        <w:rPr>
          <w:rFonts w:hint="eastAsia"/>
          <w:sz w:val="24"/>
          <w:szCs w:val="24"/>
        </w:rPr>
        <w:t>预案实施</w:t>
      </w:r>
      <w:r>
        <w:rPr>
          <w:sz w:val="24"/>
          <w:szCs w:val="24"/>
        </w:rPr>
        <w:tab/>
      </w:r>
      <w:r>
        <w:rPr>
          <w:sz w:val="24"/>
          <w:szCs w:val="24"/>
        </w:rPr>
        <w:fldChar w:fldCharType="begin"/>
      </w:r>
      <w:r>
        <w:rPr>
          <w:sz w:val="24"/>
          <w:szCs w:val="24"/>
        </w:rPr>
        <w:instrText xml:space="preserve"> PAGEREF _Toc19430 </w:instrText>
      </w:r>
      <w:r>
        <w:rPr>
          <w:sz w:val="24"/>
          <w:szCs w:val="24"/>
        </w:rPr>
        <w:fldChar w:fldCharType="separate"/>
      </w:r>
      <w:r>
        <w:rPr>
          <w:sz w:val="24"/>
          <w:szCs w:val="24"/>
        </w:rPr>
        <w:t>56</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_Toc20957 </w:instrText>
      </w:r>
      <w:r>
        <w:rPr>
          <w:sz w:val="24"/>
          <w:szCs w:val="24"/>
        </w:rPr>
        <w:fldChar w:fldCharType="separate"/>
      </w:r>
      <w:r>
        <w:rPr>
          <w:rFonts w:hint="default" w:ascii="Times New Roman" w:hAnsi="Times New Roman" w:eastAsia="宋体"/>
          <w:i w:val="0"/>
          <w:sz w:val="24"/>
          <w:szCs w:val="24"/>
        </w:rPr>
        <w:t xml:space="preserve">12 </w:t>
      </w:r>
      <w:r>
        <w:rPr>
          <w:rFonts w:hint="eastAsia"/>
          <w:sz w:val="24"/>
          <w:szCs w:val="24"/>
        </w:rPr>
        <w:t>附则</w:t>
      </w:r>
      <w:r>
        <w:rPr>
          <w:sz w:val="24"/>
          <w:szCs w:val="24"/>
        </w:rPr>
        <w:tab/>
      </w:r>
      <w:r>
        <w:rPr>
          <w:sz w:val="24"/>
          <w:szCs w:val="24"/>
        </w:rPr>
        <w:fldChar w:fldCharType="begin"/>
      </w:r>
      <w:r>
        <w:rPr>
          <w:sz w:val="24"/>
          <w:szCs w:val="24"/>
        </w:rPr>
        <w:instrText xml:space="preserve"> PAGEREF _Toc20957 </w:instrText>
      </w:r>
      <w:r>
        <w:rPr>
          <w:sz w:val="24"/>
          <w:szCs w:val="24"/>
        </w:rPr>
        <w:fldChar w:fldCharType="separate"/>
      </w:r>
      <w:r>
        <w:rPr>
          <w:sz w:val="24"/>
          <w:szCs w:val="24"/>
        </w:rPr>
        <w:t>57</w:t>
      </w:r>
      <w:r>
        <w:rPr>
          <w:sz w:val="24"/>
          <w:szCs w:val="24"/>
        </w:rPr>
        <w:fldChar w:fldCharType="end"/>
      </w:r>
      <w:r>
        <w:rPr>
          <w:sz w:val="24"/>
          <w:szCs w:val="24"/>
        </w:rPr>
        <w:fldChar w:fldCharType="end"/>
      </w:r>
    </w:p>
    <w:p>
      <w:pPr>
        <w:pStyle w:val="14"/>
        <w:tabs>
          <w:tab w:val="right" w:leader="dot" w:pos="9128"/>
          <w:tab w:val="clear" w:pos="9118"/>
        </w:tabs>
        <w:rPr>
          <w:sz w:val="24"/>
          <w:szCs w:val="24"/>
        </w:rPr>
      </w:pPr>
      <w:r>
        <w:rPr>
          <w:sz w:val="24"/>
          <w:szCs w:val="24"/>
        </w:rPr>
        <w:fldChar w:fldCharType="begin"/>
      </w:r>
      <w:r>
        <w:rPr>
          <w:sz w:val="24"/>
          <w:szCs w:val="24"/>
        </w:rPr>
        <w:instrText xml:space="preserve"> HYPERLINK \l _Toc5124 </w:instrText>
      </w:r>
      <w:r>
        <w:rPr>
          <w:sz w:val="24"/>
          <w:szCs w:val="24"/>
        </w:rPr>
        <w:fldChar w:fldCharType="separate"/>
      </w:r>
      <w:r>
        <w:rPr>
          <w:rFonts w:hint="default" w:ascii="Times New Roman" w:hAnsi="Times New Roman" w:eastAsia="宋体"/>
          <w:i w:val="0"/>
          <w:sz w:val="24"/>
          <w:szCs w:val="24"/>
        </w:rPr>
        <w:t xml:space="preserve">12.1 </w:t>
      </w:r>
      <w:r>
        <w:rPr>
          <w:rFonts w:hint="eastAsia"/>
          <w:sz w:val="24"/>
          <w:szCs w:val="24"/>
        </w:rPr>
        <w:t>术语、符号和代号</w:t>
      </w:r>
      <w:r>
        <w:rPr>
          <w:sz w:val="24"/>
          <w:szCs w:val="24"/>
        </w:rPr>
        <w:tab/>
      </w:r>
      <w:r>
        <w:rPr>
          <w:sz w:val="24"/>
          <w:szCs w:val="24"/>
        </w:rPr>
        <w:fldChar w:fldCharType="begin"/>
      </w:r>
      <w:r>
        <w:rPr>
          <w:sz w:val="24"/>
          <w:szCs w:val="24"/>
        </w:rPr>
        <w:instrText xml:space="preserve"> PAGEREF _Toc5124 </w:instrText>
      </w:r>
      <w:r>
        <w:rPr>
          <w:sz w:val="24"/>
          <w:szCs w:val="24"/>
        </w:rPr>
        <w:fldChar w:fldCharType="separate"/>
      </w:r>
      <w:r>
        <w:rPr>
          <w:sz w:val="24"/>
          <w:szCs w:val="24"/>
        </w:rPr>
        <w:t>57</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_Toc3736 </w:instrText>
      </w:r>
      <w:r>
        <w:rPr>
          <w:sz w:val="24"/>
          <w:szCs w:val="24"/>
        </w:rPr>
        <w:fldChar w:fldCharType="separate"/>
      </w:r>
      <w:r>
        <w:rPr>
          <w:rFonts w:hint="eastAsia"/>
          <w:sz w:val="24"/>
          <w:szCs w:val="24"/>
        </w:rPr>
        <w:t>附图1企业地理位置图</w:t>
      </w:r>
      <w:r>
        <w:rPr>
          <w:sz w:val="24"/>
          <w:szCs w:val="24"/>
        </w:rPr>
        <w:tab/>
      </w:r>
      <w:r>
        <w:rPr>
          <w:sz w:val="24"/>
          <w:szCs w:val="24"/>
        </w:rPr>
        <w:fldChar w:fldCharType="begin"/>
      </w:r>
      <w:r>
        <w:rPr>
          <w:sz w:val="24"/>
          <w:szCs w:val="24"/>
        </w:rPr>
        <w:instrText xml:space="preserve"> PAGEREF _Toc3736 </w:instrText>
      </w:r>
      <w:r>
        <w:rPr>
          <w:sz w:val="24"/>
          <w:szCs w:val="24"/>
        </w:rPr>
        <w:fldChar w:fldCharType="separate"/>
      </w:r>
      <w:r>
        <w:rPr>
          <w:sz w:val="24"/>
          <w:szCs w:val="24"/>
        </w:rPr>
        <w:t>58</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_Toc25654 </w:instrText>
      </w:r>
      <w:r>
        <w:rPr>
          <w:sz w:val="24"/>
          <w:szCs w:val="24"/>
        </w:rPr>
        <w:fldChar w:fldCharType="separate"/>
      </w:r>
      <w:r>
        <w:rPr>
          <w:rFonts w:hint="eastAsia"/>
          <w:sz w:val="24"/>
          <w:szCs w:val="24"/>
        </w:rPr>
        <w:t>附图2</w:t>
      </w:r>
      <w:r>
        <w:rPr>
          <w:sz w:val="24"/>
          <w:szCs w:val="24"/>
        </w:rPr>
        <w:t xml:space="preserve"> </w:t>
      </w:r>
      <w:r>
        <w:rPr>
          <w:rFonts w:hint="eastAsia"/>
          <w:sz w:val="24"/>
          <w:szCs w:val="24"/>
        </w:rPr>
        <w:t>厂区平面布置图</w:t>
      </w:r>
      <w:r>
        <w:rPr>
          <w:sz w:val="24"/>
          <w:szCs w:val="24"/>
        </w:rPr>
        <w:tab/>
      </w:r>
      <w:r>
        <w:rPr>
          <w:sz w:val="24"/>
          <w:szCs w:val="24"/>
        </w:rPr>
        <w:fldChar w:fldCharType="begin"/>
      </w:r>
      <w:r>
        <w:rPr>
          <w:sz w:val="24"/>
          <w:szCs w:val="24"/>
        </w:rPr>
        <w:instrText xml:space="preserve"> PAGEREF _Toc25654 </w:instrText>
      </w:r>
      <w:r>
        <w:rPr>
          <w:sz w:val="24"/>
          <w:szCs w:val="24"/>
        </w:rPr>
        <w:fldChar w:fldCharType="separate"/>
      </w:r>
      <w:r>
        <w:rPr>
          <w:sz w:val="24"/>
          <w:szCs w:val="24"/>
        </w:rPr>
        <w:t>59</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_Toc14845 </w:instrText>
      </w:r>
      <w:r>
        <w:rPr>
          <w:sz w:val="24"/>
          <w:szCs w:val="24"/>
        </w:rPr>
        <w:fldChar w:fldCharType="separate"/>
      </w:r>
      <w:r>
        <w:rPr>
          <w:rFonts w:hint="eastAsia"/>
          <w:sz w:val="24"/>
          <w:szCs w:val="24"/>
        </w:rPr>
        <w:t>附图3</w:t>
      </w:r>
      <w:r>
        <w:rPr>
          <w:sz w:val="24"/>
          <w:szCs w:val="24"/>
        </w:rPr>
        <w:t xml:space="preserve"> </w:t>
      </w:r>
      <w:r>
        <w:rPr>
          <w:rFonts w:hint="eastAsia"/>
          <w:sz w:val="24"/>
          <w:szCs w:val="24"/>
        </w:rPr>
        <w:t>周边大气环境风险受体分布图</w:t>
      </w:r>
      <w:r>
        <w:rPr>
          <w:sz w:val="24"/>
          <w:szCs w:val="24"/>
        </w:rPr>
        <w:tab/>
      </w:r>
      <w:r>
        <w:rPr>
          <w:sz w:val="24"/>
          <w:szCs w:val="24"/>
        </w:rPr>
        <w:fldChar w:fldCharType="begin"/>
      </w:r>
      <w:r>
        <w:rPr>
          <w:sz w:val="24"/>
          <w:szCs w:val="24"/>
        </w:rPr>
        <w:instrText xml:space="preserve"> PAGEREF _Toc14845 </w:instrText>
      </w:r>
      <w:r>
        <w:rPr>
          <w:sz w:val="24"/>
          <w:szCs w:val="24"/>
        </w:rPr>
        <w:fldChar w:fldCharType="separate"/>
      </w:r>
      <w:r>
        <w:rPr>
          <w:sz w:val="24"/>
          <w:szCs w:val="24"/>
        </w:rPr>
        <w:t>60</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_Toc177 </w:instrText>
      </w:r>
      <w:r>
        <w:rPr>
          <w:sz w:val="24"/>
          <w:szCs w:val="24"/>
        </w:rPr>
        <w:fldChar w:fldCharType="separate"/>
      </w:r>
      <w:r>
        <w:rPr>
          <w:rFonts w:hint="eastAsia"/>
          <w:sz w:val="24"/>
          <w:szCs w:val="24"/>
        </w:rPr>
        <w:t>附图4</w:t>
      </w:r>
      <w:r>
        <w:rPr>
          <w:sz w:val="24"/>
          <w:szCs w:val="24"/>
        </w:rPr>
        <w:t xml:space="preserve"> </w:t>
      </w:r>
      <w:r>
        <w:rPr>
          <w:rFonts w:hint="eastAsia"/>
          <w:kern w:val="0"/>
          <w:sz w:val="24"/>
          <w:szCs w:val="24"/>
        </w:rPr>
        <w:t>周边水环境风险受体分布图</w:t>
      </w:r>
      <w:r>
        <w:rPr>
          <w:sz w:val="24"/>
          <w:szCs w:val="24"/>
        </w:rPr>
        <w:tab/>
      </w:r>
      <w:r>
        <w:rPr>
          <w:sz w:val="24"/>
          <w:szCs w:val="24"/>
        </w:rPr>
        <w:fldChar w:fldCharType="begin"/>
      </w:r>
      <w:r>
        <w:rPr>
          <w:sz w:val="24"/>
          <w:szCs w:val="24"/>
        </w:rPr>
        <w:instrText xml:space="preserve"> PAGEREF _Toc177 </w:instrText>
      </w:r>
      <w:r>
        <w:rPr>
          <w:sz w:val="24"/>
          <w:szCs w:val="24"/>
        </w:rPr>
        <w:fldChar w:fldCharType="separate"/>
      </w:r>
      <w:r>
        <w:rPr>
          <w:sz w:val="24"/>
          <w:szCs w:val="24"/>
        </w:rPr>
        <w:t>61</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_Toc12456 </w:instrText>
      </w:r>
      <w:r>
        <w:rPr>
          <w:sz w:val="24"/>
          <w:szCs w:val="24"/>
        </w:rPr>
        <w:fldChar w:fldCharType="separate"/>
      </w:r>
      <w:r>
        <w:rPr>
          <w:rFonts w:hint="eastAsia"/>
          <w:sz w:val="24"/>
          <w:szCs w:val="24"/>
        </w:rPr>
        <w:t>附图5</w:t>
      </w:r>
      <w:r>
        <w:rPr>
          <w:sz w:val="24"/>
          <w:szCs w:val="24"/>
        </w:rPr>
        <w:t xml:space="preserve"> </w:t>
      </w:r>
      <w:r>
        <w:rPr>
          <w:rFonts w:hint="eastAsia"/>
          <w:sz w:val="24"/>
          <w:szCs w:val="24"/>
        </w:rPr>
        <w:t>周边道路分布图</w:t>
      </w:r>
      <w:r>
        <w:rPr>
          <w:sz w:val="24"/>
          <w:szCs w:val="24"/>
        </w:rPr>
        <w:tab/>
      </w:r>
      <w:r>
        <w:rPr>
          <w:sz w:val="24"/>
          <w:szCs w:val="24"/>
        </w:rPr>
        <w:fldChar w:fldCharType="begin"/>
      </w:r>
      <w:r>
        <w:rPr>
          <w:sz w:val="24"/>
          <w:szCs w:val="24"/>
        </w:rPr>
        <w:instrText xml:space="preserve"> PAGEREF _Toc12456 </w:instrText>
      </w:r>
      <w:r>
        <w:rPr>
          <w:sz w:val="24"/>
          <w:szCs w:val="24"/>
        </w:rPr>
        <w:fldChar w:fldCharType="separate"/>
      </w:r>
      <w:r>
        <w:rPr>
          <w:sz w:val="24"/>
          <w:szCs w:val="24"/>
        </w:rPr>
        <w:t>62</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_Toc16375 </w:instrText>
      </w:r>
      <w:r>
        <w:rPr>
          <w:sz w:val="24"/>
          <w:szCs w:val="24"/>
        </w:rPr>
        <w:fldChar w:fldCharType="separate"/>
      </w:r>
      <w:r>
        <w:rPr>
          <w:rFonts w:hint="eastAsia"/>
          <w:sz w:val="24"/>
          <w:szCs w:val="24"/>
        </w:rPr>
        <w:t>附图</w:t>
      </w:r>
      <w:r>
        <w:rPr>
          <w:sz w:val="24"/>
          <w:szCs w:val="24"/>
        </w:rPr>
        <w:t xml:space="preserve">6 </w:t>
      </w:r>
      <w:r>
        <w:rPr>
          <w:rFonts w:hint="eastAsia"/>
          <w:sz w:val="24"/>
          <w:szCs w:val="24"/>
        </w:rPr>
        <w:t>企业风险单元分布图</w:t>
      </w:r>
      <w:r>
        <w:rPr>
          <w:sz w:val="24"/>
          <w:szCs w:val="24"/>
        </w:rPr>
        <w:tab/>
      </w:r>
      <w:r>
        <w:rPr>
          <w:sz w:val="24"/>
          <w:szCs w:val="24"/>
        </w:rPr>
        <w:fldChar w:fldCharType="begin"/>
      </w:r>
      <w:r>
        <w:rPr>
          <w:sz w:val="24"/>
          <w:szCs w:val="24"/>
        </w:rPr>
        <w:instrText xml:space="preserve"> PAGEREF _Toc16375 </w:instrText>
      </w:r>
      <w:r>
        <w:rPr>
          <w:sz w:val="24"/>
          <w:szCs w:val="24"/>
        </w:rPr>
        <w:fldChar w:fldCharType="separate"/>
      </w:r>
      <w:r>
        <w:rPr>
          <w:sz w:val="24"/>
          <w:szCs w:val="24"/>
        </w:rPr>
        <w:t>63</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_Toc29216 </w:instrText>
      </w:r>
      <w:r>
        <w:rPr>
          <w:sz w:val="24"/>
          <w:szCs w:val="24"/>
        </w:rPr>
        <w:fldChar w:fldCharType="separate"/>
      </w:r>
      <w:r>
        <w:rPr>
          <w:rFonts w:hint="eastAsia"/>
          <w:sz w:val="24"/>
          <w:szCs w:val="24"/>
        </w:rPr>
        <w:t>附图</w:t>
      </w:r>
      <w:r>
        <w:rPr>
          <w:sz w:val="24"/>
          <w:szCs w:val="24"/>
        </w:rPr>
        <w:t xml:space="preserve">7 </w:t>
      </w:r>
      <w:r>
        <w:rPr>
          <w:rFonts w:hint="eastAsia"/>
          <w:sz w:val="24"/>
          <w:szCs w:val="24"/>
        </w:rPr>
        <w:t>企业雨</w:t>
      </w:r>
      <w:r>
        <w:rPr>
          <w:rFonts w:hint="eastAsia"/>
          <w:sz w:val="24"/>
          <w:szCs w:val="24"/>
          <w:lang w:eastAsia="zh-CN"/>
        </w:rPr>
        <w:t>水</w:t>
      </w:r>
      <w:r>
        <w:rPr>
          <w:rFonts w:hint="eastAsia"/>
          <w:sz w:val="24"/>
          <w:szCs w:val="24"/>
        </w:rPr>
        <w:t>管网分布</w:t>
      </w:r>
      <w:r>
        <w:rPr>
          <w:rFonts w:hint="eastAsia"/>
          <w:sz w:val="24"/>
          <w:szCs w:val="24"/>
          <w:lang w:eastAsia="zh-CN"/>
        </w:rPr>
        <w:t>及应急物资分布</w:t>
      </w:r>
      <w:r>
        <w:rPr>
          <w:rFonts w:hint="eastAsia"/>
          <w:sz w:val="24"/>
          <w:szCs w:val="24"/>
        </w:rPr>
        <w:t>图</w:t>
      </w:r>
      <w:r>
        <w:rPr>
          <w:sz w:val="24"/>
          <w:szCs w:val="24"/>
        </w:rPr>
        <w:tab/>
      </w:r>
      <w:r>
        <w:rPr>
          <w:sz w:val="24"/>
          <w:szCs w:val="24"/>
        </w:rPr>
        <w:fldChar w:fldCharType="begin"/>
      </w:r>
      <w:r>
        <w:rPr>
          <w:sz w:val="24"/>
          <w:szCs w:val="24"/>
        </w:rPr>
        <w:instrText xml:space="preserve"> PAGEREF _Toc29216 </w:instrText>
      </w:r>
      <w:r>
        <w:rPr>
          <w:sz w:val="24"/>
          <w:szCs w:val="24"/>
        </w:rPr>
        <w:fldChar w:fldCharType="separate"/>
      </w:r>
      <w:r>
        <w:rPr>
          <w:sz w:val="24"/>
          <w:szCs w:val="24"/>
        </w:rPr>
        <w:t>64</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_Toc16982 </w:instrText>
      </w:r>
      <w:r>
        <w:rPr>
          <w:sz w:val="24"/>
          <w:szCs w:val="24"/>
        </w:rPr>
        <w:fldChar w:fldCharType="separate"/>
      </w:r>
      <w:r>
        <w:rPr>
          <w:rFonts w:hint="eastAsia"/>
          <w:sz w:val="24"/>
          <w:szCs w:val="24"/>
        </w:rPr>
        <w:t>附图</w:t>
      </w:r>
      <w:r>
        <w:rPr>
          <w:rFonts w:hint="eastAsia"/>
          <w:sz w:val="24"/>
          <w:szCs w:val="24"/>
          <w:lang w:val="en-US" w:eastAsia="zh-CN"/>
        </w:rPr>
        <w:t>8</w:t>
      </w:r>
      <w:r>
        <w:rPr>
          <w:sz w:val="24"/>
          <w:szCs w:val="24"/>
        </w:rPr>
        <w:t xml:space="preserve"> </w:t>
      </w:r>
      <w:r>
        <w:rPr>
          <w:rFonts w:hint="eastAsia"/>
          <w:sz w:val="24"/>
          <w:szCs w:val="24"/>
        </w:rPr>
        <w:t>公司应急疏散路线图</w:t>
      </w:r>
      <w:r>
        <w:rPr>
          <w:sz w:val="24"/>
          <w:szCs w:val="24"/>
        </w:rPr>
        <w:tab/>
      </w:r>
      <w:r>
        <w:rPr>
          <w:sz w:val="24"/>
          <w:szCs w:val="24"/>
        </w:rPr>
        <w:fldChar w:fldCharType="begin"/>
      </w:r>
      <w:r>
        <w:rPr>
          <w:sz w:val="24"/>
          <w:szCs w:val="24"/>
        </w:rPr>
        <w:instrText xml:space="preserve"> PAGEREF _Toc16982 </w:instrText>
      </w:r>
      <w:r>
        <w:rPr>
          <w:sz w:val="24"/>
          <w:szCs w:val="24"/>
        </w:rPr>
        <w:fldChar w:fldCharType="separate"/>
      </w:r>
      <w:r>
        <w:rPr>
          <w:sz w:val="24"/>
          <w:szCs w:val="24"/>
        </w:rPr>
        <w:t>65</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_Toc18641 </w:instrText>
      </w:r>
      <w:r>
        <w:rPr>
          <w:sz w:val="24"/>
          <w:szCs w:val="24"/>
        </w:rPr>
        <w:fldChar w:fldCharType="separate"/>
      </w:r>
      <w:r>
        <w:rPr>
          <w:rFonts w:hint="eastAsia"/>
          <w:sz w:val="24"/>
          <w:szCs w:val="24"/>
        </w:rPr>
        <w:t>附件1</w:t>
      </w:r>
      <w:r>
        <w:rPr>
          <w:sz w:val="24"/>
          <w:szCs w:val="24"/>
        </w:rPr>
        <w:t xml:space="preserve"> </w:t>
      </w:r>
      <w:r>
        <w:rPr>
          <w:rFonts w:hint="eastAsia"/>
          <w:sz w:val="24"/>
          <w:szCs w:val="24"/>
          <w:lang w:eastAsia="zh-CN"/>
        </w:rPr>
        <w:t>南昌慧华高科混凝土有限公司环评批复</w:t>
      </w:r>
      <w:r>
        <w:rPr>
          <w:sz w:val="24"/>
          <w:szCs w:val="24"/>
        </w:rPr>
        <w:tab/>
      </w:r>
      <w:r>
        <w:rPr>
          <w:sz w:val="24"/>
          <w:szCs w:val="24"/>
        </w:rPr>
        <w:fldChar w:fldCharType="begin"/>
      </w:r>
      <w:r>
        <w:rPr>
          <w:sz w:val="24"/>
          <w:szCs w:val="24"/>
        </w:rPr>
        <w:instrText xml:space="preserve"> PAGEREF _Toc18641 </w:instrText>
      </w:r>
      <w:r>
        <w:rPr>
          <w:sz w:val="24"/>
          <w:szCs w:val="24"/>
        </w:rPr>
        <w:fldChar w:fldCharType="separate"/>
      </w:r>
      <w:r>
        <w:rPr>
          <w:sz w:val="24"/>
          <w:szCs w:val="24"/>
        </w:rPr>
        <w:t>66</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_Toc3706 </w:instrText>
      </w:r>
      <w:r>
        <w:rPr>
          <w:sz w:val="24"/>
          <w:szCs w:val="24"/>
        </w:rPr>
        <w:fldChar w:fldCharType="separate"/>
      </w:r>
      <w:r>
        <w:rPr>
          <w:rFonts w:hint="eastAsia"/>
          <w:sz w:val="24"/>
          <w:szCs w:val="24"/>
        </w:rPr>
        <w:t>附件</w:t>
      </w:r>
      <w:r>
        <w:rPr>
          <w:rFonts w:hint="eastAsia"/>
          <w:sz w:val="24"/>
          <w:szCs w:val="24"/>
          <w:lang w:val="en-US" w:eastAsia="zh-CN"/>
        </w:rPr>
        <w:t>2</w:t>
      </w:r>
      <w:r>
        <w:rPr>
          <w:sz w:val="24"/>
          <w:szCs w:val="24"/>
        </w:rPr>
        <w:t xml:space="preserve"> </w:t>
      </w:r>
      <w:r>
        <w:rPr>
          <w:rFonts w:hint="eastAsia"/>
          <w:sz w:val="24"/>
          <w:szCs w:val="24"/>
          <w:lang w:eastAsia="zh-CN"/>
        </w:rPr>
        <w:t>关于南昌慧华高科混凝土搅拌站项目竣工环境保护验收意见的函</w:t>
      </w:r>
      <w:r>
        <w:rPr>
          <w:sz w:val="24"/>
          <w:szCs w:val="24"/>
        </w:rPr>
        <w:tab/>
      </w:r>
      <w:r>
        <w:rPr>
          <w:sz w:val="24"/>
          <w:szCs w:val="24"/>
        </w:rPr>
        <w:fldChar w:fldCharType="begin"/>
      </w:r>
      <w:r>
        <w:rPr>
          <w:sz w:val="24"/>
          <w:szCs w:val="24"/>
        </w:rPr>
        <w:instrText xml:space="preserve"> PAGEREF _Toc3706 </w:instrText>
      </w:r>
      <w:r>
        <w:rPr>
          <w:sz w:val="24"/>
          <w:szCs w:val="24"/>
        </w:rPr>
        <w:fldChar w:fldCharType="separate"/>
      </w:r>
      <w:r>
        <w:rPr>
          <w:sz w:val="24"/>
          <w:szCs w:val="24"/>
        </w:rPr>
        <w:t>68</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_Toc14050 </w:instrText>
      </w:r>
      <w:r>
        <w:rPr>
          <w:sz w:val="24"/>
          <w:szCs w:val="24"/>
        </w:rPr>
        <w:fldChar w:fldCharType="separate"/>
      </w:r>
      <w:r>
        <w:rPr>
          <w:rFonts w:hint="eastAsia"/>
          <w:sz w:val="24"/>
          <w:szCs w:val="24"/>
        </w:rPr>
        <w:t>附件</w:t>
      </w:r>
      <w:r>
        <w:rPr>
          <w:rFonts w:hint="eastAsia"/>
          <w:sz w:val="24"/>
          <w:szCs w:val="24"/>
          <w:lang w:val="en-US" w:eastAsia="zh-CN"/>
        </w:rPr>
        <w:t>3</w:t>
      </w:r>
      <w:r>
        <w:rPr>
          <w:sz w:val="24"/>
          <w:szCs w:val="24"/>
        </w:rPr>
        <w:t xml:space="preserve"> </w:t>
      </w:r>
      <w:r>
        <w:rPr>
          <w:rFonts w:hint="eastAsia"/>
          <w:sz w:val="24"/>
          <w:szCs w:val="24"/>
        </w:rPr>
        <w:t>公司内部应急处置人员联系电话</w:t>
      </w:r>
      <w:r>
        <w:rPr>
          <w:sz w:val="24"/>
          <w:szCs w:val="24"/>
        </w:rPr>
        <w:tab/>
      </w:r>
      <w:r>
        <w:rPr>
          <w:sz w:val="24"/>
          <w:szCs w:val="24"/>
        </w:rPr>
        <w:fldChar w:fldCharType="begin"/>
      </w:r>
      <w:r>
        <w:rPr>
          <w:sz w:val="24"/>
          <w:szCs w:val="24"/>
        </w:rPr>
        <w:instrText xml:space="preserve"> PAGEREF _Toc14050 </w:instrText>
      </w:r>
      <w:r>
        <w:rPr>
          <w:sz w:val="24"/>
          <w:szCs w:val="24"/>
        </w:rPr>
        <w:fldChar w:fldCharType="separate"/>
      </w:r>
      <w:r>
        <w:rPr>
          <w:sz w:val="24"/>
          <w:szCs w:val="24"/>
        </w:rPr>
        <w:t>70</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_Toc879 </w:instrText>
      </w:r>
      <w:r>
        <w:rPr>
          <w:sz w:val="24"/>
          <w:szCs w:val="24"/>
        </w:rPr>
        <w:fldChar w:fldCharType="separate"/>
      </w:r>
      <w:r>
        <w:rPr>
          <w:rFonts w:hint="eastAsia"/>
          <w:sz w:val="24"/>
          <w:szCs w:val="24"/>
        </w:rPr>
        <w:t>附件</w:t>
      </w:r>
      <w:r>
        <w:rPr>
          <w:rFonts w:hint="eastAsia"/>
          <w:sz w:val="24"/>
          <w:szCs w:val="24"/>
          <w:lang w:val="en-US" w:eastAsia="zh-CN"/>
        </w:rPr>
        <w:t>4</w:t>
      </w:r>
      <w:r>
        <w:rPr>
          <w:sz w:val="24"/>
          <w:szCs w:val="24"/>
        </w:rPr>
        <w:t xml:space="preserve"> </w:t>
      </w:r>
      <w:r>
        <w:rPr>
          <w:rFonts w:hint="eastAsia"/>
          <w:sz w:val="24"/>
          <w:szCs w:val="24"/>
        </w:rPr>
        <w:t>公司外部应急处置人员</w:t>
      </w:r>
      <w:r>
        <w:rPr>
          <w:rFonts w:hint="eastAsia"/>
          <w:sz w:val="24"/>
          <w:szCs w:val="24"/>
          <w:lang w:eastAsia="zh-CN"/>
        </w:rPr>
        <w:t>及周边区域单位</w:t>
      </w:r>
      <w:r>
        <w:rPr>
          <w:rFonts w:hint="eastAsia"/>
          <w:sz w:val="24"/>
          <w:szCs w:val="24"/>
        </w:rPr>
        <w:t>联系电话</w:t>
      </w:r>
      <w:r>
        <w:rPr>
          <w:sz w:val="24"/>
          <w:szCs w:val="24"/>
        </w:rPr>
        <w:tab/>
      </w:r>
      <w:r>
        <w:rPr>
          <w:sz w:val="24"/>
          <w:szCs w:val="24"/>
        </w:rPr>
        <w:fldChar w:fldCharType="begin"/>
      </w:r>
      <w:r>
        <w:rPr>
          <w:sz w:val="24"/>
          <w:szCs w:val="24"/>
        </w:rPr>
        <w:instrText xml:space="preserve"> PAGEREF _Toc879 </w:instrText>
      </w:r>
      <w:r>
        <w:rPr>
          <w:sz w:val="24"/>
          <w:szCs w:val="24"/>
        </w:rPr>
        <w:fldChar w:fldCharType="separate"/>
      </w:r>
      <w:r>
        <w:rPr>
          <w:sz w:val="24"/>
          <w:szCs w:val="24"/>
        </w:rPr>
        <w:t>71</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_Toc30380 </w:instrText>
      </w:r>
      <w:r>
        <w:rPr>
          <w:sz w:val="24"/>
          <w:szCs w:val="24"/>
        </w:rPr>
        <w:fldChar w:fldCharType="separate"/>
      </w:r>
      <w:r>
        <w:rPr>
          <w:rFonts w:hint="eastAsia"/>
          <w:sz w:val="24"/>
          <w:szCs w:val="24"/>
        </w:rPr>
        <w:t>附件</w:t>
      </w:r>
      <w:r>
        <w:rPr>
          <w:rFonts w:hint="eastAsia" w:cs="Times New Roman"/>
          <w:sz w:val="24"/>
          <w:szCs w:val="24"/>
          <w:lang w:val="en-US" w:eastAsia="zh-CN"/>
        </w:rPr>
        <w:t>5</w:t>
      </w:r>
      <w:r>
        <w:rPr>
          <w:rFonts w:cs="Times New Roman"/>
          <w:sz w:val="24"/>
          <w:szCs w:val="24"/>
        </w:rPr>
        <w:t xml:space="preserve"> </w:t>
      </w:r>
      <w:r>
        <w:rPr>
          <w:rFonts w:hint="eastAsia"/>
          <w:sz w:val="24"/>
          <w:szCs w:val="24"/>
        </w:rPr>
        <w:t>公司突发环境事件信息通告</w:t>
      </w:r>
      <w:r>
        <w:rPr>
          <w:rFonts w:hint="eastAsia"/>
          <w:sz w:val="24"/>
          <w:szCs w:val="24"/>
          <w:lang w:eastAsia="zh-CN"/>
        </w:rPr>
        <w:t>标准化</w:t>
      </w:r>
      <w:r>
        <w:rPr>
          <w:rFonts w:hint="eastAsia"/>
          <w:sz w:val="24"/>
          <w:szCs w:val="24"/>
        </w:rPr>
        <w:t>表</w:t>
      </w:r>
      <w:r>
        <w:rPr>
          <w:rFonts w:hint="eastAsia"/>
          <w:sz w:val="24"/>
          <w:szCs w:val="24"/>
          <w:lang w:eastAsia="zh-CN"/>
        </w:rPr>
        <w:t>格</w:t>
      </w:r>
      <w:r>
        <w:rPr>
          <w:sz w:val="24"/>
          <w:szCs w:val="24"/>
        </w:rPr>
        <w:tab/>
      </w:r>
      <w:r>
        <w:rPr>
          <w:sz w:val="24"/>
          <w:szCs w:val="24"/>
        </w:rPr>
        <w:fldChar w:fldCharType="begin"/>
      </w:r>
      <w:r>
        <w:rPr>
          <w:sz w:val="24"/>
          <w:szCs w:val="24"/>
        </w:rPr>
        <w:instrText xml:space="preserve"> PAGEREF _Toc30380 </w:instrText>
      </w:r>
      <w:r>
        <w:rPr>
          <w:sz w:val="24"/>
          <w:szCs w:val="24"/>
        </w:rPr>
        <w:fldChar w:fldCharType="separate"/>
      </w:r>
      <w:r>
        <w:rPr>
          <w:sz w:val="24"/>
          <w:szCs w:val="24"/>
        </w:rPr>
        <w:t>７２</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_Toc21440 </w:instrText>
      </w:r>
      <w:r>
        <w:rPr>
          <w:sz w:val="24"/>
          <w:szCs w:val="24"/>
        </w:rPr>
        <w:fldChar w:fldCharType="separate"/>
      </w:r>
      <w:r>
        <w:rPr>
          <w:rFonts w:hint="eastAsia" w:ascii="宋体" w:hAnsi="宋体" w:cs="宋体"/>
          <w:sz w:val="24"/>
          <w:szCs w:val="24"/>
        </w:rPr>
        <w:t>附件</w:t>
      </w:r>
      <w:r>
        <w:rPr>
          <w:rFonts w:hint="eastAsia" w:cs="Times New Roman"/>
          <w:sz w:val="24"/>
          <w:szCs w:val="24"/>
          <w:lang w:val="en-US" w:eastAsia="zh-CN"/>
        </w:rPr>
        <w:t>6</w:t>
      </w:r>
      <w:r>
        <w:rPr>
          <w:rFonts w:cs="Times New Roman"/>
          <w:sz w:val="24"/>
          <w:szCs w:val="24"/>
        </w:rPr>
        <w:t xml:space="preserve"> </w:t>
      </w:r>
      <w:r>
        <w:rPr>
          <w:rFonts w:hint="eastAsia"/>
          <w:sz w:val="24"/>
          <w:szCs w:val="24"/>
          <w:lang w:eastAsia="zh-CN"/>
        </w:rPr>
        <w:t>应急救援演练记录</w:t>
      </w:r>
      <w:r>
        <w:rPr>
          <w:sz w:val="24"/>
          <w:szCs w:val="24"/>
        </w:rPr>
        <w:tab/>
      </w:r>
      <w:r>
        <w:rPr>
          <w:sz w:val="24"/>
          <w:szCs w:val="24"/>
        </w:rPr>
        <w:fldChar w:fldCharType="begin"/>
      </w:r>
      <w:r>
        <w:rPr>
          <w:sz w:val="24"/>
          <w:szCs w:val="24"/>
        </w:rPr>
        <w:instrText xml:space="preserve"> PAGEREF _Toc21440 </w:instrText>
      </w:r>
      <w:r>
        <w:rPr>
          <w:sz w:val="24"/>
          <w:szCs w:val="24"/>
        </w:rPr>
        <w:fldChar w:fldCharType="separate"/>
      </w:r>
      <w:r>
        <w:rPr>
          <w:sz w:val="24"/>
          <w:szCs w:val="24"/>
        </w:rPr>
        <w:t>76</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_Toc5074 </w:instrText>
      </w:r>
      <w:r>
        <w:rPr>
          <w:sz w:val="24"/>
          <w:szCs w:val="24"/>
        </w:rPr>
        <w:fldChar w:fldCharType="separate"/>
      </w:r>
      <w:r>
        <w:rPr>
          <w:rFonts w:hint="eastAsia" w:ascii="宋体" w:hAnsi="宋体" w:cs="Times New Roman"/>
          <w:sz w:val="24"/>
          <w:szCs w:val="24"/>
          <w:lang w:eastAsia="zh-CN"/>
        </w:rPr>
        <w:t>附件</w:t>
      </w:r>
      <w:r>
        <w:rPr>
          <w:rFonts w:hint="eastAsia" w:ascii="宋体" w:hAnsi="宋体" w:cs="Times New Roman"/>
          <w:sz w:val="24"/>
          <w:szCs w:val="24"/>
          <w:lang w:val="en-US" w:eastAsia="zh-CN"/>
        </w:rPr>
        <w:t>7 应急监测合同</w:t>
      </w:r>
      <w:r>
        <w:rPr>
          <w:sz w:val="24"/>
          <w:szCs w:val="24"/>
        </w:rPr>
        <w:tab/>
      </w:r>
      <w:r>
        <w:rPr>
          <w:sz w:val="24"/>
          <w:szCs w:val="24"/>
        </w:rPr>
        <w:fldChar w:fldCharType="begin"/>
      </w:r>
      <w:r>
        <w:rPr>
          <w:sz w:val="24"/>
          <w:szCs w:val="24"/>
        </w:rPr>
        <w:instrText xml:space="preserve"> PAGEREF _Toc5074 </w:instrText>
      </w:r>
      <w:r>
        <w:rPr>
          <w:sz w:val="24"/>
          <w:szCs w:val="24"/>
        </w:rPr>
        <w:fldChar w:fldCharType="separate"/>
      </w:r>
      <w:r>
        <w:rPr>
          <w:sz w:val="24"/>
          <w:szCs w:val="24"/>
        </w:rPr>
        <w:t>79</w:t>
      </w:r>
      <w:r>
        <w:rPr>
          <w:sz w:val="24"/>
          <w:szCs w:val="24"/>
        </w:rPr>
        <w:fldChar w:fldCharType="end"/>
      </w:r>
      <w:r>
        <w:rPr>
          <w:sz w:val="24"/>
          <w:szCs w:val="24"/>
        </w:rPr>
        <w:fldChar w:fldCharType="end"/>
      </w:r>
    </w:p>
    <w:p>
      <w:pPr>
        <w:pStyle w:val="13"/>
        <w:tabs>
          <w:tab w:val="right" w:leader="dot" w:pos="9128"/>
          <w:tab w:val="clear" w:pos="9118"/>
        </w:tabs>
        <w:rPr>
          <w:sz w:val="24"/>
          <w:szCs w:val="24"/>
        </w:rPr>
      </w:pPr>
      <w:r>
        <w:rPr>
          <w:sz w:val="24"/>
          <w:szCs w:val="24"/>
        </w:rPr>
        <w:fldChar w:fldCharType="begin"/>
      </w:r>
      <w:r>
        <w:rPr>
          <w:sz w:val="24"/>
          <w:szCs w:val="24"/>
        </w:rPr>
        <w:instrText xml:space="preserve"> HYPERLINK \l _Toc6816 </w:instrText>
      </w:r>
      <w:r>
        <w:rPr>
          <w:sz w:val="24"/>
          <w:szCs w:val="24"/>
        </w:rPr>
        <w:fldChar w:fldCharType="separate"/>
      </w:r>
      <w:r>
        <w:rPr>
          <w:rFonts w:hint="eastAsia" w:ascii="宋体" w:hAnsi="宋体" w:cs="Times New Roman"/>
          <w:sz w:val="24"/>
          <w:szCs w:val="24"/>
          <w:lang w:eastAsia="zh-CN"/>
        </w:rPr>
        <w:t>附件</w:t>
      </w:r>
      <w:r>
        <w:rPr>
          <w:rFonts w:hint="default" w:ascii="宋体" w:hAnsi="宋体" w:cs="Times New Roman"/>
          <w:sz w:val="24"/>
          <w:szCs w:val="24"/>
          <w:lang w:val="en-US" w:eastAsia="zh-CN"/>
        </w:rPr>
        <w:t>8</w:t>
      </w:r>
      <w:r>
        <w:rPr>
          <w:rFonts w:hint="eastAsia" w:ascii="宋体" w:hAnsi="宋体" w:cs="Times New Roman"/>
          <w:sz w:val="24"/>
          <w:szCs w:val="24"/>
          <w:lang w:val="en-US" w:eastAsia="zh-CN"/>
        </w:rPr>
        <w:t xml:space="preserve"> 专家意见</w:t>
      </w:r>
      <w:r>
        <w:rPr>
          <w:sz w:val="24"/>
          <w:szCs w:val="24"/>
        </w:rPr>
        <w:tab/>
      </w:r>
      <w:r>
        <w:rPr>
          <w:sz w:val="24"/>
          <w:szCs w:val="24"/>
        </w:rPr>
        <w:fldChar w:fldCharType="begin"/>
      </w:r>
      <w:r>
        <w:rPr>
          <w:sz w:val="24"/>
          <w:szCs w:val="24"/>
        </w:rPr>
        <w:instrText xml:space="preserve"> PAGEREF _Toc6816 </w:instrText>
      </w:r>
      <w:r>
        <w:rPr>
          <w:sz w:val="24"/>
          <w:szCs w:val="24"/>
        </w:rPr>
        <w:fldChar w:fldCharType="separate"/>
      </w:r>
      <w:r>
        <w:rPr>
          <w:sz w:val="24"/>
          <w:szCs w:val="24"/>
        </w:rPr>
        <w:t>83</w:t>
      </w:r>
      <w:r>
        <w:rPr>
          <w:sz w:val="24"/>
          <w:szCs w:val="24"/>
        </w:rPr>
        <w:fldChar w:fldCharType="end"/>
      </w:r>
      <w:r>
        <w:rPr>
          <w:sz w:val="24"/>
          <w:szCs w:val="24"/>
        </w:rPr>
        <w:fldChar w:fldCharType="end"/>
      </w:r>
    </w:p>
    <w:p>
      <w:pPr>
        <w:ind w:firstLine="0" w:firstLineChars="0"/>
        <w:jc w:val="left"/>
        <w:rPr>
          <w:rFonts w:hint="default"/>
          <w:sz w:val="24"/>
          <w:szCs w:val="24"/>
          <w:lang w:val="en-US" w:eastAsia="zh-CN"/>
        </w:rPr>
        <w:sectPr>
          <w:pgSz w:w="11906" w:h="16838"/>
          <w:pgMar w:top="1304" w:right="1247" w:bottom="1304" w:left="1531" w:header="851" w:footer="851" w:gutter="0"/>
          <w:pgNumType w:fmt="decimal"/>
          <w:cols w:space="425" w:num="1"/>
          <w:docGrid w:type="lines" w:linePitch="312" w:charSpace="0"/>
        </w:sectPr>
      </w:pPr>
      <w:r>
        <w:rPr>
          <w:sz w:val="24"/>
          <w:szCs w:val="24"/>
        </w:rPr>
        <w:fldChar w:fldCharType="end"/>
      </w:r>
      <w:bookmarkStart w:id="220" w:name="_GoBack"/>
      <w:bookmarkEnd w:id="220"/>
    </w:p>
    <w:p>
      <w:pPr>
        <w:pStyle w:val="3"/>
      </w:pPr>
      <w:bookmarkStart w:id="0" w:name="_Toc24774"/>
      <w:r>
        <w:rPr>
          <w:rFonts w:hint="eastAsia"/>
        </w:rPr>
        <w:t>总则</w:t>
      </w:r>
      <w:bookmarkEnd w:id="0"/>
    </w:p>
    <w:p>
      <w:pPr>
        <w:pStyle w:val="4"/>
        <w:rPr>
          <w:sz w:val="24"/>
          <w:szCs w:val="24"/>
        </w:rPr>
      </w:pPr>
      <w:bookmarkStart w:id="1" w:name="_Toc23246"/>
      <w:r>
        <w:rPr>
          <w:rFonts w:hint="eastAsia"/>
          <w:sz w:val="24"/>
          <w:szCs w:val="24"/>
        </w:rPr>
        <w:t>编制目的</w:t>
      </w:r>
      <w:bookmarkEnd w:id="1"/>
    </w:p>
    <w:p>
      <w:pPr>
        <w:ind w:firstLine="560"/>
        <w:rPr>
          <w:sz w:val="24"/>
          <w:szCs w:val="24"/>
        </w:rPr>
      </w:pPr>
      <w:r>
        <w:rPr>
          <w:rFonts w:hint="eastAsia"/>
          <w:sz w:val="24"/>
          <w:szCs w:val="24"/>
        </w:rPr>
        <w:t>环境应急预案是指针对本企业生产的特点，为了加强对环境事件危险源的监测、监控并实施监督管理，建立环境事件风险防范体系，积极预防、及时控制、消除隐患，提高环境事件防范和处理能力，尽可能地避免或减少突发环境事件的发生，消除或减轻环境事件造成的中长期影响，最大程度地保障公众健康，保护人民群众生命财产安全。针对不同污染源所造成的环境污染、生态污染、放射性污染的特点，实行分类管理，充分发挥部门专业优势，使采取的措施与突发环境事件造成的危害范围和社会影响相适应。</w:t>
      </w:r>
    </w:p>
    <w:p>
      <w:pPr>
        <w:ind w:firstLine="560"/>
        <w:rPr>
          <w:sz w:val="24"/>
          <w:szCs w:val="24"/>
        </w:rPr>
      </w:pPr>
      <w:r>
        <w:rPr>
          <w:rFonts w:hint="eastAsia"/>
          <w:sz w:val="24"/>
          <w:szCs w:val="24"/>
        </w:rPr>
        <w:t>本次应急预案编制目的为：</w:t>
      </w:r>
    </w:p>
    <w:p>
      <w:pPr>
        <w:ind w:firstLine="560"/>
        <w:rPr>
          <w:sz w:val="24"/>
          <w:szCs w:val="24"/>
        </w:rPr>
      </w:pPr>
      <w:r>
        <w:rPr>
          <w:rFonts w:hint="eastAsia"/>
          <w:sz w:val="24"/>
          <w:szCs w:val="24"/>
        </w:rPr>
        <w:t>1、有效提高本公司防范和处置突发环境事件的能力，建立紧急情况下的快速、科学、有效地组织事故抢险、救援的应急机制；</w:t>
      </w:r>
    </w:p>
    <w:p>
      <w:pPr>
        <w:ind w:firstLine="560"/>
        <w:rPr>
          <w:sz w:val="24"/>
          <w:szCs w:val="24"/>
        </w:rPr>
      </w:pPr>
      <w:r>
        <w:rPr>
          <w:rFonts w:hint="eastAsia"/>
          <w:sz w:val="24"/>
          <w:szCs w:val="24"/>
        </w:rPr>
        <w:t>2、切实加强和规范环境风险源的监控和环境污染事件应急的措施，全面控制和消除污染，维护自然生态环境，保障人民身心健康，确保社会稳定和环境安全；</w:t>
      </w:r>
    </w:p>
    <w:p>
      <w:pPr>
        <w:ind w:firstLine="560"/>
        <w:rPr>
          <w:sz w:val="24"/>
          <w:szCs w:val="24"/>
        </w:rPr>
      </w:pPr>
      <w:r>
        <w:rPr>
          <w:rFonts w:hint="eastAsia"/>
          <w:sz w:val="24"/>
          <w:szCs w:val="24"/>
        </w:rPr>
        <w:t>3、预防重大污染事故的发生，对已发生的污染事故能迅速、有效、妥善处理，防止重大污染事故的发生，减少事故危害、损失和影响。</w:t>
      </w:r>
    </w:p>
    <w:p>
      <w:pPr>
        <w:pStyle w:val="4"/>
        <w:rPr>
          <w:sz w:val="24"/>
          <w:szCs w:val="24"/>
        </w:rPr>
      </w:pPr>
      <w:bookmarkStart w:id="2" w:name="_Toc23915"/>
      <w:r>
        <w:rPr>
          <w:rFonts w:hint="eastAsia"/>
          <w:sz w:val="24"/>
          <w:szCs w:val="24"/>
        </w:rPr>
        <w:t>编制依据</w:t>
      </w:r>
      <w:bookmarkEnd w:id="2"/>
    </w:p>
    <w:p>
      <w:pPr>
        <w:pStyle w:val="5"/>
        <w:rPr>
          <w:sz w:val="24"/>
          <w:szCs w:val="24"/>
        </w:rPr>
      </w:pPr>
      <w:r>
        <w:rPr>
          <w:rFonts w:hint="eastAsia"/>
          <w:sz w:val="24"/>
          <w:szCs w:val="24"/>
        </w:rPr>
        <w:t>法律法规、规章</w:t>
      </w:r>
    </w:p>
    <w:p>
      <w:pPr>
        <w:ind w:firstLine="560"/>
        <w:rPr>
          <w:sz w:val="24"/>
          <w:szCs w:val="24"/>
        </w:rPr>
      </w:pPr>
      <w:r>
        <w:rPr>
          <w:rFonts w:hint="eastAsia"/>
          <w:sz w:val="24"/>
          <w:szCs w:val="24"/>
        </w:rPr>
        <w:t>（1）《中华人民共和国环境保护法》（2015年1月1日施行）；</w:t>
      </w:r>
    </w:p>
    <w:p>
      <w:pPr>
        <w:ind w:firstLine="560"/>
        <w:rPr>
          <w:sz w:val="24"/>
          <w:szCs w:val="24"/>
        </w:rPr>
      </w:pPr>
      <w:r>
        <w:rPr>
          <w:rFonts w:hint="eastAsia"/>
          <w:sz w:val="24"/>
          <w:szCs w:val="24"/>
        </w:rPr>
        <w:t>（2）《中华人民共和国大气污染防治法》（201</w:t>
      </w:r>
      <w:r>
        <w:rPr>
          <w:rFonts w:hint="eastAsia"/>
          <w:sz w:val="24"/>
          <w:szCs w:val="24"/>
          <w:lang w:val="en-US" w:eastAsia="zh-CN"/>
        </w:rPr>
        <w:t>8</w:t>
      </w:r>
      <w:r>
        <w:rPr>
          <w:rFonts w:hint="eastAsia"/>
          <w:sz w:val="24"/>
          <w:szCs w:val="24"/>
        </w:rPr>
        <w:t>年1</w:t>
      </w:r>
      <w:r>
        <w:rPr>
          <w:rFonts w:hint="eastAsia"/>
          <w:sz w:val="24"/>
          <w:szCs w:val="24"/>
          <w:lang w:val="en-US" w:eastAsia="zh-CN"/>
        </w:rPr>
        <w:t>0</w:t>
      </w:r>
      <w:r>
        <w:rPr>
          <w:rFonts w:hint="eastAsia"/>
          <w:sz w:val="24"/>
          <w:szCs w:val="24"/>
        </w:rPr>
        <w:t>月</w:t>
      </w:r>
      <w:r>
        <w:rPr>
          <w:rFonts w:hint="eastAsia"/>
          <w:sz w:val="24"/>
          <w:szCs w:val="24"/>
          <w:lang w:val="en-US" w:eastAsia="zh-CN"/>
        </w:rPr>
        <w:t>26</w:t>
      </w:r>
      <w:r>
        <w:rPr>
          <w:rFonts w:hint="eastAsia"/>
          <w:sz w:val="24"/>
          <w:szCs w:val="24"/>
        </w:rPr>
        <w:t>日</w:t>
      </w:r>
      <w:r>
        <w:rPr>
          <w:rFonts w:hint="eastAsia"/>
          <w:sz w:val="24"/>
          <w:szCs w:val="24"/>
          <w:lang w:eastAsia="zh-CN"/>
        </w:rPr>
        <w:t>修订</w:t>
      </w:r>
      <w:r>
        <w:rPr>
          <w:rFonts w:hint="eastAsia"/>
          <w:sz w:val="24"/>
          <w:szCs w:val="24"/>
        </w:rPr>
        <w:t>）；</w:t>
      </w:r>
    </w:p>
    <w:p>
      <w:pPr>
        <w:ind w:firstLine="560"/>
        <w:rPr>
          <w:sz w:val="24"/>
          <w:szCs w:val="24"/>
        </w:rPr>
      </w:pPr>
      <w:r>
        <w:rPr>
          <w:rFonts w:hint="eastAsia"/>
          <w:sz w:val="24"/>
          <w:szCs w:val="24"/>
        </w:rPr>
        <w:t>（3）《中华人民共和国水污染防治法》（2018年1月1日实施）；</w:t>
      </w:r>
    </w:p>
    <w:p>
      <w:pPr>
        <w:ind w:firstLine="560"/>
        <w:rPr>
          <w:sz w:val="24"/>
          <w:szCs w:val="24"/>
        </w:rPr>
      </w:pPr>
      <w:r>
        <w:rPr>
          <w:rFonts w:hint="eastAsia"/>
          <w:sz w:val="24"/>
          <w:szCs w:val="24"/>
        </w:rPr>
        <w:t>（4）《中华人民共和国固体废物污染环境防治法》（20</w:t>
      </w:r>
      <w:r>
        <w:rPr>
          <w:rFonts w:hint="eastAsia"/>
          <w:sz w:val="24"/>
          <w:szCs w:val="24"/>
          <w:lang w:val="en-US" w:eastAsia="zh-CN"/>
        </w:rPr>
        <w:t>20</w:t>
      </w:r>
      <w:r>
        <w:rPr>
          <w:rFonts w:hint="eastAsia"/>
          <w:sz w:val="24"/>
          <w:szCs w:val="24"/>
        </w:rPr>
        <w:t>年</w:t>
      </w:r>
      <w:r>
        <w:rPr>
          <w:rFonts w:hint="eastAsia"/>
          <w:sz w:val="24"/>
          <w:szCs w:val="24"/>
          <w:lang w:val="en-US" w:eastAsia="zh-CN"/>
        </w:rPr>
        <w:t>4</w:t>
      </w:r>
      <w:r>
        <w:rPr>
          <w:rFonts w:hint="eastAsia"/>
          <w:sz w:val="24"/>
          <w:szCs w:val="24"/>
        </w:rPr>
        <w:t>月</w:t>
      </w:r>
      <w:r>
        <w:rPr>
          <w:rFonts w:hint="eastAsia"/>
          <w:sz w:val="24"/>
          <w:szCs w:val="24"/>
          <w:lang w:val="en-US" w:eastAsia="zh-CN"/>
        </w:rPr>
        <w:t>29</w:t>
      </w:r>
      <w:r>
        <w:rPr>
          <w:rFonts w:hint="eastAsia"/>
          <w:sz w:val="24"/>
          <w:szCs w:val="24"/>
        </w:rPr>
        <w:t>日</w:t>
      </w:r>
      <w:r>
        <w:rPr>
          <w:rFonts w:hint="eastAsia"/>
          <w:sz w:val="24"/>
          <w:szCs w:val="24"/>
          <w:lang w:eastAsia="zh-CN"/>
        </w:rPr>
        <w:t>修订</w:t>
      </w:r>
      <w:r>
        <w:rPr>
          <w:rFonts w:hint="eastAsia"/>
          <w:sz w:val="24"/>
          <w:szCs w:val="24"/>
        </w:rPr>
        <w:t>）；</w:t>
      </w:r>
    </w:p>
    <w:p>
      <w:pPr>
        <w:ind w:firstLine="560"/>
        <w:rPr>
          <w:sz w:val="24"/>
          <w:szCs w:val="24"/>
        </w:rPr>
      </w:pPr>
      <w:r>
        <w:rPr>
          <w:rFonts w:hint="eastAsia"/>
          <w:sz w:val="24"/>
          <w:szCs w:val="24"/>
        </w:rPr>
        <w:t>（</w:t>
      </w:r>
      <w:r>
        <w:rPr>
          <w:sz w:val="24"/>
          <w:szCs w:val="24"/>
        </w:rPr>
        <w:t>5</w:t>
      </w:r>
      <w:r>
        <w:rPr>
          <w:rFonts w:hint="eastAsia"/>
          <w:sz w:val="24"/>
          <w:szCs w:val="24"/>
        </w:rPr>
        <w:t>）《中华人民共和国环境影响评价法》（201</w:t>
      </w:r>
      <w:r>
        <w:rPr>
          <w:rFonts w:hint="eastAsia"/>
          <w:sz w:val="24"/>
          <w:szCs w:val="24"/>
          <w:lang w:val="en-US" w:eastAsia="zh-CN"/>
        </w:rPr>
        <w:t>8</w:t>
      </w:r>
      <w:r>
        <w:rPr>
          <w:rFonts w:hint="eastAsia"/>
          <w:sz w:val="24"/>
          <w:szCs w:val="24"/>
        </w:rPr>
        <w:t>年</w:t>
      </w:r>
      <w:r>
        <w:rPr>
          <w:rFonts w:hint="eastAsia"/>
          <w:sz w:val="24"/>
          <w:szCs w:val="24"/>
          <w:lang w:val="en-US" w:eastAsia="zh-CN"/>
        </w:rPr>
        <w:t>12</w:t>
      </w:r>
      <w:r>
        <w:rPr>
          <w:rFonts w:hint="eastAsia"/>
          <w:sz w:val="24"/>
          <w:szCs w:val="24"/>
        </w:rPr>
        <w:t>月</w:t>
      </w:r>
      <w:r>
        <w:rPr>
          <w:rFonts w:hint="eastAsia"/>
          <w:sz w:val="24"/>
          <w:szCs w:val="24"/>
          <w:lang w:val="en-US" w:eastAsia="zh-CN"/>
        </w:rPr>
        <w:t>29</w:t>
      </w:r>
      <w:r>
        <w:rPr>
          <w:rFonts w:hint="eastAsia"/>
          <w:sz w:val="24"/>
          <w:szCs w:val="24"/>
        </w:rPr>
        <w:t>日</w:t>
      </w:r>
      <w:r>
        <w:rPr>
          <w:rFonts w:hint="eastAsia"/>
          <w:sz w:val="24"/>
          <w:szCs w:val="24"/>
          <w:lang w:eastAsia="zh-CN"/>
        </w:rPr>
        <w:t>修正</w:t>
      </w:r>
      <w:r>
        <w:rPr>
          <w:rFonts w:hint="eastAsia"/>
          <w:sz w:val="24"/>
          <w:szCs w:val="24"/>
        </w:rPr>
        <w:t>）；</w:t>
      </w:r>
    </w:p>
    <w:p>
      <w:pPr>
        <w:ind w:firstLine="560"/>
        <w:rPr>
          <w:sz w:val="24"/>
          <w:szCs w:val="24"/>
        </w:rPr>
      </w:pPr>
      <w:r>
        <w:rPr>
          <w:rFonts w:hint="eastAsia"/>
          <w:sz w:val="24"/>
          <w:szCs w:val="24"/>
        </w:rPr>
        <w:t>（</w:t>
      </w:r>
      <w:r>
        <w:rPr>
          <w:sz w:val="24"/>
          <w:szCs w:val="24"/>
        </w:rPr>
        <w:t>6</w:t>
      </w:r>
      <w:r>
        <w:rPr>
          <w:rFonts w:hint="eastAsia"/>
          <w:sz w:val="24"/>
          <w:szCs w:val="24"/>
        </w:rPr>
        <w:t>）《中华人民共和国突发事件应对法》（2007年11月1日实施）；</w:t>
      </w:r>
    </w:p>
    <w:p>
      <w:pPr>
        <w:ind w:firstLine="560"/>
        <w:rPr>
          <w:sz w:val="24"/>
          <w:szCs w:val="24"/>
        </w:rPr>
      </w:pPr>
      <w:r>
        <w:rPr>
          <w:rFonts w:hint="eastAsia"/>
          <w:sz w:val="24"/>
          <w:szCs w:val="24"/>
        </w:rPr>
        <w:t>（</w:t>
      </w:r>
      <w:r>
        <w:rPr>
          <w:sz w:val="24"/>
          <w:szCs w:val="24"/>
        </w:rPr>
        <w:t>7</w:t>
      </w:r>
      <w:r>
        <w:rPr>
          <w:rFonts w:hint="eastAsia"/>
          <w:sz w:val="24"/>
          <w:szCs w:val="24"/>
        </w:rPr>
        <w:t>）《关于进一步加强环境影响评价管理防范环境风险的通知》（环发[2012]77号，2012年7月3日发布）；</w:t>
      </w:r>
    </w:p>
    <w:p>
      <w:pPr>
        <w:ind w:firstLine="560"/>
        <w:rPr>
          <w:sz w:val="24"/>
          <w:szCs w:val="24"/>
        </w:rPr>
      </w:pPr>
      <w:r>
        <w:rPr>
          <w:rFonts w:hint="eastAsia"/>
          <w:sz w:val="24"/>
          <w:szCs w:val="24"/>
        </w:rPr>
        <w:t>（</w:t>
      </w:r>
      <w:r>
        <w:rPr>
          <w:sz w:val="24"/>
          <w:szCs w:val="24"/>
        </w:rPr>
        <w:t>8</w:t>
      </w:r>
      <w:r>
        <w:rPr>
          <w:rFonts w:hint="eastAsia"/>
          <w:sz w:val="24"/>
          <w:szCs w:val="24"/>
        </w:rPr>
        <w:t>）《突发环境事件应急预案管理暂行办法》（环发〔2010〕113号，2</w:t>
      </w:r>
      <w:r>
        <w:rPr>
          <w:sz w:val="24"/>
          <w:szCs w:val="24"/>
        </w:rPr>
        <w:t>010</w:t>
      </w:r>
      <w:r>
        <w:rPr>
          <w:rFonts w:hint="eastAsia"/>
          <w:sz w:val="24"/>
          <w:szCs w:val="24"/>
        </w:rPr>
        <w:t>年9月2</w:t>
      </w:r>
      <w:r>
        <w:rPr>
          <w:sz w:val="24"/>
          <w:szCs w:val="24"/>
        </w:rPr>
        <w:t>8</w:t>
      </w:r>
      <w:r>
        <w:rPr>
          <w:rFonts w:hint="eastAsia"/>
          <w:sz w:val="24"/>
          <w:szCs w:val="24"/>
        </w:rPr>
        <w:t>日）；</w:t>
      </w:r>
    </w:p>
    <w:p>
      <w:pPr>
        <w:ind w:firstLine="560"/>
        <w:rPr>
          <w:sz w:val="24"/>
          <w:szCs w:val="24"/>
        </w:rPr>
      </w:pPr>
      <w:r>
        <w:rPr>
          <w:rFonts w:hint="eastAsia"/>
          <w:sz w:val="24"/>
          <w:szCs w:val="24"/>
        </w:rPr>
        <w:t>（</w:t>
      </w:r>
      <w:r>
        <w:rPr>
          <w:sz w:val="24"/>
          <w:szCs w:val="24"/>
        </w:rPr>
        <w:t>9</w:t>
      </w:r>
      <w:r>
        <w:rPr>
          <w:rFonts w:hint="eastAsia"/>
          <w:sz w:val="24"/>
          <w:szCs w:val="24"/>
        </w:rPr>
        <w:t>）《中华人民共和国安全生产法》（2014年12月1日实施）；</w:t>
      </w:r>
    </w:p>
    <w:p>
      <w:pPr>
        <w:ind w:firstLine="560"/>
        <w:rPr>
          <w:sz w:val="24"/>
          <w:szCs w:val="24"/>
        </w:rPr>
      </w:pPr>
      <w:r>
        <w:rPr>
          <w:rFonts w:hint="eastAsia"/>
          <w:sz w:val="24"/>
          <w:szCs w:val="24"/>
        </w:rPr>
        <w:t>（</w:t>
      </w:r>
      <w:r>
        <w:rPr>
          <w:sz w:val="24"/>
          <w:szCs w:val="24"/>
        </w:rPr>
        <w:t>10</w:t>
      </w:r>
      <w:r>
        <w:rPr>
          <w:rFonts w:hint="eastAsia"/>
          <w:sz w:val="24"/>
          <w:szCs w:val="24"/>
        </w:rPr>
        <w:t>）《中华人民共和国消防法》（20</w:t>
      </w:r>
      <w:r>
        <w:rPr>
          <w:rFonts w:hint="eastAsia"/>
          <w:sz w:val="24"/>
          <w:szCs w:val="24"/>
          <w:lang w:val="en-US" w:eastAsia="zh-CN"/>
        </w:rPr>
        <w:t>1</w:t>
      </w:r>
      <w:r>
        <w:rPr>
          <w:rFonts w:hint="eastAsia"/>
          <w:sz w:val="24"/>
          <w:szCs w:val="24"/>
        </w:rPr>
        <w:t>9年</w:t>
      </w:r>
      <w:r>
        <w:rPr>
          <w:rFonts w:hint="eastAsia"/>
          <w:sz w:val="24"/>
          <w:szCs w:val="24"/>
          <w:lang w:val="en-US" w:eastAsia="zh-CN"/>
        </w:rPr>
        <w:t>4</w:t>
      </w:r>
      <w:r>
        <w:rPr>
          <w:rFonts w:hint="eastAsia"/>
          <w:sz w:val="24"/>
          <w:szCs w:val="24"/>
        </w:rPr>
        <w:t>月</w:t>
      </w:r>
      <w:r>
        <w:rPr>
          <w:rFonts w:hint="eastAsia"/>
          <w:sz w:val="24"/>
          <w:szCs w:val="24"/>
          <w:lang w:val="en-US" w:eastAsia="zh-CN"/>
        </w:rPr>
        <w:t>23</w:t>
      </w:r>
      <w:r>
        <w:rPr>
          <w:rFonts w:hint="eastAsia"/>
          <w:sz w:val="24"/>
          <w:szCs w:val="24"/>
        </w:rPr>
        <w:t>日</w:t>
      </w:r>
      <w:r>
        <w:rPr>
          <w:rFonts w:hint="eastAsia"/>
          <w:sz w:val="24"/>
          <w:szCs w:val="24"/>
          <w:lang w:eastAsia="zh-CN"/>
        </w:rPr>
        <w:t>修正</w:t>
      </w:r>
      <w:r>
        <w:rPr>
          <w:rFonts w:hint="eastAsia"/>
          <w:sz w:val="24"/>
          <w:szCs w:val="24"/>
        </w:rPr>
        <w:t>）；</w:t>
      </w:r>
    </w:p>
    <w:p>
      <w:pPr>
        <w:ind w:firstLine="560"/>
        <w:rPr>
          <w:sz w:val="24"/>
          <w:szCs w:val="24"/>
        </w:rPr>
      </w:pPr>
      <w:r>
        <w:rPr>
          <w:rFonts w:hint="eastAsia"/>
          <w:sz w:val="24"/>
          <w:szCs w:val="24"/>
        </w:rPr>
        <w:t>（1</w:t>
      </w:r>
      <w:r>
        <w:rPr>
          <w:sz w:val="24"/>
          <w:szCs w:val="24"/>
        </w:rPr>
        <w:t>1</w:t>
      </w:r>
      <w:r>
        <w:rPr>
          <w:rFonts w:hint="eastAsia"/>
          <w:sz w:val="24"/>
          <w:szCs w:val="24"/>
        </w:rPr>
        <w:t>）《危险化学品安全管理条例》（2013年12月7日</w:t>
      </w:r>
      <w:r>
        <w:rPr>
          <w:rFonts w:hint="eastAsia"/>
          <w:sz w:val="24"/>
          <w:szCs w:val="24"/>
          <w:lang w:eastAsia="zh-CN"/>
        </w:rPr>
        <w:t>修正</w:t>
      </w:r>
      <w:r>
        <w:rPr>
          <w:rFonts w:hint="eastAsia"/>
          <w:sz w:val="24"/>
          <w:szCs w:val="24"/>
        </w:rPr>
        <w:t>）；</w:t>
      </w:r>
    </w:p>
    <w:p>
      <w:pPr>
        <w:ind w:firstLine="560"/>
        <w:rPr>
          <w:sz w:val="24"/>
          <w:szCs w:val="24"/>
        </w:rPr>
      </w:pPr>
      <w:r>
        <w:rPr>
          <w:rFonts w:hint="eastAsia"/>
          <w:sz w:val="24"/>
          <w:szCs w:val="24"/>
        </w:rPr>
        <w:t>（1</w:t>
      </w:r>
      <w:r>
        <w:rPr>
          <w:sz w:val="24"/>
          <w:szCs w:val="24"/>
        </w:rPr>
        <w:t>2</w:t>
      </w:r>
      <w:r>
        <w:rPr>
          <w:rFonts w:hint="eastAsia"/>
          <w:sz w:val="24"/>
          <w:szCs w:val="24"/>
        </w:rPr>
        <w:t>）《国务院关于加强环境保护重点工作的意见》（国发[2011]35号，2011年10月17日发布）；</w:t>
      </w:r>
    </w:p>
    <w:p>
      <w:pPr>
        <w:ind w:firstLine="560"/>
        <w:rPr>
          <w:sz w:val="24"/>
          <w:szCs w:val="24"/>
        </w:rPr>
      </w:pPr>
      <w:r>
        <w:rPr>
          <w:rFonts w:hint="eastAsia"/>
          <w:sz w:val="24"/>
          <w:szCs w:val="24"/>
        </w:rPr>
        <w:t>（1</w:t>
      </w:r>
      <w:r>
        <w:rPr>
          <w:sz w:val="24"/>
          <w:szCs w:val="24"/>
        </w:rPr>
        <w:t>3</w:t>
      </w:r>
      <w:r>
        <w:rPr>
          <w:rFonts w:hint="eastAsia"/>
          <w:sz w:val="24"/>
          <w:szCs w:val="24"/>
        </w:rPr>
        <w:t>）《突发环境事件应急管理办法》（环境保护部令第</w:t>
      </w:r>
      <w:r>
        <w:rPr>
          <w:sz w:val="24"/>
          <w:szCs w:val="24"/>
        </w:rPr>
        <w:t>34</w:t>
      </w:r>
      <w:r>
        <w:rPr>
          <w:rFonts w:hint="eastAsia"/>
          <w:sz w:val="24"/>
          <w:szCs w:val="24"/>
        </w:rPr>
        <w:t>号，2015年6月5日实施）；</w:t>
      </w:r>
    </w:p>
    <w:p>
      <w:pPr>
        <w:ind w:firstLine="560"/>
        <w:rPr>
          <w:sz w:val="24"/>
          <w:szCs w:val="24"/>
        </w:rPr>
      </w:pPr>
      <w:r>
        <w:rPr>
          <w:rFonts w:hint="eastAsia"/>
          <w:sz w:val="24"/>
          <w:szCs w:val="24"/>
        </w:rPr>
        <w:t>（1</w:t>
      </w:r>
      <w:r>
        <w:rPr>
          <w:sz w:val="24"/>
          <w:szCs w:val="24"/>
        </w:rPr>
        <w:t>4</w:t>
      </w:r>
      <w:r>
        <w:rPr>
          <w:rFonts w:hint="eastAsia"/>
          <w:sz w:val="24"/>
          <w:szCs w:val="24"/>
        </w:rPr>
        <w:t>）</w:t>
      </w:r>
      <w:r>
        <w:rPr>
          <w:rFonts w:hint="eastAsia"/>
          <w:color w:val="000000" w:themeColor="text1"/>
          <w:sz w:val="24"/>
          <w:szCs w:val="24"/>
        </w:rPr>
        <w:t>《突发事件应急预案管理办法》（国办发[2013</w:t>
      </w:r>
      <w:r>
        <w:rPr>
          <w:rFonts w:hint="eastAsia"/>
          <w:color w:val="000000" w:themeColor="text1"/>
          <w:sz w:val="24"/>
          <w:szCs w:val="24"/>
          <w:lang w:val="en-US" w:eastAsia="zh-CN"/>
        </w:rPr>
        <w:t>]</w:t>
      </w:r>
      <w:r>
        <w:rPr>
          <w:rFonts w:hint="eastAsia"/>
          <w:color w:val="000000" w:themeColor="text1"/>
          <w:sz w:val="24"/>
          <w:szCs w:val="24"/>
        </w:rPr>
        <w:t>101号，20</w:t>
      </w:r>
      <w:r>
        <w:rPr>
          <w:color w:val="000000" w:themeColor="text1"/>
          <w:sz w:val="24"/>
          <w:szCs w:val="24"/>
        </w:rPr>
        <w:t>13</w:t>
      </w:r>
      <w:r>
        <w:rPr>
          <w:rFonts w:hint="eastAsia"/>
          <w:color w:val="000000" w:themeColor="text1"/>
          <w:sz w:val="24"/>
          <w:szCs w:val="24"/>
        </w:rPr>
        <w:t>年</w:t>
      </w:r>
      <w:r>
        <w:rPr>
          <w:color w:val="000000" w:themeColor="text1"/>
          <w:sz w:val="24"/>
          <w:szCs w:val="24"/>
        </w:rPr>
        <w:t>10</w:t>
      </w:r>
      <w:r>
        <w:rPr>
          <w:rFonts w:hint="eastAsia"/>
          <w:color w:val="000000" w:themeColor="text1"/>
          <w:sz w:val="24"/>
          <w:szCs w:val="24"/>
        </w:rPr>
        <w:t>月</w:t>
      </w:r>
      <w:r>
        <w:rPr>
          <w:color w:val="000000" w:themeColor="text1"/>
          <w:sz w:val="24"/>
          <w:szCs w:val="24"/>
        </w:rPr>
        <w:t>25</w:t>
      </w:r>
      <w:r>
        <w:rPr>
          <w:rFonts w:hint="eastAsia"/>
          <w:color w:val="000000" w:themeColor="text1"/>
          <w:sz w:val="24"/>
          <w:szCs w:val="24"/>
        </w:rPr>
        <w:t>日发布）</w:t>
      </w:r>
      <w:r>
        <w:rPr>
          <w:rFonts w:hint="eastAsia"/>
          <w:sz w:val="24"/>
          <w:szCs w:val="24"/>
        </w:rPr>
        <w:t>；</w:t>
      </w:r>
    </w:p>
    <w:p>
      <w:pPr>
        <w:ind w:firstLine="560"/>
        <w:rPr>
          <w:sz w:val="24"/>
          <w:szCs w:val="24"/>
        </w:rPr>
      </w:pPr>
      <w:r>
        <w:rPr>
          <w:rFonts w:hint="eastAsia"/>
          <w:sz w:val="24"/>
          <w:szCs w:val="24"/>
        </w:rPr>
        <w:t>（1</w:t>
      </w:r>
      <w:r>
        <w:rPr>
          <w:sz w:val="24"/>
          <w:szCs w:val="24"/>
        </w:rPr>
        <w:t>5</w:t>
      </w:r>
      <w:r>
        <w:rPr>
          <w:rFonts w:hint="eastAsia"/>
          <w:sz w:val="24"/>
          <w:szCs w:val="24"/>
        </w:rPr>
        <w:t>）</w:t>
      </w:r>
      <w:r>
        <w:rPr>
          <w:rFonts w:hint="eastAsia"/>
          <w:color w:val="000000" w:themeColor="text1"/>
          <w:sz w:val="24"/>
          <w:szCs w:val="24"/>
        </w:rPr>
        <w:t>《国务院关于加强应急管理工作的意见》（国发[2006</w:t>
      </w:r>
      <w:r>
        <w:rPr>
          <w:rFonts w:hint="eastAsia"/>
          <w:color w:val="000000" w:themeColor="text1"/>
          <w:sz w:val="24"/>
          <w:szCs w:val="24"/>
          <w:lang w:val="en-US" w:eastAsia="zh-CN"/>
        </w:rPr>
        <w:t>]</w:t>
      </w:r>
      <w:r>
        <w:rPr>
          <w:rFonts w:hint="eastAsia"/>
          <w:color w:val="000000" w:themeColor="text1"/>
          <w:sz w:val="24"/>
          <w:szCs w:val="24"/>
        </w:rPr>
        <w:t>24号，20</w:t>
      </w:r>
      <w:r>
        <w:rPr>
          <w:color w:val="000000" w:themeColor="text1"/>
          <w:sz w:val="24"/>
          <w:szCs w:val="24"/>
        </w:rPr>
        <w:t>06</w:t>
      </w:r>
      <w:r>
        <w:rPr>
          <w:rFonts w:hint="eastAsia"/>
          <w:color w:val="000000" w:themeColor="text1"/>
          <w:sz w:val="24"/>
          <w:szCs w:val="24"/>
        </w:rPr>
        <w:t>年</w:t>
      </w:r>
      <w:r>
        <w:rPr>
          <w:color w:val="000000" w:themeColor="text1"/>
          <w:sz w:val="24"/>
          <w:szCs w:val="24"/>
        </w:rPr>
        <w:t>6</w:t>
      </w:r>
      <w:r>
        <w:rPr>
          <w:rFonts w:hint="eastAsia"/>
          <w:color w:val="000000" w:themeColor="text1"/>
          <w:sz w:val="24"/>
          <w:szCs w:val="24"/>
        </w:rPr>
        <w:t>月</w:t>
      </w:r>
      <w:r>
        <w:rPr>
          <w:color w:val="000000" w:themeColor="text1"/>
          <w:sz w:val="24"/>
          <w:szCs w:val="24"/>
        </w:rPr>
        <w:t>15</w:t>
      </w:r>
      <w:r>
        <w:rPr>
          <w:rFonts w:hint="eastAsia"/>
          <w:color w:val="000000" w:themeColor="text1"/>
          <w:sz w:val="24"/>
          <w:szCs w:val="24"/>
        </w:rPr>
        <w:t>日发布）</w:t>
      </w:r>
      <w:r>
        <w:rPr>
          <w:rFonts w:hint="eastAsia"/>
          <w:sz w:val="24"/>
          <w:szCs w:val="24"/>
        </w:rPr>
        <w:t>；</w:t>
      </w:r>
    </w:p>
    <w:p>
      <w:pPr>
        <w:ind w:firstLine="560"/>
        <w:rPr>
          <w:sz w:val="24"/>
          <w:szCs w:val="24"/>
        </w:rPr>
      </w:pPr>
      <w:r>
        <w:rPr>
          <w:rFonts w:hint="eastAsia"/>
          <w:sz w:val="24"/>
          <w:szCs w:val="24"/>
        </w:rPr>
        <w:t>（16）《江西省突发事件应对条例》</w:t>
      </w:r>
      <w:r>
        <w:rPr>
          <w:rFonts w:hint="eastAsia"/>
          <w:color w:val="000000" w:themeColor="text1"/>
          <w:sz w:val="24"/>
          <w:szCs w:val="24"/>
        </w:rPr>
        <w:t>（201</w:t>
      </w:r>
      <w:r>
        <w:rPr>
          <w:color w:val="000000" w:themeColor="text1"/>
          <w:sz w:val="24"/>
          <w:szCs w:val="24"/>
        </w:rPr>
        <w:t>3</w:t>
      </w:r>
      <w:r>
        <w:rPr>
          <w:rFonts w:hint="eastAsia"/>
          <w:color w:val="000000" w:themeColor="text1"/>
          <w:sz w:val="24"/>
          <w:szCs w:val="24"/>
        </w:rPr>
        <w:t>年</w:t>
      </w:r>
      <w:r>
        <w:rPr>
          <w:color w:val="000000" w:themeColor="text1"/>
          <w:sz w:val="24"/>
          <w:szCs w:val="24"/>
        </w:rPr>
        <w:t>7</w:t>
      </w:r>
      <w:r>
        <w:rPr>
          <w:rFonts w:hint="eastAsia"/>
          <w:color w:val="000000" w:themeColor="text1"/>
          <w:sz w:val="24"/>
          <w:szCs w:val="24"/>
        </w:rPr>
        <w:t>月</w:t>
      </w:r>
      <w:r>
        <w:rPr>
          <w:color w:val="000000" w:themeColor="text1"/>
          <w:sz w:val="24"/>
          <w:szCs w:val="24"/>
        </w:rPr>
        <w:t>27</w:t>
      </w:r>
      <w:r>
        <w:rPr>
          <w:rFonts w:hint="eastAsia"/>
          <w:color w:val="000000" w:themeColor="text1"/>
          <w:sz w:val="24"/>
          <w:szCs w:val="24"/>
        </w:rPr>
        <w:t>日发布）</w:t>
      </w:r>
      <w:r>
        <w:rPr>
          <w:rFonts w:hint="eastAsia"/>
          <w:sz w:val="24"/>
          <w:szCs w:val="24"/>
        </w:rPr>
        <w:t>；</w:t>
      </w:r>
    </w:p>
    <w:p>
      <w:pPr>
        <w:ind w:firstLine="560"/>
        <w:rPr>
          <w:sz w:val="24"/>
          <w:szCs w:val="24"/>
        </w:rPr>
      </w:pPr>
      <w:r>
        <w:rPr>
          <w:rFonts w:hint="eastAsia"/>
          <w:sz w:val="24"/>
          <w:szCs w:val="24"/>
        </w:rPr>
        <w:t>（1</w:t>
      </w:r>
      <w:r>
        <w:rPr>
          <w:sz w:val="24"/>
          <w:szCs w:val="24"/>
        </w:rPr>
        <w:t>7</w:t>
      </w:r>
      <w:r>
        <w:rPr>
          <w:rFonts w:hint="eastAsia"/>
          <w:sz w:val="24"/>
          <w:szCs w:val="24"/>
        </w:rPr>
        <w:t>）《危险化学品重大危险源监督管理暂行规定》（国家安监总局令第79号修订，2</w:t>
      </w:r>
      <w:r>
        <w:rPr>
          <w:sz w:val="24"/>
          <w:szCs w:val="24"/>
        </w:rPr>
        <w:t>015</w:t>
      </w:r>
      <w:r>
        <w:rPr>
          <w:rFonts w:hint="eastAsia"/>
          <w:sz w:val="24"/>
          <w:szCs w:val="24"/>
        </w:rPr>
        <w:t>年7月1日实施）；</w:t>
      </w:r>
    </w:p>
    <w:p>
      <w:pPr>
        <w:ind w:firstLine="560"/>
        <w:rPr>
          <w:sz w:val="24"/>
          <w:szCs w:val="24"/>
        </w:rPr>
      </w:pPr>
      <w:r>
        <w:rPr>
          <w:rFonts w:hint="eastAsia"/>
          <w:sz w:val="24"/>
          <w:szCs w:val="24"/>
        </w:rPr>
        <w:t>（1</w:t>
      </w:r>
      <w:r>
        <w:rPr>
          <w:sz w:val="24"/>
          <w:szCs w:val="24"/>
        </w:rPr>
        <w:t>8</w:t>
      </w:r>
      <w:r>
        <w:rPr>
          <w:rFonts w:hint="eastAsia"/>
          <w:sz w:val="24"/>
          <w:szCs w:val="24"/>
        </w:rPr>
        <w:t>）《危险化学品生产企业安全生产许可证实施办法》（国家安全生产监督管理总局令第8</w:t>
      </w:r>
      <w:r>
        <w:rPr>
          <w:sz w:val="24"/>
          <w:szCs w:val="24"/>
        </w:rPr>
        <w:t>9</w:t>
      </w:r>
      <w:r>
        <w:rPr>
          <w:rFonts w:hint="eastAsia"/>
          <w:sz w:val="24"/>
          <w:szCs w:val="24"/>
        </w:rPr>
        <w:t>号修订，2017年3月6日）；</w:t>
      </w:r>
    </w:p>
    <w:p>
      <w:pPr>
        <w:ind w:firstLine="560"/>
        <w:rPr>
          <w:rFonts w:hint="eastAsia"/>
          <w:sz w:val="24"/>
          <w:szCs w:val="24"/>
        </w:rPr>
      </w:pPr>
      <w:r>
        <w:rPr>
          <w:rFonts w:hint="eastAsia"/>
          <w:sz w:val="24"/>
          <w:szCs w:val="24"/>
        </w:rPr>
        <w:t>（1</w:t>
      </w:r>
      <w:r>
        <w:rPr>
          <w:sz w:val="24"/>
          <w:szCs w:val="24"/>
        </w:rPr>
        <w:t>9</w:t>
      </w:r>
      <w:r>
        <w:rPr>
          <w:rFonts w:hint="eastAsia"/>
          <w:sz w:val="24"/>
          <w:szCs w:val="24"/>
        </w:rPr>
        <w:t>）《危险化学品建设项目安全监督管理办法》（2015年7月1日实施）；</w:t>
      </w:r>
    </w:p>
    <w:p>
      <w:pPr>
        <w:ind w:firstLine="560"/>
        <w:rPr>
          <w:rFonts w:hint="eastAsia"/>
          <w:color w:val="000000" w:themeColor="text1"/>
          <w:sz w:val="24"/>
          <w:szCs w:val="24"/>
          <w:lang w:eastAsia="zh-CN"/>
        </w:rPr>
      </w:pPr>
      <w:r>
        <w:rPr>
          <w:rFonts w:hint="eastAsia"/>
          <w:sz w:val="24"/>
          <w:szCs w:val="24"/>
          <w:lang w:eastAsia="zh-CN"/>
        </w:rPr>
        <w:t>（</w:t>
      </w:r>
      <w:r>
        <w:rPr>
          <w:rFonts w:hint="eastAsia"/>
          <w:sz w:val="24"/>
          <w:szCs w:val="24"/>
          <w:lang w:val="en-US" w:eastAsia="zh-CN"/>
        </w:rPr>
        <w:t>20</w:t>
      </w:r>
      <w:r>
        <w:rPr>
          <w:rFonts w:hint="eastAsia"/>
          <w:sz w:val="24"/>
          <w:szCs w:val="24"/>
          <w:lang w:eastAsia="zh-CN"/>
        </w:rPr>
        <w:t>）</w:t>
      </w:r>
      <w:r>
        <w:rPr>
          <w:rFonts w:hint="eastAsia"/>
          <w:color w:val="000000" w:themeColor="text1"/>
          <w:sz w:val="24"/>
          <w:szCs w:val="24"/>
        </w:rPr>
        <w:t>《国务院办公厅关于印发国家突发环境事件应急预案的通知》（国办函[2014]119号，2014年12月29日）</w:t>
      </w:r>
      <w:r>
        <w:rPr>
          <w:rFonts w:hint="eastAsia"/>
          <w:color w:val="000000" w:themeColor="text1"/>
          <w:sz w:val="24"/>
          <w:szCs w:val="24"/>
          <w:lang w:eastAsia="zh-CN"/>
        </w:rPr>
        <w:t>；</w:t>
      </w:r>
    </w:p>
    <w:p>
      <w:pPr>
        <w:ind w:firstLine="560"/>
        <w:rPr>
          <w:rFonts w:hint="eastAsia" w:eastAsia="宋体"/>
          <w:color w:val="000000" w:themeColor="text1"/>
          <w:sz w:val="24"/>
          <w:szCs w:val="24"/>
          <w:lang w:eastAsia="zh-CN"/>
        </w:rPr>
      </w:pPr>
      <w:r>
        <w:rPr>
          <w:rFonts w:hint="eastAsia"/>
          <w:color w:val="000000" w:themeColor="text1"/>
          <w:sz w:val="24"/>
          <w:szCs w:val="24"/>
          <w:lang w:eastAsia="zh-CN"/>
        </w:rPr>
        <w:t>（</w:t>
      </w:r>
      <w:r>
        <w:rPr>
          <w:rFonts w:hint="eastAsia"/>
          <w:color w:val="000000" w:themeColor="text1"/>
          <w:sz w:val="24"/>
          <w:szCs w:val="24"/>
          <w:lang w:val="en-US" w:eastAsia="zh-CN"/>
        </w:rPr>
        <w:t>21</w:t>
      </w:r>
      <w:r>
        <w:rPr>
          <w:rFonts w:hint="eastAsia"/>
          <w:color w:val="000000" w:themeColor="text1"/>
          <w:sz w:val="24"/>
          <w:szCs w:val="24"/>
          <w:lang w:eastAsia="zh-CN"/>
        </w:rPr>
        <w:t>）</w:t>
      </w:r>
      <w:r>
        <w:rPr>
          <w:rFonts w:hint="eastAsia"/>
          <w:color w:val="000000" w:themeColor="text1"/>
          <w:sz w:val="24"/>
          <w:szCs w:val="24"/>
        </w:rPr>
        <w:t>《江西省环境污染防治条例》（2009年1月1日施行）</w:t>
      </w:r>
      <w:r>
        <w:rPr>
          <w:rFonts w:hint="eastAsia"/>
          <w:color w:val="000000" w:themeColor="text1"/>
          <w:sz w:val="24"/>
          <w:szCs w:val="24"/>
          <w:lang w:eastAsia="zh-CN"/>
        </w:rPr>
        <w:t>；</w:t>
      </w:r>
    </w:p>
    <w:p>
      <w:pPr>
        <w:pStyle w:val="5"/>
        <w:rPr>
          <w:sz w:val="24"/>
          <w:szCs w:val="24"/>
        </w:rPr>
      </w:pPr>
      <w:r>
        <w:rPr>
          <w:rFonts w:hint="eastAsia"/>
          <w:sz w:val="24"/>
          <w:szCs w:val="24"/>
          <w:lang w:eastAsia="zh-CN"/>
        </w:rPr>
        <w:t>技术规范、</w:t>
      </w:r>
      <w:r>
        <w:rPr>
          <w:rFonts w:hint="eastAsia"/>
          <w:sz w:val="24"/>
          <w:szCs w:val="24"/>
        </w:rPr>
        <w:t>标准</w:t>
      </w:r>
      <w:r>
        <w:rPr>
          <w:rFonts w:hint="eastAsia"/>
          <w:sz w:val="24"/>
          <w:szCs w:val="24"/>
          <w:lang w:eastAsia="zh-CN"/>
        </w:rPr>
        <w:t>、方法</w:t>
      </w:r>
    </w:p>
    <w:p>
      <w:pPr>
        <w:ind w:firstLine="560"/>
        <w:rPr>
          <w:sz w:val="24"/>
          <w:szCs w:val="24"/>
        </w:rPr>
      </w:pPr>
      <w:r>
        <w:rPr>
          <w:rFonts w:hint="eastAsia"/>
          <w:sz w:val="24"/>
          <w:szCs w:val="24"/>
        </w:rPr>
        <w:t>（</w:t>
      </w:r>
      <w:r>
        <w:rPr>
          <w:sz w:val="24"/>
          <w:szCs w:val="24"/>
        </w:rPr>
        <w:t>1</w:t>
      </w:r>
      <w:r>
        <w:rPr>
          <w:rFonts w:hint="eastAsia"/>
          <w:sz w:val="24"/>
          <w:szCs w:val="24"/>
        </w:rPr>
        <w:t>）《企业突发环境事件风险评估指南（试行）》（</w:t>
      </w:r>
      <w:r>
        <w:rPr>
          <w:sz w:val="24"/>
          <w:szCs w:val="24"/>
        </w:rPr>
        <w:t>2014</w:t>
      </w:r>
      <w:r>
        <w:rPr>
          <w:rFonts w:hint="eastAsia"/>
          <w:sz w:val="24"/>
          <w:szCs w:val="24"/>
        </w:rPr>
        <w:t>，环境保护部）；</w:t>
      </w:r>
    </w:p>
    <w:p>
      <w:pPr>
        <w:ind w:firstLine="560"/>
        <w:rPr>
          <w:sz w:val="24"/>
          <w:szCs w:val="24"/>
        </w:rPr>
      </w:pPr>
      <w:r>
        <w:rPr>
          <w:rFonts w:hint="eastAsia"/>
          <w:sz w:val="24"/>
          <w:szCs w:val="24"/>
        </w:rPr>
        <w:t>（2）《企业突发环境事件风险分级方法》（H</w:t>
      </w:r>
      <w:r>
        <w:rPr>
          <w:sz w:val="24"/>
          <w:szCs w:val="24"/>
        </w:rPr>
        <w:t>J 941-2018</w:t>
      </w:r>
      <w:r>
        <w:rPr>
          <w:rFonts w:hint="eastAsia"/>
          <w:sz w:val="24"/>
          <w:szCs w:val="24"/>
        </w:rPr>
        <w:t>）；</w:t>
      </w:r>
    </w:p>
    <w:p>
      <w:pPr>
        <w:ind w:firstLine="560"/>
        <w:rPr>
          <w:sz w:val="24"/>
          <w:szCs w:val="24"/>
        </w:rPr>
      </w:pPr>
      <w:r>
        <w:rPr>
          <w:rFonts w:hint="eastAsia"/>
          <w:sz w:val="24"/>
          <w:szCs w:val="24"/>
        </w:rPr>
        <w:t>（</w:t>
      </w:r>
      <w:r>
        <w:rPr>
          <w:sz w:val="24"/>
          <w:szCs w:val="24"/>
        </w:rPr>
        <w:t>3</w:t>
      </w:r>
      <w:r>
        <w:rPr>
          <w:rFonts w:hint="eastAsia"/>
          <w:sz w:val="24"/>
          <w:szCs w:val="24"/>
        </w:rPr>
        <w:t>）《建设项目环境风险评价技术导则》（HJ/T</w:t>
      </w:r>
      <w:r>
        <w:rPr>
          <w:sz w:val="24"/>
          <w:szCs w:val="24"/>
        </w:rPr>
        <w:t xml:space="preserve"> </w:t>
      </w:r>
      <w:r>
        <w:rPr>
          <w:rFonts w:hint="eastAsia"/>
          <w:sz w:val="24"/>
          <w:szCs w:val="24"/>
        </w:rPr>
        <w:t>169-20</w:t>
      </w:r>
      <w:r>
        <w:rPr>
          <w:rFonts w:hint="eastAsia"/>
          <w:sz w:val="24"/>
          <w:szCs w:val="24"/>
          <w:lang w:val="en-US" w:eastAsia="zh-CN"/>
        </w:rPr>
        <w:t>18</w:t>
      </w:r>
      <w:r>
        <w:rPr>
          <w:rFonts w:hint="eastAsia"/>
          <w:sz w:val="24"/>
          <w:szCs w:val="24"/>
        </w:rPr>
        <w:t>）；</w:t>
      </w:r>
    </w:p>
    <w:p>
      <w:pPr>
        <w:ind w:firstLine="560"/>
        <w:rPr>
          <w:rFonts w:hint="eastAsia"/>
          <w:sz w:val="24"/>
          <w:szCs w:val="24"/>
          <w:lang w:eastAsia="zh-CN"/>
        </w:rPr>
      </w:pPr>
      <w:r>
        <w:rPr>
          <w:rFonts w:hint="eastAsia"/>
          <w:sz w:val="24"/>
          <w:szCs w:val="24"/>
        </w:rPr>
        <w:t>（</w:t>
      </w:r>
      <w:r>
        <w:rPr>
          <w:sz w:val="24"/>
          <w:szCs w:val="24"/>
        </w:rPr>
        <w:t>4</w:t>
      </w:r>
      <w:r>
        <w:rPr>
          <w:rFonts w:hint="eastAsia"/>
          <w:sz w:val="24"/>
          <w:szCs w:val="24"/>
        </w:rPr>
        <w:t>）</w:t>
      </w:r>
      <w:r>
        <w:rPr>
          <w:rFonts w:hint="eastAsia"/>
          <w:sz w:val="24"/>
          <w:szCs w:val="24"/>
          <w:lang w:eastAsia="zh-CN"/>
        </w:rPr>
        <w:t>《突发环境事件应急监测技术规范》（</w:t>
      </w:r>
      <w:r>
        <w:rPr>
          <w:rFonts w:hint="eastAsia"/>
          <w:sz w:val="24"/>
          <w:szCs w:val="24"/>
          <w:lang w:val="en-US" w:eastAsia="zh-CN"/>
        </w:rPr>
        <w:t>HJ589-2010</w:t>
      </w:r>
      <w:r>
        <w:rPr>
          <w:rFonts w:hint="eastAsia"/>
          <w:sz w:val="24"/>
          <w:szCs w:val="24"/>
          <w:lang w:eastAsia="zh-CN"/>
        </w:rPr>
        <w:t>）</w:t>
      </w:r>
    </w:p>
    <w:p>
      <w:pPr>
        <w:ind w:firstLine="560"/>
        <w:rPr>
          <w:sz w:val="24"/>
          <w:szCs w:val="24"/>
        </w:rPr>
      </w:pPr>
      <w:r>
        <w:rPr>
          <w:rFonts w:hint="eastAsia"/>
          <w:sz w:val="24"/>
          <w:szCs w:val="24"/>
        </w:rPr>
        <w:t>（</w:t>
      </w:r>
      <w:r>
        <w:rPr>
          <w:rFonts w:hint="eastAsia"/>
          <w:sz w:val="24"/>
          <w:szCs w:val="24"/>
          <w:lang w:val="en-US" w:eastAsia="zh-CN"/>
        </w:rPr>
        <w:t>5</w:t>
      </w:r>
      <w:r>
        <w:rPr>
          <w:rFonts w:hint="eastAsia"/>
          <w:sz w:val="24"/>
          <w:szCs w:val="24"/>
        </w:rPr>
        <w:t>）《危险化学品重大危险源辨识》（GB</w:t>
      </w:r>
      <w:r>
        <w:rPr>
          <w:sz w:val="24"/>
          <w:szCs w:val="24"/>
        </w:rPr>
        <w:t xml:space="preserve"> </w:t>
      </w:r>
      <w:r>
        <w:rPr>
          <w:rFonts w:hint="eastAsia"/>
          <w:sz w:val="24"/>
          <w:szCs w:val="24"/>
        </w:rPr>
        <w:t>18218-20</w:t>
      </w:r>
      <w:r>
        <w:rPr>
          <w:rFonts w:hint="eastAsia"/>
          <w:sz w:val="24"/>
          <w:szCs w:val="24"/>
          <w:lang w:val="en-US" w:eastAsia="zh-CN"/>
        </w:rPr>
        <w:t>18</w:t>
      </w:r>
      <w:r>
        <w:rPr>
          <w:rFonts w:hint="eastAsia"/>
          <w:sz w:val="24"/>
          <w:szCs w:val="24"/>
        </w:rPr>
        <w:t>）；</w:t>
      </w:r>
    </w:p>
    <w:p>
      <w:pPr>
        <w:ind w:firstLine="560"/>
        <w:rPr>
          <w:sz w:val="24"/>
          <w:szCs w:val="24"/>
        </w:rPr>
      </w:pPr>
      <w:r>
        <w:rPr>
          <w:rFonts w:hint="eastAsia"/>
          <w:sz w:val="24"/>
          <w:szCs w:val="24"/>
        </w:rPr>
        <w:t>（</w:t>
      </w:r>
      <w:r>
        <w:rPr>
          <w:rFonts w:hint="eastAsia"/>
          <w:sz w:val="24"/>
          <w:szCs w:val="24"/>
          <w:lang w:val="en-US" w:eastAsia="zh-CN"/>
        </w:rPr>
        <w:t>6</w:t>
      </w:r>
      <w:r>
        <w:rPr>
          <w:rFonts w:hint="eastAsia"/>
          <w:sz w:val="24"/>
          <w:szCs w:val="24"/>
        </w:rPr>
        <w:t>）《危险废物鉴别标准通则》（GB 5085.7-20</w:t>
      </w:r>
      <w:r>
        <w:rPr>
          <w:rFonts w:hint="eastAsia"/>
          <w:sz w:val="24"/>
          <w:szCs w:val="24"/>
          <w:lang w:val="en-US" w:eastAsia="zh-CN"/>
        </w:rPr>
        <w:t>19</w:t>
      </w:r>
      <w:r>
        <w:rPr>
          <w:rFonts w:hint="eastAsia"/>
          <w:sz w:val="24"/>
          <w:szCs w:val="24"/>
        </w:rPr>
        <w:t>）；</w:t>
      </w:r>
    </w:p>
    <w:p>
      <w:pPr>
        <w:ind w:firstLine="560"/>
        <w:rPr>
          <w:sz w:val="24"/>
          <w:szCs w:val="24"/>
        </w:rPr>
      </w:pPr>
      <w:r>
        <w:rPr>
          <w:rFonts w:hint="eastAsia"/>
          <w:sz w:val="24"/>
          <w:szCs w:val="24"/>
        </w:rPr>
        <w:t>（</w:t>
      </w:r>
      <w:r>
        <w:rPr>
          <w:rFonts w:hint="eastAsia"/>
          <w:sz w:val="24"/>
          <w:szCs w:val="24"/>
          <w:lang w:val="en-US" w:eastAsia="zh-CN"/>
        </w:rPr>
        <w:t>7</w:t>
      </w:r>
      <w:r>
        <w:rPr>
          <w:rFonts w:hint="eastAsia"/>
          <w:sz w:val="24"/>
          <w:szCs w:val="24"/>
        </w:rPr>
        <w:t>）《建筑设计防火规范》（GB</w:t>
      </w:r>
      <w:r>
        <w:rPr>
          <w:sz w:val="24"/>
          <w:szCs w:val="24"/>
        </w:rPr>
        <w:t xml:space="preserve"> </w:t>
      </w:r>
      <w:r>
        <w:rPr>
          <w:rFonts w:hint="eastAsia"/>
          <w:sz w:val="24"/>
          <w:szCs w:val="24"/>
        </w:rPr>
        <w:t>50016-2014）；</w:t>
      </w:r>
    </w:p>
    <w:p>
      <w:pPr>
        <w:ind w:firstLine="560"/>
        <w:rPr>
          <w:sz w:val="24"/>
          <w:szCs w:val="24"/>
        </w:rPr>
      </w:pPr>
      <w:r>
        <w:rPr>
          <w:rFonts w:hint="eastAsia"/>
          <w:sz w:val="24"/>
          <w:szCs w:val="24"/>
        </w:rPr>
        <w:t>（</w:t>
      </w:r>
      <w:r>
        <w:rPr>
          <w:rFonts w:hint="eastAsia"/>
          <w:sz w:val="24"/>
          <w:szCs w:val="24"/>
          <w:lang w:val="en-US" w:eastAsia="zh-CN"/>
        </w:rPr>
        <w:t>8</w:t>
      </w:r>
      <w:r>
        <w:rPr>
          <w:rFonts w:hint="eastAsia"/>
          <w:sz w:val="24"/>
          <w:szCs w:val="24"/>
        </w:rPr>
        <w:t>）《国家危险废物名录》（2016年）</w:t>
      </w:r>
    </w:p>
    <w:p>
      <w:pPr>
        <w:ind w:firstLine="560"/>
        <w:rPr>
          <w:sz w:val="24"/>
          <w:szCs w:val="24"/>
        </w:rPr>
      </w:pPr>
      <w:r>
        <w:rPr>
          <w:rFonts w:hint="eastAsia"/>
          <w:sz w:val="24"/>
          <w:szCs w:val="24"/>
        </w:rPr>
        <w:t>（</w:t>
      </w:r>
      <w:r>
        <w:rPr>
          <w:sz w:val="24"/>
          <w:szCs w:val="24"/>
        </w:rPr>
        <w:t>9</w:t>
      </w:r>
      <w:r>
        <w:rPr>
          <w:rFonts w:hint="eastAsia"/>
          <w:sz w:val="24"/>
          <w:szCs w:val="24"/>
        </w:rPr>
        <w:t>）《化学品毒性鉴定技术规范》（卫监督发[2005]272号，2005年10月1日）；</w:t>
      </w:r>
    </w:p>
    <w:p>
      <w:pPr>
        <w:ind w:firstLine="560"/>
        <w:rPr>
          <w:sz w:val="24"/>
          <w:szCs w:val="24"/>
        </w:rPr>
      </w:pPr>
      <w:r>
        <w:rPr>
          <w:rFonts w:hint="eastAsia"/>
          <w:sz w:val="24"/>
          <w:szCs w:val="24"/>
        </w:rPr>
        <w:t>（1</w:t>
      </w:r>
      <w:r>
        <w:rPr>
          <w:rFonts w:hint="eastAsia"/>
          <w:sz w:val="24"/>
          <w:szCs w:val="24"/>
          <w:lang w:val="en-US" w:eastAsia="zh-CN"/>
        </w:rPr>
        <w:t>0</w:t>
      </w:r>
      <w:r>
        <w:rPr>
          <w:rFonts w:hint="eastAsia"/>
          <w:sz w:val="24"/>
          <w:szCs w:val="24"/>
        </w:rPr>
        <w:t>）《环境空气质量标准》（GB</w:t>
      </w:r>
      <w:r>
        <w:rPr>
          <w:sz w:val="24"/>
          <w:szCs w:val="24"/>
        </w:rPr>
        <w:t xml:space="preserve"> </w:t>
      </w:r>
      <w:r>
        <w:rPr>
          <w:rFonts w:hint="eastAsia"/>
          <w:sz w:val="24"/>
          <w:szCs w:val="24"/>
        </w:rPr>
        <w:t>3095-2012）；</w:t>
      </w:r>
    </w:p>
    <w:p>
      <w:pPr>
        <w:ind w:firstLine="560"/>
        <w:rPr>
          <w:sz w:val="24"/>
          <w:szCs w:val="24"/>
        </w:rPr>
      </w:pPr>
      <w:r>
        <w:rPr>
          <w:rFonts w:hint="eastAsia"/>
          <w:sz w:val="24"/>
          <w:szCs w:val="24"/>
        </w:rPr>
        <w:t>（1</w:t>
      </w:r>
      <w:r>
        <w:rPr>
          <w:rFonts w:hint="eastAsia"/>
          <w:sz w:val="24"/>
          <w:szCs w:val="24"/>
          <w:lang w:val="en-US" w:eastAsia="zh-CN"/>
        </w:rPr>
        <w:t>1</w:t>
      </w:r>
      <w:r>
        <w:rPr>
          <w:rFonts w:hint="eastAsia"/>
          <w:sz w:val="24"/>
          <w:szCs w:val="24"/>
        </w:rPr>
        <w:t>）《地表水环境质量标准》（GB</w:t>
      </w:r>
      <w:r>
        <w:rPr>
          <w:sz w:val="24"/>
          <w:szCs w:val="24"/>
        </w:rPr>
        <w:t xml:space="preserve"> </w:t>
      </w:r>
      <w:r>
        <w:rPr>
          <w:rFonts w:hint="eastAsia"/>
          <w:sz w:val="24"/>
          <w:szCs w:val="24"/>
        </w:rPr>
        <w:t>3838-2002）；</w:t>
      </w:r>
    </w:p>
    <w:p>
      <w:pPr>
        <w:ind w:firstLine="560"/>
        <w:rPr>
          <w:sz w:val="24"/>
          <w:szCs w:val="24"/>
        </w:rPr>
      </w:pPr>
      <w:r>
        <w:rPr>
          <w:rFonts w:hint="eastAsia"/>
          <w:sz w:val="24"/>
          <w:szCs w:val="24"/>
        </w:rPr>
        <w:t>（1</w:t>
      </w:r>
      <w:r>
        <w:rPr>
          <w:rFonts w:hint="eastAsia"/>
          <w:sz w:val="24"/>
          <w:szCs w:val="24"/>
          <w:lang w:val="en-US" w:eastAsia="zh-CN"/>
        </w:rPr>
        <w:t>2</w:t>
      </w:r>
      <w:r>
        <w:rPr>
          <w:rFonts w:hint="eastAsia"/>
          <w:sz w:val="24"/>
          <w:szCs w:val="24"/>
        </w:rPr>
        <w:t>）《地下水质量标准》(GB/T</w:t>
      </w:r>
      <w:r>
        <w:rPr>
          <w:sz w:val="24"/>
          <w:szCs w:val="24"/>
        </w:rPr>
        <w:t xml:space="preserve"> </w:t>
      </w:r>
      <w:r>
        <w:rPr>
          <w:rFonts w:hint="eastAsia"/>
          <w:sz w:val="24"/>
          <w:szCs w:val="24"/>
        </w:rPr>
        <w:t>14848-201</w:t>
      </w:r>
      <w:r>
        <w:rPr>
          <w:rFonts w:hint="eastAsia"/>
          <w:sz w:val="24"/>
          <w:szCs w:val="24"/>
          <w:lang w:val="en-US" w:eastAsia="zh-CN"/>
        </w:rPr>
        <w:t>7</w:t>
      </w:r>
      <w:r>
        <w:rPr>
          <w:rFonts w:hint="eastAsia"/>
          <w:sz w:val="24"/>
          <w:szCs w:val="24"/>
        </w:rPr>
        <w:t>)；</w:t>
      </w:r>
    </w:p>
    <w:p>
      <w:pPr>
        <w:ind w:firstLine="560"/>
        <w:rPr>
          <w:sz w:val="24"/>
          <w:szCs w:val="24"/>
        </w:rPr>
      </w:pPr>
      <w:r>
        <w:rPr>
          <w:rFonts w:hint="eastAsia"/>
          <w:sz w:val="24"/>
          <w:szCs w:val="24"/>
        </w:rPr>
        <w:t>（1</w:t>
      </w:r>
      <w:r>
        <w:rPr>
          <w:rFonts w:hint="eastAsia"/>
          <w:sz w:val="24"/>
          <w:szCs w:val="24"/>
          <w:lang w:val="en-US" w:eastAsia="zh-CN"/>
        </w:rPr>
        <w:t>3</w:t>
      </w:r>
      <w:r>
        <w:rPr>
          <w:rFonts w:hint="eastAsia"/>
          <w:sz w:val="24"/>
          <w:szCs w:val="24"/>
        </w:rPr>
        <w:t>）《工业企业设计卫生标准》（GBZ</w:t>
      </w:r>
      <w:r>
        <w:rPr>
          <w:sz w:val="24"/>
          <w:szCs w:val="24"/>
        </w:rPr>
        <w:t xml:space="preserve"> </w:t>
      </w:r>
      <w:r>
        <w:rPr>
          <w:rFonts w:hint="eastAsia"/>
          <w:sz w:val="24"/>
          <w:szCs w:val="24"/>
        </w:rPr>
        <w:t>1-2010）；</w:t>
      </w:r>
    </w:p>
    <w:p>
      <w:pPr>
        <w:ind w:firstLine="560"/>
        <w:rPr>
          <w:sz w:val="24"/>
          <w:szCs w:val="24"/>
        </w:rPr>
      </w:pPr>
      <w:r>
        <w:rPr>
          <w:rFonts w:hint="eastAsia"/>
          <w:sz w:val="24"/>
          <w:szCs w:val="24"/>
        </w:rPr>
        <w:t>（</w:t>
      </w:r>
      <w:r>
        <w:rPr>
          <w:sz w:val="24"/>
          <w:szCs w:val="24"/>
        </w:rPr>
        <w:t>1</w:t>
      </w:r>
      <w:r>
        <w:rPr>
          <w:rFonts w:hint="eastAsia"/>
          <w:sz w:val="24"/>
          <w:szCs w:val="24"/>
          <w:lang w:val="en-US" w:eastAsia="zh-CN"/>
        </w:rPr>
        <w:t>4</w:t>
      </w:r>
      <w:r>
        <w:rPr>
          <w:rFonts w:hint="eastAsia"/>
          <w:sz w:val="24"/>
          <w:szCs w:val="24"/>
        </w:rPr>
        <w:t>）《大气污染物综合排放标准》(GB</w:t>
      </w:r>
      <w:r>
        <w:rPr>
          <w:sz w:val="24"/>
          <w:szCs w:val="24"/>
        </w:rPr>
        <w:t xml:space="preserve"> </w:t>
      </w:r>
      <w:r>
        <w:rPr>
          <w:rFonts w:hint="eastAsia"/>
          <w:sz w:val="24"/>
          <w:szCs w:val="24"/>
        </w:rPr>
        <w:t>16297-1996)；</w:t>
      </w:r>
    </w:p>
    <w:p>
      <w:pPr>
        <w:ind w:firstLine="560"/>
        <w:rPr>
          <w:sz w:val="24"/>
          <w:szCs w:val="24"/>
        </w:rPr>
      </w:pPr>
      <w:r>
        <w:rPr>
          <w:rFonts w:hint="eastAsia"/>
          <w:sz w:val="24"/>
          <w:szCs w:val="24"/>
        </w:rPr>
        <w:t>（</w:t>
      </w:r>
      <w:r>
        <w:rPr>
          <w:rFonts w:hint="eastAsia"/>
          <w:sz w:val="24"/>
          <w:szCs w:val="24"/>
          <w:lang w:val="en-US" w:eastAsia="zh-CN"/>
        </w:rPr>
        <w:t>15</w:t>
      </w:r>
      <w:r>
        <w:rPr>
          <w:rFonts w:hint="eastAsia"/>
          <w:sz w:val="24"/>
          <w:szCs w:val="24"/>
        </w:rPr>
        <w:t>）《一般工业固体废物贮存、处置场污染控制标准》（GB</w:t>
      </w:r>
      <w:r>
        <w:rPr>
          <w:sz w:val="24"/>
          <w:szCs w:val="24"/>
        </w:rPr>
        <w:t xml:space="preserve"> </w:t>
      </w:r>
      <w:r>
        <w:rPr>
          <w:rFonts w:hint="eastAsia"/>
          <w:sz w:val="24"/>
          <w:szCs w:val="24"/>
        </w:rPr>
        <w:t>18599-2001）及修改单要求；</w:t>
      </w:r>
    </w:p>
    <w:p>
      <w:pPr>
        <w:ind w:firstLine="560"/>
        <w:rPr>
          <w:sz w:val="24"/>
          <w:szCs w:val="24"/>
        </w:rPr>
      </w:pPr>
      <w:r>
        <w:rPr>
          <w:rFonts w:hint="eastAsia"/>
          <w:sz w:val="24"/>
          <w:szCs w:val="24"/>
        </w:rPr>
        <w:t>（</w:t>
      </w:r>
      <w:r>
        <w:rPr>
          <w:rFonts w:hint="eastAsia"/>
          <w:sz w:val="24"/>
          <w:szCs w:val="24"/>
          <w:lang w:val="en-US" w:eastAsia="zh-CN"/>
        </w:rPr>
        <w:t>16</w:t>
      </w:r>
      <w:r>
        <w:rPr>
          <w:rFonts w:hint="eastAsia"/>
          <w:sz w:val="24"/>
          <w:szCs w:val="24"/>
        </w:rPr>
        <w:t>）《危险废物贮存污染控制标准》（GB</w:t>
      </w:r>
      <w:r>
        <w:rPr>
          <w:sz w:val="24"/>
          <w:szCs w:val="24"/>
        </w:rPr>
        <w:t xml:space="preserve"> </w:t>
      </w:r>
      <w:r>
        <w:rPr>
          <w:rFonts w:hint="eastAsia"/>
          <w:sz w:val="24"/>
          <w:szCs w:val="24"/>
        </w:rPr>
        <w:t>18597-2001）及修改单要求。</w:t>
      </w:r>
    </w:p>
    <w:p>
      <w:pPr>
        <w:ind w:firstLine="560"/>
        <w:rPr>
          <w:rFonts w:hint="eastAsia"/>
          <w:sz w:val="24"/>
          <w:szCs w:val="24"/>
        </w:rPr>
      </w:pPr>
      <w:r>
        <w:rPr>
          <w:rFonts w:hint="eastAsia"/>
          <w:sz w:val="24"/>
          <w:szCs w:val="24"/>
        </w:rPr>
        <w:t>（</w:t>
      </w:r>
      <w:r>
        <w:rPr>
          <w:rFonts w:hint="eastAsia"/>
          <w:sz w:val="24"/>
          <w:szCs w:val="24"/>
          <w:lang w:val="en-US" w:eastAsia="zh-CN"/>
        </w:rPr>
        <w:t>17</w:t>
      </w:r>
      <w:r>
        <w:rPr>
          <w:rFonts w:hint="eastAsia"/>
          <w:sz w:val="24"/>
          <w:szCs w:val="24"/>
        </w:rPr>
        <w:t>）《呼吸防护用品的选择、使用与维护》（GB</w:t>
      </w:r>
      <w:r>
        <w:rPr>
          <w:sz w:val="24"/>
          <w:szCs w:val="24"/>
        </w:rPr>
        <w:t>/</w:t>
      </w:r>
      <w:r>
        <w:rPr>
          <w:rFonts w:hint="eastAsia"/>
          <w:sz w:val="24"/>
          <w:szCs w:val="24"/>
        </w:rPr>
        <w:t>T</w:t>
      </w:r>
      <w:r>
        <w:rPr>
          <w:sz w:val="24"/>
          <w:szCs w:val="24"/>
        </w:rPr>
        <w:t xml:space="preserve"> </w:t>
      </w:r>
      <w:r>
        <w:rPr>
          <w:rFonts w:hint="eastAsia"/>
          <w:sz w:val="24"/>
          <w:szCs w:val="24"/>
        </w:rPr>
        <w:t>18664-2002）；</w:t>
      </w:r>
    </w:p>
    <w:p>
      <w:pPr>
        <w:ind w:firstLine="560"/>
        <w:rPr>
          <w:rFonts w:hint="eastAsia"/>
          <w:sz w:val="24"/>
          <w:szCs w:val="24"/>
          <w:lang w:eastAsia="zh-CN"/>
        </w:rPr>
      </w:pPr>
      <w:r>
        <w:rPr>
          <w:rFonts w:hint="eastAsia"/>
          <w:sz w:val="24"/>
          <w:szCs w:val="24"/>
          <w:lang w:eastAsia="zh-CN"/>
        </w:rPr>
        <w:t>（</w:t>
      </w:r>
      <w:r>
        <w:rPr>
          <w:rFonts w:hint="eastAsia"/>
          <w:sz w:val="24"/>
          <w:szCs w:val="24"/>
          <w:lang w:val="en-US" w:eastAsia="zh-CN"/>
        </w:rPr>
        <w:t>18</w:t>
      </w:r>
      <w:r>
        <w:rPr>
          <w:rFonts w:hint="eastAsia"/>
          <w:sz w:val="24"/>
          <w:szCs w:val="24"/>
          <w:lang w:eastAsia="zh-CN"/>
        </w:rPr>
        <w:t>）《突发环境事件应急处置阶段环境损害评估推荐方法》（环办[2014]118号，2014年12月31日）；</w:t>
      </w:r>
    </w:p>
    <w:p>
      <w:pPr>
        <w:ind w:firstLine="560"/>
        <w:rPr>
          <w:rFonts w:hint="eastAsia"/>
          <w:sz w:val="24"/>
          <w:szCs w:val="24"/>
          <w:lang w:val="en-US" w:eastAsia="zh-CN"/>
        </w:rPr>
      </w:pPr>
      <w:r>
        <w:rPr>
          <w:rFonts w:hint="eastAsia"/>
          <w:sz w:val="24"/>
          <w:szCs w:val="24"/>
          <w:lang w:eastAsia="zh-CN"/>
        </w:rPr>
        <w:t>（</w:t>
      </w:r>
      <w:r>
        <w:rPr>
          <w:rFonts w:hint="eastAsia"/>
          <w:sz w:val="24"/>
          <w:szCs w:val="24"/>
          <w:lang w:val="en-US" w:eastAsia="zh-CN"/>
        </w:rPr>
        <w:t>19</w:t>
      </w:r>
      <w:r>
        <w:rPr>
          <w:rFonts w:hint="eastAsia"/>
          <w:sz w:val="24"/>
          <w:szCs w:val="24"/>
          <w:lang w:eastAsia="zh-CN"/>
        </w:rPr>
        <w:t>）</w:t>
      </w:r>
      <w:r>
        <w:rPr>
          <w:rFonts w:hint="eastAsia"/>
          <w:sz w:val="24"/>
          <w:szCs w:val="24"/>
        </w:rPr>
        <w:t>《企业事业单位突发环境事件应急预案备案管理办法（试行）》（环发[2015]4号，2015年1月8日实施）</w:t>
      </w:r>
      <w:r>
        <w:rPr>
          <w:rFonts w:hint="eastAsia"/>
          <w:sz w:val="24"/>
          <w:szCs w:val="24"/>
          <w:lang w:val="en-US" w:eastAsia="zh-CN"/>
        </w:rPr>
        <w:t>;</w:t>
      </w:r>
    </w:p>
    <w:p>
      <w:pPr>
        <w:ind w:firstLine="560"/>
        <w:rPr>
          <w:rFonts w:hint="eastAsia"/>
          <w:sz w:val="24"/>
          <w:szCs w:val="24"/>
          <w:lang w:eastAsia="zh-CN"/>
        </w:rPr>
      </w:pPr>
      <w:r>
        <w:rPr>
          <w:rFonts w:hint="eastAsia"/>
          <w:sz w:val="24"/>
          <w:szCs w:val="24"/>
          <w:lang w:val="en-US" w:eastAsia="zh-CN"/>
        </w:rPr>
        <w:t>（20）</w:t>
      </w:r>
      <w:r>
        <w:rPr>
          <w:rFonts w:hint="eastAsia"/>
          <w:sz w:val="24"/>
          <w:szCs w:val="24"/>
        </w:rPr>
        <w:t>《突发环境事件信息报告办法》（环境保护部令第17号，2011年5月1日实施）</w:t>
      </w:r>
      <w:r>
        <w:rPr>
          <w:rFonts w:hint="eastAsia"/>
          <w:sz w:val="24"/>
          <w:szCs w:val="24"/>
          <w:lang w:eastAsia="zh-CN"/>
        </w:rPr>
        <w:t>；</w:t>
      </w:r>
    </w:p>
    <w:p>
      <w:pPr>
        <w:ind w:firstLine="560"/>
        <w:rPr>
          <w:rFonts w:hint="eastAsia" w:eastAsia="宋体"/>
          <w:sz w:val="24"/>
          <w:szCs w:val="24"/>
          <w:lang w:val="en-US" w:eastAsia="zh-CN"/>
        </w:rPr>
      </w:pPr>
      <w:r>
        <w:rPr>
          <w:rFonts w:hint="eastAsia"/>
          <w:sz w:val="24"/>
          <w:szCs w:val="24"/>
          <w:lang w:eastAsia="zh-CN"/>
        </w:rPr>
        <w:t>（</w:t>
      </w:r>
      <w:r>
        <w:rPr>
          <w:rFonts w:hint="eastAsia"/>
          <w:sz w:val="24"/>
          <w:szCs w:val="24"/>
          <w:lang w:val="en-US" w:eastAsia="zh-CN"/>
        </w:rPr>
        <w:t>21</w:t>
      </w:r>
      <w:r>
        <w:rPr>
          <w:rFonts w:hint="eastAsia"/>
          <w:sz w:val="24"/>
          <w:szCs w:val="24"/>
          <w:lang w:eastAsia="zh-CN"/>
        </w:rPr>
        <w:t>）</w:t>
      </w:r>
      <w:r>
        <w:rPr>
          <w:rFonts w:hint="eastAsia"/>
          <w:color w:val="000000" w:themeColor="text1"/>
          <w:sz w:val="24"/>
          <w:szCs w:val="24"/>
        </w:rPr>
        <w:t>《突发环境事件调查处理办法》（环保部令第32号，201</w:t>
      </w:r>
      <w:r>
        <w:rPr>
          <w:color w:val="000000" w:themeColor="text1"/>
          <w:sz w:val="24"/>
          <w:szCs w:val="24"/>
        </w:rPr>
        <w:t>5</w:t>
      </w:r>
      <w:r>
        <w:rPr>
          <w:rFonts w:hint="eastAsia"/>
          <w:color w:val="000000" w:themeColor="text1"/>
          <w:sz w:val="24"/>
          <w:szCs w:val="24"/>
        </w:rPr>
        <w:t>年</w:t>
      </w:r>
      <w:r>
        <w:rPr>
          <w:color w:val="000000" w:themeColor="text1"/>
          <w:sz w:val="24"/>
          <w:szCs w:val="24"/>
        </w:rPr>
        <w:t>3</w:t>
      </w:r>
      <w:r>
        <w:rPr>
          <w:rFonts w:hint="eastAsia"/>
          <w:color w:val="000000" w:themeColor="text1"/>
          <w:sz w:val="24"/>
          <w:szCs w:val="24"/>
        </w:rPr>
        <w:t>月</w:t>
      </w:r>
      <w:r>
        <w:rPr>
          <w:color w:val="000000" w:themeColor="text1"/>
          <w:sz w:val="24"/>
          <w:szCs w:val="24"/>
        </w:rPr>
        <w:t>1</w:t>
      </w:r>
      <w:r>
        <w:rPr>
          <w:rFonts w:hint="eastAsia"/>
          <w:color w:val="000000" w:themeColor="text1"/>
          <w:sz w:val="24"/>
          <w:szCs w:val="24"/>
        </w:rPr>
        <w:t>日施行）</w:t>
      </w:r>
      <w:r>
        <w:rPr>
          <w:rFonts w:hint="eastAsia"/>
          <w:color w:val="000000" w:themeColor="text1"/>
          <w:sz w:val="24"/>
          <w:szCs w:val="24"/>
          <w:lang w:eastAsia="zh-CN"/>
        </w:rPr>
        <w:t>；</w:t>
      </w:r>
    </w:p>
    <w:p>
      <w:pPr>
        <w:pStyle w:val="5"/>
        <w:rPr>
          <w:sz w:val="24"/>
          <w:szCs w:val="24"/>
        </w:rPr>
      </w:pPr>
      <w:r>
        <w:rPr>
          <w:rFonts w:hint="eastAsia"/>
          <w:sz w:val="24"/>
          <w:szCs w:val="24"/>
        </w:rPr>
        <w:t>其他文件</w:t>
      </w:r>
    </w:p>
    <w:p>
      <w:pPr>
        <w:ind w:firstLine="560"/>
        <w:rPr>
          <w:rFonts w:hint="eastAsia"/>
          <w:sz w:val="24"/>
          <w:szCs w:val="24"/>
          <w:lang w:eastAsia="zh-CN"/>
        </w:rPr>
      </w:pPr>
      <w:r>
        <w:rPr>
          <w:rFonts w:hint="eastAsia"/>
          <w:sz w:val="24"/>
          <w:szCs w:val="24"/>
          <w:lang w:eastAsia="zh-CN"/>
        </w:rPr>
        <w:t>（</w:t>
      </w:r>
      <w:r>
        <w:rPr>
          <w:rFonts w:hint="eastAsia"/>
          <w:sz w:val="24"/>
          <w:szCs w:val="24"/>
          <w:lang w:val="en-US" w:eastAsia="zh-CN"/>
        </w:rPr>
        <w:t>1</w:t>
      </w:r>
      <w:r>
        <w:rPr>
          <w:rFonts w:hint="eastAsia"/>
          <w:sz w:val="24"/>
          <w:szCs w:val="24"/>
          <w:lang w:eastAsia="zh-CN"/>
        </w:rPr>
        <w:t>）</w:t>
      </w:r>
      <w:r>
        <w:rPr>
          <w:rFonts w:hint="eastAsia"/>
          <w:sz w:val="24"/>
          <w:szCs w:val="24"/>
        </w:rPr>
        <w:t>《国家突发环境事件应急预案》（2014年12月29日施行）</w:t>
      </w:r>
    </w:p>
    <w:p>
      <w:pPr>
        <w:ind w:firstLine="560"/>
        <w:rPr>
          <w:rFonts w:hint="eastAsia"/>
          <w:color w:val="000000" w:themeColor="text1"/>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w:t>
      </w:r>
      <w:r>
        <w:rPr>
          <w:rFonts w:hint="eastAsia"/>
          <w:color w:val="000000" w:themeColor="text1"/>
          <w:sz w:val="24"/>
          <w:szCs w:val="24"/>
        </w:rPr>
        <w:t>《国家突发公共事件总体应急预案》（20</w:t>
      </w:r>
      <w:r>
        <w:rPr>
          <w:color w:val="000000" w:themeColor="text1"/>
          <w:sz w:val="24"/>
          <w:szCs w:val="24"/>
        </w:rPr>
        <w:t>06</w:t>
      </w:r>
      <w:r>
        <w:rPr>
          <w:rFonts w:hint="eastAsia"/>
          <w:color w:val="000000" w:themeColor="text1"/>
          <w:sz w:val="24"/>
          <w:szCs w:val="24"/>
        </w:rPr>
        <w:t>年</w:t>
      </w:r>
      <w:r>
        <w:rPr>
          <w:color w:val="000000" w:themeColor="text1"/>
          <w:sz w:val="24"/>
          <w:szCs w:val="24"/>
        </w:rPr>
        <w:t>1</w:t>
      </w:r>
      <w:r>
        <w:rPr>
          <w:rFonts w:hint="eastAsia"/>
          <w:color w:val="000000" w:themeColor="text1"/>
          <w:sz w:val="24"/>
          <w:szCs w:val="24"/>
        </w:rPr>
        <w:t>月</w:t>
      </w:r>
      <w:r>
        <w:rPr>
          <w:color w:val="000000" w:themeColor="text1"/>
          <w:sz w:val="24"/>
          <w:szCs w:val="24"/>
        </w:rPr>
        <w:t>8</w:t>
      </w:r>
      <w:r>
        <w:rPr>
          <w:rFonts w:hint="eastAsia"/>
          <w:color w:val="000000" w:themeColor="text1"/>
          <w:sz w:val="24"/>
          <w:szCs w:val="24"/>
        </w:rPr>
        <w:t>日施行）</w:t>
      </w:r>
    </w:p>
    <w:p>
      <w:pPr>
        <w:ind w:firstLine="560"/>
        <w:rPr>
          <w:rFonts w:hint="eastAsia"/>
          <w:color w:val="000000" w:themeColor="text1"/>
          <w:sz w:val="24"/>
          <w:szCs w:val="24"/>
          <w:lang w:eastAsia="zh-CN"/>
        </w:rPr>
      </w:pPr>
      <w:r>
        <w:rPr>
          <w:rFonts w:hint="eastAsia"/>
          <w:color w:val="000000" w:themeColor="text1"/>
          <w:sz w:val="24"/>
          <w:szCs w:val="24"/>
          <w:lang w:eastAsia="zh-CN"/>
        </w:rPr>
        <w:t>（</w:t>
      </w:r>
      <w:r>
        <w:rPr>
          <w:rFonts w:hint="eastAsia"/>
          <w:color w:val="000000" w:themeColor="text1"/>
          <w:sz w:val="24"/>
          <w:szCs w:val="24"/>
          <w:lang w:val="en-US" w:eastAsia="zh-CN"/>
        </w:rPr>
        <w:t>3</w:t>
      </w:r>
      <w:r>
        <w:rPr>
          <w:rFonts w:hint="eastAsia"/>
          <w:color w:val="000000" w:themeColor="text1"/>
          <w:sz w:val="24"/>
          <w:szCs w:val="24"/>
          <w:lang w:eastAsia="zh-CN"/>
        </w:rPr>
        <w:t>）《</w:t>
      </w:r>
      <w:r>
        <w:rPr>
          <w:rFonts w:hint="eastAsia"/>
          <w:sz w:val="24"/>
          <w:szCs w:val="24"/>
        </w:rPr>
        <w:t>江西省突发公共事件总体应急预案</w:t>
      </w:r>
      <w:r>
        <w:rPr>
          <w:rFonts w:hint="eastAsia"/>
          <w:color w:val="000000" w:themeColor="text1"/>
          <w:sz w:val="24"/>
          <w:szCs w:val="24"/>
          <w:lang w:eastAsia="zh-CN"/>
        </w:rPr>
        <w:t>》（</w:t>
      </w:r>
      <w:r>
        <w:rPr>
          <w:rFonts w:hint="eastAsia"/>
          <w:color w:val="000000" w:themeColor="text1"/>
          <w:sz w:val="24"/>
          <w:szCs w:val="24"/>
          <w:lang w:val="en-US" w:eastAsia="zh-CN"/>
        </w:rPr>
        <w:t>2008</w:t>
      </w:r>
      <w:r>
        <w:rPr>
          <w:rFonts w:hint="eastAsia"/>
          <w:color w:val="000000" w:themeColor="text1"/>
          <w:sz w:val="24"/>
          <w:szCs w:val="24"/>
          <w:lang w:eastAsia="zh-CN"/>
        </w:rPr>
        <w:t>）</w:t>
      </w:r>
    </w:p>
    <w:p>
      <w:pPr>
        <w:ind w:firstLine="560"/>
        <w:rPr>
          <w:rFonts w:hint="eastAsia"/>
          <w:color w:val="000000" w:themeColor="text1"/>
          <w:sz w:val="24"/>
          <w:szCs w:val="24"/>
          <w:lang w:eastAsia="zh-CN"/>
        </w:rPr>
      </w:pPr>
      <w:r>
        <w:rPr>
          <w:rFonts w:hint="eastAsia"/>
          <w:color w:val="000000" w:themeColor="text1"/>
          <w:sz w:val="24"/>
          <w:szCs w:val="24"/>
          <w:lang w:eastAsia="zh-CN"/>
        </w:rPr>
        <w:t>（</w:t>
      </w:r>
      <w:r>
        <w:rPr>
          <w:rFonts w:hint="eastAsia"/>
          <w:color w:val="000000" w:themeColor="text1"/>
          <w:sz w:val="24"/>
          <w:szCs w:val="24"/>
          <w:lang w:val="en-US" w:eastAsia="zh-CN"/>
        </w:rPr>
        <w:t>4</w:t>
      </w:r>
      <w:r>
        <w:rPr>
          <w:rFonts w:hint="eastAsia"/>
          <w:color w:val="000000" w:themeColor="text1"/>
          <w:sz w:val="24"/>
          <w:szCs w:val="24"/>
          <w:lang w:eastAsia="zh-CN"/>
        </w:rPr>
        <w:t>）《</w:t>
      </w:r>
      <w:r>
        <w:rPr>
          <w:rFonts w:hint="eastAsia"/>
          <w:sz w:val="24"/>
          <w:szCs w:val="24"/>
        </w:rPr>
        <w:t>江西省突发环境事件应急预案</w:t>
      </w:r>
      <w:r>
        <w:rPr>
          <w:rFonts w:hint="eastAsia"/>
          <w:color w:val="000000" w:themeColor="text1"/>
          <w:sz w:val="24"/>
          <w:szCs w:val="24"/>
          <w:lang w:eastAsia="zh-CN"/>
        </w:rPr>
        <w:t>》</w:t>
      </w:r>
    </w:p>
    <w:p>
      <w:pPr>
        <w:pStyle w:val="14"/>
        <w:numPr>
          <w:ilvl w:val="0"/>
          <w:numId w:val="0"/>
        </w:numPr>
        <w:spacing w:line="360" w:lineRule="auto"/>
        <w:ind w:leftChars="200"/>
        <w:jc w:val="both"/>
        <w:rPr>
          <w:rFonts w:hint="eastAsia" w:ascii="Times New Roman" w:hAnsi="Times New Roman" w:eastAsia="宋体" w:cstheme="minorBidi"/>
          <w:kern w:val="2"/>
          <w:sz w:val="24"/>
          <w:szCs w:val="24"/>
          <w:lang w:val="en-US" w:eastAsia="zh-CN" w:bidi="ar-SA"/>
        </w:rPr>
      </w:pPr>
      <w:r>
        <w:rPr>
          <w:rFonts w:hint="eastAsia" w:ascii="Times New Roman" w:hAnsi="Times New Roman" w:eastAsia="宋体" w:cstheme="minorBidi"/>
          <w:kern w:val="2"/>
          <w:sz w:val="24"/>
          <w:szCs w:val="24"/>
          <w:lang w:val="en-US" w:eastAsia="zh-CN" w:bidi="ar-SA"/>
        </w:rPr>
        <w:t>（5）《南昌慧华高科混凝土有限公司年产100万立方商品混凝土环境影响报告表》</w:t>
      </w:r>
    </w:p>
    <w:p>
      <w:pPr>
        <w:numPr>
          <w:ilvl w:val="0"/>
          <w:numId w:val="0"/>
        </w:numPr>
        <w:spacing w:line="360" w:lineRule="auto"/>
        <w:ind w:leftChars="200"/>
        <w:rPr>
          <w:rFonts w:hint="eastAsia" w:ascii="Times New Roman" w:hAnsi="Times New Roman" w:eastAsia="宋体" w:cstheme="minorBidi"/>
          <w:kern w:val="2"/>
          <w:sz w:val="24"/>
          <w:szCs w:val="24"/>
          <w:lang w:val="en-US" w:eastAsia="zh-CN" w:bidi="ar-SA"/>
        </w:rPr>
      </w:pPr>
      <w:r>
        <w:rPr>
          <w:rFonts w:hint="eastAsia" w:ascii="Times New Roman" w:hAnsi="Times New Roman" w:eastAsia="宋体" w:cstheme="minorBidi"/>
          <w:kern w:val="2"/>
          <w:sz w:val="24"/>
          <w:szCs w:val="24"/>
          <w:lang w:val="en-US" w:eastAsia="zh-CN" w:bidi="ar-SA"/>
        </w:rPr>
        <w:t>（6）《南昌慧华高科混凝土有限公司年产100万立方米商品混凝土项目环境影响报告</w:t>
      </w:r>
      <w:r>
        <w:rPr>
          <w:rFonts w:hint="eastAsia" w:cstheme="minorBidi"/>
          <w:kern w:val="2"/>
          <w:sz w:val="24"/>
          <w:szCs w:val="24"/>
          <w:lang w:val="en-US" w:eastAsia="zh-CN" w:bidi="ar-SA"/>
        </w:rPr>
        <w:t>表</w:t>
      </w:r>
      <w:r>
        <w:rPr>
          <w:rFonts w:hint="eastAsia" w:ascii="Times New Roman" w:hAnsi="Times New Roman" w:eastAsia="宋体" w:cstheme="minorBidi"/>
          <w:kern w:val="2"/>
          <w:sz w:val="24"/>
          <w:szCs w:val="24"/>
          <w:lang w:val="en-US" w:eastAsia="zh-CN" w:bidi="ar-SA"/>
        </w:rPr>
        <w:t>的批复》（洪环建字［2001］86号）</w:t>
      </w:r>
    </w:p>
    <w:p>
      <w:pPr>
        <w:numPr>
          <w:ilvl w:val="0"/>
          <w:numId w:val="0"/>
        </w:numPr>
        <w:spacing w:line="360" w:lineRule="auto"/>
        <w:ind w:leftChars="200"/>
        <w:rPr>
          <w:rFonts w:hint="eastAsia" w:ascii="Times New Roman" w:hAnsi="Times New Roman" w:eastAsia="宋体" w:cstheme="minorBidi"/>
          <w:kern w:val="2"/>
          <w:sz w:val="24"/>
          <w:szCs w:val="24"/>
          <w:lang w:val="en-US" w:eastAsia="zh-CN" w:bidi="ar-SA"/>
        </w:rPr>
      </w:pPr>
      <w:r>
        <w:rPr>
          <w:rFonts w:hint="eastAsia" w:ascii="Times New Roman" w:hAnsi="Times New Roman" w:eastAsia="宋体" w:cstheme="minorBidi"/>
          <w:kern w:val="2"/>
          <w:sz w:val="24"/>
          <w:szCs w:val="24"/>
          <w:lang w:val="en-US" w:eastAsia="zh-CN" w:bidi="ar-SA"/>
        </w:rPr>
        <w:t>（7）《南昌慧华高科混凝土有限公司年产100万立方米商品混凝土建设项目竣工环境保护验收意见函》（洪环监督［2004］171号）</w:t>
      </w:r>
    </w:p>
    <w:p>
      <w:pPr>
        <w:spacing w:line="360" w:lineRule="auto"/>
        <w:rPr>
          <w:rFonts w:hint="eastAsia" w:ascii="Times New Roman" w:hAnsi="Times New Roman" w:eastAsia="宋体" w:cstheme="minorBidi"/>
          <w:kern w:val="2"/>
          <w:sz w:val="28"/>
          <w:szCs w:val="22"/>
          <w:lang w:val="en-US" w:eastAsia="zh-CN" w:bidi="ar-SA"/>
        </w:rPr>
        <w:sectPr>
          <w:footerReference r:id="rId10" w:type="default"/>
          <w:pgSz w:w="11906" w:h="16838"/>
          <w:pgMar w:top="1361" w:right="1361" w:bottom="1361" w:left="1474" w:header="851" w:footer="992" w:gutter="0"/>
          <w:pgNumType w:fmt="decimal" w:start="1"/>
          <w:cols w:space="720" w:num="1"/>
          <w:docGrid w:type="lines" w:linePitch="312" w:charSpace="0"/>
        </w:sectPr>
      </w:pPr>
    </w:p>
    <w:p>
      <w:pPr>
        <w:pStyle w:val="4"/>
        <w:rPr>
          <w:sz w:val="24"/>
          <w:szCs w:val="24"/>
        </w:rPr>
      </w:pPr>
      <w:bookmarkStart w:id="3" w:name="_Toc5347"/>
      <w:r>
        <w:rPr>
          <w:rFonts w:hint="eastAsia"/>
          <w:sz w:val="24"/>
          <w:szCs w:val="24"/>
        </w:rPr>
        <w:t>适用范围</w:t>
      </w:r>
      <w:bookmarkEnd w:id="3"/>
    </w:p>
    <w:p>
      <w:pPr>
        <w:ind w:firstLine="560"/>
        <w:rPr>
          <w:sz w:val="24"/>
          <w:szCs w:val="24"/>
        </w:rPr>
      </w:pPr>
      <w:r>
        <w:rPr>
          <w:rFonts w:hint="eastAsia"/>
          <w:sz w:val="24"/>
          <w:szCs w:val="24"/>
        </w:rPr>
        <w:t>本预案适用于本公司在生产、经营、贮存、运输、使用和处置过程中发生的人为或自然因素造成的废气、废水、等环境污染、破坏事件以及发生的火灾、泄漏等事故及所造成的伴生或者次生环境污染事故。</w:t>
      </w:r>
    </w:p>
    <w:p>
      <w:pPr>
        <w:pStyle w:val="4"/>
        <w:rPr>
          <w:sz w:val="24"/>
          <w:szCs w:val="24"/>
        </w:rPr>
      </w:pPr>
      <w:bookmarkStart w:id="4" w:name="_Toc15424"/>
      <w:r>
        <w:rPr>
          <w:rFonts w:hint="eastAsia"/>
          <w:sz w:val="24"/>
          <w:szCs w:val="24"/>
        </w:rPr>
        <w:t>事件分级</w:t>
      </w:r>
      <w:bookmarkEnd w:id="4"/>
    </w:p>
    <w:p>
      <w:pPr>
        <w:ind w:firstLine="560"/>
        <w:rPr>
          <w:sz w:val="24"/>
          <w:szCs w:val="24"/>
        </w:rPr>
      </w:pPr>
      <w:r>
        <w:rPr>
          <w:rFonts w:hint="eastAsia"/>
          <w:sz w:val="24"/>
          <w:szCs w:val="24"/>
        </w:rPr>
        <w:t>为了有效处置各类环境应急事故，依据应急事故可能造成的危害程度、波及范围、影响力大小、人员及财产损失等情况，本公司应急事故划分为：重大（Ⅰ级）、较大（Ⅱ级）和一般（Ⅲ级）。</w:t>
      </w:r>
    </w:p>
    <w:p>
      <w:pPr>
        <w:ind w:firstLine="560"/>
        <w:rPr>
          <w:sz w:val="24"/>
          <w:szCs w:val="24"/>
        </w:rPr>
      </w:pPr>
      <w:r>
        <w:rPr>
          <w:rFonts w:hint="eastAsia"/>
          <w:sz w:val="24"/>
          <w:szCs w:val="24"/>
        </w:rPr>
        <w:t>一般事故（Ⅲ级）：主要指造成直接经济损失50万以下，未造成人员受伤中毒、中毒或者重伤，未造成人员死亡，或事故危害在厂区范围内，经自救或组织救援能予以控制，并无进一步发展趋势；或未对环境造成危害。</w:t>
      </w:r>
    </w:p>
    <w:p>
      <w:pPr>
        <w:ind w:firstLine="560"/>
        <w:rPr>
          <w:sz w:val="24"/>
          <w:szCs w:val="24"/>
        </w:rPr>
      </w:pPr>
      <w:r>
        <w:rPr>
          <w:rFonts w:hint="eastAsia"/>
          <w:sz w:val="24"/>
          <w:szCs w:val="24"/>
        </w:rPr>
        <w:t>较大事故（Ⅱ级）：主要指造成直接经济损失在50万元以上200万以下，造成人员轻度伤害，未造成人员受伤中毒、中毒或者重伤的，未造成人员死亡，或事故危害在厂区范围内，经自救或组织救援能予以控制，并无进一步发展趋势；或未对环境造成危害。</w:t>
      </w:r>
    </w:p>
    <w:p>
      <w:pPr>
        <w:ind w:firstLine="560"/>
        <w:rPr>
          <w:sz w:val="24"/>
          <w:szCs w:val="24"/>
        </w:rPr>
      </w:pPr>
      <w:r>
        <w:rPr>
          <w:rFonts w:hint="eastAsia"/>
          <w:sz w:val="24"/>
          <w:szCs w:val="24"/>
        </w:rPr>
        <w:t>重大事故（Ⅰ级）：主要指造成直接经济损失在200万元以上；或造成人员受伤中毒、中毒或者重伤；或造成人员死亡；或对环境造成危害。</w:t>
      </w:r>
    </w:p>
    <w:p>
      <w:pPr>
        <w:pStyle w:val="7"/>
        <w:keepNext/>
        <w:rPr>
          <w:b/>
          <w:bCs/>
          <w:sz w:val="24"/>
          <w:szCs w:val="24"/>
        </w:rPr>
      </w:pPr>
      <w:r>
        <w:rPr>
          <w:rFonts w:hint="eastAsia"/>
          <w:b/>
          <w:bCs/>
          <w:sz w:val="24"/>
          <w:szCs w:val="24"/>
        </w:rPr>
        <w:t xml:space="preserve">表 </w:t>
      </w:r>
      <w:r>
        <w:rPr>
          <w:b/>
          <w:bCs/>
          <w:sz w:val="24"/>
          <w:szCs w:val="24"/>
        </w:rPr>
        <w:fldChar w:fldCharType="begin"/>
      </w:r>
      <w:r>
        <w:rPr>
          <w:b/>
          <w:bCs/>
          <w:sz w:val="24"/>
          <w:szCs w:val="24"/>
        </w:rPr>
        <w:instrText xml:space="preserve"> </w:instrText>
      </w:r>
      <w:r>
        <w:rPr>
          <w:rFonts w:hint="eastAsia"/>
          <w:b/>
          <w:bCs/>
          <w:sz w:val="24"/>
          <w:szCs w:val="24"/>
        </w:rPr>
        <w:instrText xml:space="preserve">STYLEREF 1 \s</w:instrText>
      </w:r>
      <w:r>
        <w:rPr>
          <w:b/>
          <w:bCs/>
          <w:sz w:val="24"/>
          <w:szCs w:val="24"/>
        </w:rPr>
        <w:instrText xml:space="preserve"> </w:instrText>
      </w:r>
      <w:r>
        <w:rPr>
          <w:b/>
          <w:bCs/>
          <w:sz w:val="24"/>
          <w:szCs w:val="24"/>
        </w:rPr>
        <w:fldChar w:fldCharType="separate"/>
      </w:r>
      <w:r>
        <w:rPr>
          <w:b/>
          <w:bCs/>
          <w:sz w:val="24"/>
          <w:szCs w:val="24"/>
        </w:rPr>
        <w:t>1</w:t>
      </w:r>
      <w:r>
        <w:rPr>
          <w:b/>
          <w:bCs/>
          <w:sz w:val="24"/>
          <w:szCs w:val="24"/>
        </w:rPr>
        <w:fldChar w:fldCharType="end"/>
      </w:r>
      <w:r>
        <w:rPr>
          <w:b/>
          <w:bCs/>
          <w:sz w:val="24"/>
          <w:szCs w:val="24"/>
        </w:rPr>
        <w:noBreakHyphen/>
      </w:r>
      <w:r>
        <w:rPr>
          <w:b/>
          <w:bCs/>
          <w:sz w:val="24"/>
          <w:szCs w:val="24"/>
        </w:rPr>
        <w:fldChar w:fldCharType="begin"/>
      </w:r>
      <w:r>
        <w:rPr>
          <w:b/>
          <w:bCs/>
          <w:sz w:val="24"/>
          <w:szCs w:val="24"/>
        </w:rPr>
        <w:instrText xml:space="preserve"> </w:instrText>
      </w:r>
      <w:r>
        <w:rPr>
          <w:rFonts w:hint="eastAsia"/>
          <w:b/>
          <w:bCs/>
          <w:sz w:val="24"/>
          <w:szCs w:val="24"/>
        </w:rPr>
        <w:instrText xml:space="preserve">SEQ 表 \* ARABIC \s 1</w:instrText>
      </w:r>
      <w:r>
        <w:rPr>
          <w:b/>
          <w:bCs/>
          <w:sz w:val="24"/>
          <w:szCs w:val="24"/>
        </w:rPr>
        <w:instrText xml:space="preserve"> </w:instrText>
      </w:r>
      <w:r>
        <w:rPr>
          <w:b/>
          <w:bCs/>
          <w:sz w:val="24"/>
          <w:szCs w:val="24"/>
        </w:rPr>
        <w:fldChar w:fldCharType="separate"/>
      </w:r>
      <w:r>
        <w:rPr>
          <w:b/>
          <w:bCs/>
          <w:sz w:val="24"/>
          <w:szCs w:val="24"/>
        </w:rPr>
        <w:t>1</w:t>
      </w:r>
      <w:r>
        <w:rPr>
          <w:b/>
          <w:bCs/>
          <w:sz w:val="24"/>
          <w:szCs w:val="24"/>
        </w:rPr>
        <w:fldChar w:fldCharType="end"/>
      </w:r>
      <w:r>
        <w:rPr>
          <w:rFonts w:hint="eastAsia"/>
          <w:b/>
          <w:bCs/>
          <w:sz w:val="24"/>
          <w:szCs w:val="24"/>
        </w:rPr>
        <w:t>企业突发性环境事件的等级划分</w:t>
      </w:r>
    </w:p>
    <w:tbl>
      <w:tblPr>
        <w:tblStyle w:val="16"/>
        <w:tblpPr w:leftFromText="180" w:rightFromText="180" w:vertAnchor="text" w:tblpXSpec="center" w:tblpY="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6"/>
        <w:gridCol w:w="833"/>
        <w:gridCol w:w="1017"/>
        <w:gridCol w:w="2035"/>
        <w:gridCol w:w="2177"/>
        <w:gridCol w:w="2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0" w:type="pct"/>
            <w:vAlign w:val="center"/>
          </w:tcPr>
          <w:p>
            <w:pPr>
              <w:spacing w:line="240" w:lineRule="auto"/>
              <w:ind w:firstLine="0" w:firstLineChars="0"/>
              <w:jc w:val="center"/>
              <w:rPr>
                <w:rFonts w:cs="Times New Roman"/>
                <w:sz w:val="21"/>
                <w:szCs w:val="21"/>
              </w:rPr>
            </w:pPr>
            <w:r>
              <w:rPr>
                <w:rFonts w:cs="Times New Roman"/>
                <w:sz w:val="21"/>
                <w:szCs w:val="21"/>
              </w:rPr>
              <w:t>等级</w:t>
            </w:r>
          </w:p>
        </w:tc>
        <w:tc>
          <w:tcPr>
            <w:tcW w:w="446" w:type="pct"/>
            <w:vAlign w:val="center"/>
          </w:tcPr>
          <w:p>
            <w:pPr>
              <w:spacing w:line="240" w:lineRule="auto"/>
              <w:ind w:firstLine="0" w:firstLineChars="0"/>
              <w:jc w:val="center"/>
              <w:rPr>
                <w:rFonts w:cs="Times New Roman"/>
                <w:sz w:val="21"/>
                <w:szCs w:val="21"/>
              </w:rPr>
            </w:pPr>
            <w:r>
              <w:rPr>
                <w:rFonts w:cs="Times New Roman"/>
                <w:sz w:val="21"/>
                <w:szCs w:val="21"/>
              </w:rPr>
              <w:t>预警</w:t>
            </w:r>
          </w:p>
          <w:p>
            <w:pPr>
              <w:spacing w:line="240" w:lineRule="auto"/>
              <w:ind w:firstLine="0" w:firstLineChars="0"/>
              <w:jc w:val="center"/>
              <w:rPr>
                <w:rFonts w:cs="Times New Roman"/>
                <w:sz w:val="21"/>
                <w:szCs w:val="21"/>
              </w:rPr>
            </w:pPr>
            <w:r>
              <w:rPr>
                <w:rFonts w:cs="Times New Roman"/>
                <w:sz w:val="21"/>
                <w:szCs w:val="21"/>
              </w:rPr>
              <w:t>等级</w:t>
            </w:r>
          </w:p>
        </w:tc>
        <w:tc>
          <w:tcPr>
            <w:tcW w:w="544" w:type="pct"/>
            <w:vAlign w:val="center"/>
          </w:tcPr>
          <w:p>
            <w:pPr>
              <w:spacing w:line="240" w:lineRule="auto"/>
              <w:ind w:firstLine="0" w:firstLineChars="0"/>
              <w:jc w:val="center"/>
              <w:rPr>
                <w:rFonts w:cs="Times New Roman"/>
                <w:sz w:val="21"/>
                <w:szCs w:val="21"/>
              </w:rPr>
            </w:pPr>
            <w:r>
              <w:rPr>
                <w:rFonts w:cs="Times New Roman"/>
                <w:sz w:val="21"/>
                <w:szCs w:val="21"/>
              </w:rPr>
              <w:t>响应</w:t>
            </w:r>
          </w:p>
          <w:p>
            <w:pPr>
              <w:spacing w:line="240" w:lineRule="auto"/>
              <w:ind w:firstLine="0" w:firstLineChars="0"/>
              <w:jc w:val="center"/>
              <w:rPr>
                <w:rFonts w:cs="Times New Roman"/>
                <w:sz w:val="21"/>
                <w:szCs w:val="21"/>
              </w:rPr>
            </w:pPr>
            <w:r>
              <w:rPr>
                <w:rFonts w:cs="Times New Roman"/>
                <w:sz w:val="21"/>
                <w:szCs w:val="21"/>
              </w:rPr>
              <w:t>等级</w:t>
            </w:r>
          </w:p>
        </w:tc>
        <w:tc>
          <w:tcPr>
            <w:tcW w:w="1089" w:type="pct"/>
            <w:vAlign w:val="center"/>
          </w:tcPr>
          <w:p>
            <w:pPr>
              <w:spacing w:line="240" w:lineRule="auto"/>
              <w:ind w:firstLine="0" w:firstLineChars="0"/>
              <w:jc w:val="center"/>
              <w:rPr>
                <w:rFonts w:cs="Times New Roman"/>
                <w:sz w:val="21"/>
                <w:szCs w:val="21"/>
              </w:rPr>
            </w:pPr>
            <w:r>
              <w:rPr>
                <w:rFonts w:cs="Times New Roman"/>
                <w:sz w:val="21"/>
                <w:szCs w:val="21"/>
              </w:rPr>
              <w:t>人员伤亡情况</w:t>
            </w:r>
          </w:p>
        </w:tc>
        <w:tc>
          <w:tcPr>
            <w:tcW w:w="1165" w:type="pct"/>
            <w:vAlign w:val="center"/>
          </w:tcPr>
          <w:p>
            <w:pPr>
              <w:spacing w:line="240" w:lineRule="auto"/>
              <w:ind w:firstLine="0" w:firstLineChars="0"/>
              <w:jc w:val="center"/>
              <w:rPr>
                <w:rFonts w:cs="Times New Roman"/>
                <w:sz w:val="21"/>
                <w:szCs w:val="21"/>
              </w:rPr>
            </w:pPr>
            <w:r>
              <w:rPr>
                <w:rFonts w:cs="Times New Roman"/>
                <w:sz w:val="21"/>
                <w:szCs w:val="21"/>
              </w:rPr>
              <w:t>财产损失情况</w:t>
            </w:r>
          </w:p>
        </w:tc>
        <w:tc>
          <w:tcPr>
            <w:tcW w:w="1116" w:type="pct"/>
            <w:vAlign w:val="center"/>
          </w:tcPr>
          <w:p>
            <w:pPr>
              <w:spacing w:line="240" w:lineRule="auto"/>
              <w:ind w:firstLine="0" w:firstLineChars="0"/>
              <w:jc w:val="center"/>
              <w:rPr>
                <w:rFonts w:cs="Times New Roman"/>
                <w:sz w:val="21"/>
                <w:szCs w:val="21"/>
              </w:rPr>
            </w:pPr>
            <w:r>
              <w:rPr>
                <w:rFonts w:cs="Times New Roman"/>
                <w:sz w:val="21"/>
                <w:szCs w:val="21"/>
              </w:rPr>
              <w:t>疏散转移人数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0" w:type="pct"/>
            <w:vAlign w:val="center"/>
          </w:tcPr>
          <w:p>
            <w:pPr>
              <w:spacing w:line="240" w:lineRule="auto"/>
              <w:ind w:firstLine="0" w:firstLineChars="0"/>
              <w:jc w:val="center"/>
              <w:rPr>
                <w:rFonts w:cs="Times New Roman"/>
                <w:sz w:val="21"/>
                <w:szCs w:val="21"/>
              </w:rPr>
            </w:pPr>
            <w:r>
              <w:rPr>
                <w:rFonts w:cs="Times New Roman"/>
                <w:sz w:val="21"/>
                <w:szCs w:val="21"/>
              </w:rPr>
              <w:t>一般事故</w:t>
            </w:r>
          </w:p>
        </w:tc>
        <w:tc>
          <w:tcPr>
            <w:tcW w:w="446" w:type="pct"/>
            <w:vAlign w:val="center"/>
          </w:tcPr>
          <w:p>
            <w:pPr>
              <w:spacing w:line="240" w:lineRule="auto"/>
              <w:ind w:firstLine="0" w:firstLineChars="0"/>
              <w:jc w:val="center"/>
              <w:rPr>
                <w:rFonts w:cs="Times New Roman"/>
                <w:sz w:val="21"/>
                <w:szCs w:val="21"/>
              </w:rPr>
            </w:pPr>
            <w:r>
              <w:rPr>
                <w:rFonts w:cs="Times New Roman"/>
                <w:sz w:val="21"/>
                <w:szCs w:val="21"/>
              </w:rPr>
              <w:t>III级</w:t>
            </w:r>
          </w:p>
        </w:tc>
        <w:tc>
          <w:tcPr>
            <w:tcW w:w="544" w:type="pct"/>
            <w:vAlign w:val="center"/>
          </w:tcPr>
          <w:p>
            <w:pPr>
              <w:spacing w:line="240" w:lineRule="auto"/>
              <w:ind w:firstLine="0" w:firstLineChars="0"/>
              <w:jc w:val="center"/>
              <w:rPr>
                <w:rFonts w:cs="Times New Roman"/>
                <w:sz w:val="21"/>
                <w:szCs w:val="21"/>
              </w:rPr>
            </w:pPr>
            <w:r>
              <w:rPr>
                <w:rFonts w:cs="Times New Roman"/>
                <w:sz w:val="21"/>
                <w:szCs w:val="21"/>
              </w:rPr>
              <w:t>III级</w:t>
            </w:r>
          </w:p>
        </w:tc>
        <w:tc>
          <w:tcPr>
            <w:tcW w:w="1089" w:type="pct"/>
            <w:vAlign w:val="center"/>
          </w:tcPr>
          <w:p>
            <w:pPr>
              <w:spacing w:line="240" w:lineRule="auto"/>
              <w:ind w:firstLine="0" w:firstLineChars="0"/>
              <w:jc w:val="center"/>
              <w:rPr>
                <w:rFonts w:cs="Times New Roman"/>
                <w:sz w:val="21"/>
                <w:szCs w:val="21"/>
              </w:rPr>
            </w:pPr>
            <w:r>
              <w:rPr>
                <w:rFonts w:cs="Times New Roman"/>
                <w:sz w:val="21"/>
                <w:szCs w:val="21"/>
              </w:rPr>
              <w:t>无人员受伤或死亡</w:t>
            </w:r>
          </w:p>
        </w:tc>
        <w:tc>
          <w:tcPr>
            <w:tcW w:w="1165" w:type="pct"/>
            <w:vAlign w:val="center"/>
          </w:tcPr>
          <w:p>
            <w:pPr>
              <w:spacing w:line="240" w:lineRule="auto"/>
              <w:ind w:firstLine="0" w:firstLineChars="0"/>
              <w:jc w:val="center"/>
              <w:rPr>
                <w:rFonts w:cs="Times New Roman"/>
                <w:sz w:val="21"/>
                <w:szCs w:val="21"/>
              </w:rPr>
            </w:pPr>
            <w:r>
              <w:rPr>
                <w:rFonts w:cs="Times New Roman"/>
                <w:sz w:val="21"/>
                <w:szCs w:val="21"/>
              </w:rPr>
              <w:t>直接经济损失50万以下</w:t>
            </w:r>
          </w:p>
        </w:tc>
        <w:tc>
          <w:tcPr>
            <w:tcW w:w="1116" w:type="pct"/>
            <w:vAlign w:val="center"/>
          </w:tcPr>
          <w:p>
            <w:pPr>
              <w:spacing w:line="240" w:lineRule="auto"/>
              <w:ind w:firstLine="0" w:firstLineChars="0"/>
              <w:jc w:val="center"/>
              <w:rPr>
                <w:rFonts w:cs="Times New Roman"/>
                <w:sz w:val="21"/>
                <w:szCs w:val="21"/>
              </w:rPr>
            </w:pPr>
            <w:r>
              <w:rPr>
                <w:rFonts w:cs="Times New Roman"/>
                <w:sz w:val="21"/>
                <w:szCs w:val="21"/>
              </w:rPr>
              <w:t>不需要转移人员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0" w:type="pct"/>
            <w:vAlign w:val="center"/>
          </w:tcPr>
          <w:p>
            <w:pPr>
              <w:spacing w:line="240" w:lineRule="auto"/>
              <w:ind w:firstLine="0" w:firstLineChars="0"/>
              <w:jc w:val="center"/>
              <w:rPr>
                <w:rFonts w:cs="Times New Roman"/>
                <w:sz w:val="21"/>
                <w:szCs w:val="21"/>
              </w:rPr>
            </w:pPr>
            <w:r>
              <w:rPr>
                <w:rFonts w:cs="Times New Roman"/>
                <w:sz w:val="21"/>
                <w:szCs w:val="21"/>
              </w:rPr>
              <w:t>较大事故</w:t>
            </w:r>
          </w:p>
        </w:tc>
        <w:tc>
          <w:tcPr>
            <w:tcW w:w="446" w:type="pct"/>
            <w:vAlign w:val="center"/>
          </w:tcPr>
          <w:p>
            <w:pPr>
              <w:spacing w:line="240" w:lineRule="auto"/>
              <w:ind w:firstLine="0" w:firstLineChars="0"/>
              <w:jc w:val="center"/>
              <w:rPr>
                <w:rFonts w:cs="Times New Roman"/>
                <w:sz w:val="21"/>
                <w:szCs w:val="21"/>
              </w:rPr>
            </w:pPr>
            <w:r>
              <w:rPr>
                <w:rFonts w:cs="Times New Roman"/>
                <w:sz w:val="21"/>
                <w:szCs w:val="21"/>
              </w:rPr>
              <w:t>II级</w:t>
            </w:r>
          </w:p>
        </w:tc>
        <w:tc>
          <w:tcPr>
            <w:tcW w:w="544" w:type="pct"/>
            <w:vAlign w:val="center"/>
          </w:tcPr>
          <w:p>
            <w:pPr>
              <w:spacing w:line="240" w:lineRule="auto"/>
              <w:ind w:firstLine="0" w:firstLineChars="0"/>
              <w:jc w:val="center"/>
              <w:rPr>
                <w:rFonts w:cs="Times New Roman"/>
                <w:sz w:val="21"/>
                <w:szCs w:val="21"/>
              </w:rPr>
            </w:pPr>
            <w:r>
              <w:rPr>
                <w:rFonts w:cs="Times New Roman"/>
                <w:sz w:val="21"/>
                <w:szCs w:val="21"/>
              </w:rPr>
              <w:t>II级</w:t>
            </w:r>
          </w:p>
        </w:tc>
        <w:tc>
          <w:tcPr>
            <w:tcW w:w="1089" w:type="pct"/>
            <w:vAlign w:val="center"/>
          </w:tcPr>
          <w:p>
            <w:pPr>
              <w:spacing w:line="240" w:lineRule="auto"/>
              <w:ind w:firstLine="0" w:firstLineChars="0"/>
              <w:jc w:val="center"/>
              <w:rPr>
                <w:rFonts w:cs="Times New Roman"/>
                <w:sz w:val="21"/>
                <w:szCs w:val="21"/>
              </w:rPr>
            </w:pPr>
            <w:r>
              <w:rPr>
                <w:rFonts w:cs="Times New Roman"/>
                <w:sz w:val="21"/>
                <w:szCs w:val="21"/>
              </w:rPr>
              <w:t>有人员受伤（轻度伤害）但无死亡</w:t>
            </w:r>
          </w:p>
        </w:tc>
        <w:tc>
          <w:tcPr>
            <w:tcW w:w="1165" w:type="pct"/>
            <w:vAlign w:val="center"/>
          </w:tcPr>
          <w:p>
            <w:pPr>
              <w:spacing w:line="240" w:lineRule="auto"/>
              <w:ind w:firstLine="0" w:firstLineChars="0"/>
              <w:jc w:val="center"/>
              <w:rPr>
                <w:rFonts w:cs="Times New Roman"/>
                <w:sz w:val="21"/>
                <w:szCs w:val="21"/>
              </w:rPr>
            </w:pPr>
            <w:r>
              <w:rPr>
                <w:rFonts w:cs="Times New Roman"/>
                <w:sz w:val="21"/>
                <w:szCs w:val="21"/>
              </w:rPr>
              <w:t>直接经济损失50万以上200万以下</w:t>
            </w:r>
          </w:p>
        </w:tc>
        <w:tc>
          <w:tcPr>
            <w:tcW w:w="1116" w:type="pct"/>
            <w:vAlign w:val="center"/>
          </w:tcPr>
          <w:p>
            <w:pPr>
              <w:spacing w:line="240" w:lineRule="auto"/>
              <w:ind w:firstLine="0" w:firstLineChars="0"/>
              <w:jc w:val="center"/>
              <w:rPr>
                <w:rFonts w:cs="Times New Roman"/>
                <w:sz w:val="21"/>
                <w:szCs w:val="21"/>
              </w:rPr>
            </w:pPr>
            <w:r>
              <w:rPr>
                <w:rFonts w:cs="Times New Roman"/>
                <w:sz w:val="21"/>
                <w:szCs w:val="21"/>
              </w:rPr>
              <w:t>需要转移人员超过公司总人数的1/4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0" w:type="pct"/>
            <w:vAlign w:val="center"/>
          </w:tcPr>
          <w:p>
            <w:pPr>
              <w:spacing w:line="240" w:lineRule="auto"/>
              <w:ind w:firstLine="0" w:firstLineChars="0"/>
              <w:jc w:val="center"/>
              <w:rPr>
                <w:rFonts w:cs="Times New Roman"/>
                <w:sz w:val="21"/>
                <w:szCs w:val="21"/>
              </w:rPr>
            </w:pPr>
            <w:r>
              <w:rPr>
                <w:rFonts w:cs="Times New Roman"/>
                <w:sz w:val="21"/>
                <w:szCs w:val="21"/>
              </w:rPr>
              <w:t>重大事故</w:t>
            </w:r>
          </w:p>
        </w:tc>
        <w:tc>
          <w:tcPr>
            <w:tcW w:w="446" w:type="pct"/>
            <w:vAlign w:val="center"/>
          </w:tcPr>
          <w:p>
            <w:pPr>
              <w:spacing w:line="240" w:lineRule="auto"/>
              <w:ind w:firstLine="0" w:firstLineChars="0"/>
              <w:jc w:val="center"/>
              <w:rPr>
                <w:rFonts w:cs="Times New Roman"/>
                <w:sz w:val="21"/>
                <w:szCs w:val="21"/>
              </w:rPr>
            </w:pPr>
            <w:r>
              <w:rPr>
                <w:rFonts w:cs="Times New Roman"/>
                <w:sz w:val="21"/>
                <w:szCs w:val="21"/>
              </w:rPr>
              <w:t>I级</w:t>
            </w:r>
          </w:p>
        </w:tc>
        <w:tc>
          <w:tcPr>
            <w:tcW w:w="544" w:type="pct"/>
            <w:vAlign w:val="center"/>
          </w:tcPr>
          <w:p>
            <w:pPr>
              <w:spacing w:line="240" w:lineRule="auto"/>
              <w:ind w:firstLine="0" w:firstLineChars="0"/>
              <w:jc w:val="center"/>
              <w:rPr>
                <w:rFonts w:cs="Times New Roman"/>
                <w:sz w:val="21"/>
                <w:szCs w:val="21"/>
              </w:rPr>
            </w:pPr>
            <w:r>
              <w:rPr>
                <w:rFonts w:cs="Times New Roman"/>
                <w:sz w:val="21"/>
                <w:szCs w:val="21"/>
              </w:rPr>
              <w:t>I级</w:t>
            </w:r>
          </w:p>
        </w:tc>
        <w:tc>
          <w:tcPr>
            <w:tcW w:w="1089" w:type="pct"/>
            <w:vAlign w:val="center"/>
          </w:tcPr>
          <w:p>
            <w:pPr>
              <w:spacing w:line="240" w:lineRule="auto"/>
              <w:ind w:firstLine="0" w:firstLineChars="0"/>
              <w:jc w:val="center"/>
              <w:rPr>
                <w:rFonts w:cs="Times New Roman"/>
                <w:sz w:val="21"/>
                <w:szCs w:val="21"/>
              </w:rPr>
            </w:pPr>
            <w:r>
              <w:rPr>
                <w:rFonts w:cs="Times New Roman"/>
                <w:sz w:val="21"/>
                <w:szCs w:val="21"/>
              </w:rPr>
              <w:t>有人员受伤（中毒或重伤）但无死亡</w:t>
            </w:r>
          </w:p>
        </w:tc>
        <w:tc>
          <w:tcPr>
            <w:tcW w:w="1165" w:type="pct"/>
            <w:vAlign w:val="center"/>
          </w:tcPr>
          <w:p>
            <w:pPr>
              <w:spacing w:line="240" w:lineRule="auto"/>
              <w:ind w:firstLine="0" w:firstLineChars="0"/>
              <w:jc w:val="center"/>
              <w:rPr>
                <w:rFonts w:cs="Times New Roman"/>
                <w:sz w:val="21"/>
                <w:szCs w:val="21"/>
              </w:rPr>
            </w:pPr>
            <w:r>
              <w:rPr>
                <w:rFonts w:cs="Times New Roman"/>
                <w:sz w:val="21"/>
                <w:szCs w:val="21"/>
              </w:rPr>
              <w:t>直接经济损失200万以上</w:t>
            </w:r>
          </w:p>
        </w:tc>
        <w:tc>
          <w:tcPr>
            <w:tcW w:w="1116" w:type="pct"/>
            <w:vAlign w:val="center"/>
          </w:tcPr>
          <w:p>
            <w:pPr>
              <w:spacing w:line="240" w:lineRule="auto"/>
              <w:ind w:firstLine="0" w:firstLineChars="0"/>
              <w:jc w:val="center"/>
              <w:rPr>
                <w:rFonts w:cs="Times New Roman"/>
                <w:sz w:val="21"/>
                <w:szCs w:val="21"/>
              </w:rPr>
            </w:pPr>
            <w:r>
              <w:rPr>
                <w:rFonts w:cs="Times New Roman"/>
                <w:sz w:val="21"/>
                <w:szCs w:val="21"/>
              </w:rPr>
              <w:t>需要转移人员超过人员总人数的2/3</w:t>
            </w:r>
          </w:p>
        </w:tc>
      </w:tr>
    </w:tbl>
    <w:p>
      <w:pPr>
        <w:adjustRightInd w:val="0"/>
        <w:snapToGrid w:val="0"/>
        <w:ind w:firstLine="361"/>
        <w:rPr>
          <w:b/>
          <w:sz w:val="24"/>
          <w:szCs w:val="24"/>
        </w:rPr>
      </w:pPr>
      <w:r>
        <w:rPr>
          <w:rFonts w:hint="eastAsia"/>
          <w:b/>
          <w:sz w:val="24"/>
          <w:szCs w:val="24"/>
        </w:rPr>
        <w:t>注：因环境污染而致人死亡，不同于普通安全生产，是较严重的后果，因此，死亡人数的等级划分较安全生产相对严格。</w:t>
      </w:r>
    </w:p>
    <w:p>
      <w:pPr>
        <w:pStyle w:val="4"/>
        <w:rPr>
          <w:sz w:val="24"/>
          <w:szCs w:val="24"/>
        </w:rPr>
      </w:pPr>
      <w:bookmarkStart w:id="5" w:name="_Toc31186"/>
      <w:r>
        <w:rPr>
          <w:rFonts w:hint="eastAsia"/>
          <w:sz w:val="24"/>
          <w:szCs w:val="24"/>
        </w:rPr>
        <w:t>工作原则</w:t>
      </w:r>
      <w:bookmarkEnd w:id="5"/>
    </w:p>
    <w:p>
      <w:pPr>
        <w:ind w:firstLine="560"/>
        <w:rPr>
          <w:sz w:val="24"/>
          <w:szCs w:val="24"/>
        </w:rPr>
      </w:pPr>
      <w:r>
        <w:rPr>
          <w:rFonts w:hint="eastAsia"/>
          <w:sz w:val="24"/>
          <w:szCs w:val="24"/>
        </w:rPr>
        <w:t>突发环境事件应对工作坚持预防为主、减少危害，统一领导、分级负责，企业自救、属地管理，整合资源、联动处置的原则。突发环境事件发生后，公司各负责人及小组成员坚持自救为主，以人为本的基本原则，立即自动按照职责分工和相关预案开展应急处置工作。</w:t>
      </w:r>
    </w:p>
    <w:p>
      <w:pPr>
        <w:ind w:firstLine="560"/>
        <w:rPr>
          <w:sz w:val="24"/>
          <w:szCs w:val="24"/>
        </w:rPr>
      </w:pPr>
      <w:r>
        <w:rPr>
          <w:rFonts w:hint="eastAsia"/>
          <w:sz w:val="24"/>
          <w:szCs w:val="24"/>
        </w:rPr>
        <w:t>1、预防为主，减少危害。</w:t>
      </w:r>
    </w:p>
    <w:p>
      <w:pPr>
        <w:ind w:firstLine="560"/>
        <w:rPr>
          <w:sz w:val="24"/>
          <w:szCs w:val="24"/>
        </w:rPr>
      </w:pPr>
      <w:r>
        <w:rPr>
          <w:rFonts w:hint="eastAsia"/>
          <w:sz w:val="24"/>
          <w:szCs w:val="24"/>
        </w:rPr>
        <w:t>增强忧患意识，高度重视突发环境事件，居安思危，常抓不懈，防患于未然。坚持预防与应急相结合，常态与非常态相结合，作好应对突发环境事件的思想准备、预案准备、组织准备以及物资准备等。</w:t>
      </w:r>
    </w:p>
    <w:p>
      <w:pPr>
        <w:ind w:firstLine="560"/>
        <w:rPr>
          <w:sz w:val="24"/>
          <w:szCs w:val="24"/>
        </w:rPr>
      </w:pPr>
      <w:r>
        <w:rPr>
          <w:rFonts w:hint="eastAsia"/>
          <w:sz w:val="24"/>
          <w:szCs w:val="24"/>
        </w:rPr>
        <w:t>2、统一领导，分级负责。</w:t>
      </w:r>
    </w:p>
    <w:p>
      <w:pPr>
        <w:ind w:firstLine="560"/>
        <w:rPr>
          <w:sz w:val="24"/>
          <w:szCs w:val="24"/>
        </w:rPr>
      </w:pPr>
      <w:r>
        <w:rPr>
          <w:rFonts w:hint="eastAsia"/>
          <w:sz w:val="24"/>
          <w:szCs w:val="24"/>
        </w:rPr>
        <w:t>在</w:t>
      </w:r>
      <w:r>
        <w:rPr>
          <w:rFonts w:hint="eastAsia"/>
          <w:sz w:val="24"/>
          <w:szCs w:val="24"/>
          <w:lang w:eastAsia="zh-CN"/>
        </w:rPr>
        <w:t>南昌市生态环境局</w:t>
      </w:r>
      <w:r>
        <w:rPr>
          <w:rFonts w:hint="eastAsia"/>
          <w:sz w:val="24"/>
          <w:szCs w:val="24"/>
        </w:rPr>
        <w:t>应急办和公司应急指挥部的统一领导下，公司应急指挥中心负责现场指挥突发环境事件的应急救援工作。公司有关部门按照各自职责和权限，负责事故的应急处置工作。突发环境事件发生后，当地立即自动按照职责分工和相关预案开展应急处置工作。</w:t>
      </w:r>
    </w:p>
    <w:p>
      <w:pPr>
        <w:ind w:firstLine="560"/>
        <w:rPr>
          <w:sz w:val="24"/>
          <w:szCs w:val="24"/>
        </w:rPr>
      </w:pPr>
      <w:r>
        <w:rPr>
          <w:rFonts w:hint="eastAsia"/>
          <w:sz w:val="24"/>
          <w:szCs w:val="24"/>
        </w:rPr>
        <w:t>3、企业自救，属地管理。</w:t>
      </w:r>
    </w:p>
    <w:p>
      <w:pPr>
        <w:ind w:firstLine="560"/>
        <w:rPr>
          <w:sz w:val="24"/>
          <w:szCs w:val="24"/>
        </w:rPr>
      </w:pPr>
      <w:r>
        <w:rPr>
          <w:rFonts w:hint="eastAsia"/>
          <w:sz w:val="24"/>
          <w:szCs w:val="24"/>
        </w:rPr>
        <w:t>企业自身积极做好应对突发环境事故的思想准备、物资准备、技术准备、工作准备，加强培训演练，应急系统做到常备不懈，可为本公司和其它企业及社会提供服务，在应急时快速有效。</w:t>
      </w:r>
    </w:p>
    <w:p>
      <w:pPr>
        <w:ind w:firstLine="560"/>
        <w:rPr>
          <w:sz w:val="24"/>
          <w:szCs w:val="24"/>
        </w:rPr>
      </w:pPr>
      <w:r>
        <w:rPr>
          <w:rFonts w:hint="eastAsia"/>
          <w:sz w:val="24"/>
          <w:szCs w:val="24"/>
        </w:rPr>
        <w:t>4、整合资源，联动处置。</w:t>
      </w:r>
    </w:p>
    <w:p>
      <w:pPr>
        <w:ind w:firstLine="560"/>
        <w:rPr>
          <w:sz w:val="24"/>
          <w:szCs w:val="24"/>
        </w:rPr>
      </w:pPr>
      <w:r>
        <w:rPr>
          <w:rFonts w:hint="eastAsia"/>
          <w:sz w:val="24"/>
          <w:szCs w:val="24"/>
        </w:rPr>
        <w:t>整合现有突发环境事件的监测、预测、预警等信息系统，建立网络互联、信息共享、科学有效的防范体系；整合现有突发环境事件应急指挥和组织网络，建立统一、科学、高效的指挥体系；整合现有突发环境事件应急处置资源，建立分工明确、责任落实、常备不懈的保障体系。建立和完善联动协调制度，加强公司各部门之间协同与合作，提高快速反应能力。</w:t>
      </w:r>
    </w:p>
    <w:p>
      <w:pPr>
        <w:pStyle w:val="4"/>
        <w:rPr>
          <w:sz w:val="24"/>
          <w:szCs w:val="24"/>
        </w:rPr>
      </w:pPr>
      <w:bookmarkStart w:id="6" w:name="_Toc3922"/>
      <w:r>
        <w:rPr>
          <w:rFonts w:hint="eastAsia"/>
          <w:sz w:val="24"/>
          <w:szCs w:val="24"/>
        </w:rPr>
        <w:t>应急预案体系</w:t>
      </w:r>
      <w:bookmarkEnd w:id="6"/>
    </w:p>
    <w:p>
      <w:pPr>
        <w:ind w:firstLine="560"/>
        <w:rPr>
          <w:rFonts w:hint="default" w:eastAsia="宋体"/>
          <w:sz w:val="24"/>
          <w:szCs w:val="24"/>
          <w:lang w:val="en-US" w:eastAsia="zh-CN"/>
        </w:rPr>
      </w:pPr>
      <w:r>
        <w:rPr>
          <w:rFonts w:hint="eastAsia"/>
          <w:sz w:val="24"/>
          <w:szCs w:val="24"/>
          <w:lang w:val="en-US" w:eastAsia="zh-CN"/>
        </w:rPr>
        <w:t>1、本项目应急预案组成</w:t>
      </w:r>
    </w:p>
    <w:p>
      <w:pPr>
        <w:ind w:firstLine="560"/>
        <w:rPr>
          <w:sz w:val="24"/>
          <w:szCs w:val="24"/>
        </w:rPr>
      </w:pPr>
      <w:r>
        <w:rPr>
          <w:rFonts w:hint="eastAsia"/>
          <w:sz w:val="24"/>
          <w:szCs w:val="24"/>
        </w:rPr>
        <w:t>公司按照上级环保部门要求，认真学习了《国家突发公共事件总体应急预案》、《国家突发环境事件应急预案》、《江西省突发公共事件总体应急预案》、《江西省突发环境事件应急预案》、《</w:t>
      </w:r>
      <w:r>
        <w:rPr>
          <w:rFonts w:hint="eastAsia"/>
          <w:sz w:val="24"/>
          <w:szCs w:val="24"/>
          <w:lang w:eastAsia="zh-CN"/>
        </w:rPr>
        <w:t>南昌</w:t>
      </w:r>
      <w:r>
        <w:rPr>
          <w:rFonts w:hint="eastAsia"/>
          <w:sz w:val="24"/>
          <w:szCs w:val="24"/>
        </w:rPr>
        <w:t>市突发环境事件应急预案》，制订了公司突发环境事件应急预案体系。根据环境风险等级评估结果，本公司为一般风险企业，因此综合应急预案、专项应急预案和现场应急处置方案可合并编制。</w:t>
      </w:r>
    </w:p>
    <w:p>
      <w:pPr>
        <w:ind w:firstLine="560"/>
        <w:rPr>
          <w:rFonts w:hint="eastAsia"/>
          <w:sz w:val="24"/>
          <w:szCs w:val="24"/>
        </w:rPr>
      </w:pPr>
      <w:r>
        <w:rPr>
          <w:rFonts w:hint="eastAsia"/>
          <w:sz w:val="24"/>
          <w:szCs w:val="24"/>
        </w:rPr>
        <w:t>事故发生后，立即启动我公司应急预案采取切断或者控制污染源以及其他防止危害扩大的必要措施及时通报可能受到危害的单位和居民，同时上报政府和主管部门，部门预案、政府预案启动后，公司各部门无条件服从政府总指挥部调动，提供各方面的支持。</w:t>
      </w:r>
    </w:p>
    <w:p>
      <w:pPr>
        <w:ind w:firstLine="560"/>
        <w:rPr>
          <w:rFonts w:hint="eastAsia"/>
          <w:sz w:val="24"/>
          <w:szCs w:val="24"/>
          <w:lang w:val="en-US" w:eastAsia="zh-CN"/>
        </w:rPr>
      </w:pPr>
      <w:r>
        <w:rPr>
          <w:rFonts w:hint="eastAsia"/>
          <w:sz w:val="24"/>
          <w:szCs w:val="24"/>
          <w:lang w:val="en-US" w:eastAsia="zh-CN"/>
        </w:rPr>
        <w:t>2、应急预案的衔接</w:t>
      </w:r>
    </w:p>
    <w:p>
      <w:pPr>
        <w:ind w:firstLine="560"/>
        <w:rPr>
          <w:rFonts w:hint="eastAsia"/>
          <w:lang w:val="en-US" w:eastAsia="zh-CN"/>
        </w:rPr>
      </w:pPr>
      <w:r>
        <w:rPr>
          <w:rFonts w:hint="eastAsia"/>
          <w:sz w:val="24"/>
          <w:szCs w:val="24"/>
          <w:lang w:val="en-US" w:eastAsia="zh-CN"/>
        </w:rPr>
        <w:t>项目应急预案与上级预案之间的衔接关系如图1-1所示。</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eastAsia="宋体"/>
          <w:lang w:eastAsia="zh-CN"/>
        </w:rPr>
      </w:pPr>
      <w:r>
        <w:rPr>
          <w:rFonts w:hint="eastAsia" w:eastAsia="宋体"/>
          <w:lang w:eastAsia="zh-CN"/>
        </w:rPr>
        <w:drawing>
          <wp:inline distT="0" distB="0" distL="114300" distR="114300">
            <wp:extent cx="5553075" cy="2581275"/>
            <wp:effectExtent l="0" t="0" r="9525" b="9525"/>
            <wp:docPr id="11" name="图片 11" descr="2020091517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00915170024"/>
                    <pic:cNvPicPr>
                      <a:picLocks noChangeAspect="1"/>
                    </pic:cNvPicPr>
                  </pic:nvPicPr>
                  <pic:blipFill>
                    <a:blip r:embed="rId19"/>
                    <a:stretch>
                      <a:fillRect/>
                    </a:stretch>
                  </pic:blipFill>
                  <pic:spPr>
                    <a:xfrm>
                      <a:off x="0" y="0"/>
                      <a:ext cx="5553075" cy="258127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sz w:val="24"/>
          <w:szCs w:val="24"/>
          <w:lang w:val="en-US" w:eastAsia="zh-CN"/>
        </w:rPr>
      </w:pPr>
      <w:r>
        <w:rPr>
          <w:rFonts w:hint="eastAsia"/>
          <w:sz w:val="24"/>
          <w:szCs w:val="24"/>
        </w:rPr>
        <w:t xml:space="preserve">图 </w:t>
      </w:r>
      <w:r>
        <w:rPr>
          <w:rFonts w:hint="eastAsia"/>
          <w:sz w:val="24"/>
          <w:szCs w:val="24"/>
          <w:lang w:val="en-US" w:eastAsia="zh-CN"/>
        </w:rPr>
        <w:t>1</w:t>
      </w:r>
      <w:r>
        <w:rPr>
          <w:sz w:val="24"/>
          <w:szCs w:val="24"/>
        </w:rPr>
        <w:noBreakHyphen/>
      </w:r>
      <w:r>
        <w:rPr>
          <w:rFonts w:hint="eastAsia"/>
          <w:sz w:val="24"/>
          <w:szCs w:val="24"/>
          <w:lang w:val="en-US" w:eastAsia="zh-CN"/>
        </w:rPr>
        <w:t>1预案关系图</w:t>
      </w:r>
    </w:p>
    <w:p>
      <w:pPr>
        <w:autoSpaceDE w:val="0"/>
        <w:autoSpaceDN w:val="0"/>
        <w:adjustRightInd w:val="0"/>
        <w:ind w:firstLine="480"/>
        <w:rPr>
          <w:rFonts w:hint="eastAsia"/>
          <w:sz w:val="24"/>
          <w:szCs w:val="24"/>
          <w:lang w:val="en-US" w:eastAsia="zh-CN"/>
        </w:rPr>
      </w:pPr>
      <w:r>
        <w:rPr>
          <w:rFonts w:hint="eastAsia"/>
          <w:sz w:val="24"/>
          <w:szCs w:val="24"/>
          <w:lang w:val="en-US" w:eastAsia="zh-CN"/>
        </w:rPr>
        <w:t>当发生风险事故时，公司应急指挥部应根据现场情况及时联系当地区域或各职能管理部门的应急指挥机构，及时将事故发生情况及最新进展向有关部门汇报，并执行上级指挥机构的命令；编制环境污染事故报告，并将报告向上级部门汇报。</w:t>
      </w:r>
    </w:p>
    <w:p>
      <w:pPr>
        <w:autoSpaceDE w:val="0"/>
        <w:autoSpaceDN w:val="0"/>
        <w:adjustRightInd w:val="0"/>
        <w:ind w:firstLine="480"/>
        <w:rPr>
          <w:rFonts w:hint="eastAsia" w:ascii="Times New Roman" w:hAnsi="Times New Roman"/>
          <w:sz w:val="24"/>
          <w:szCs w:val="24"/>
          <w:lang w:val="en-US" w:eastAsia="zh-CN"/>
        </w:rPr>
      </w:pPr>
      <w:r>
        <w:rPr>
          <w:rFonts w:hint="eastAsia" w:ascii="Times New Roman" w:hAnsi="Times New Roman"/>
          <w:sz w:val="24"/>
          <w:szCs w:val="24"/>
          <w:lang w:val="en-US" w:eastAsia="zh-CN"/>
        </w:rPr>
        <w:t>启动综合应急预案后，若事故不能有效控制，或者有扩大、发展趋势，或者影响到周边单位，预警级别超过二级时，则扩大应急响应程序，由应急总指挥请求南昌市人民政府，南昌市消防大队及南昌经济技术开发区专职消防队、南昌市生态环境局昌北分局以及各相关职能部门、周边区域相邻企业，请求救援力量、设备的支持，上级应急救援队伍未到达前，总指挥负责指挥应急救援行动，上级应急救援队伍到达后，总指挥负责向上级应急救援队伍负责人交代现场情况，服从上级应急救援队伍的指挥。</w:t>
      </w:r>
    </w:p>
    <w:p>
      <w:pPr>
        <w:bidi w:val="0"/>
        <w:rPr>
          <w:rFonts w:hint="default"/>
          <w:sz w:val="24"/>
          <w:szCs w:val="24"/>
          <w:lang w:val="en-US" w:eastAsia="zh-CN"/>
        </w:rPr>
      </w:pPr>
      <w:r>
        <w:rPr>
          <w:rFonts w:hint="eastAsia"/>
          <w:sz w:val="24"/>
          <w:szCs w:val="24"/>
          <w:lang w:val="en-US" w:eastAsia="zh-CN"/>
        </w:rPr>
        <w:t>企业对厂内和附近地区公众开展教育、培训时，应加强与周边公众和周边企业的交流，如发生事故，可更好的疏散人群、防护污染，同时还应积极配合南昌经济技术开发区、南昌市、江西省开展的应急培训计划，在发生风险事故时，及时与南昌经济技术开发区、南昌市应急组织取得联系。</w:t>
      </w:r>
    </w:p>
    <w:p>
      <w:pPr>
        <w:pStyle w:val="3"/>
      </w:pPr>
      <w:bookmarkStart w:id="7" w:name="_Toc26782"/>
      <w:r>
        <w:rPr>
          <w:rFonts w:hint="eastAsia"/>
        </w:rPr>
        <w:t>基本情况</w:t>
      </w:r>
      <w:bookmarkEnd w:id="7"/>
    </w:p>
    <w:p>
      <w:pPr>
        <w:pStyle w:val="4"/>
        <w:rPr>
          <w:sz w:val="24"/>
          <w:szCs w:val="24"/>
        </w:rPr>
      </w:pPr>
      <w:bookmarkStart w:id="8" w:name="_Toc16899"/>
      <w:r>
        <w:rPr>
          <w:rFonts w:hint="eastAsia"/>
          <w:sz w:val="24"/>
          <w:szCs w:val="24"/>
        </w:rPr>
        <w:t>企业概况</w:t>
      </w:r>
      <w:bookmarkEnd w:id="8"/>
    </w:p>
    <w:p>
      <w:pPr>
        <w:pStyle w:val="5"/>
        <w:rPr>
          <w:sz w:val="24"/>
          <w:szCs w:val="24"/>
        </w:rPr>
      </w:pPr>
      <w:r>
        <w:rPr>
          <w:rFonts w:hint="eastAsia"/>
          <w:sz w:val="24"/>
          <w:szCs w:val="24"/>
        </w:rPr>
        <w:t>基本情况</w:t>
      </w:r>
    </w:p>
    <w:p>
      <w:pPr>
        <w:ind w:firstLine="560"/>
        <w:rPr>
          <w:sz w:val="24"/>
          <w:szCs w:val="24"/>
        </w:rPr>
      </w:pPr>
      <w:r>
        <w:rPr>
          <w:rFonts w:hint="eastAsia"/>
          <w:sz w:val="24"/>
          <w:szCs w:val="24"/>
          <w:lang w:eastAsia="zh-CN"/>
        </w:rPr>
        <w:t>南昌慧华高科混凝土有限公司</w:t>
      </w:r>
      <w:r>
        <w:rPr>
          <w:rFonts w:hint="eastAsia"/>
          <w:sz w:val="24"/>
          <w:szCs w:val="24"/>
        </w:rPr>
        <w:t>是由</w:t>
      </w:r>
      <w:r>
        <w:rPr>
          <w:rFonts w:hint="eastAsia"/>
          <w:sz w:val="24"/>
          <w:szCs w:val="24"/>
          <w:lang w:eastAsia="zh-CN"/>
        </w:rPr>
        <w:t>自然人</w:t>
      </w:r>
      <w:r>
        <w:rPr>
          <w:rFonts w:hint="eastAsia"/>
          <w:sz w:val="24"/>
          <w:szCs w:val="24"/>
        </w:rPr>
        <w:t>在江西</w:t>
      </w:r>
      <w:r>
        <w:rPr>
          <w:rFonts w:hint="eastAsia"/>
          <w:sz w:val="24"/>
          <w:szCs w:val="24"/>
          <w:lang w:eastAsia="zh-CN"/>
        </w:rPr>
        <w:t>省南昌经济技术开发区建立的有限责任公司</w:t>
      </w:r>
      <w:r>
        <w:rPr>
          <w:rFonts w:hint="eastAsia"/>
          <w:sz w:val="24"/>
          <w:szCs w:val="24"/>
        </w:rPr>
        <w:t>，主要生产</w:t>
      </w:r>
      <w:r>
        <w:rPr>
          <w:rFonts w:hint="eastAsia"/>
          <w:sz w:val="24"/>
          <w:szCs w:val="24"/>
          <w:lang w:eastAsia="zh-CN"/>
        </w:rPr>
        <w:t>商品混凝土，</w:t>
      </w:r>
      <w:r>
        <w:rPr>
          <w:rFonts w:hint="eastAsia"/>
          <w:sz w:val="24"/>
          <w:szCs w:val="24"/>
        </w:rPr>
        <w:t>建设项目投资总额为</w:t>
      </w:r>
      <w:r>
        <w:rPr>
          <w:rFonts w:hint="eastAsia"/>
          <w:sz w:val="24"/>
          <w:szCs w:val="24"/>
          <w:lang w:val="en-US" w:eastAsia="zh-CN"/>
        </w:rPr>
        <w:t>3000</w:t>
      </w:r>
      <w:r>
        <w:rPr>
          <w:rFonts w:hint="eastAsia"/>
          <w:sz w:val="24"/>
          <w:szCs w:val="24"/>
        </w:rPr>
        <w:t>万元，其中</w:t>
      </w:r>
      <w:r>
        <w:rPr>
          <w:rFonts w:hint="eastAsia"/>
          <w:sz w:val="24"/>
          <w:szCs w:val="24"/>
          <w:lang w:eastAsia="zh-CN"/>
        </w:rPr>
        <w:t>环保投资</w:t>
      </w:r>
      <w:r>
        <w:rPr>
          <w:rFonts w:hint="eastAsia"/>
          <w:sz w:val="24"/>
          <w:szCs w:val="24"/>
          <w:lang w:val="en-US" w:eastAsia="zh-CN"/>
        </w:rPr>
        <w:t>90万元</w:t>
      </w:r>
      <w:r>
        <w:rPr>
          <w:rFonts w:hint="eastAsia"/>
          <w:sz w:val="24"/>
          <w:szCs w:val="24"/>
        </w:rPr>
        <w:t>，占比例为</w:t>
      </w:r>
      <w:r>
        <w:rPr>
          <w:rFonts w:hint="eastAsia"/>
          <w:sz w:val="24"/>
          <w:szCs w:val="24"/>
          <w:lang w:val="en-US" w:eastAsia="zh-CN"/>
        </w:rPr>
        <w:t>3</w:t>
      </w:r>
      <w:r>
        <w:rPr>
          <w:rFonts w:hint="eastAsia"/>
          <w:sz w:val="24"/>
          <w:szCs w:val="24"/>
        </w:rPr>
        <w:t>％。</w:t>
      </w:r>
    </w:p>
    <w:p>
      <w:pPr>
        <w:ind w:firstLine="560"/>
        <w:rPr>
          <w:sz w:val="24"/>
          <w:szCs w:val="24"/>
        </w:rPr>
      </w:pPr>
      <w:r>
        <w:rPr>
          <w:rFonts w:hint="eastAsia"/>
          <w:sz w:val="24"/>
          <w:szCs w:val="24"/>
        </w:rPr>
        <w:t>20</w:t>
      </w:r>
      <w:r>
        <w:rPr>
          <w:rFonts w:hint="eastAsia"/>
          <w:sz w:val="24"/>
          <w:szCs w:val="24"/>
          <w:lang w:val="en-US" w:eastAsia="zh-CN"/>
        </w:rPr>
        <w:t>01</w:t>
      </w:r>
      <w:r>
        <w:rPr>
          <w:rFonts w:hint="eastAsia"/>
          <w:sz w:val="24"/>
          <w:szCs w:val="24"/>
        </w:rPr>
        <w:t>年</w:t>
      </w:r>
      <w:r>
        <w:rPr>
          <w:rFonts w:hint="eastAsia"/>
          <w:sz w:val="24"/>
          <w:szCs w:val="24"/>
          <w:lang w:val="en-US" w:eastAsia="zh-CN"/>
        </w:rPr>
        <w:t>12</w:t>
      </w:r>
      <w:r>
        <w:rPr>
          <w:rFonts w:hint="eastAsia"/>
          <w:sz w:val="24"/>
          <w:szCs w:val="24"/>
        </w:rPr>
        <w:t>月</w:t>
      </w:r>
      <w:r>
        <w:rPr>
          <w:rFonts w:hint="eastAsia"/>
          <w:sz w:val="24"/>
          <w:szCs w:val="24"/>
          <w:lang w:val="en-US" w:eastAsia="zh-CN"/>
        </w:rPr>
        <w:t>28</w:t>
      </w:r>
      <w:r>
        <w:rPr>
          <w:rFonts w:hint="eastAsia"/>
          <w:sz w:val="24"/>
          <w:szCs w:val="24"/>
        </w:rPr>
        <w:t>日取得《南昌慧华高科混凝土有限公司年产100万立方米商品混凝土项目环境影响报告</w:t>
      </w:r>
      <w:r>
        <w:rPr>
          <w:rFonts w:hint="eastAsia"/>
          <w:sz w:val="24"/>
          <w:szCs w:val="24"/>
          <w:lang w:eastAsia="zh-CN"/>
        </w:rPr>
        <w:t>表</w:t>
      </w:r>
      <w:r>
        <w:rPr>
          <w:rFonts w:hint="eastAsia"/>
          <w:sz w:val="24"/>
          <w:szCs w:val="24"/>
        </w:rPr>
        <w:t>的批复》（洪环建字［2001］86号）</w:t>
      </w:r>
      <w:r>
        <w:rPr>
          <w:rFonts w:hint="eastAsia"/>
          <w:sz w:val="24"/>
          <w:szCs w:val="24"/>
          <w:lang w:eastAsia="zh-CN"/>
        </w:rPr>
        <w:t>，</w:t>
      </w:r>
      <w:r>
        <w:rPr>
          <w:rFonts w:hint="eastAsia"/>
          <w:sz w:val="24"/>
          <w:szCs w:val="24"/>
          <w:lang w:val="en-US" w:eastAsia="zh-CN"/>
        </w:rPr>
        <w:t>2004年9月28日取得《南昌慧华高科混凝土有限公司年产100万立方米商品混凝土建设项目竣工环境保护验收意见函》（洪环监督［2004］171号）。</w:t>
      </w:r>
      <w:r>
        <w:rPr>
          <w:rFonts w:hint="eastAsia"/>
          <w:sz w:val="24"/>
          <w:szCs w:val="24"/>
        </w:rPr>
        <w:t>。</w:t>
      </w:r>
    </w:p>
    <w:p>
      <w:pPr>
        <w:pStyle w:val="7"/>
        <w:keepNext/>
        <w:rPr>
          <w:sz w:val="24"/>
          <w:szCs w:val="24"/>
        </w:rPr>
      </w:pPr>
      <w:bookmarkStart w:id="9" w:name="_Ref526599075"/>
      <w:r>
        <w:rPr>
          <w:rFonts w:hint="eastAsia"/>
          <w:sz w:val="24"/>
          <w:szCs w:val="24"/>
        </w:rPr>
        <w:t xml:space="preserve">表 </w:t>
      </w:r>
      <w:r>
        <w:rPr>
          <w:sz w:val="24"/>
          <w:szCs w:val="24"/>
        </w:rPr>
        <w:fldChar w:fldCharType="begin"/>
      </w:r>
      <w:r>
        <w:rPr>
          <w:sz w:val="24"/>
          <w:szCs w:val="24"/>
        </w:rPr>
        <w:instrText xml:space="preserve"> </w:instrText>
      </w:r>
      <w:r>
        <w:rPr>
          <w:rFonts w:hint="eastAsia"/>
          <w:sz w:val="24"/>
          <w:szCs w:val="24"/>
        </w:rPr>
        <w:instrText xml:space="preserve">STYLEREF 1 \s</w:instrText>
      </w:r>
      <w:r>
        <w:rPr>
          <w:sz w:val="24"/>
          <w:szCs w:val="24"/>
        </w:rPr>
        <w:instrText xml:space="preserve"> </w:instrText>
      </w:r>
      <w:r>
        <w:rPr>
          <w:sz w:val="24"/>
          <w:szCs w:val="24"/>
        </w:rPr>
        <w:fldChar w:fldCharType="separate"/>
      </w:r>
      <w:r>
        <w:rPr>
          <w:sz w:val="24"/>
          <w:szCs w:val="24"/>
        </w:rPr>
        <w:t>2</w:t>
      </w:r>
      <w:r>
        <w:rPr>
          <w:sz w:val="24"/>
          <w:szCs w:val="24"/>
        </w:rPr>
        <w:fldChar w:fldCharType="end"/>
      </w:r>
      <w:r>
        <w:rPr>
          <w:sz w:val="24"/>
          <w:szCs w:val="24"/>
        </w:rPr>
        <w:noBreakHyphen/>
      </w:r>
      <w:r>
        <w:rPr>
          <w:sz w:val="24"/>
          <w:szCs w:val="24"/>
        </w:rPr>
        <w:fldChar w:fldCharType="begin"/>
      </w:r>
      <w:r>
        <w:rPr>
          <w:sz w:val="24"/>
          <w:szCs w:val="24"/>
        </w:rPr>
        <w:instrText xml:space="preserve"> </w:instrText>
      </w:r>
      <w:r>
        <w:rPr>
          <w:rFonts w:hint="eastAsia"/>
          <w:sz w:val="24"/>
          <w:szCs w:val="24"/>
        </w:rPr>
        <w:instrText xml:space="preserve">SEQ 表 \* ARABIC \s 1</w:instrText>
      </w:r>
      <w:r>
        <w:rPr>
          <w:sz w:val="24"/>
          <w:szCs w:val="24"/>
        </w:rPr>
        <w:instrText xml:space="preserve"> </w:instrText>
      </w:r>
      <w:r>
        <w:rPr>
          <w:sz w:val="24"/>
          <w:szCs w:val="24"/>
        </w:rPr>
        <w:fldChar w:fldCharType="separate"/>
      </w:r>
      <w:r>
        <w:rPr>
          <w:sz w:val="24"/>
          <w:szCs w:val="24"/>
        </w:rPr>
        <w:t>1</w:t>
      </w:r>
      <w:r>
        <w:rPr>
          <w:sz w:val="24"/>
          <w:szCs w:val="24"/>
        </w:rPr>
        <w:fldChar w:fldCharType="end"/>
      </w:r>
      <w:bookmarkEnd w:id="9"/>
      <w:r>
        <w:rPr>
          <w:rFonts w:hint="eastAsia"/>
          <w:sz w:val="24"/>
          <w:szCs w:val="24"/>
        </w:rPr>
        <w:t>企业基本信息</w:t>
      </w:r>
    </w:p>
    <w:tbl>
      <w:tblPr>
        <w:tblStyle w:val="16"/>
        <w:tblW w:w="5058"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1870"/>
        <w:gridCol w:w="1516"/>
        <w:gridCol w:w="128"/>
        <w:gridCol w:w="931"/>
        <w:gridCol w:w="20"/>
        <w:gridCol w:w="1778"/>
        <w:gridCol w:w="1199"/>
        <w:gridCol w:w="18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企业名称</w:t>
            </w:r>
          </w:p>
        </w:tc>
        <w:tc>
          <w:tcPr>
            <w:tcW w:w="2570" w:type="dxa"/>
            <w:gridSpan w:val="3"/>
            <w:vAlign w:val="center"/>
          </w:tcPr>
          <w:p>
            <w:pPr>
              <w:spacing w:line="240" w:lineRule="auto"/>
              <w:ind w:firstLine="0" w:firstLineChars="0"/>
              <w:contextualSpacing/>
              <w:jc w:val="left"/>
              <w:rPr>
                <w:rFonts w:cs="Times New Roman"/>
                <w:sz w:val="21"/>
                <w:szCs w:val="21"/>
              </w:rPr>
            </w:pPr>
            <w:r>
              <w:rPr>
                <w:rFonts w:hint="eastAsia" w:cs="Times New Roman"/>
                <w:sz w:val="21"/>
                <w:szCs w:val="21"/>
                <w:lang w:eastAsia="zh-CN"/>
              </w:rPr>
              <w:t>南昌慧华高科混凝土有限公司</w:t>
            </w:r>
          </w:p>
        </w:tc>
        <w:tc>
          <w:tcPr>
            <w:tcW w:w="1795" w:type="dxa"/>
            <w:gridSpan w:val="2"/>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eastAsia="zh-CN"/>
              </w:rPr>
              <w:t>统一社会信用</w:t>
            </w:r>
            <w:r>
              <w:rPr>
                <w:rFonts w:ascii="Times New Roman" w:hAnsi="Times New Roman" w:eastAsia="宋体" w:cs="Times New Roman"/>
                <w:sz w:val="21"/>
                <w:szCs w:val="21"/>
              </w:rPr>
              <w:t>代码</w:t>
            </w:r>
          </w:p>
        </w:tc>
        <w:tc>
          <w:tcPr>
            <w:tcW w:w="3002" w:type="dxa"/>
            <w:gridSpan w:val="2"/>
            <w:vAlign w:val="center"/>
          </w:tcPr>
          <w:p>
            <w:pPr>
              <w:spacing w:line="240" w:lineRule="auto"/>
              <w:ind w:firstLine="0" w:firstLineChars="0"/>
              <w:contextualSpacing/>
              <w:jc w:val="center"/>
              <w:rPr>
                <w:rFonts w:hint="default" w:eastAsia="宋体" w:cs="Times New Roman"/>
                <w:sz w:val="21"/>
                <w:szCs w:val="21"/>
                <w:lang w:val="en-US" w:eastAsia="zh-CN"/>
              </w:rPr>
            </w:pPr>
            <w:r>
              <w:rPr>
                <w:rFonts w:hint="eastAsia" w:cs="Times New Roman"/>
                <w:sz w:val="21"/>
                <w:szCs w:val="21"/>
              </w:rPr>
              <w:t>91360</w:t>
            </w:r>
            <w:r>
              <w:rPr>
                <w:rFonts w:hint="eastAsia" w:cs="Times New Roman"/>
                <w:sz w:val="21"/>
                <w:szCs w:val="21"/>
                <w:lang w:val="en-US" w:eastAsia="zh-CN"/>
              </w:rPr>
              <w:t>100736356923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法人代表</w:t>
            </w:r>
          </w:p>
        </w:tc>
        <w:tc>
          <w:tcPr>
            <w:tcW w:w="1641" w:type="dxa"/>
            <w:gridSpan w:val="2"/>
            <w:vAlign w:val="center"/>
          </w:tcPr>
          <w:p>
            <w:pPr>
              <w:spacing w:line="240" w:lineRule="auto"/>
              <w:ind w:firstLine="0" w:firstLineChars="0"/>
              <w:contextualSpacing/>
              <w:jc w:val="center"/>
              <w:rPr>
                <w:rFonts w:cs="Times New Roman"/>
                <w:sz w:val="21"/>
                <w:szCs w:val="21"/>
              </w:rPr>
            </w:pPr>
            <w:r>
              <w:rPr>
                <w:rFonts w:hint="eastAsia" w:cs="Times New Roman"/>
                <w:sz w:val="21"/>
                <w:szCs w:val="21"/>
                <w:lang w:eastAsia="zh-CN"/>
              </w:rPr>
              <w:t>范凯</w:t>
            </w:r>
          </w:p>
        </w:tc>
        <w:tc>
          <w:tcPr>
            <w:tcW w:w="929" w:type="dxa"/>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邮政编码</w:t>
            </w:r>
          </w:p>
        </w:tc>
        <w:tc>
          <w:tcPr>
            <w:tcW w:w="1795" w:type="dxa"/>
            <w:gridSpan w:val="2"/>
            <w:vAlign w:val="center"/>
          </w:tcPr>
          <w:p>
            <w:pPr>
              <w:spacing w:line="240" w:lineRule="auto"/>
              <w:ind w:firstLine="0" w:firstLineChars="0"/>
              <w:contextualSpacing/>
              <w:jc w:val="center"/>
              <w:rPr>
                <w:rFonts w:hint="default" w:cs="Times New Roman"/>
                <w:sz w:val="21"/>
                <w:szCs w:val="21"/>
                <w:lang w:val="en-US"/>
              </w:rPr>
            </w:pPr>
            <w:r>
              <w:rPr>
                <w:rFonts w:cs="Times New Roman"/>
                <w:sz w:val="21"/>
                <w:szCs w:val="21"/>
              </w:rPr>
              <w:t>33</w:t>
            </w:r>
            <w:r>
              <w:rPr>
                <w:rFonts w:hint="eastAsia" w:cs="Times New Roman"/>
                <w:sz w:val="21"/>
                <w:szCs w:val="21"/>
                <w:lang w:val="en-US" w:eastAsia="zh-CN"/>
              </w:rPr>
              <w:t>0013</w:t>
            </w:r>
          </w:p>
        </w:tc>
        <w:tc>
          <w:tcPr>
            <w:tcW w:w="1197" w:type="dxa"/>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厂区面积</w:t>
            </w:r>
          </w:p>
        </w:tc>
        <w:tc>
          <w:tcPr>
            <w:tcW w:w="1805" w:type="dxa"/>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hint="eastAsia" w:ascii="Times New Roman" w:hAnsi="Times New Roman"/>
                <w:sz w:val="21"/>
                <w:szCs w:val="21"/>
                <w:lang w:val="en-US" w:eastAsia="zh-CN"/>
              </w:rPr>
              <w:t>33966</w:t>
            </w:r>
            <w:r>
              <w:rPr>
                <w:rFonts w:ascii="Times New Roman" w:hAnsi="Times New Roman" w:eastAsia="宋体" w:cs="Times New Roman"/>
                <w:sz w:val="21"/>
                <w:szCs w:val="21"/>
              </w:rPr>
              <w:t>平方米</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联系人</w:t>
            </w:r>
          </w:p>
        </w:tc>
        <w:tc>
          <w:tcPr>
            <w:tcW w:w="1641" w:type="dxa"/>
            <w:gridSpan w:val="2"/>
            <w:vAlign w:val="center"/>
          </w:tcPr>
          <w:p>
            <w:pPr>
              <w:spacing w:line="240" w:lineRule="auto"/>
              <w:ind w:firstLine="0" w:firstLineChars="0"/>
              <w:contextualSpacing/>
              <w:jc w:val="center"/>
              <w:rPr>
                <w:rFonts w:cs="Times New Roman"/>
                <w:sz w:val="21"/>
                <w:szCs w:val="21"/>
              </w:rPr>
            </w:pPr>
            <w:r>
              <w:rPr>
                <w:rFonts w:hint="eastAsia" w:cs="Times New Roman"/>
                <w:sz w:val="21"/>
                <w:szCs w:val="21"/>
                <w:lang w:eastAsia="zh-CN"/>
              </w:rPr>
              <w:t>陈勇</w:t>
            </w:r>
          </w:p>
        </w:tc>
        <w:tc>
          <w:tcPr>
            <w:tcW w:w="929" w:type="dxa"/>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电话</w:t>
            </w:r>
          </w:p>
        </w:tc>
        <w:tc>
          <w:tcPr>
            <w:tcW w:w="1795" w:type="dxa"/>
            <w:gridSpan w:val="2"/>
            <w:vAlign w:val="center"/>
          </w:tcPr>
          <w:p>
            <w:pPr>
              <w:spacing w:line="240" w:lineRule="auto"/>
              <w:ind w:firstLine="0" w:firstLineChars="0"/>
              <w:contextualSpacing/>
              <w:jc w:val="center"/>
              <w:rPr>
                <w:rFonts w:hint="default" w:cs="Times New Roman"/>
                <w:sz w:val="21"/>
                <w:szCs w:val="21"/>
                <w:lang w:val="en-US"/>
              </w:rPr>
            </w:pPr>
            <w:r>
              <w:rPr>
                <w:rFonts w:hint="eastAsia" w:cs="Times New Roman"/>
                <w:sz w:val="21"/>
                <w:szCs w:val="21"/>
                <w:lang w:val="en-US" w:eastAsia="zh-CN"/>
              </w:rPr>
              <w:t>13870171691</w:t>
            </w:r>
          </w:p>
        </w:tc>
        <w:tc>
          <w:tcPr>
            <w:tcW w:w="1197" w:type="dxa"/>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eastAsia="zh-CN"/>
              </w:rPr>
              <w:t>从业人数</w:t>
            </w:r>
          </w:p>
        </w:tc>
        <w:tc>
          <w:tcPr>
            <w:tcW w:w="1805" w:type="dxa"/>
            <w:vAlign w:val="center"/>
          </w:tcPr>
          <w:p>
            <w:pPr>
              <w:spacing w:line="240" w:lineRule="auto"/>
              <w:ind w:firstLine="0" w:firstLineChars="0"/>
              <w:contextualSpacing/>
              <w:jc w:val="center"/>
              <w:rPr>
                <w:rFonts w:hint="default" w:cs="Times New Roman"/>
                <w:sz w:val="21"/>
                <w:szCs w:val="21"/>
                <w:lang w:val="en-US"/>
              </w:rPr>
            </w:pPr>
            <w:r>
              <w:rPr>
                <w:rFonts w:hint="eastAsia" w:cs="Times New Roman"/>
                <w:sz w:val="21"/>
                <w:szCs w:val="21"/>
                <w:lang w:val="en-US" w:eastAsia="zh-CN"/>
              </w:rPr>
              <w:t>47</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0"/>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单位地址</w:t>
            </w:r>
          </w:p>
        </w:tc>
        <w:tc>
          <w:tcPr>
            <w:tcW w:w="7367" w:type="dxa"/>
            <w:gridSpan w:val="7"/>
            <w:vAlign w:val="center"/>
          </w:tcPr>
          <w:p>
            <w:pPr>
              <w:pStyle w:val="30"/>
              <w:tabs>
                <w:tab w:val="left" w:pos="2269"/>
                <w:tab w:val="left" w:pos="5629"/>
              </w:tabs>
              <w:kinsoku w:val="0"/>
              <w:overflowPunct w:val="0"/>
              <w:ind w:firstLine="0" w:firstLineChars="0"/>
              <w:contextualSpacing/>
              <w:jc w:val="center"/>
              <w:rPr>
                <w:rFonts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江西省南昌昌北经济技术开发区</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0"/>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所在工业园区</w:t>
            </w:r>
          </w:p>
        </w:tc>
        <w:tc>
          <w:tcPr>
            <w:tcW w:w="1513" w:type="dxa"/>
            <w:vAlign w:val="center"/>
          </w:tcPr>
          <w:p>
            <w:pPr>
              <w:spacing w:line="240" w:lineRule="auto"/>
              <w:ind w:firstLine="0" w:firstLineChars="0"/>
              <w:contextualSpacing/>
              <w:jc w:val="center"/>
              <w:rPr>
                <w:rFonts w:cs="Times New Roman"/>
                <w:sz w:val="21"/>
                <w:szCs w:val="21"/>
              </w:rPr>
            </w:pPr>
            <w:r>
              <w:rPr>
                <w:rFonts w:hint="eastAsia" w:cs="Times New Roman"/>
                <w:sz w:val="21"/>
                <w:szCs w:val="21"/>
                <w:lang w:eastAsia="zh-CN"/>
              </w:rPr>
              <w:t>南昌昌北经济开发区</w:t>
            </w:r>
          </w:p>
        </w:tc>
        <w:tc>
          <w:tcPr>
            <w:tcW w:w="1077" w:type="dxa"/>
            <w:gridSpan w:val="3"/>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地理坐标</w:t>
            </w:r>
          </w:p>
        </w:tc>
        <w:tc>
          <w:tcPr>
            <w:tcW w:w="4777" w:type="dxa"/>
            <w:gridSpan w:val="3"/>
            <w:vAlign w:val="center"/>
          </w:tcPr>
          <w:p>
            <w:pPr>
              <w:pStyle w:val="30"/>
              <w:tabs>
                <w:tab w:val="left" w:pos="2144"/>
              </w:tabs>
              <w:kinsoku w:val="0"/>
              <w:overflowPunct w:val="0"/>
              <w:contextualSpacing/>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经度：</w:t>
            </w:r>
            <w:r>
              <w:rPr>
                <w:rFonts w:ascii="Times New Roman" w:hAnsi="Times New Roman"/>
                <w:sz w:val="21"/>
                <w:szCs w:val="21"/>
              </w:rPr>
              <w:t>115°</w:t>
            </w:r>
            <w:r>
              <w:rPr>
                <w:rFonts w:hint="eastAsia" w:ascii="Times New Roman" w:hAnsi="Times New Roman"/>
                <w:sz w:val="21"/>
                <w:szCs w:val="21"/>
                <w:lang w:val="en-US" w:eastAsia="zh-CN"/>
              </w:rPr>
              <w:t>83</w:t>
            </w:r>
            <w:r>
              <w:rPr>
                <w:rFonts w:ascii="Times New Roman" w:hAnsi="Times New Roman"/>
                <w:sz w:val="21"/>
                <w:szCs w:val="21"/>
              </w:rPr>
              <w:t>'</w:t>
            </w:r>
            <w:r>
              <w:rPr>
                <w:rFonts w:hint="eastAsia" w:ascii="Times New Roman" w:hAnsi="Times New Roman"/>
                <w:sz w:val="21"/>
                <w:szCs w:val="21"/>
                <w:lang w:val="en-US" w:eastAsia="zh-CN"/>
              </w:rPr>
              <w:t>30</w:t>
            </w:r>
          </w:p>
          <w:p>
            <w:pPr>
              <w:pStyle w:val="30"/>
              <w:tabs>
                <w:tab w:val="left" w:pos="2144"/>
              </w:tabs>
              <w:kinsoku w:val="0"/>
              <w:overflowPunct w:val="0"/>
              <w:ind w:firstLine="0" w:firstLineChars="0"/>
              <w:contextualSpacing/>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纬度：</w:t>
            </w:r>
            <w:r>
              <w:rPr>
                <w:rFonts w:ascii="Times New Roman" w:hAnsi="Times New Roman"/>
                <w:sz w:val="21"/>
                <w:szCs w:val="21"/>
              </w:rPr>
              <w:t>28°</w:t>
            </w:r>
            <w:r>
              <w:rPr>
                <w:rFonts w:hint="eastAsia" w:ascii="Times New Roman" w:hAnsi="Times New Roman"/>
                <w:sz w:val="21"/>
                <w:szCs w:val="21"/>
                <w:lang w:val="en-US" w:eastAsia="zh-CN"/>
              </w:rPr>
              <w:t>72</w:t>
            </w:r>
            <w:r>
              <w:rPr>
                <w:rFonts w:ascii="Times New Roman" w:hAnsi="Times New Roman"/>
                <w:sz w:val="21"/>
                <w:szCs w:val="21"/>
              </w:rPr>
              <w:t>'</w:t>
            </w:r>
            <w:r>
              <w:rPr>
                <w:rFonts w:hint="eastAsia" w:ascii="Times New Roman" w:hAnsi="Times New Roman"/>
                <w:sz w:val="21"/>
                <w:szCs w:val="21"/>
                <w:lang w:val="en-US" w:eastAsia="zh-CN"/>
              </w:rPr>
              <w:t>89</w:t>
            </w:r>
            <w:r>
              <w:rPr>
                <w:rFonts w:ascii="Times New Roman" w:hAnsi="Times New Roman"/>
                <w:sz w:val="21"/>
                <w:szCs w:val="21"/>
              </w:rPr>
              <w: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0"/>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年运行天数（天）</w:t>
            </w:r>
          </w:p>
        </w:tc>
        <w:tc>
          <w:tcPr>
            <w:tcW w:w="1513" w:type="dxa"/>
            <w:vAlign w:val="center"/>
          </w:tcPr>
          <w:p>
            <w:pPr>
              <w:tabs>
                <w:tab w:val="left" w:pos="1215"/>
              </w:tabs>
              <w:spacing w:line="240" w:lineRule="auto"/>
              <w:ind w:firstLine="0" w:firstLineChars="0"/>
              <w:contextualSpacing/>
              <w:jc w:val="center"/>
              <w:rPr>
                <w:rFonts w:cs="Times New Roman"/>
                <w:sz w:val="21"/>
                <w:szCs w:val="21"/>
              </w:rPr>
            </w:pPr>
            <w:r>
              <w:rPr>
                <w:rFonts w:hint="eastAsia" w:cs="Times New Roman"/>
                <w:sz w:val="21"/>
                <w:szCs w:val="21"/>
              </w:rPr>
              <w:t>3</w:t>
            </w:r>
            <w:r>
              <w:rPr>
                <w:rFonts w:hint="eastAsia" w:cs="Times New Roman"/>
                <w:sz w:val="21"/>
                <w:szCs w:val="21"/>
                <w:lang w:val="en-US" w:eastAsia="zh-CN"/>
              </w:rPr>
              <w:t>0</w:t>
            </w:r>
            <w:r>
              <w:rPr>
                <w:rFonts w:cs="Times New Roman"/>
                <w:sz w:val="21"/>
                <w:szCs w:val="21"/>
              </w:rPr>
              <w:t>0</w:t>
            </w:r>
          </w:p>
        </w:tc>
        <w:tc>
          <w:tcPr>
            <w:tcW w:w="1077" w:type="dxa"/>
            <w:gridSpan w:val="3"/>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主要</w:t>
            </w:r>
            <w:r>
              <w:rPr>
                <w:rFonts w:hint="eastAsia" w:ascii="Times New Roman" w:hAnsi="Times New Roman" w:eastAsia="宋体" w:cs="Times New Roman"/>
                <w:sz w:val="21"/>
                <w:szCs w:val="21"/>
                <w:lang w:eastAsia="zh-CN"/>
              </w:rPr>
              <w:t>产品</w:t>
            </w:r>
          </w:p>
        </w:tc>
        <w:tc>
          <w:tcPr>
            <w:tcW w:w="4777" w:type="dxa"/>
            <w:gridSpan w:val="3"/>
            <w:vAlign w:val="center"/>
          </w:tcPr>
          <w:p>
            <w:pPr>
              <w:spacing w:line="240" w:lineRule="auto"/>
              <w:ind w:firstLine="0" w:firstLineChars="0"/>
              <w:contextualSpacing/>
              <w:jc w:val="center"/>
              <w:rPr>
                <w:rFonts w:cs="Times New Roman"/>
                <w:sz w:val="21"/>
                <w:szCs w:val="21"/>
              </w:rPr>
            </w:pPr>
            <w:r>
              <w:rPr>
                <w:rFonts w:hint="eastAsia" w:ascii="Times New Roman" w:hAnsi="Times New Roman"/>
                <w:sz w:val="21"/>
                <w:szCs w:val="21"/>
                <w:lang w:eastAsia="zh-CN"/>
              </w:rPr>
              <w:t>商品混凝土</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0"/>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行业类别</w:t>
            </w:r>
          </w:p>
        </w:tc>
        <w:tc>
          <w:tcPr>
            <w:tcW w:w="2590" w:type="dxa"/>
            <w:gridSpan w:val="4"/>
            <w:vAlign w:val="center"/>
          </w:tcPr>
          <w:p>
            <w:pPr>
              <w:tabs>
                <w:tab w:val="left" w:pos="826"/>
              </w:tabs>
              <w:spacing w:line="240" w:lineRule="auto"/>
              <w:ind w:firstLine="0" w:firstLineChars="0"/>
              <w:contextualSpacing/>
              <w:jc w:val="center"/>
              <w:rPr>
                <w:rFonts w:cs="Times New Roman"/>
                <w:sz w:val="21"/>
                <w:szCs w:val="21"/>
              </w:rPr>
            </w:pPr>
            <w:r>
              <w:rPr>
                <w:rFonts w:hint="eastAsia" w:cs="Times New Roman"/>
                <w:sz w:val="21"/>
                <w:szCs w:val="21"/>
                <w:lang w:eastAsia="zh-CN"/>
              </w:rPr>
              <w:t xml:space="preserve"> 非金属矿物制品制造</w:t>
            </w:r>
          </w:p>
        </w:tc>
        <w:tc>
          <w:tcPr>
            <w:tcW w:w="1775" w:type="dxa"/>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行业代码</w:t>
            </w:r>
          </w:p>
        </w:tc>
        <w:tc>
          <w:tcPr>
            <w:tcW w:w="3002" w:type="dxa"/>
            <w:gridSpan w:val="2"/>
            <w:vAlign w:val="center"/>
          </w:tcPr>
          <w:p>
            <w:pPr>
              <w:tabs>
                <w:tab w:val="left" w:pos="889"/>
              </w:tabs>
              <w:spacing w:line="240" w:lineRule="auto"/>
              <w:ind w:firstLine="0" w:firstLineChars="0"/>
              <w:contextualSpacing/>
              <w:jc w:val="center"/>
              <w:rPr>
                <w:rFonts w:hint="default" w:cs="Times New Roman"/>
                <w:sz w:val="21"/>
                <w:szCs w:val="21"/>
                <w:lang w:val="en-US"/>
              </w:rPr>
            </w:pPr>
            <w:r>
              <w:rPr>
                <w:rFonts w:hint="eastAsia" w:cs="Times New Roman"/>
                <w:sz w:val="21"/>
                <w:szCs w:val="21"/>
                <w:lang w:val="en-US" w:eastAsia="zh-CN"/>
              </w:rPr>
              <w:t>C30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0"/>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建厂时间</w:t>
            </w:r>
          </w:p>
        </w:tc>
        <w:tc>
          <w:tcPr>
            <w:tcW w:w="2590" w:type="dxa"/>
            <w:gridSpan w:val="4"/>
            <w:vAlign w:val="center"/>
          </w:tcPr>
          <w:p>
            <w:pPr>
              <w:spacing w:line="240" w:lineRule="auto"/>
              <w:ind w:firstLine="0" w:firstLineChars="0"/>
              <w:contextualSpacing/>
              <w:jc w:val="center"/>
              <w:rPr>
                <w:rFonts w:cs="Times New Roman"/>
                <w:sz w:val="21"/>
                <w:szCs w:val="21"/>
              </w:rPr>
            </w:pPr>
            <w:r>
              <w:rPr>
                <w:rFonts w:hint="eastAsia" w:cs="Times New Roman"/>
                <w:sz w:val="21"/>
                <w:szCs w:val="21"/>
                <w:lang w:val="en-US" w:eastAsia="zh-CN"/>
              </w:rPr>
              <w:t>2003</w:t>
            </w:r>
            <w:r>
              <w:rPr>
                <w:rFonts w:hint="eastAsia" w:cs="Times New Roman"/>
                <w:sz w:val="21"/>
                <w:szCs w:val="21"/>
              </w:rPr>
              <w:t>年</w:t>
            </w:r>
            <w:r>
              <w:rPr>
                <w:rFonts w:hint="eastAsia" w:cs="Times New Roman"/>
                <w:sz w:val="21"/>
                <w:szCs w:val="21"/>
                <w:lang w:val="en-US" w:eastAsia="zh-CN"/>
              </w:rPr>
              <w:t>9</w:t>
            </w:r>
            <w:r>
              <w:rPr>
                <w:rFonts w:hint="eastAsia" w:cs="Times New Roman"/>
                <w:sz w:val="21"/>
                <w:szCs w:val="21"/>
              </w:rPr>
              <w:t>月</w:t>
            </w:r>
          </w:p>
        </w:tc>
        <w:tc>
          <w:tcPr>
            <w:tcW w:w="1775" w:type="dxa"/>
            <w:vAlign w:val="center"/>
          </w:tcPr>
          <w:p>
            <w:pPr>
              <w:pStyle w:val="30"/>
              <w:kinsoku w:val="0"/>
              <w:overflowPunct w:val="0"/>
              <w:ind w:firstLine="0" w:firstLineChars="0"/>
              <w:contextualSpacing/>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eastAsia="zh-CN"/>
              </w:rPr>
              <w:t>调试</w:t>
            </w:r>
            <w:r>
              <w:rPr>
                <w:rFonts w:ascii="Times New Roman" w:hAnsi="Times New Roman" w:eastAsia="宋体" w:cs="Times New Roman"/>
                <w:sz w:val="21"/>
                <w:szCs w:val="21"/>
              </w:rPr>
              <w:t>时间</w:t>
            </w:r>
          </w:p>
        </w:tc>
        <w:tc>
          <w:tcPr>
            <w:tcW w:w="3002" w:type="dxa"/>
            <w:gridSpan w:val="2"/>
            <w:vAlign w:val="center"/>
          </w:tcPr>
          <w:p>
            <w:pPr>
              <w:spacing w:line="240" w:lineRule="auto"/>
              <w:ind w:firstLine="0" w:firstLineChars="0"/>
              <w:contextualSpacing/>
              <w:jc w:val="center"/>
              <w:rPr>
                <w:rFonts w:cs="Times New Roman"/>
                <w:sz w:val="21"/>
                <w:szCs w:val="21"/>
              </w:rPr>
            </w:pPr>
            <w:r>
              <w:rPr>
                <w:rFonts w:hint="eastAsia" w:cs="Times New Roman"/>
                <w:sz w:val="21"/>
                <w:szCs w:val="21"/>
                <w:lang w:val="en-US" w:eastAsia="zh-CN"/>
              </w:rPr>
              <w:t>2004</w:t>
            </w:r>
            <w:r>
              <w:rPr>
                <w:rFonts w:hint="eastAsia" w:cs="Times New Roman"/>
                <w:sz w:val="21"/>
                <w:szCs w:val="21"/>
              </w:rPr>
              <w:t>年</w:t>
            </w:r>
            <w:r>
              <w:rPr>
                <w:rFonts w:hint="eastAsia" w:cs="Times New Roman"/>
                <w:sz w:val="21"/>
                <w:szCs w:val="21"/>
                <w:lang w:val="en-US" w:eastAsia="zh-CN"/>
              </w:rPr>
              <w:t>3</w:t>
            </w:r>
            <w:r>
              <w:rPr>
                <w:rFonts w:hint="eastAsia" w:cs="Times New Roman"/>
                <w:sz w:val="21"/>
                <w:szCs w:val="21"/>
              </w:rPr>
              <w:t>月</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1867" w:type="dxa"/>
            <w:vAlign w:val="center"/>
          </w:tcPr>
          <w:p>
            <w:pPr>
              <w:pStyle w:val="30"/>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废水排放量（吨）</w:t>
            </w:r>
          </w:p>
        </w:tc>
        <w:tc>
          <w:tcPr>
            <w:tcW w:w="2570" w:type="dxa"/>
            <w:gridSpan w:val="3"/>
            <w:vAlign w:val="center"/>
          </w:tcPr>
          <w:p>
            <w:pPr>
              <w:spacing w:line="240" w:lineRule="auto"/>
              <w:ind w:firstLine="0" w:firstLineChars="0"/>
              <w:contextualSpacing/>
              <w:jc w:val="center"/>
              <w:rPr>
                <w:rFonts w:hint="default" w:eastAsia="宋体" w:cs="Times New Roman"/>
                <w:sz w:val="21"/>
                <w:szCs w:val="21"/>
                <w:lang w:val="en-US" w:eastAsia="zh-CN"/>
              </w:rPr>
            </w:pPr>
            <w:r>
              <w:rPr>
                <w:rFonts w:hint="eastAsia" w:cs="Times New Roman"/>
                <w:sz w:val="21"/>
                <w:szCs w:val="21"/>
                <w:lang w:val="en-US" w:eastAsia="zh-CN"/>
              </w:rPr>
              <w:t>1200</w:t>
            </w:r>
          </w:p>
        </w:tc>
        <w:tc>
          <w:tcPr>
            <w:tcW w:w="1795" w:type="dxa"/>
            <w:gridSpan w:val="2"/>
            <w:vAlign w:val="center"/>
          </w:tcPr>
          <w:p>
            <w:pPr>
              <w:pStyle w:val="30"/>
              <w:kinsoku w:val="0"/>
              <w:overflowPunct w:val="0"/>
              <w:contextualSpacing/>
              <w:jc w:val="center"/>
              <w:rPr>
                <w:rFonts w:ascii="Times New Roman" w:hAnsi="Times New Roman" w:eastAsia="宋体" w:cs="Times New Roman"/>
                <w:sz w:val="21"/>
                <w:szCs w:val="21"/>
              </w:rPr>
            </w:pPr>
            <w:r>
              <w:rPr>
                <w:rFonts w:ascii="Times New Roman" w:hAnsi="Times New Roman" w:eastAsia="宋体" w:cs="Times New Roman"/>
                <w:sz w:val="21"/>
                <w:szCs w:val="21"/>
              </w:rPr>
              <w:t>废水排放去向</w:t>
            </w:r>
          </w:p>
        </w:tc>
        <w:tc>
          <w:tcPr>
            <w:tcW w:w="3002" w:type="dxa"/>
            <w:gridSpan w:val="2"/>
            <w:vAlign w:val="center"/>
          </w:tcPr>
          <w:p>
            <w:pPr>
              <w:spacing w:line="240" w:lineRule="auto"/>
              <w:ind w:firstLine="0" w:firstLineChars="0"/>
              <w:contextualSpacing/>
              <w:jc w:val="center"/>
              <w:rPr>
                <w:rFonts w:cs="Times New Roman"/>
                <w:sz w:val="21"/>
                <w:szCs w:val="21"/>
              </w:rPr>
            </w:pPr>
            <w:r>
              <w:rPr>
                <w:rFonts w:hint="eastAsia" w:cs="Times New Roman"/>
                <w:sz w:val="21"/>
                <w:szCs w:val="21"/>
                <w:lang w:eastAsia="zh-CN"/>
              </w:rPr>
              <w:t>红谷滩污水处理厂</w:t>
            </w:r>
          </w:p>
        </w:tc>
      </w:tr>
    </w:tbl>
    <w:p>
      <w:pPr>
        <w:pStyle w:val="5"/>
        <w:rPr>
          <w:sz w:val="24"/>
          <w:szCs w:val="24"/>
        </w:rPr>
      </w:pPr>
      <w:r>
        <w:rPr>
          <w:rFonts w:hint="eastAsia"/>
          <w:sz w:val="24"/>
          <w:szCs w:val="24"/>
        </w:rPr>
        <w:t>生产工艺</w:t>
      </w:r>
    </w:p>
    <w:p>
      <w:pPr>
        <w:spacing w:line="360" w:lineRule="auto"/>
        <w:ind w:firstLine="480" w:firstLineChars="200"/>
        <w:rPr>
          <w:rFonts w:ascii="Times New Roman" w:hAnsi="Times New Roman"/>
          <w:sz w:val="24"/>
          <w:szCs w:val="24"/>
        </w:rPr>
      </w:pPr>
      <w:r>
        <w:rPr>
          <w:rFonts w:ascii="Times New Roman" w:hAnsi="Times New Roman"/>
          <w:sz w:val="24"/>
          <w:szCs w:val="24"/>
        </w:rPr>
        <w:t>工艺流程说明：</w:t>
      </w:r>
    </w:p>
    <w:p>
      <w:pPr>
        <w:spacing w:line="360" w:lineRule="auto"/>
        <w:ind w:firstLine="480" w:firstLineChars="200"/>
        <w:rPr>
          <w:rFonts w:hint="eastAsia" w:ascii="Times New Roman" w:hAnsi="Times New Roman" w:eastAsia="微软雅黑"/>
          <w:sz w:val="24"/>
          <w:szCs w:val="24"/>
          <w:lang w:eastAsia="zh-CN"/>
        </w:rPr>
      </w:pPr>
      <w:r>
        <w:rPr>
          <w:rFonts w:hint="eastAsia" w:ascii="Times New Roman" w:hAnsi="Times New Roman"/>
          <w:sz w:val="24"/>
          <w:szCs w:val="24"/>
          <w:lang w:eastAsia="zh-CN"/>
        </w:rPr>
        <w:t>商品混凝土</w:t>
      </w:r>
      <w:r>
        <w:rPr>
          <w:rFonts w:hint="eastAsia" w:ascii="Times New Roman" w:hAnsi="Times New Roman"/>
          <w:sz w:val="24"/>
          <w:szCs w:val="24"/>
        </w:rPr>
        <w:t>主要生产工艺</w:t>
      </w:r>
      <w:r>
        <w:rPr>
          <w:rFonts w:hint="eastAsia" w:ascii="Times New Roman" w:hAnsi="Times New Roman"/>
          <w:sz w:val="24"/>
          <w:szCs w:val="24"/>
          <w:lang w:eastAsia="zh-CN"/>
        </w:rPr>
        <w:t>比较简单，所有工序均为物理搅拌过程，首先将各种原材料计量配送，然后进行重量配料，进行一系列的精细的配比和调整从而保证混凝土的品质，之后进行计量泵送入混凝土车，最后送建筑工地。</w:t>
      </w:r>
    </w:p>
    <w:p>
      <w:pPr>
        <w:ind w:firstLine="560"/>
        <w:jc w:val="center"/>
        <w:rPr>
          <w:rFonts w:hint="eastAsia" w:ascii="Times New Roman" w:hAnsi="Times New Roman" w:eastAsia="微软雅黑"/>
          <w:b/>
          <w:bCs/>
          <w:sz w:val="24"/>
          <w:lang w:eastAsia="zh-CN"/>
        </w:rPr>
      </w:pPr>
      <w:r>
        <w:rPr>
          <w:rFonts w:hint="eastAsia" w:ascii="Times New Roman" w:hAnsi="Times New Roman" w:eastAsia="微软雅黑"/>
          <w:b/>
          <w:bCs/>
          <w:sz w:val="24"/>
          <w:lang w:eastAsia="zh-CN"/>
        </w:rPr>
        <w:drawing>
          <wp:inline distT="0" distB="0" distL="114300" distR="114300">
            <wp:extent cx="4081145" cy="3341370"/>
            <wp:effectExtent l="0" t="0" r="14605" b="11430"/>
            <wp:docPr id="12" name="图片 1" descr="1585748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1585748216(1)"/>
                    <pic:cNvPicPr>
                      <a:picLocks noChangeAspect="1"/>
                    </pic:cNvPicPr>
                  </pic:nvPicPr>
                  <pic:blipFill>
                    <a:blip r:embed="rId20"/>
                    <a:stretch>
                      <a:fillRect/>
                    </a:stretch>
                  </pic:blipFill>
                  <pic:spPr>
                    <a:xfrm>
                      <a:off x="0" y="0"/>
                      <a:ext cx="4081145" cy="3341370"/>
                    </a:xfrm>
                    <a:prstGeom prst="rect">
                      <a:avLst/>
                    </a:prstGeom>
                    <a:noFill/>
                    <a:ln>
                      <a:noFill/>
                    </a:ln>
                  </pic:spPr>
                </pic:pic>
              </a:graphicData>
            </a:graphic>
          </wp:inline>
        </w:drawing>
      </w:r>
    </w:p>
    <w:p>
      <w:pPr>
        <w:pStyle w:val="2"/>
        <w:jc w:val="center"/>
        <w:rPr>
          <w:rFonts w:hint="default"/>
          <w:lang w:val="en-US" w:eastAsia="zh-CN"/>
        </w:rPr>
      </w:pPr>
      <w:r>
        <w:rPr>
          <w:rFonts w:hint="eastAsia" w:eastAsia="微软雅黑"/>
          <w:b/>
          <w:bCs/>
          <w:sz w:val="24"/>
          <w:lang w:eastAsia="zh-CN"/>
        </w:rPr>
        <w:t>图</w:t>
      </w:r>
      <w:r>
        <w:rPr>
          <w:rFonts w:hint="eastAsia" w:eastAsia="微软雅黑"/>
          <w:b/>
          <w:bCs/>
          <w:sz w:val="24"/>
          <w:lang w:val="en-US" w:eastAsia="zh-CN"/>
        </w:rPr>
        <w:t>2-1工艺流程图</w:t>
      </w:r>
    </w:p>
    <w:p>
      <w:pPr>
        <w:pStyle w:val="5"/>
        <w:rPr>
          <w:sz w:val="24"/>
          <w:szCs w:val="24"/>
        </w:rPr>
      </w:pPr>
      <w:r>
        <w:rPr>
          <w:rFonts w:hint="eastAsia"/>
          <w:sz w:val="24"/>
          <w:szCs w:val="24"/>
        </w:rPr>
        <w:t>主要原、辅材料</w:t>
      </w:r>
    </w:p>
    <w:p>
      <w:pPr>
        <w:spacing w:line="480" w:lineRule="exact"/>
        <w:ind w:firstLine="480" w:firstLineChars="200"/>
        <w:rPr>
          <w:rFonts w:ascii="Times New Roman" w:hAnsi="Times New Roman"/>
          <w:sz w:val="24"/>
          <w:szCs w:val="24"/>
        </w:rPr>
      </w:pPr>
      <w:r>
        <w:rPr>
          <w:rFonts w:hint="eastAsia" w:ascii="Times New Roman" w:hAnsi="Times New Roman"/>
          <w:sz w:val="24"/>
          <w:szCs w:val="24"/>
          <w:lang w:eastAsia="zh-CN"/>
        </w:rPr>
        <w:t>公司</w:t>
      </w:r>
      <w:r>
        <w:rPr>
          <w:rFonts w:ascii="Times New Roman" w:hAnsi="Times New Roman"/>
          <w:sz w:val="24"/>
          <w:szCs w:val="24"/>
        </w:rPr>
        <w:t>原辅材料及能耗用量见下表。</w:t>
      </w:r>
    </w:p>
    <w:p>
      <w:pPr>
        <w:spacing w:line="480" w:lineRule="exact"/>
        <w:jc w:val="center"/>
        <w:rPr>
          <w:rFonts w:ascii="Times New Roman" w:hAnsi="Times New Roman"/>
          <w:b/>
          <w:bCs/>
          <w:sz w:val="24"/>
          <w:szCs w:val="24"/>
        </w:rPr>
      </w:pPr>
      <w:r>
        <w:rPr>
          <w:rFonts w:ascii="Times New Roman" w:hAnsi="Times New Roman"/>
          <w:b/>
          <w:bCs/>
          <w:sz w:val="24"/>
          <w:szCs w:val="24"/>
        </w:rPr>
        <w:t>表</w:t>
      </w:r>
      <w:r>
        <w:rPr>
          <w:rFonts w:hint="eastAsia"/>
          <w:b/>
          <w:bCs/>
          <w:sz w:val="24"/>
          <w:szCs w:val="24"/>
          <w:lang w:val="en-US" w:eastAsia="zh-CN"/>
        </w:rPr>
        <w:t>2</w:t>
      </w:r>
      <w:r>
        <w:rPr>
          <w:rFonts w:ascii="Times New Roman" w:hAnsi="Times New Roman"/>
          <w:b/>
          <w:bCs/>
          <w:sz w:val="24"/>
          <w:szCs w:val="24"/>
        </w:rPr>
        <w:t>-</w:t>
      </w:r>
      <w:r>
        <w:rPr>
          <w:rFonts w:hint="eastAsia"/>
          <w:b/>
          <w:bCs/>
          <w:sz w:val="24"/>
          <w:szCs w:val="24"/>
          <w:lang w:val="en-US" w:eastAsia="zh-CN"/>
        </w:rPr>
        <w:t>2</w:t>
      </w:r>
      <w:r>
        <w:rPr>
          <w:rFonts w:ascii="Times New Roman" w:hAnsi="Times New Roman"/>
          <w:b/>
          <w:bCs/>
          <w:sz w:val="24"/>
          <w:szCs w:val="24"/>
        </w:rPr>
        <w:t xml:space="preserve"> 原辅材料消耗情况表</w:t>
      </w:r>
    </w:p>
    <w:tbl>
      <w:tblPr>
        <w:tblStyle w:val="16"/>
        <w:tblW w:w="0" w:type="auto"/>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260"/>
        <w:gridCol w:w="2426"/>
        <w:gridCol w:w="992"/>
        <w:gridCol w:w="2308"/>
        <w:gridCol w:w="208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686" w:type="dxa"/>
            <w:gridSpan w:val="2"/>
            <w:noWrap w:val="0"/>
            <w:vAlign w:val="center"/>
          </w:tcPr>
          <w:p>
            <w:pPr>
              <w:pStyle w:val="40"/>
              <w:spacing w:line="360"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类别</w:t>
            </w:r>
          </w:p>
        </w:tc>
        <w:tc>
          <w:tcPr>
            <w:tcW w:w="992" w:type="dxa"/>
            <w:noWrap w:val="0"/>
            <w:vAlign w:val="center"/>
          </w:tcPr>
          <w:p>
            <w:pPr>
              <w:pStyle w:val="40"/>
              <w:spacing w:line="360" w:lineRule="auto"/>
              <w:ind w:left="0" w:leftChars="0" w:firstLine="0" w:firstLineChars="0"/>
              <w:jc w:val="both"/>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单位</w:t>
            </w:r>
          </w:p>
        </w:tc>
        <w:tc>
          <w:tcPr>
            <w:tcW w:w="2308" w:type="dxa"/>
            <w:noWrap w:val="0"/>
            <w:vAlign w:val="center"/>
          </w:tcPr>
          <w:p>
            <w:pPr>
              <w:pStyle w:val="40"/>
              <w:spacing w:line="360"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实际年用量</w:t>
            </w:r>
          </w:p>
        </w:tc>
        <w:tc>
          <w:tcPr>
            <w:tcW w:w="2085" w:type="dxa"/>
            <w:noWrap w:val="0"/>
            <w:vAlign w:val="center"/>
          </w:tcPr>
          <w:p>
            <w:pPr>
              <w:pStyle w:val="40"/>
              <w:spacing w:line="360"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备注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260" w:type="dxa"/>
            <w:tcBorders>
              <w:bottom w:val="single" w:color="auto" w:sz="4" w:space="0"/>
            </w:tcBorders>
            <w:noWrap w:val="0"/>
            <w:vAlign w:val="center"/>
          </w:tcPr>
          <w:p>
            <w:pPr>
              <w:pStyle w:val="40"/>
              <w:spacing w:line="360" w:lineRule="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1</w:t>
            </w:r>
          </w:p>
        </w:tc>
        <w:tc>
          <w:tcPr>
            <w:tcW w:w="2426" w:type="dxa"/>
            <w:noWrap w:val="0"/>
            <w:vAlign w:val="center"/>
          </w:tcPr>
          <w:p>
            <w:pPr>
              <w:pStyle w:val="40"/>
              <w:spacing w:line="360"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水泥</w:t>
            </w:r>
          </w:p>
        </w:tc>
        <w:tc>
          <w:tcPr>
            <w:tcW w:w="992" w:type="dxa"/>
            <w:noWrap w:val="0"/>
            <w:vAlign w:val="center"/>
          </w:tcPr>
          <w:p>
            <w:pPr>
              <w:pStyle w:val="40"/>
              <w:spacing w:line="360" w:lineRule="auto"/>
              <w:ind w:left="0" w:leftChars="0" w:firstLine="0" w:firstLineChars="0"/>
              <w:jc w:val="both"/>
              <w:rPr>
                <w:rFonts w:hint="default" w:ascii="Times New Roman" w:hAnsi="Times New Roman" w:eastAsia="宋体" w:cs="Times New Roman"/>
                <w:sz w:val="21"/>
                <w:szCs w:val="21"/>
                <w:lang w:val="en-US"/>
              </w:rPr>
            </w:pPr>
            <w:r>
              <w:rPr>
                <w:rFonts w:hint="default" w:ascii="Times New Roman" w:hAnsi="Times New Roman" w:eastAsia="宋体" w:cs="Times New Roman"/>
                <w:sz w:val="21"/>
                <w:szCs w:val="21"/>
                <w:lang w:val="en-US" w:eastAsia="zh-CN"/>
              </w:rPr>
              <w:t>T/a</w:t>
            </w:r>
          </w:p>
        </w:tc>
        <w:tc>
          <w:tcPr>
            <w:tcW w:w="2308" w:type="dxa"/>
            <w:noWrap w:val="0"/>
            <w:vAlign w:val="center"/>
          </w:tcPr>
          <w:p>
            <w:pPr>
              <w:pStyle w:val="40"/>
              <w:spacing w:line="360"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115000万吨</w:t>
            </w:r>
          </w:p>
        </w:tc>
        <w:tc>
          <w:tcPr>
            <w:tcW w:w="2085" w:type="dxa"/>
            <w:noWrap w:val="0"/>
            <w:vAlign w:val="center"/>
          </w:tcPr>
          <w:p>
            <w:pPr>
              <w:pStyle w:val="40"/>
              <w:spacing w:line="360" w:lineRule="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内购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260" w:type="dxa"/>
            <w:tcBorders>
              <w:top w:val="single" w:color="auto" w:sz="4" w:space="0"/>
            </w:tcBorders>
            <w:noWrap w:val="0"/>
            <w:vAlign w:val="center"/>
          </w:tcPr>
          <w:p>
            <w:pPr>
              <w:pStyle w:val="40"/>
              <w:spacing w:line="360"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2426" w:type="dxa"/>
            <w:noWrap w:val="0"/>
            <w:vAlign w:val="center"/>
          </w:tcPr>
          <w:p>
            <w:pPr>
              <w:pStyle w:val="40"/>
              <w:spacing w:line="360" w:lineRule="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矿粉</w:t>
            </w:r>
          </w:p>
        </w:tc>
        <w:tc>
          <w:tcPr>
            <w:tcW w:w="992" w:type="dxa"/>
            <w:noWrap w:val="0"/>
            <w:vAlign w:val="center"/>
          </w:tcPr>
          <w:p>
            <w:pPr>
              <w:spacing w:line="360" w:lineRule="auto"/>
              <w:ind w:left="0" w:leftChars="0" w:firstLine="0" w:firstLineChars="0"/>
              <w:jc w:val="both"/>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T/a</w:t>
            </w:r>
          </w:p>
        </w:tc>
        <w:tc>
          <w:tcPr>
            <w:tcW w:w="2308" w:type="dxa"/>
            <w:noWrap w:val="0"/>
            <w:vAlign w:val="center"/>
          </w:tcPr>
          <w:p>
            <w:pPr>
              <w:pStyle w:val="40"/>
              <w:spacing w:line="360"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300000万吨</w:t>
            </w:r>
          </w:p>
        </w:tc>
        <w:tc>
          <w:tcPr>
            <w:tcW w:w="2085" w:type="dxa"/>
            <w:noWrap w:val="0"/>
            <w:vAlign w:val="center"/>
          </w:tcPr>
          <w:p>
            <w:pPr>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eastAsia="zh-CN"/>
              </w:rPr>
              <w:t>内</w:t>
            </w:r>
            <w:r>
              <w:rPr>
                <w:rFonts w:hint="default" w:ascii="Times New Roman" w:hAnsi="Times New Roman" w:eastAsia="宋体" w:cs="Times New Roman"/>
                <w:sz w:val="21"/>
                <w:szCs w:val="21"/>
              </w:rPr>
              <w:t>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pStyle w:val="40"/>
              <w:spacing w:line="360" w:lineRule="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3</w:t>
            </w:r>
          </w:p>
        </w:tc>
        <w:tc>
          <w:tcPr>
            <w:tcW w:w="2426" w:type="dxa"/>
            <w:noWrap w:val="0"/>
            <w:vAlign w:val="center"/>
          </w:tcPr>
          <w:p>
            <w:pPr>
              <w:pStyle w:val="40"/>
              <w:spacing w:line="360" w:lineRule="auto"/>
              <w:rPr>
                <w:rFonts w:hint="default" w:ascii="Times New Roman" w:hAnsi="Times New Roman" w:eastAsia="宋体" w:cs="Times New Roman"/>
                <w:color w:val="FF0000"/>
                <w:sz w:val="21"/>
                <w:szCs w:val="21"/>
                <w:lang w:val="en-US" w:eastAsia="zh-CN"/>
              </w:rPr>
            </w:pPr>
            <w:r>
              <w:rPr>
                <w:rFonts w:hint="default" w:ascii="Times New Roman" w:hAnsi="Times New Roman" w:eastAsia="宋体" w:cs="Times New Roman"/>
                <w:color w:val="auto"/>
                <w:sz w:val="21"/>
                <w:szCs w:val="21"/>
                <w:lang w:val="en-US" w:eastAsia="zh-CN"/>
              </w:rPr>
              <w:t>粉煤灰</w:t>
            </w:r>
          </w:p>
        </w:tc>
        <w:tc>
          <w:tcPr>
            <w:tcW w:w="992" w:type="dxa"/>
            <w:noWrap w:val="0"/>
            <w:vAlign w:val="center"/>
          </w:tcPr>
          <w:p>
            <w:pPr>
              <w:spacing w:line="360" w:lineRule="auto"/>
              <w:ind w:left="0" w:leftChars="0" w:firstLine="0" w:firstLineChars="0"/>
              <w:jc w:val="both"/>
              <w:rPr>
                <w:rFonts w:hint="default" w:ascii="Times New Roman" w:hAnsi="Times New Roman" w:eastAsia="宋体" w:cs="Times New Roman"/>
                <w:color w:val="FF0000"/>
                <w:sz w:val="21"/>
                <w:szCs w:val="21"/>
              </w:rPr>
            </w:pPr>
            <w:r>
              <w:rPr>
                <w:rFonts w:hint="default" w:ascii="Times New Roman" w:hAnsi="Times New Roman" w:eastAsia="宋体" w:cs="Times New Roman"/>
                <w:sz w:val="21"/>
                <w:szCs w:val="21"/>
                <w:lang w:val="en-US" w:eastAsia="zh-CN"/>
              </w:rPr>
              <w:t>T/a</w:t>
            </w:r>
          </w:p>
        </w:tc>
        <w:tc>
          <w:tcPr>
            <w:tcW w:w="2308" w:type="dxa"/>
            <w:noWrap w:val="0"/>
            <w:vAlign w:val="center"/>
          </w:tcPr>
          <w:p>
            <w:pPr>
              <w:pStyle w:val="40"/>
              <w:spacing w:line="360" w:lineRule="auto"/>
              <w:ind w:firstLine="630" w:firstLineChars="300"/>
              <w:jc w:val="both"/>
              <w:rPr>
                <w:rFonts w:hint="default" w:ascii="Times New Roman" w:hAnsi="Times New Roman" w:eastAsia="宋体" w:cs="Times New Roman"/>
                <w:color w:val="FF0000"/>
                <w:sz w:val="21"/>
                <w:szCs w:val="21"/>
                <w:lang w:val="en-US" w:eastAsia="zh-CN"/>
              </w:rPr>
            </w:pPr>
            <w:r>
              <w:rPr>
                <w:rFonts w:hint="default" w:ascii="Times New Roman" w:hAnsi="Times New Roman" w:eastAsia="宋体" w:cs="Times New Roman"/>
                <w:color w:val="auto"/>
                <w:sz w:val="21"/>
                <w:szCs w:val="21"/>
                <w:lang w:val="en-US" w:eastAsia="zh-CN"/>
              </w:rPr>
              <w:t>300000万吨</w:t>
            </w:r>
          </w:p>
        </w:tc>
        <w:tc>
          <w:tcPr>
            <w:tcW w:w="2085" w:type="dxa"/>
            <w:noWrap w:val="0"/>
            <w:vAlign w:val="center"/>
          </w:tcPr>
          <w:p>
            <w:pPr>
              <w:spacing w:line="360" w:lineRule="auto"/>
              <w:jc w:val="center"/>
              <w:rPr>
                <w:rFonts w:hint="default" w:ascii="Times New Roman" w:hAnsi="Times New Roman" w:eastAsia="宋体" w:cs="Times New Roman"/>
                <w:color w:val="FF0000"/>
                <w:sz w:val="21"/>
                <w:szCs w:val="21"/>
              </w:rPr>
            </w:pPr>
            <w:r>
              <w:rPr>
                <w:rFonts w:hint="default" w:ascii="Times New Roman" w:hAnsi="Times New Roman" w:eastAsia="宋体" w:cs="Times New Roman"/>
                <w:sz w:val="21"/>
                <w:szCs w:val="21"/>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spacing w:line="360" w:lineRule="auto"/>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4</w:t>
            </w:r>
          </w:p>
        </w:tc>
        <w:tc>
          <w:tcPr>
            <w:tcW w:w="2426" w:type="dxa"/>
            <w:noWrap w:val="0"/>
            <w:vAlign w:val="center"/>
          </w:tcPr>
          <w:p>
            <w:pPr>
              <w:pStyle w:val="40"/>
              <w:spacing w:line="360"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砂</w:t>
            </w:r>
          </w:p>
        </w:tc>
        <w:tc>
          <w:tcPr>
            <w:tcW w:w="992" w:type="dxa"/>
            <w:noWrap w:val="0"/>
            <w:vAlign w:val="center"/>
          </w:tcPr>
          <w:p>
            <w:pPr>
              <w:spacing w:line="360" w:lineRule="auto"/>
              <w:ind w:left="0" w:leftChars="0" w:firstLine="0" w:firstLineChars="0"/>
              <w:jc w:val="both"/>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T/a</w:t>
            </w:r>
          </w:p>
        </w:tc>
        <w:tc>
          <w:tcPr>
            <w:tcW w:w="2308" w:type="dxa"/>
            <w:noWrap w:val="0"/>
            <w:vAlign w:val="center"/>
          </w:tcPr>
          <w:p>
            <w:pPr>
              <w:pStyle w:val="40"/>
              <w:spacing w:line="360"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450000万吨</w:t>
            </w:r>
          </w:p>
        </w:tc>
        <w:tc>
          <w:tcPr>
            <w:tcW w:w="2085" w:type="dxa"/>
            <w:noWrap w:val="0"/>
            <w:vAlign w:val="center"/>
          </w:tcPr>
          <w:p>
            <w:pPr>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spacing w:line="360" w:lineRule="auto"/>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5</w:t>
            </w:r>
          </w:p>
        </w:tc>
        <w:tc>
          <w:tcPr>
            <w:tcW w:w="2426" w:type="dxa"/>
            <w:noWrap w:val="0"/>
            <w:vAlign w:val="center"/>
          </w:tcPr>
          <w:p>
            <w:pPr>
              <w:pStyle w:val="40"/>
              <w:spacing w:line="360" w:lineRule="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碎石</w:t>
            </w:r>
          </w:p>
        </w:tc>
        <w:tc>
          <w:tcPr>
            <w:tcW w:w="992" w:type="dxa"/>
            <w:noWrap w:val="0"/>
            <w:vAlign w:val="center"/>
          </w:tcPr>
          <w:p>
            <w:pPr>
              <w:spacing w:line="360" w:lineRule="auto"/>
              <w:ind w:left="0" w:leftChars="0" w:firstLine="0" w:firstLineChars="0"/>
              <w:jc w:val="both"/>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T/a</w:t>
            </w:r>
          </w:p>
        </w:tc>
        <w:tc>
          <w:tcPr>
            <w:tcW w:w="2308" w:type="dxa"/>
            <w:noWrap w:val="0"/>
            <w:vAlign w:val="center"/>
          </w:tcPr>
          <w:p>
            <w:pPr>
              <w:pStyle w:val="40"/>
              <w:spacing w:line="360"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50000万吨</w:t>
            </w:r>
          </w:p>
        </w:tc>
        <w:tc>
          <w:tcPr>
            <w:tcW w:w="2085" w:type="dxa"/>
            <w:noWrap w:val="0"/>
            <w:vAlign w:val="center"/>
          </w:tcPr>
          <w:p>
            <w:pPr>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spacing w:line="360" w:lineRule="auto"/>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6</w:t>
            </w:r>
          </w:p>
        </w:tc>
        <w:tc>
          <w:tcPr>
            <w:tcW w:w="2426" w:type="dxa"/>
            <w:noWrap w:val="0"/>
            <w:vAlign w:val="center"/>
          </w:tcPr>
          <w:p>
            <w:pPr>
              <w:pStyle w:val="40"/>
              <w:spacing w:line="360" w:lineRule="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减水剂</w:t>
            </w:r>
          </w:p>
        </w:tc>
        <w:tc>
          <w:tcPr>
            <w:tcW w:w="992" w:type="dxa"/>
            <w:noWrap w:val="0"/>
            <w:vAlign w:val="center"/>
          </w:tcPr>
          <w:p>
            <w:pPr>
              <w:spacing w:line="360" w:lineRule="auto"/>
              <w:ind w:left="0" w:leftChars="0" w:firstLine="0" w:firstLineChars="0"/>
              <w:jc w:val="both"/>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T/a</w:t>
            </w:r>
          </w:p>
        </w:tc>
        <w:tc>
          <w:tcPr>
            <w:tcW w:w="2308" w:type="dxa"/>
            <w:noWrap w:val="0"/>
            <w:vAlign w:val="center"/>
          </w:tcPr>
          <w:p>
            <w:pPr>
              <w:pStyle w:val="40"/>
              <w:spacing w:line="360"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15000吨</w:t>
            </w:r>
          </w:p>
        </w:tc>
        <w:tc>
          <w:tcPr>
            <w:tcW w:w="2085" w:type="dxa"/>
            <w:noWrap w:val="0"/>
            <w:vAlign w:val="center"/>
          </w:tcPr>
          <w:p>
            <w:pPr>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spacing w:line="360" w:lineRule="auto"/>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7</w:t>
            </w:r>
          </w:p>
        </w:tc>
        <w:tc>
          <w:tcPr>
            <w:tcW w:w="2426" w:type="dxa"/>
            <w:noWrap w:val="0"/>
            <w:vAlign w:val="center"/>
          </w:tcPr>
          <w:p>
            <w:pPr>
              <w:pStyle w:val="40"/>
              <w:spacing w:line="360" w:lineRule="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生活用水</w:t>
            </w:r>
          </w:p>
        </w:tc>
        <w:tc>
          <w:tcPr>
            <w:tcW w:w="992" w:type="dxa"/>
            <w:noWrap w:val="0"/>
            <w:vAlign w:val="center"/>
          </w:tcPr>
          <w:p>
            <w:pPr>
              <w:spacing w:line="360" w:lineRule="auto"/>
              <w:ind w:left="0" w:leftChars="0" w:firstLine="0" w:firstLineChars="0"/>
              <w:jc w:val="both"/>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T/a</w:t>
            </w:r>
          </w:p>
        </w:tc>
        <w:tc>
          <w:tcPr>
            <w:tcW w:w="2308" w:type="dxa"/>
            <w:noWrap w:val="0"/>
            <w:vAlign w:val="center"/>
          </w:tcPr>
          <w:p>
            <w:pPr>
              <w:pStyle w:val="40"/>
              <w:spacing w:line="360"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6000吨</w:t>
            </w:r>
          </w:p>
        </w:tc>
        <w:tc>
          <w:tcPr>
            <w:tcW w:w="2085" w:type="dxa"/>
            <w:noWrap w:val="0"/>
            <w:vAlign w:val="center"/>
          </w:tcPr>
          <w:p>
            <w:pPr>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spacing w:line="360" w:lineRule="auto"/>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8</w:t>
            </w:r>
          </w:p>
        </w:tc>
        <w:tc>
          <w:tcPr>
            <w:tcW w:w="2426" w:type="dxa"/>
            <w:noWrap w:val="0"/>
            <w:vAlign w:val="center"/>
          </w:tcPr>
          <w:p>
            <w:pPr>
              <w:pStyle w:val="40"/>
              <w:spacing w:line="360" w:lineRule="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生产用水</w:t>
            </w:r>
          </w:p>
        </w:tc>
        <w:tc>
          <w:tcPr>
            <w:tcW w:w="992" w:type="dxa"/>
            <w:noWrap w:val="0"/>
            <w:vAlign w:val="center"/>
          </w:tcPr>
          <w:p>
            <w:pPr>
              <w:pStyle w:val="40"/>
              <w:spacing w:line="360" w:lineRule="auto"/>
              <w:ind w:left="0" w:leftChars="0" w:firstLine="0" w:firstLineChars="0"/>
              <w:jc w:val="both"/>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T/a</w:t>
            </w:r>
          </w:p>
        </w:tc>
        <w:tc>
          <w:tcPr>
            <w:tcW w:w="2308" w:type="dxa"/>
            <w:noWrap w:val="0"/>
            <w:vAlign w:val="center"/>
          </w:tcPr>
          <w:p>
            <w:pPr>
              <w:pStyle w:val="40"/>
              <w:spacing w:line="360"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60000吨</w:t>
            </w:r>
          </w:p>
        </w:tc>
        <w:tc>
          <w:tcPr>
            <w:tcW w:w="2085" w:type="dxa"/>
            <w:noWrap w:val="0"/>
            <w:vAlign w:val="center"/>
          </w:tcPr>
          <w:p>
            <w:pPr>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2" w:hRule="atLeast"/>
          <w:jc w:val="center"/>
        </w:trPr>
        <w:tc>
          <w:tcPr>
            <w:tcW w:w="1260" w:type="dxa"/>
            <w:noWrap w:val="0"/>
            <w:vAlign w:val="center"/>
          </w:tcPr>
          <w:p>
            <w:pPr>
              <w:spacing w:line="360" w:lineRule="auto"/>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9</w:t>
            </w:r>
          </w:p>
        </w:tc>
        <w:tc>
          <w:tcPr>
            <w:tcW w:w="2426" w:type="dxa"/>
            <w:noWrap w:val="0"/>
            <w:vAlign w:val="center"/>
          </w:tcPr>
          <w:p>
            <w:pPr>
              <w:pStyle w:val="40"/>
              <w:spacing w:line="360" w:lineRule="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电</w:t>
            </w:r>
          </w:p>
        </w:tc>
        <w:tc>
          <w:tcPr>
            <w:tcW w:w="992" w:type="dxa"/>
            <w:noWrap w:val="0"/>
            <w:vAlign w:val="center"/>
          </w:tcPr>
          <w:p>
            <w:pPr>
              <w:pStyle w:val="40"/>
              <w:spacing w:line="360" w:lineRule="auto"/>
              <w:ind w:left="0" w:leftChars="0" w:firstLine="0" w:firstLineChars="0"/>
              <w:jc w:val="both"/>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Kwh/a</w:t>
            </w:r>
          </w:p>
        </w:tc>
        <w:tc>
          <w:tcPr>
            <w:tcW w:w="2308" w:type="dxa"/>
            <w:noWrap w:val="0"/>
            <w:vAlign w:val="center"/>
          </w:tcPr>
          <w:p>
            <w:pPr>
              <w:pStyle w:val="40"/>
              <w:spacing w:line="360"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53</w:t>
            </w:r>
          </w:p>
        </w:tc>
        <w:tc>
          <w:tcPr>
            <w:tcW w:w="2085" w:type="dxa"/>
            <w:noWrap w:val="0"/>
            <w:vAlign w:val="center"/>
          </w:tcPr>
          <w:p>
            <w:pPr>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外购</w:t>
            </w:r>
          </w:p>
        </w:tc>
      </w:tr>
    </w:tbl>
    <w:p>
      <w:pPr>
        <w:pStyle w:val="5"/>
        <w:numPr>
          <w:ilvl w:val="2"/>
          <w:numId w:val="1"/>
        </w:numPr>
        <w:ind w:left="0" w:firstLine="0"/>
        <w:rPr>
          <w:sz w:val="24"/>
          <w:szCs w:val="24"/>
        </w:rPr>
      </w:pPr>
      <w:r>
        <w:rPr>
          <w:rFonts w:hint="eastAsia"/>
          <w:sz w:val="24"/>
          <w:szCs w:val="24"/>
        </w:rPr>
        <w:t>主要设备</w:t>
      </w:r>
    </w:p>
    <w:p>
      <w:pPr>
        <w:pStyle w:val="7"/>
        <w:keepNext/>
        <w:keepLines w:val="0"/>
        <w:pageBreakBefore w:val="0"/>
        <w:widowControl w:val="0"/>
        <w:kinsoku/>
        <w:wordWrap/>
        <w:overflowPunct/>
        <w:topLinePunct w:val="0"/>
        <w:autoSpaceDE/>
        <w:autoSpaceDN/>
        <w:bidi w:val="0"/>
        <w:adjustRightInd/>
        <w:snapToGrid/>
        <w:ind w:firstLine="480" w:firstLineChars="200"/>
        <w:jc w:val="left"/>
        <w:textAlignment w:val="auto"/>
        <w:rPr>
          <w:sz w:val="24"/>
          <w:szCs w:val="24"/>
        </w:rPr>
      </w:pPr>
      <w:r>
        <w:rPr>
          <w:sz w:val="24"/>
          <w:szCs w:val="24"/>
        </w:rPr>
        <w:t>本</w:t>
      </w:r>
      <w:r>
        <w:rPr>
          <w:rFonts w:hint="eastAsia"/>
          <w:sz w:val="24"/>
          <w:szCs w:val="24"/>
        </w:rPr>
        <w:t>公司</w:t>
      </w:r>
      <w:r>
        <w:rPr>
          <w:sz w:val="24"/>
          <w:szCs w:val="24"/>
        </w:rPr>
        <w:t>工程主要生产设备见</w:t>
      </w:r>
      <w:r>
        <w:rPr>
          <w:sz w:val="24"/>
          <w:szCs w:val="24"/>
        </w:rPr>
        <w:fldChar w:fldCharType="begin"/>
      </w:r>
      <w:r>
        <w:rPr>
          <w:sz w:val="24"/>
          <w:szCs w:val="24"/>
        </w:rPr>
        <w:instrText xml:space="preserve"> REF _Ref526611488 \h </w:instrText>
      </w:r>
      <w:r>
        <w:rPr>
          <w:sz w:val="24"/>
          <w:szCs w:val="24"/>
        </w:rPr>
        <w:fldChar w:fldCharType="separate"/>
      </w:r>
      <w:r>
        <w:rPr>
          <w:rFonts w:hint="eastAsia"/>
          <w:sz w:val="24"/>
          <w:szCs w:val="24"/>
        </w:rPr>
        <w:t xml:space="preserve">表 </w:t>
      </w:r>
      <w:r>
        <w:rPr>
          <w:sz w:val="24"/>
          <w:szCs w:val="24"/>
        </w:rPr>
        <w:t>2</w:t>
      </w:r>
      <w:r>
        <w:rPr>
          <w:sz w:val="24"/>
          <w:szCs w:val="24"/>
        </w:rPr>
        <w:noBreakHyphen/>
      </w:r>
      <w:r>
        <w:rPr>
          <w:sz w:val="24"/>
          <w:szCs w:val="24"/>
        </w:rPr>
        <w:t>3</w:t>
      </w:r>
      <w:r>
        <w:rPr>
          <w:sz w:val="24"/>
          <w:szCs w:val="24"/>
        </w:rPr>
        <w:fldChar w:fldCharType="end"/>
      </w:r>
      <w:r>
        <w:rPr>
          <w:sz w:val="24"/>
          <w:szCs w:val="24"/>
        </w:rPr>
        <w:t>。</w:t>
      </w:r>
      <w:bookmarkStart w:id="10" w:name="_Ref526611488"/>
    </w:p>
    <w:p>
      <w:pPr>
        <w:pStyle w:val="7"/>
        <w:keepNext/>
        <w:rPr>
          <w:b/>
          <w:bCs/>
          <w:sz w:val="24"/>
          <w:szCs w:val="24"/>
        </w:rPr>
      </w:pPr>
      <w:r>
        <w:rPr>
          <w:rFonts w:hint="eastAsia"/>
          <w:b/>
          <w:bCs/>
          <w:sz w:val="24"/>
          <w:szCs w:val="24"/>
        </w:rPr>
        <w:t xml:space="preserve">表 </w:t>
      </w:r>
      <w:bookmarkEnd w:id="10"/>
      <w:r>
        <w:rPr>
          <w:rFonts w:hint="eastAsia"/>
          <w:b/>
          <w:bCs/>
          <w:sz w:val="24"/>
          <w:szCs w:val="24"/>
          <w:lang w:val="en-US" w:eastAsia="zh-CN"/>
        </w:rPr>
        <w:t>2-3</w:t>
      </w:r>
      <w:r>
        <w:rPr>
          <w:b/>
          <w:bCs/>
          <w:sz w:val="24"/>
          <w:szCs w:val="24"/>
        </w:rPr>
        <w:t>主要生产设备一览表</w:t>
      </w:r>
    </w:p>
    <w:tbl>
      <w:tblPr>
        <w:tblStyle w:val="16"/>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72"/>
        <w:gridCol w:w="2594"/>
        <w:gridCol w:w="2322"/>
        <w:gridCol w:w="3110"/>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序号</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设备名称</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型号</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实际数量</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搅拌主机</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HZS</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电机</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55KW</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润滑系统</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1套</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搅拌、计量台</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1个</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5</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接料斗</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带夹棍装置</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1个</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6</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控制室及装饰</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1套</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7</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每层附属楼梯</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8</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骨料缓存仓</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9</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工控机</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P4</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10</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打印机</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5340CII</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11</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自动化控制软件</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12</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分体空调机</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1匹壁挂式</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13</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储料仓</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20（两石两砂）</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14</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电动滚筒</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15</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计量斗</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16</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骨料输送系统</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17</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全自动压力试验机</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WYA-2000</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18</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全自动抗折抗压试验机</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WYA-300</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19</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养护室温湿度控制仪</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RTH-08</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20</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氯离子分析仪</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CCL-5</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21</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水泥胶砂振实台</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ZS-15</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22</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水泥胶砂搅拌机</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JJ-5</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23</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水泥净浆搅拌机</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NJ-160A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24</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砼振动台</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ZT-0.8×0.8</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25</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强制式单卧砼搅拌机</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SJD-60</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26</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电热鼓风恒温干燥箱</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101-2A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27</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混凝土渗透仪</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HS-4</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28</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箱式电阻炉</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SX2-4-10</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29</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手动混凝土贯入阻力仪</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ZC-1A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30</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水泥稠度凝结时间测定仪</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维卡仪</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31</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沸煮箱</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FZ-31A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32</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负压筛析仪</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FSY-150B</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33</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水泥胶砂流动度测定仪</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NLD-3</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34</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震击式标准振筛机</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ZBSX-92A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35</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回弹仪</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ZC3-A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36</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电子天平</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BS-30KA</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37</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电子天平</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FA2004</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38</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电子天平</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JE1002</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39</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电子计重秤</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XK3100</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40</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数控水泥砼标准养护箱</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SHBY-40B</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41</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kern w:val="0"/>
                <w:sz w:val="21"/>
                <w:szCs w:val="21"/>
              </w:rPr>
              <w:t>混凝土含气量测定仪</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 xml:space="preserve">GQC-I </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42</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sz w:val="21"/>
                <w:szCs w:val="21"/>
              </w:rPr>
              <w:t>石筛分析用标准筛</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Φ2.5～100mm</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43</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砂筛分析用标准筛</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Φ0.08～10mm</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44</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全自动比表面积测定仪</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FBT-9</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45</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针、片状规准仪</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46</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坍落度筒、捣棒</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46</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color w:val="000000"/>
                <w:kern w:val="0"/>
                <w:sz w:val="21"/>
                <w:szCs w:val="21"/>
                <w:lang w:eastAsia="zh-Hans"/>
              </w:rPr>
              <w:t>压碎指标值测定仪</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47</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容量筒</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48</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抗压夹具</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49</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sz w:val="21"/>
                <w:szCs w:val="21"/>
              </w:rPr>
              <w:t>温、湿度计</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50</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混凝土、胶砂试模</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 w:hRule="atLeast"/>
          <w:jc w:val="center"/>
        </w:trPr>
        <w:tc>
          <w:tcPr>
            <w:tcW w:w="872" w:type="dxa"/>
            <w:tcBorders>
              <w:top w:val="single" w:color="auto" w:sz="4" w:space="0"/>
              <w:left w:val="single" w:color="auto" w:sz="4" w:space="0"/>
              <w:bottom w:val="single" w:color="auto" w:sz="4" w:space="0"/>
              <w:right w:val="single" w:color="auto" w:sz="4" w:space="0"/>
            </w:tcBorders>
            <w:noWrap w:val="0"/>
            <w:vAlign w:val="center"/>
          </w:tcPr>
          <w:p>
            <w:pPr>
              <w:widowControl w:val="0"/>
              <w:spacing w:line="24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51</w:t>
            </w:r>
          </w:p>
        </w:tc>
        <w:tc>
          <w:tcPr>
            <w:tcW w:w="2594"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雷氏夹</w:t>
            </w:r>
          </w:p>
        </w:tc>
        <w:tc>
          <w:tcPr>
            <w:tcW w:w="2322"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LD-50</w:t>
            </w:r>
          </w:p>
        </w:tc>
        <w:tc>
          <w:tcPr>
            <w:tcW w:w="3110" w:type="dxa"/>
            <w:tcBorders>
              <w:top w:val="single" w:color="auto" w:sz="4" w:space="0"/>
              <w:left w:val="single" w:color="auto" w:sz="4" w:space="0"/>
              <w:bottom w:val="single" w:color="auto" w:sz="4" w:space="0"/>
              <w:right w:val="single" w:color="auto" w:sz="4" w:space="0"/>
            </w:tcBorders>
            <w:noWrap w:val="0"/>
            <w:vAlign w:val="center"/>
          </w:tcPr>
          <w:p>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台</w:t>
            </w:r>
          </w:p>
        </w:tc>
      </w:tr>
    </w:tbl>
    <w:p>
      <w:pPr>
        <w:pStyle w:val="5"/>
        <w:keepNext/>
        <w:keepLines/>
        <w:pageBreakBefore w:val="0"/>
        <w:widowControl w:val="0"/>
        <w:kinsoku/>
        <w:wordWrap/>
        <w:overflowPunct/>
        <w:topLinePunct w:val="0"/>
        <w:autoSpaceDE/>
        <w:autoSpaceDN/>
        <w:bidi w:val="0"/>
        <w:adjustRightInd/>
        <w:snapToGrid/>
        <w:textAlignment w:val="auto"/>
        <w:outlineLvl w:val="2"/>
        <w:rPr>
          <w:sz w:val="24"/>
          <w:szCs w:val="24"/>
        </w:rPr>
      </w:pPr>
      <w:r>
        <w:rPr>
          <w:rFonts w:hint="eastAsia"/>
          <w:sz w:val="24"/>
          <w:szCs w:val="24"/>
        </w:rPr>
        <w:t>污染源及其防治措施</w:t>
      </w:r>
    </w:p>
    <w:p>
      <w:pPr>
        <w:keepNext/>
        <w:keepLines/>
        <w:pageBreakBefore w:val="0"/>
        <w:widowControl w:val="0"/>
        <w:kinsoku/>
        <w:wordWrap/>
        <w:overflowPunct/>
        <w:topLinePunct w:val="0"/>
        <w:autoSpaceDE/>
        <w:autoSpaceDN/>
        <w:bidi w:val="0"/>
        <w:adjustRightInd/>
        <w:snapToGrid/>
        <w:textAlignment w:val="auto"/>
        <w:outlineLvl w:val="9"/>
        <w:rPr>
          <w:b/>
          <w:bCs/>
          <w:sz w:val="24"/>
          <w:szCs w:val="24"/>
        </w:rPr>
      </w:pPr>
      <w:r>
        <w:rPr>
          <w:rFonts w:hint="eastAsia"/>
          <w:b/>
          <w:bCs/>
          <w:sz w:val="24"/>
          <w:szCs w:val="24"/>
          <w:lang w:eastAsia="zh-CN"/>
        </w:rPr>
        <w:t>①</w:t>
      </w:r>
      <w:r>
        <w:rPr>
          <w:rFonts w:hint="eastAsia"/>
          <w:b/>
          <w:bCs/>
          <w:sz w:val="24"/>
          <w:szCs w:val="24"/>
        </w:rPr>
        <w:t>废水</w:t>
      </w:r>
    </w:p>
    <w:p>
      <w:pPr>
        <w:ind w:firstLine="560"/>
        <w:rPr>
          <w:sz w:val="24"/>
          <w:szCs w:val="24"/>
        </w:rPr>
      </w:pPr>
      <w:r>
        <w:rPr>
          <w:rFonts w:hint="eastAsia"/>
          <w:sz w:val="24"/>
          <w:szCs w:val="24"/>
          <w:lang w:eastAsia="zh-CN"/>
        </w:rPr>
        <w:t>项目废水主要包括冲地水、洗车水、洗轮机水和生活污水。冲地水、洗车水、洗轮机水收集</w:t>
      </w:r>
      <w:r>
        <w:rPr>
          <w:rFonts w:hint="default"/>
          <w:sz w:val="24"/>
          <w:szCs w:val="24"/>
          <w:lang w:val="en-US" w:eastAsia="zh-CN"/>
        </w:rPr>
        <w:t>,</w:t>
      </w:r>
      <w:r>
        <w:rPr>
          <w:rFonts w:hint="eastAsia"/>
          <w:sz w:val="24"/>
          <w:szCs w:val="24"/>
          <w:lang w:val="en-US" w:eastAsia="zh-CN"/>
        </w:rPr>
        <w:t>共有收集池6个，</w:t>
      </w:r>
      <w:r>
        <w:rPr>
          <w:rFonts w:hint="eastAsia"/>
          <w:sz w:val="24"/>
          <w:szCs w:val="24"/>
          <w:lang w:eastAsia="zh-CN"/>
        </w:rPr>
        <w:t>经沉淀池</w:t>
      </w:r>
      <w:r>
        <w:rPr>
          <w:rFonts w:hint="eastAsia"/>
          <w:sz w:val="24"/>
          <w:szCs w:val="24"/>
          <w:lang w:val="en-US" w:eastAsia="zh-CN"/>
        </w:rPr>
        <w:t>(5个）</w:t>
      </w:r>
      <w:r>
        <w:rPr>
          <w:rFonts w:hint="eastAsia"/>
          <w:sz w:val="24"/>
          <w:szCs w:val="24"/>
          <w:lang w:eastAsia="zh-CN"/>
        </w:rPr>
        <w:t>处理后回用于生产；生活污水经隔油池</w:t>
      </w:r>
      <w:r>
        <w:rPr>
          <w:rFonts w:hint="eastAsia"/>
          <w:sz w:val="24"/>
          <w:szCs w:val="24"/>
          <w:lang w:val="en-US" w:eastAsia="zh-CN"/>
        </w:rPr>
        <w:t>+</w:t>
      </w:r>
      <w:r>
        <w:rPr>
          <w:rFonts w:hint="eastAsia"/>
          <w:sz w:val="24"/>
          <w:szCs w:val="24"/>
          <w:lang w:eastAsia="zh-CN"/>
        </w:rPr>
        <w:t>化粪池预处理排入市政管网。</w:t>
      </w:r>
    </w:p>
    <w:p>
      <w:pPr>
        <w:keepNext/>
        <w:keepLines/>
        <w:pageBreakBefore w:val="0"/>
        <w:widowControl w:val="0"/>
        <w:kinsoku/>
        <w:wordWrap/>
        <w:overflowPunct/>
        <w:topLinePunct w:val="0"/>
        <w:autoSpaceDE/>
        <w:autoSpaceDN/>
        <w:bidi w:val="0"/>
        <w:adjustRightInd/>
        <w:snapToGrid/>
        <w:textAlignment w:val="auto"/>
        <w:outlineLvl w:val="9"/>
        <w:rPr>
          <w:b/>
          <w:bCs/>
          <w:sz w:val="24"/>
          <w:szCs w:val="24"/>
        </w:rPr>
      </w:pPr>
      <w:r>
        <w:rPr>
          <w:rFonts w:hint="eastAsia"/>
          <w:b/>
          <w:bCs/>
          <w:sz w:val="24"/>
          <w:szCs w:val="24"/>
          <w:lang w:eastAsia="zh-CN"/>
        </w:rPr>
        <w:t>②</w:t>
      </w:r>
      <w:r>
        <w:rPr>
          <w:rFonts w:hint="eastAsia"/>
          <w:b/>
          <w:bCs/>
          <w:sz w:val="24"/>
          <w:szCs w:val="24"/>
        </w:rPr>
        <w:t>废气</w:t>
      </w:r>
    </w:p>
    <w:p>
      <w:pPr>
        <w:ind w:firstLine="560"/>
        <w:rPr>
          <w:rFonts w:hint="eastAsia" w:eastAsia="宋体"/>
          <w:sz w:val="24"/>
          <w:szCs w:val="24"/>
          <w:lang w:eastAsia="zh-CN"/>
        </w:rPr>
      </w:pPr>
      <w:r>
        <w:rPr>
          <w:spacing w:val="-5"/>
          <w:sz w:val="24"/>
          <w:szCs w:val="24"/>
        </w:rPr>
        <w:t>本项目产生的废气主要为</w:t>
      </w:r>
      <w:r>
        <w:rPr>
          <w:rFonts w:hint="eastAsia"/>
          <w:spacing w:val="-5"/>
          <w:sz w:val="24"/>
          <w:szCs w:val="24"/>
          <w:lang w:eastAsia="zh-CN"/>
        </w:rPr>
        <w:t>搅拌时仓顶产生的粉尘。粉尘通过配套密闭的集气系统收集后进入沉降室</w:t>
      </w:r>
      <w:r>
        <w:rPr>
          <w:rFonts w:hint="eastAsia"/>
          <w:spacing w:val="-5"/>
          <w:sz w:val="24"/>
          <w:szCs w:val="24"/>
          <w:lang w:val="en-US" w:eastAsia="zh-CN"/>
        </w:rPr>
        <w:t>+布袋除尘器处理，共有11台布袋除尘器。</w:t>
      </w:r>
      <w:r>
        <w:rPr>
          <w:rFonts w:hint="eastAsia"/>
          <w:sz w:val="24"/>
          <w:szCs w:val="24"/>
          <w:lang w:eastAsia="zh-CN"/>
        </w:rPr>
        <w:t>生产过程中加强管理，加强员工素质，车间通风等措施来减少无组织废气的产生。</w:t>
      </w:r>
    </w:p>
    <w:p>
      <w:pPr>
        <w:keepNext/>
        <w:keepLines/>
        <w:pageBreakBefore w:val="0"/>
        <w:widowControl w:val="0"/>
        <w:kinsoku/>
        <w:wordWrap/>
        <w:overflowPunct/>
        <w:topLinePunct w:val="0"/>
        <w:autoSpaceDE/>
        <w:autoSpaceDN/>
        <w:bidi w:val="0"/>
        <w:adjustRightInd/>
        <w:snapToGrid/>
        <w:textAlignment w:val="auto"/>
        <w:outlineLvl w:val="9"/>
        <w:rPr>
          <w:b/>
          <w:bCs/>
          <w:sz w:val="24"/>
          <w:szCs w:val="24"/>
        </w:rPr>
      </w:pPr>
      <w:r>
        <w:rPr>
          <w:rFonts w:hint="eastAsia"/>
          <w:b/>
          <w:bCs/>
          <w:sz w:val="24"/>
          <w:szCs w:val="24"/>
          <w:lang w:eastAsia="zh-CN"/>
        </w:rPr>
        <w:t>③</w:t>
      </w:r>
      <w:r>
        <w:rPr>
          <w:rFonts w:hint="eastAsia"/>
          <w:b/>
          <w:bCs/>
          <w:sz w:val="24"/>
          <w:szCs w:val="24"/>
        </w:rPr>
        <w:t>噪声</w:t>
      </w:r>
    </w:p>
    <w:p>
      <w:pPr>
        <w:ind w:firstLine="560"/>
        <w:rPr>
          <w:sz w:val="24"/>
          <w:szCs w:val="24"/>
        </w:rPr>
      </w:pPr>
      <w:r>
        <w:rPr>
          <w:rFonts w:hint="eastAsia"/>
          <w:sz w:val="24"/>
          <w:szCs w:val="24"/>
          <w:lang w:eastAsia="zh-CN"/>
        </w:rPr>
        <w:t>噪声主要来源于设备产生的噪声，</w:t>
      </w:r>
      <w:r>
        <w:rPr>
          <w:rFonts w:hint="eastAsia"/>
          <w:sz w:val="24"/>
          <w:szCs w:val="24"/>
        </w:rPr>
        <w:t>通过选用低噪音设备、合理布置设备位置，针对噪声源位置及特点分别采取隔音、减震、消声等措施，产生的噪声对周边环境影响较小</w:t>
      </w:r>
    </w:p>
    <w:p>
      <w:pPr>
        <w:keepNext/>
        <w:keepLines/>
        <w:pageBreakBefore w:val="0"/>
        <w:widowControl w:val="0"/>
        <w:kinsoku/>
        <w:wordWrap/>
        <w:overflowPunct/>
        <w:topLinePunct w:val="0"/>
        <w:autoSpaceDE/>
        <w:autoSpaceDN/>
        <w:bidi w:val="0"/>
        <w:adjustRightInd/>
        <w:snapToGrid/>
        <w:textAlignment w:val="auto"/>
        <w:outlineLvl w:val="9"/>
        <w:rPr>
          <w:b/>
          <w:bCs/>
          <w:sz w:val="24"/>
          <w:szCs w:val="24"/>
        </w:rPr>
      </w:pPr>
      <w:r>
        <w:rPr>
          <w:rFonts w:hint="eastAsia"/>
          <w:b/>
          <w:bCs/>
          <w:sz w:val="24"/>
          <w:szCs w:val="24"/>
          <w:lang w:eastAsia="zh-CN"/>
        </w:rPr>
        <w:t>④</w:t>
      </w:r>
      <w:r>
        <w:rPr>
          <w:rFonts w:hint="eastAsia"/>
          <w:b/>
          <w:bCs/>
          <w:sz w:val="24"/>
          <w:szCs w:val="24"/>
        </w:rPr>
        <w:t>固体废弃物</w:t>
      </w:r>
    </w:p>
    <w:p>
      <w:pPr>
        <w:ind w:firstLine="560"/>
        <w:rPr>
          <w:sz w:val="24"/>
          <w:szCs w:val="24"/>
        </w:rPr>
      </w:pPr>
      <w:r>
        <w:rPr>
          <w:rFonts w:hint="eastAsia"/>
          <w:sz w:val="24"/>
          <w:szCs w:val="24"/>
        </w:rPr>
        <w:t>本公司产生的固体废物包括：</w:t>
      </w:r>
      <w:r>
        <w:rPr>
          <w:rFonts w:hint="eastAsia"/>
          <w:sz w:val="24"/>
          <w:szCs w:val="24"/>
          <w:lang w:eastAsia="zh-CN"/>
        </w:rPr>
        <w:t>废渣（渣泥）、除尘灰、除尘破损布袋以及员工生活垃圾</w:t>
      </w:r>
      <w:r>
        <w:rPr>
          <w:rFonts w:hint="eastAsia"/>
          <w:sz w:val="24"/>
          <w:szCs w:val="24"/>
        </w:rPr>
        <w:t>。</w:t>
      </w:r>
    </w:p>
    <w:p>
      <w:pPr>
        <w:ind w:firstLine="560"/>
        <w:rPr>
          <w:sz w:val="24"/>
          <w:szCs w:val="24"/>
        </w:rPr>
      </w:pPr>
      <w:r>
        <w:rPr>
          <w:rFonts w:hint="eastAsia"/>
          <w:sz w:val="24"/>
          <w:szCs w:val="24"/>
          <w:lang w:eastAsia="zh-CN"/>
        </w:rPr>
        <w:t>废渣（渣泥）、除尘灰自行利用加气块砖的制作，生活垃圾和除尘破损布袋由市政环卫部门统一收集处理</w:t>
      </w:r>
      <w:r>
        <w:rPr>
          <w:rFonts w:hint="eastAsia"/>
          <w:sz w:val="24"/>
          <w:szCs w:val="24"/>
        </w:rPr>
        <w:t>。</w:t>
      </w:r>
    </w:p>
    <w:p>
      <w:pPr>
        <w:pStyle w:val="5"/>
        <w:rPr>
          <w:sz w:val="24"/>
          <w:szCs w:val="24"/>
        </w:rPr>
      </w:pPr>
      <w:r>
        <w:rPr>
          <w:rFonts w:hint="eastAsia"/>
          <w:sz w:val="24"/>
          <w:szCs w:val="24"/>
        </w:rPr>
        <w:t>功能区划、环境质量标准、环境质量现状</w:t>
      </w:r>
    </w:p>
    <w:p>
      <w:pPr>
        <w:ind w:firstLine="562"/>
        <w:rPr>
          <w:b/>
          <w:sz w:val="24"/>
          <w:szCs w:val="24"/>
        </w:rPr>
      </w:pPr>
      <w:r>
        <w:rPr>
          <w:rFonts w:hint="eastAsia"/>
          <w:b/>
          <w:sz w:val="24"/>
          <w:szCs w:val="24"/>
        </w:rPr>
        <w:t>1、环境功能区划</w:t>
      </w:r>
    </w:p>
    <w:p>
      <w:pPr>
        <w:ind w:firstLine="560"/>
        <w:rPr>
          <w:sz w:val="24"/>
          <w:szCs w:val="24"/>
        </w:rPr>
      </w:pPr>
      <w:r>
        <w:rPr>
          <w:rFonts w:hint="eastAsia"/>
          <w:sz w:val="24"/>
          <w:szCs w:val="24"/>
        </w:rPr>
        <w:t>依据功能区划，本公司环境空气功能区划为二类区；废水</w:t>
      </w:r>
      <w:r>
        <w:rPr>
          <w:rFonts w:hint="eastAsia"/>
          <w:sz w:val="24"/>
          <w:szCs w:val="24"/>
          <w:lang w:eastAsia="zh-CN"/>
        </w:rPr>
        <w:t>经经谷滩污水处理厂处理后</w:t>
      </w:r>
      <w:r>
        <w:rPr>
          <w:rFonts w:hint="eastAsia"/>
          <w:sz w:val="24"/>
          <w:szCs w:val="24"/>
        </w:rPr>
        <w:t>排入</w:t>
      </w:r>
      <w:r>
        <w:rPr>
          <w:rFonts w:hint="eastAsia"/>
          <w:sz w:val="24"/>
          <w:szCs w:val="24"/>
          <w:lang w:eastAsia="zh-CN"/>
        </w:rPr>
        <w:t>赣江</w:t>
      </w:r>
      <w:r>
        <w:rPr>
          <w:rFonts w:hint="eastAsia"/>
          <w:sz w:val="24"/>
          <w:szCs w:val="24"/>
        </w:rPr>
        <w:t>，该水体执行Ⅲ类水体标准；声功能区划为3类区。</w:t>
      </w:r>
    </w:p>
    <w:p>
      <w:pPr>
        <w:ind w:firstLine="562"/>
        <w:rPr>
          <w:b/>
          <w:sz w:val="24"/>
          <w:szCs w:val="24"/>
        </w:rPr>
      </w:pPr>
      <w:r>
        <w:rPr>
          <w:rFonts w:hint="eastAsia"/>
          <w:b/>
          <w:sz w:val="24"/>
          <w:szCs w:val="24"/>
        </w:rPr>
        <w:t>2、环境质量标准</w:t>
      </w:r>
    </w:p>
    <w:p>
      <w:pPr>
        <w:ind w:firstLine="560"/>
        <w:rPr>
          <w:sz w:val="24"/>
          <w:szCs w:val="24"/>
        </w:rPr>
      </w:pPr>
      <w:r>
        <w:rPr>
          <w:rFonts w:hint="eastAsia"/>
          <w:sz w:val="24"/>
          <w:szCs w:val="24"/>
        </w:rPr>
        <w:t>环境空气执行《环境空气质量标准》(GB</w:t>
      </w:r>
      <w:r>
        <w:rPr>
          <w:sz w:val="24"/>
          <w:szCs w:val="24"/>
        </w:rPr>
        <w:t xml:space="preserve"> </w:t>
      </w:r>
      <w:r>
        <w:rPr>
          <w:rFonts w:hint="eastAsia"/>
          <w:sz w:val="24"/>
          <w:szCs w:val="24"/>
        </w:rPr>
        <w:t>3095-2012)中二级标准要求，水</w:t>
      </w:r>
      <w:r>
        <w:rPr>
          <w:rFonts w:hint="eastAsia"/>
          <w:sz w:val="24"/>
          <w:szCs w:val="24"/>
          <w:lang w:eastAsia="zh-CN"/>
        </w:rPr>
        <w:t>环境</w:t>
      </w:r>
      <w:r>
        <w:rPr>
          <w:rFonts w:hint="eastAsia"/>
          <w:sz w:val="24"/>
          <w:szCs w:val="24"/>
        </w:rPr>
        <w:t>执行《地表水环境质量标准》(GB</w:t>
      </w:r>
      <w:r>
        <w:rPr>
          <w:sz w:val="24"/>
          <w:szCs w:val="24"/>
        </w:rPr>
        <w:t xml:space="preserve"> </w:t>
      </w:r>
      <w:r>
        <w:rPr>
          <w:rFonts w:hint="eastAsia"/>
          <w:sz w:val="24"/>
          <w:szCs w:val="24"/>
        </w:rPr>
        <w:t>3838-2002)中Ⅲ类水域水质要求，噪声</w:t>
      </w:r>
      <w:r>
        <w:rPr>
          <w:rFonts w:hint="eastAsia"/>
          <w:sz w:val="24"/>
          <w:szCs w:val="24"/>
          <w:lang w:eastAsia="zh-CN"/>
        </w:rPr>
        <w:t>环境</w:t>
      </w:r>
      <w:r>
        <w:rPr>
          <w:rFonts w:hint="eastAsia"/>
          <w:sz w:val="24"/>
          <w:szCs w:val="24"/>
        </w:rPr>
        <w:t>执行《声环境质量标准》(GB</w:t>
      </w:r>
      <w:r>
        <w:rPr>
          <w:sz w:val="24"/>
          <w:szCs w:val="24"/>
        </w:rPr>
        <w:t xml:space="preserve"> </w:t>
      </w:r>
      <w:r>
        <w:rPr>
          <w:rFonts w:hint="eastAsia"/>
          <w:sz w:val="24"/>
          <w:szCs w:val="24"/>
        </w:rPr>
        <w:t>3096-2008)中</w:t>
      </w:r>
      <w:r>
        <w:rPr>
          <w:sz w:val="24"/>
          <w:szCs w:val="24"/>
        </w:rPr>
        <w:t>3</w:t>
      </w:r>
      <w:r>
        <w:rPr>
          <w:rFonts w:hint="eastAsia"/>
          <w:sz w:val="24"/>
          <w:szCs w:val="24"/>
        </w:rPr>
        <w:t>类标准要求.</w:t>
      </w:r>
    </w:p>
    <w:p>
      <w:pPr>
        <w:ind w:firstLine="562"/>
        <w:rPr>
          <w:b/>
          <w:sz w:val="24"/>
          <w:szCs w:val="24"/>
        </w:rPr>
      </w:pPr>
      <w:r>
        <w:rPr>
          <w:rFonts w:hint="eastAsia"/>
          <w:b/>
          <w:sz w:val="24"/>
          <w:szCs w:val="24"/>
        </w:rPr>
        <w:t>3、环境质量现状</w:t>
      </w:r>
    </w:p>
    <w:p>
      <w:pPr>
        <w:ind w:firstLine="560"/>
        <w:rPr>
          <w:sz w:val="24"/>
          <w:szCs w:val="24"/>
        </w:rPr>
      </w:pPr>
      <w:r>
        <w:rPr>
          <w:rFonts w:hint="eastAsia"/>
          <w:sz w:val="24"/>
          <w:szCs w:val="24"/>
          <w:lang w:eastAsia="zh-CN"/>
        </w:rPr>
        <w:t>根据江西省生态环境厅发布的</w:t>
      </w:r>
      <w:r>
        <w:rPr>
          <w:rFonts w:hint="eastAsia"/>
          <w:sz w:val="24"/>
          <w:szCs w:val="24"/>
          <w:lang w:val="en-US" w:eastAsia="zh-CN"/>
        </w:rPr>
        <w:t>2018年江西省各县（市、区）六项污染物浓度年均值中南昌市数据</w:t>
      </w:r>
      <w:r>
        <w:rPr>
          <w:rFonts w:hint="eastAsia"/>
          <w:sz w:val="24"/>
          <w:szCs w:val="24"/>
        </w:rPr>
        <w:t>，环境空气现状因子均可满足《环境空气质量标准》（GB 3095-2012）中二级标准要求，环境空气质量现状良好；</w:t>
      </w:r>
      <w:r>
        <w:rPr>
          <w:rFonts w:hint="eastAsia"/>
          <w:sz w:val="24"/>
          <w:szCs w:val="24"/>
          <w:lang w:eastAsia="zh-CN"/>
        </w:rPr>
        <w:t>根据南昌市生态环境局公布的《</w:t>
      </w:r>
      <w:r>
        <w:rPr>
          <w:rFonts w:hint="eastAsia"/>
          <w:sz w:val="24"/>
          <w:szCs w:val="24"/>
          <w:lang w:val="en-US" w:eastAsia="zh-CN"/>
        </w:rPr>
        <w:t>2018年南昌市环境质量概况</w:t>
      </w:r>
      <w:r>
        <w:rPr>
          <w:rFonts w:hint="eastAsia"/>
          <w:sz w:val="24"/>
          <w:szCs w:val="24"/>
          <w:lang w:eastAsia="zh-CN"/>
        </w:rPr>
        <w:t>》，</w:t>
      </w:r>
      <w:r>
        <w:rPr>
          <w:rFonts w:hint="eastAsia"/>
          <w:sz w:val="24"/>
          <w:szCs w:val="24"/>
          <w:lang w:val="en-US" w:eastAsia="zh-CN"/>
        </w:rPr>
        <w:t>2018年南昌市集中式生活饮用水源地水质达到Ⅱ类水质标准，</w:t>
      </w:r>
      <w:r>
        <w:rPr>
          <w:rFonts w:hint="eastAsia"/>
          <w:sz w:val="24"/>
          <w:szCs w:val="24"/>
        </w:rPr>
        <w:t>满足《地表水环境质量标准》(GB 3838-2002)规定的Ⅲ类水体标准要求，未出现超标现象，水质</w:t>
      </w:r>
      <w:r>
        <w:rPr>
          <w:rFonts w:hint="eastAsia"/>
          <w:sz w:val="24"/>
          <w:szCs w:val="24"/>
          <w:lang w:eastAsia="zh-CN"/>
        </w:rPr>
        <w:t>状况优</w:t>
      </w:r>
      <w:r>
        <w:rPr>
          <w:rFonts w:hint="eastAsia"/>
          <w:sz w:val="24"/>
          <w:szCs w:val="24"/>
        </w:rPr>
        <w:t>。引用《</w:t>
      </w:r>
      <w:r>
        <w:rPr>
          <w:rFonts w:hint="eastAsia"/>
          <w:sz w:val="24"/>
          <w:szCs w:val="24"/>
          <w:lang w:eastAsia="zh-CN"/>
        </w:rPr>
        <w:t>南昌慧华高科混凝土有限公司监测报告表</w:t>
      </w:r>
      <w:r>
        <w:rPr>
          <w:rFonts w:hint="eastAsia"/>
          <w:sz w:val="24"/>
          <w:szCs w:val="24"/>
        </w:rPr>
        <w:t>》</w:t>
      </w:r>
      <w:r>
        <w:rPr>
          <w:rFonts w:hint="eastAsia"/>
          <w:sz w:val="24"/>
          <w:szCs w:val="24"/>
          <w:lang w:eastAsia="zh-CN"/>
        </w:rPr>
        <w:t>中检测</w:t>
      </w:r>
      <w:r>
        <w:rPr>
          <w:rFonts w:hint="eastAsia"/>
          <w:sz w:val="24"/>
          <w:szCs w:val="24"/>
        </w:rPr>
        <w:t>数据，厂界四周噪声监测结果均能满足《声环境质量标准》（GB 3096-2008）中3类区标准要求，声环境功能现状良好。</w:t>
      </w:r>
    </w:p>
    <w:p>
      <w:pPr>
        <w:pStyle w:val="5"/>
        <w:rPr>
          <w:sz w:val="24"/>
          <w:szCs w:val="24"/>
        </w:rPr>
      </w:pPr>
      <w:r>
        <w:rPr>
          <w:rFonts w:hint="eastAsia"/>
          <w:sz w:val="24"/>
          <w:szCs w:val="24"/>
        </w:rPr>
        <w:t>周边环境敏感点</w:t>
      </w:r>
    </w:p>
    <w:p>
      <w:pPr>
        <w:ind w:firstLine="562"/>
        <w:rPr>
          <w:rFonts w:hint="eastAsia" w:eastAsia="宋体"/>
          <w:b/>
          <w:sz w:val="24"/>
          <w:szCs w:val="24"/>
          <w:lang w:eastAsia="zh-CN"/>
        </w:rPr>
      </w:pPr>
      <w:r>
        <w:rPr>
          <w:rFonts w:hint="eastAsia"/>
          <w:b/>
          <w:sz w:val="24"/>
          <w:szCs w:val="24"/>
        </w:rPr>
        <w:t>1、</w:t>
      </w:r>
      <w:r>
        <w:rPr>
          <w:rFonts w:hint="eastAsia"/>
          <w:b/>
          <w:sz w:val="24"/>
          <w:szCs w:val="24"/>
          <w:lang w:eastAsia="zh-CN"/>
        </w:rPr>
        <w:t>企业周边环境风险受体情况</w:t>
      </w:r>
    </w:p>
    <w:p>
      <w:pPr>
        <w:keepNext w:val="0"/>
        <w:keepLines w:val="0"/>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环境风险受体分为大气环境风险受体、水环境风险受体。其中，大气环境风险受体主要包括：居住、医疗卫生、文化教育、科研、行政办公、重要基础设施、企业等主要功能区域内的人群、保护单位、植被等，按人口数量进行指标量化；水环境风险受体主要包括：饮用水水源保护区、自来水厂取水口、自然保护区、重要湿地、特殊生态系统、水产养殖区、鱼虾产卵场、天然渔场等区域，可按其脆弱性和敏感性进行级别划分。</w:t>
      </w:r>
    </w:p>
    <w:p>
      <w:pPr>
        <w:keepNext w:val="0"/>
        <w:keepLines w:val="0"/>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现对周边环境受体进行现场调查，识别了水环境、声环境和大气环境保护目标</w:t>
      </w:r>
      <w:r>
        <w:rPr>
          <w:rFonts w:hint="eastAsia"/>
          <w:sz w:val="24"/>
          <w:szCs w:val="24"/>
          <w:lang w:eastAsia="zh-CN"/>
        </w:rPr>
        <w:t>，</w:t>
      </w:r>
      <w:r>
        <w:rPr>
          <w:rFonts w:hint="eastAsia"/>
          <w:sz w:val="24"/>
          <w:szCs w:val="24"/>
        </w:rPr>
        <w:t>详见</w:t>
      </w:r>
      <w:r>
        <w:rPr>
          <w:sz w:val="24"/>
          <w:szCs w:val="24"/>
        </w:rPr>
        <w:fldChar w:fldCharType="begin"/>
      </w:r>
      <w:r>
        <w:rPr>
          <w:sz w:val="24"/>
          <w:szCs w:val="24"/>
        </w:rPr>
        <w:instrText xml:space="preserve"> </w:instrText>
      </w:r>
      <w:r>
        <w:rPr>
          <w:rFonts w:hint="eastAsia"/>
          <w:sz w:val="24"/>
          <w:szCs w:val="24"/>
        </w:rPr>
        <w:instrText xml:space="preserve">REF _Ref526604123 \h</w:instrText>
      </w:r>
      <w:r>
        <w:rPr>
          <w:sz w:val="24"/>
          <w:szCs w:val="24"/>
        </w:rPr>
        <w:instrText xml:space="preserve"> </w:instrText>
      </w:r>
      <w:r>
        <w:rPr>
          <w:sz w:val="24"/>
          <w:szCs w:val="24"/>
        </w:rPr>
        <w:fldChar w:fldCharType="separate"/>
      </w:r>
      <w:r>
        <w:rPr>
          <w:rFonts w:hint="eastAsia"/>
          <w:sz w:val="24"/>
          <w:szCs w:val="24"/>
        </w:rPr>
        <w:t xml:space="preserve">表 </w:t>
      </w:r>
      <w:r>
        <w:rPr>
          <w:rFonts w:hint="eastAsia"/>
          <w:sz w:val="24"/>
          <w:szCs w:val="24"/>
          <w:lang w:val="en-US" w:eastAsia="zh-CN"/>
        </w:rPr>
        <w:t>2</w:t>
      </w:r>
      <w:r>
        <w:rPr>
          <w:sz w:val="24"/>
          <w:szCs w:val="24"/>
        </w:rPr>
        <w:fldChar w:fldCharType="end"/>
      </w:r>
      <w:r>
        <w:rPr>
          <w:rFonts w:hint="eastAsia"/>
          <w:sz w:val="24"/>
          <w:szCs w:val="24"/>
          <w:lang w:val="en-US" w:eastAsia="zh-CN"/>
        </w:rPr>
        <w:t>-4</w:t>
      </w:r>
      <w:r>
        <w:rPr>
          <w:rFonts w:hint="eastAsia"/>
          <w:sz w:val="24"/>
          <w:szCs w:val="24"/>
        </w:rPr>
        <w:t>，</w:t>
      </w:r>
      <w:r>
        <w:rPr>
          <w:rFonts w:hint="eastAsia"/>
          <w:sz w:val="24"/>
          <w:szCs w:val="24"/>
          <w:lang w:eastAsia="zh-CN"/>
        </w:rPr>
        <w:t>环境保护目标图</w:t>
      </w:r>
      <w:r>
        <w:rPr>
          <w:rFonts w:hint="eastAsia"/>
          <w:sz w:val="24"/>
          <w:szCs w:val="24"/>
        </w:rPr>
        <w:t>详见附图</w:t>
      </w:r>
      <w:r>
        <w:rPr>
          <w:sz w:val="24"/>
          <w:szCs w:val="24"/>
        </w:rPr>
        <w:t>3</w:t>
      </w:r>
      <w:r>
        <w:rPr>
          <w:rFonts w:hint="eastAsia"/>
          <w:sz w:val="24"/>
          <w:szCs w:val="24"/>
          <w:lang w:val="en-US" w:eastAsia="zh-CN"/>
        </w:rPr>
        <w:t xml:space="preserve"> 周边敏感点分布图</w:t>
      </w:r>
      <w:r>
        <w:rPr>
          <w:rFonts w:hint="eastAsia"/>
          <w:sz w:val="24"/>
          <w:szCs w:val="24"/>
        </w:rPr>
        <w:t>。</w:t>
      </w:r>
    </w:p>
    <w:p>
      <w:pPr>
        <w:pStyle w:val="7"/>
        <w:keepNext/>
        <w:rPr>
          <w:b/>
          <w:bCs/>
          <w:sz w:val="24"/>
          <w:szCs w:val="24"/>
        </w:rPr>
      </w:pPr>
      <w:bookmarkStart w:id="11" w:name="_Ref526604123"/>
      <w:r>
        <w:rPr>
          <w:rFonts w:hint="eastAsia"/>
          <w:b/>
          <w:bCs/>
          <w:sz w:val="24"/>
          <w:szCs w:val="24"/>
        </w:rPr>
        <w:t xml:space="preserve">表 </w:t>
      </w:r>
      <w:bookmarkEnd w:id="11"/>
      <w:r>
        <w:rPr>
          <w:rFonts w:hint="eastAsia"/>
          <w:b/>
          <w:bCs/>
          <w:sz w:val="24"/>
          <w:szCs w:val="24"/>
          <w:lang w:val="en-US" w:eastAsia="zh-CN"/>
        </w:rPr>
        <w:t>2-4</w:t>
      </w:r>
      <w:r>
        <w:rPr>
          <w:rFonts w:hint="eastAsia"/>
          <w:b/>
          <w:bCs/>
          <w:sz w:val="24"/>
          <w:szCs w:val="24"/>
          <w:lang w:eastAsia="zh-CN"/>
        </w:rPr>
        <w:t>环境保护目标分布</w:t>
      </w:r>
      <w:r>
        <w:rPr>
          <w:rFonts w:hint="eastAsia"/>
          <w:b/>
          <w:bCs/>
          <w:sz w:val="24"/>
          <w:szCs w:val="24"/>
        </w:rPr>
        <w:t>一览表</w:t>
      </w:r>
    </w:p>
    <w:tbl>
      <w:tblPr>
        <w:tblStyle w:val="16"/>
        <w:tblW w:w="4996"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76"/>
        <w:gridCol w:w="3061"/>
        <w:gridCol w:w="2172"/>
        <w:gridCol w:w="1507"/>
        <w:gridCol w:w="152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blHeader/>
          <w:jc w:val="center"/>
        </w:trPr>
        <w:tc>
          <w:tcPr>
            <w:tcW w:w="576" w:type="pct"/>
            <w:shd w:val="clear" w:color="auto" w:fill="auto"/>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Times New Roman"/>
                <w:color w:val="000000"/>
                <w:kern w:val="0"/>
                <w:sz w:val="21"/>
                <w:szCs w:val="21"/>
              </w:rPr>
            </w:pPr>
            <w:r>
              <w:rPr>
                <w:rFonts w:cs="Times New Roman"/>
                <w:color w:val="000000"/>
                <w:kern w:val="0"/>
                <w:sz w:val="21"/>
                <w:szCs w:val="21"/>
              </w:rPr>
              <w:t>序号</w:t>
            </w:r>
          </w:p>
        </w:tc>
        <w:tc>
          <w:tcPr>
            <w:tcW w:w="1639" w:type="pct"/>
            <w:shd w:val="clear" w:color="auto" w:fill="auto"/>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Times New Roman"/>
                <w:color w:val="000000"/>
                <w:kern w:val="0"/>
                <w:sz w:val="21"/>
                <w:szCs w:val="21"/>
              </w:rPr>
            </w:pPr>
            <w:r>
              <w:rPr>
                <w:rFonts w:hint="eastAsia" w:cs="Times New Roman"/>
                <w:color w:val="000000"/>
                <w:kern w:val="0"/>
                <w:sz w:val="21"/>
                <w:szCs w:val="21"/>
                <w:lang w:eastAsia="zh-CN"/>
              </w:rPr>
              <w:t>环境</w:t>
            </w:r>
            <w:r>
              <w:rPr>
                <w:rFonts w:cs="Times New Roman"/>
                <w:color w:val="000000"/>
                <w:kern w:val="0"/>
                <w:sz w:val="21"/>
                <w:szCs w:val="21"/>
              </w:rPr>
              <w:t>保护对象</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Times New Roman"/>
                <w:color w:val="000000"/>
                <w:kern w:val="0"/>
                <w:sz w:val="21"/>
                <w:szCs w:val="21"/>
                <w:lang w:eastAsia="zh-CN"/>
              </w:rPr>
            </w:pPr>
            <w:r>
              <w:rPr>
                <w:rFonts w:hint="eastAsia" w:cs="Times New Roman"/>
                <w:color w:val="000000"/>
                <w:kern w:val="0"/>
                <w:sz w:val="21"/>
                <w:szCs w:val="21"/>
              </w:rPr>
              <w:t>规模</w:t>
            </w:r>
            <w:r>
              <w:rPr>
                <w:rFonts w:hint="eastAsia" w:cs="Times New Roman"/>
                <w:color w:val="000000"/>
                <w:kern w:val="0"/>
                <w:sz w:val="21"/>
                <w:szCs w:val="21"/>
                <w:lang w:eastAsia="zh-CN"/>
              </w:rPr>
              <w:t>（人）</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Times New Roman"/>
                <w:color w:val="000000"/>
                <w:kern w:val="0"/>
                <w:sz w:val="21"/>
                <w:szCs w:val="21"/>
              </w:rPr>
            </w:pPr>
            <w:r>
              <w:rPr>
                <w:rFonts w:cs="Times New Roman"/>
                <w:color w:val="000000"/>
                <w:kern w:val="0"/>
                <w:sz w:val="21"/>
                <w:szCs w:val="21"/>
              </w:rPr>
              <w:t>方位</w:t>
            </w:r>
          </w:p>
        </w:tc>
        <w:tc>
          <w:tcPr>
            <w:tcW w:w="814" w:type="pct"/>
            <w:shd w:val="clear" w:color="auto" w:fill="auto"/>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Times New Roman"/>
                <w:color w:val="000000"/>
                <w:kern w:val="0"/>
                <w:sz w:val="21"/>
                <w:szCs w:val="21"/>
              </w:rPr>
            </w:pPr>
            <w:r>
              <w:rPr>
                <w:rFonts w:cs="Times New Roman"/>
                <w:color w:val="000000"/>
                <w:kern w:val="0"/>
                <w:sz w:val="21"/>
                <w:szCs w:val="21"/>
              </w:rPr>
              <w:t>距离（m）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ascii="Times New Roman" w:hAnsi="Times New Roman" w:eastAsia="宋体" w:cs="Times New Roman"/>
                <w:color w:val="000000"/>
                <w:kern w:val="0"/>
                <w:sz w:val="21"/>
                <w:szCs w:val="21"/>
                <w:lang w:val="en-US" w:eastAsia="zh-CN" w:bidi="ar-SA"/>
              </w:rPr>
            </w:pPr>
            <w:r>
              <w:rPr>
                <w:rFonts w:cs="Times New Roman"/>
                <w:color w:val="000000"/>
                <w:kern w:val="0"/>
                <w:sz w:val="21"/>
                <w:szCs w:val="21"/>
              </w:rPr>
              <w:t>1</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润碧康城</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160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398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ascii="Times New Roman" w:hAnsi="Times New Roman" w:eastAsia="宋体" w:cs="Times New Roman"/>
                <w:color w:val="000000"/>
                <w:kern w:val="0"/>
                <w:sz w:val="21"/>
                <w:szCs w:val="21"/>
                <w:lang w:val="en-US" w:eastAsia="zh-CN" w:bidi="ar-SA"/>
              </w:rPr>
            </w:pPr>
            <w:r>
              <w:rPr>
                <w:rFonts w:cs="Times New Roman"/>
                <w:color w:val="000000"/>
                <w:kern w:val="0"/>
                <w:sz w:val="21"/>
                <w:szCs w:val="21"/>
              </w:rPr>
              <w:t>2</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金桥慧景</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2000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西北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154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ascii="Times New Roman" w:hAnsi="Times New Roman" w:eastAsia="宋体" w:cs="Times New Roman"/>
                <w:color w:val="000000"/>
                <w:kern w:val="0"/>
                <w:sz w:val="21"/>
                <w:szCs w:val="21"/>
                <w:lang w:val="en-US" w:eastAsia="zh-CN" w:bidi="ar-SA"/>
              </w:rPr>
            </w:pPr>
            <w:r>
              <w:rPr>
                <w:rFonts w:cs="Times New Roman"/>
                <w:color w:val="000000"/>
                <w:kern w:val="0"/>
                <w:sz w:val="21"/>
                <w:szCs w:val="21"/>
              </w:rPr>
              <w:t>3</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农民公寓</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200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263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ascii="Times New Roman" w:hAnsi="Times New Roman" w:eastAsia="宋体" w:cs="Times New Roman"/>
                <w:color w:val="000000"/>
                <w:kern w:val="0"/>
                <w:sz w:val="21"/>
                <w:szCs w:val="21"/>
                <w:lang w:val="en-US" w:eastAsia="zh-CN" w:bidi="ar-SA"/>
              </w:rPr>
            </w:pPr>
            <w:r>
              <w:rPr>
                <w:rFonts w:cs="Times New Roman"/>
                <w:color w:val="000000"/>
                <w:kern w:val="0"/>
                <w:sz w:val="21"/>
                <w:szCs w:val="21"/>
              </w:rPr>
              <w:t>4</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公园一号</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300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东</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653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ascii="Times New Roman" w:hAnsi="Times New Roman" w:eastAsia="宋体" w:cs="Times New Roman"/>
                <w:color w:val="000000"/>
                <w:kern w:val="0"/>
                <w:sz w:val="21"/>
                <w:szCs w:val="21"/>
                <w:lang w:val="en-US" w:eastAsia="zh-CN" w:bidi="ar-SA"/>
              </w:rPr>
            </w:pPr>
            <w:r>
              <w:rPr>
                <w:rFonts w:cs="Times New Roman"/>
                <w:color w:val="000000"/>
                <w:kern w:val="0"/>
                <w:sz w:val="21"/>
                <w:szCs w:val="21"/>
              </w:rPr>
              <w:t>5</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南昌市第一中等专科学校</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6000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东北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272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rPr>
              <w:t>6</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江西财经大学</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30000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445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rPr>
              <w:t>7</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厚溪陈家</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154</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西南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957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rPr>
              <w:t>8</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东华理工大学</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200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西南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1100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rPr>
              <w:t>9</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范家新村</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2000</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西南</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1049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576"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rPr>
              <w:t>10</w:t>
            </w:r>
          </w:p>
        </w:tc>
        <w:tc>
          <w:tcPr>
            <w:tcW w:w="1639"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赣江北支</w:t>
            </w:r>
          </w:p>
        </w:tc>
        <w:tc>
          <w:tcPr>
            <w:tcW w:w="1163"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大河</w:t>
            </w:r>
          </w:p>
        </w:tc>
        <w:tc>
          <w:tcPr>
            <w:tcW w:w="807"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东</w:t>
            </w:r>
          </w:p>
        </w:tc>
        <w:tc>
          <w:tcPr>
            <w:tcW w:w="814" w:type="pct"/>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lang w:val="en-US" w:eastAsia="zh-CN" w:bidi="ar-SA"/>
              </w:rPr>
              <w:t>3100</w:t>
            </w:r>
          </w:p>
        </w:tc>
      </w:tr>
    </w:tbl>
    <w:p>
      <w:pPr>
        <w:keepNext w:val="0"/>
        <w:keepLines w:val="0"/>
        <w:pageBreakBefore w:val="0"/>
        <w:widowControl w:val="0"/>
        <w:kinsoku/>
        <w:wordWrap/>
        <w:overflowPunct/>
        <w:topLinePunct w:val="0"/>
        <w:autoSpaceDE/>
        <w:autoSpaceDN/>
        <w:bidi w:val="0"/>
        <w:adjustRightInd/>
        <w:snapToGrid/>
        <w:spacing w:line="336" w:lineRule="auto"/>
        <w:ind w:firstLine="560"/>
        <w:textAlignment w:val="auto"/>
        <w:rPr>
          <w:sz w:val="24"/>
          <w:szCs w:val="24"/>
        </w:rPr>
      </w:pPr>
      <w:bookmarkStart w:id="12" w:name="_Hlk526951095"/>
      <w:r>
        <w:rPr>
          <w:rFonts w:hint="eastAsia" w:ascii="Times New Roman" w:hAnsi="Times New Roman"/>
          <w:sz w:val="24"/>
          <w:szCs w:val="24"/>
        </w:rPr>
        <w:t>企业周边5公里范围内居住区、医疗卫生机构、文化教育机构、科研单位、行政机关、企事业单位、商场、公园等人口总数5万人以上，或企业周边500米范围内人口总数1000人以上</w:t>
      </w:r>
      <w:r>
        <w:rPr>
          <w:rFonts w:hint="eastAsia" w:ascii="Times New Roman" w:hAnsi="Times New Roman"/>
          <w:sz w:val="24"/>
          <w:szCs w:val="24"/>
          <w:lang w:val="en-US" w:eastAsia="zh-CN"/>
        </w:rPr>
        <w:t>；</w:t>
      </w:r>
      <w:r>
        <w:rPr>
          <w:rFonts w:hint="eastAsia" w:ascii="Times New Roman" w:hAnsi="Times New Roman"/>
          <w:sz w:val="24"/>
          <w:szCs w:val="24"/>
        </w:rPr>
        <w:t>参照《企业突发环境事件风险分级方法》表4（即</w:t>
      </w:r>
      <w:r>
        <w:rPr>
          <w:rFonts w:hint="eastAsia" w:ascii="Times New Roman" w:hAnsi="Times New Roman"/>
          <w:sz w:val="24"/>
          <w:szCs w:val="24"/>
        </w:rPr>
        <w:fldChar w:fldCharType="begin"/>
      </w:r>
      <w:r>
        <w:rPr>
          <w:rFonts w:hint="eastAsia" w:ascii="Times New Roman" w:hAnsi="Times New Roman"/>
          <w:sz w:val="24"/>
          <w:szCs w:val="24"/>
        </w:rPr>
        <w:instrText xml:space="preserve"> REF _Ref526621239 \h </w:instrText>
      </w:r>
      <w:r>
        <w:rPr>
          <w:rFonts w:hint="eastAsia" w:ascii="Times New Roman" w:hAnsi="Times New Roman"/>
          <w:sz w:val="24"/>
          <w:szCs w:val="24"/>
        </w:rPr>
        <w:fldChar w:fldCharType="separate"/>
      </w:r>
      <w:r>
        <w:rPr>
          <w:rFonts w:hint="eastAsia" w:ascii="Times New Roman" w:hAnsi="Times New Roman"/>
          <w:sz w:val="24"/>
          <w:szCs w:val="24"/>
        </w:rPr>
        <w:t xml:space="preserve">表 </w:t>
      </w:r>
      <w:r>
        <w:rPr>
          <w:rFonts w:hint="eastAsia" w:ascii="Times New Roman" w:hAnsi="Times New Roman"/>
          <w:sz w:val="24"/>
          <w:szCs w:val="24"/>
          <w:lang w:val="en-US" w:eastAsia="zh-CN"/>
        </w:rPr>
        <w:t>2</w:t>
      </w:r>
      <w:r>
        <w:rPr>
          <w:rFonts w:hint="eastAsia" w:ascii="Times New Roman" w:hAnsi="Times New Roman"/>
          <w:sz w:val="24"/>
          <w:szCs w:val="24"/>
        </w:rPr>
        <w:fldChar w:fldCharType="end"/>
      </w:r>
      <w:r>
        <w:rPr>
          <w:rFonts w:hint="eastAsia" w:ascii="Times New Roman" w:hAnsi="Times New Roman"/>
          <w:sz w:val="24"/>
          <w:szCs w:val="24"/>
          <w:lang w:val="en-US" w:eastAsia="zh-CN"/>
        </w:rPr>
        <w:t>-</w:t>
      </w:r>
      <w:r>
        <w:rPr>
          <w:rFonts w:hint="eastAsia"/>
          <w:sz w:val="24"/>
          <w:szCs w:val="24"/>
          <w:lang w:val="en-US" w:eastAsia="zh-CN"/>
        </w:rPr>
        <w:t>5</w:t>
      </w:r>
      <w:r>
        <w:rPr>
          <w:rFonts w:hint="eastAsia" w:ascii="Times New Roman" w:hAnsi="Times New Roman"/>
          <w:sz w:val="24"/>
          <w:szCs w:val="24"/>
        </w:rPr>
        <w:t>），大气环境风险受体敏感程度类型划分，本公司大气环境风险受体为E</w:t>
      </w:r>
      <w:r>
        <w:rPr>
          <w:rFonts w:hint="eastAsia" w:ascii="Times New Roman" w:hAnsi="Times New Roman"/>
          <w:sz w:val="24"/>
          <w:szCs w:val="24"/>
          <w:lang w:val="en-US" w:eastAsia="zh-CN"/>
        </w:rPr>
        <w:t>1</w:t>
      </w:r>
      <w:r>
        <w:rPr>
          <w:rFonts w:hint="eastAsia" w:ascii="Times New Roman" w:hAnsi="Times New Roman"/>
          <w:sz w:val="24"/>
          <w:szCs w:val="24"/>
        </w:rPr>
        <w:t>型</w:t>
      </w:r>
      <w:r>
        <w:rPr>
          <w:rFonts w:hint="eastAsia"/>
          <w:sz w:val="24"/>
          <w:szCs w:val="24"/>
        </w:rPr>
        <w:t>。</w:t>
      </w:r>
    </w:p>
    <w:bookmarkEnd w:id="12"/>
    <w:p>
      <w:pPr>
        <w:pStyle w:val="7"/>
        <w:keepNext/>
        <w:rPr>
          <w:b/>
          <w:bCs/>
          <w:sz w:val="24"/>
          <w:szCs w:val="24"/>
        </w:rPr>
      </w:pPr>
      <w:bookmarkStart w:id="13" w:name="_Ref526621239"/>
      <w:r>
        <w:rPr>
          <w:rFonts w:hint="eastAsia"/>
          <w:b/>
          <w:bCs/>
          <w:sz w:val="24"/>
          <w:szCs w:val="24"/>
        </w:rPr>
        <w:t xml:space="preserve">表 </w:t>
      </w:r>
      <w:bookmarkEnd w:id="13"/>
      <w:r>
        <w:rPr>
          <w:rFonts w:hint="eastAsia"/>
          <w:b/>
          <w:bCs/>
          <w:sz w:val="24"/>
          <w:szCs w:val="24"/>
          <w:lang w:val="en-US" w:eastAsia="zh-CN"/>
        </w:rPr>
        <w:t>2-5</w:t>
      </w:r>
      <w:r>
        <w:rPr>
          <w:rFonts w:hint="eastAsia"/>
          <w:b/>
          <w:bCs/>
          <w:sz w:val="24"/>
          <w:szCs w:val="24"/>
        </w:rPr>
        <w:t>企业周边大气环境风险受体情况划分</w:t>
      </w:r>
    </w:p>
    <w:tbl>
      <w:tblPr>
        <w:tblStyle w:val="16"/>
        <w:tblW w:w="5000" w:type="pct"/>
        <w:jc w:val="cente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autofit"/>
        <w:tblCellMar>
          <w:top w:w="0" w:type="dxa"/>
          <w:left w:w="108" w:type="dxa"/>
          <w:bottom w:w="0" w:type="dxa"/>
          <w:right w:w="108" w:type="dxa"/>
        </w:tblCellMar>
      </w:tblPr>
      <w:tblGrid>
        <w:gridCol w:w="1076"/>
        <w:gridCol w:w="8268"/>
      </w:tblGrid>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tblHeader/>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类别</w:t>
            </w:r>
          </w:p>
        </w:tc>
        <w:tc>
          <w:tcPr>
            <w:tcW w:w="4424"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大气环境风险受体</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类型1（E1）</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1、企业周边5公里范围内居住区、医疗卫生机构、文化教育机构、科研单位、行政机关、企事业单位、商场、公园等人口总数5万人以上，或企业周边500米范围内人口总数1000人以上；</w:t>
            </w:r>
          </w:p>
          <w:p>
            <w:pPr>
              <w:widowControl/>
              <w:spacing w:line="240" w:lineRule="auto"/>
              <w:ind w:firstLine="0" w:firstLineChars="0"/>
              <w:jc w:val="left"/>
              <w:rPr>
                <w:rFonts w:cs="Times New Roman"/>
                <w:color w:val="000000"/>
                <w:kern w:val="0"/>
                <w:sz w:val="21"/>
                <w:szCs w:val="21"/>
              </w:rPr>
            </w:pPr>
            <w:r>
              <w:rPr>
                <w:rFonts w:cs="Times New Roman"/>
                <w:color w:val="000000"/>
                <w:kern w:val="0"/>
                <w:sz w:val="21"/>
                <w:szCs w:val="21"/>
              </w:rPr>
              <w:t>2</w:t>
            </w:r>
            <w:r>
              <w:rPr>
                <w:rFonts w:hint="eastAsia" w:cs="Times New Roman"/>
                <w:color w:val="000000"/>
                <w:kern w:val="0"/>
                <w:sz w:val="21"/>
                <w:szCs w:val="21"/>
              </w:rPr>
              <w:t>、或企业周边5公里涉及军事禁区、军事管理区、国家相关保密区域。</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类型2（E2）</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1、企业周边5公里范围内居住区、医疗卫生机构、文化教育机构、科研单位、行政机关、企事业单位、商场、公园等人口总数1万人以上、5万人以下；</w:t>
            </w:r>
          </w:p>
          <w:p>
            <w:pPr>
              <w:widowControl/>
              <w:spacing w:line="240" w:lineRule="auto"/>
              <w:ind w:firstLine="0" w:firstLineChars="0"/>
              <w:jc w:val="left"/>
              <w:rPr>
                <w:rFonts w:cs="Times New Roman"/>
                <w:color w:val="000000"/>
                <w:kern w:val="0"/>
                <w:sz w:val="21"/>
                <w:szCs w:val="21"/>
              </w:rPr>
            </w:pPr>
            <w:r>
              <w:rPr>
                <w:rFonts w:cs="Times New Roman"/>
                <w:color w:val="000000"/>
                <w:kern w:val="0"/>
                <w:sz w:val="21"/>
                <w:szCs w:val="21"/>
              </w:rPr>
              <w:t>2</w:t>
            </w:r>
            <w:r>
              <w:rPr>
                <w:rFonts w:hint="eastAsia" w:cs="Times New Roman"/>
                <w:color w:val="000000"/>
                <w:kern w:val="0"/>
                <w:sz w:val="21"/>
                <w:szCs w:val="21"/>
              </w:rPr>
              <w:t>、或企业周边500米范围内人口总数500人以上、1000人以下。</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类型3（E3）</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1、企业周边5公里范围内居住区、医疗卫生机构、文化教育机构、科研单位、行政机关、企事业单位、商场、公园等人口总数1万人以下，且企业周边500米范围内人口总数500人以下。</w:t>
            </w:r>
          </w:p>
        </w:tc>
      </w:tr>
    </w:tbl>
    <w:p>
      <w:pPr>
        <w:ind w:firstLine="560"/>
        <w:rPr>
          <w:sz w:val="24"/>
          <w:szCs w:val="24"/>
        </w:rPr>
      </w:pPr>
      <w:bookmarkStart w:id="14" w:name="_Hlk526949900"/>
      <w:r>
        <w:rPr>
          <w:rFonts w:hint="eastAsia"/>
          <w:sz w:val="24"/>
          <w:szCs w:val="24"/>
        </w:rPr>
        <w:t>厂区雨污分流，雨水经雨水管网收集后直接排入厂外雨水管网；废水经</w:t>
      </w:r>
      <w:r>
        <w:rPr>
          <w:rFonts w:hint="eastAsia"/>
          <w:sz w:val="24"/>
          <w:szCs w:val="24"/>
          <w:lang w:eastAsia="zh-CN"/>
        </w:rPr>
        <w:t>隔油池</w:t>
      </w:r>
      <w:r>
        <w:rPr>
          <w:rFonts w:hint="eastAsia"/>
          <w:sz w:val="24"/>
          <w:szCs w:val="24"/>
          <w:lang w:val="en-US" w:eastAsia="zh-CN"/>
        </w:rPr>
        <w:t>+化粪池+生化</w:t>
      </w:r>
      <w:r>
        <w:rPr>
          <w:rFonts w:hint="eastAsia"/>
          <w:sz w:val="24"/>
          <w:szCs w:val="24"/>
        </w:rPr>
        <w:t>处理后通过污水管网排至</w:t>
      </w:r>
      <w:r>
        <w:rPr>
          <w:rFonts w:hint="eastAsia"/>
          <w:sz w:val="24"/>
          <w:szCs w:val="24"/>
          <w:lang w:eastAsia="zh-CN"/>
        </w:rPr>
        <w:t>红谷滩污水处理厂</w:t>
      </w:r>
      <w:r>
        <w:rPr>
          <w:rFonts w:hint="eastAsia"/>
          <w:sz w:val="24"/>
          <w:szCs w:val="24"/>
        </w:rPr>
        <w:t>，最终汇入</w:t>
      </w:r>
      <w:r>
        <w:rPr>
          <w:rFonts w:hint="eastAsia"/>
          <w:sz w:val="24"/>
          <w:szCs w:val="24"/>
          <w:lang w:eastAsia="zh-CN"/>
        </w:rPr>
        <w:t>赣江北支</w:t>
      </w:r>
      <w:r>
        <w:rPr>
          <w:rFonts w:hint="eastAsia"/>
          <w:sz w:val="24"/>
          <w:szCs w:val="24"/>
        </w:rPr>
        <w:t>。</w:t>
      </w:r>
    </w:p>
    <w:bookmarkEnd w:id="14"/>
    <w:p>
      <w:pPr>
        <w:ind w:firstLine="560"/>
        <w:rPr>
          <w:sz w:val="24"/>
          <w:szCs w:val="24"/>
        </w:rPr>
      </w:pPr>
      <w:r>
        <w:rPr>
          <w:rFonts w:hint="eastAsia"/>
          <w:sz w:val="24"/>
          <w:szCs w:val="24"/>
        </w:rPr>
        <w:t>经调查雨水、污水排口下游10公里范围内不涉及《企业突发环境事件风险分级方法》表7（即</w:t>
      </w:r>
      <w:r>
        <w:rPr>
          <w:sz w:val="24"/>
          <w:szCs w:val="24"/>
        </w:rPr>
        <w:fldChar w:fldCharType="begin"/>
      </w:r>
      <w:r>
        <w:rPr>
          <w:sz w:val="24"/>
          <w:szCs w:val="24"/>
        </w:rPr>
        <w:instrText xml:space="preserve"> </w:instrText>
      </w:r>
      <w:r>
        <w:rPr>
          <w:rFonts w:hint="eastAsia"/>
          <w:sz w:val="24"/>
          <w:szCs w:val="24"/>
        </w:rPr>
        <w:instrText xml:space="preserve">REF _Ref526606226 \h</w:instrText>
      </w:r>
      <w:r>
        <w:rPr>
          <w:sz w:val="24"/>
          <w:szCs w:val="24"/>
        </w:rPr>
        <w:instrText xml:space="preserve"> </w:instrText>
      </w:r>
      <w:r>
        <w:rPr>
          <w:sz w:val="24"/>
          <w:szCs w:val="24"/>
        </w:rPr>
        <w:fldChar w:fldCharType="separate"/>
      </w:r>
      <w:r>
        <w:rPr>
          <w:rFonts w:hint="eastAsia"/>
          <w:sz w:val="24"/>
          <w:szCs w:val="24"/>
        </w:rPr>
        <w:t xml:space="preserve">表 </w:t>
      </w:r>
      <w:r>
        <w:rPr>
          <w:rFonts w:hint="eastAsia"/>
          <w:sz w:val="24"/>
          <w:szCs w:val="24"/>
          <w:lang w:val="en-US" w:eastAsia="zh-CN"/>
        </w:rPr>
        <w:t>2</w:t>
      </w:r>
      <w:r>
        <w:rPr>
          <w:sz w:val="24"/>
          <w:szCs w:val="24"/>
        </w:rPr>
        <w:fldChar w:fldCharType="end"/>
      </w:r>
      <w:r>
        <w:rPr>
          <w:rFonts w:hint="eastAsia"/>
          <w:sz w:val="24"/>
          <w:szCs w:val="24"/>
          <w:lang w:val="en-US" w:eastAsia="zh-CN"/>
        </w:rPr>
        <w:t>-6</w:t>
      </w:r>
      <w:r>
        <w:rPr>
          <w:rFonts w:hint="eastAsia"/>
          <w:sz w:val="24"/>
          <w:szCs w:val="24"/>
        </w:rPr>
        <w:t>）中类型1和类型2的情况，属于类型E3。</w:t>
      </w:r>
    </w:p>
    <w:p>
      <w:pPr>
        <w:pStyle w:val="7"/>
        <w:keepNext/>
        <w:rPr>
          <w:b/>
          <w:bCs/>
          <w:sz w:val="24"/>
          <w:szCs w:val="24"/>
        </w:rPr>
      </w:pPr>
      <w:bookmarkStart w:id="15" w:name="_Ref526606226"/>
      <w:r>
        <w:rPr>
          <w:rFonts w:hint="eastAsia"/>
          <w:b/>
          <w:bCs/>
          <w:sz w:val="24"/>
          <w:szCs w:val="24"/>
        </w:rPr>
        <w:t xml:space="preserve">表 </w:t>
      </w:r>
      <w:bookmarkEnd w:id="15"/>
      <w:r>
        <w:rPr>
          <w:rFonts w:hint="eastAsia"/>
          <w:b/>
          <w:bCs/>
          <w:sz w:val="24"/>
          <w:szCs w:val="24"/>
          <w:lang w:val="en-US" w:eastAsia="zh-CN"/>
        </w:rPr>
        <w:t>2-6</w:t>
      </w:r>
      <w:r>
        <w:rPr>
          <w:rFonts w:hint="eastAsia"/>
          <w:b/>
          <w:bCs/>
          <w:sz w:val="24"/>
          <w:szCs w:val="24"/>
        </w:rPr>
        <w:t>企业周边水环境风险受体情况划分</w:t>
      </w:r>
    </w:p>
    <w:tbl>
      <w:tblPr>
        <w:tblStyle w:val="16"/>
        <w:tblW w:w="5000" w:type="pct"/>
        <w:jc w:val="cente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autofit"/>
        <w:tblCellMar>
          <w:top w:w="0" w:type="dxa"/>
          <w:left w:w="108" w:type="dxa"/>
          <w:bottom w:w="0" w:type="dxa"/>
          <w:right w:w="108" w:type="dxa"/>
        </w:tblCellMar>
      </w:tblPr>
      <w:tblGrid>
        <w:gridCol w:w="1076"/>
        <w:gridCol w:w="8268"/>
      </w:tblGrid>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tblHeader/>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类别</w:t>
            </w:r>
          </w:p>
        </w:tc>
        <w:tc>
          <w:tcPr>
            <w:tcW w:w="4424"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水</w:t>
            </w:r>
            <w:r>
              <w:rPr>
                <w:rFonts w:cs="Times New Roman"/>
                <w:color w:val="000000"/>
                <w:kern w:val="0"/>
                <w:sz w:val="21"/>
                <w:szCs w:val="21"/>
              </w:rPr>
              <w:t>环境风险受体</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类型1（E1）</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cs="Times New Roman"/>
                <w:color w:val="000000"/>
                <w:kern w:val="0"/>
                <w:sz w:val="21"/>
                <w:szCs w:val="21"/>
              </w:rPr>
              <w:t>1</w:t>
            </w:r>
            <w:r>
              <w:rPr>
                <w:rFonts w:hint="eastAsia" w:cs="Times New Roman"/>
                <w:color w:val="000000"/>
                <w:kern w:val="0"/>
                <w:sz w:val="21"/>
                <w:szCs w:val="21"/>
              </w:rPr>
              <w:t>、企业雨水排口、清净废水排口、污水排口下游10公里流经范围内有如下一类或多类环境风险受体：集中式地表水、地下水饮用水水源保护区(包括一级保护区、二级保护区及准保护区)：农村及分散式饮用水水源保护区；</w:t>
            </w:r>
          </w:p>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2、废水排入受纳水体后24小时流经范围(按受纳河流最大日均流速计算)内涉及跨国界的。</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类型2（E2）</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1、企业雨水排口、清净废水排口、污水排口下游10公里流经范围内有生态保护红线划定的或具有水生态服务功能的其他水生态环境敏感区和脆弱区，如国家公园，国家级和省级水产种质资源保护区，水产养殖区，天然渔场，海水浴场，盐场保护区，国家重要湿地，国家级和地方级海洋特别保护区，国家级和地方级海洋自然保护区，生物多样性保护优先区域，国家级和地方级自然保护区，国家级和省级风景名胜区，世界文化和自然遗产地，国家级和省级森林公园，世界、国家和省级地质公园，基本农田保护区，基本草原；</w:t>
            </w:r>
          </w:p>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2、企业雨水排口、清净废水排口、污水排口下游10公里流经范围内涉及跨省界的；</w:t>
            </w:r>
          </w:p>
          <w:p>
            <w:pPr>
              <w:widowControl/>
              <w:spacing w:line="240" w:lineRule="auto"/>
              <w:ind w:firstLine="0" w:firstLineChars="0"/>
              <w:jc w:val="left"/>
              <w:rPr>
                <w:rFonts w:cs="Times New Roman"/>
                <w:color w:val="000000"/>
                <w:kern w:val="0"/>
                <w:sz w:val="21"/>
                <w:szCs w:val="21"/>
              </w:rPr>
            </w:pPr>
            <w:r>
              <w:rPr>
                <w:rFonts w:cs="Times New Roman"/>
                <w:color w:val="000000"/>
                <w:kern w:val="0"/>
                <w:sz w:val="21"/>
                <w:szCs w:val="21"/>
              </w:rPr>
              <w:t>3</w:t>
            </w:r>
            <w:r>
              <w:rPr>
                <w:rFonts w:hint="eastAsia" w:cs="Times New Roman"/>
                <w:color w:val="000000"/>
                <w:kern w:val="0"/>
                <w:sz w:val="21"/>
                <w:szCs w:val="21"/>
              </w:rPr>
              <w:t>、企业位于溶岩地貌、泄洪区、泥石流多发等地区。</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类型3（E3）</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不涉及类型1和类型2情况。</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425" w:hRule="atLeast"/>
          <w:jc w:val="center"/>
        </w:trPr>
        <w:tc>
          <w:tcPr>
            <w:tcW w:w="5000" w:type="pct"/>
            <w:gridSpan w:val="2"/>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注：本表中规定的距离范围以到各类水环境保护目标或保护区域的边界为准。</w:t>
            </w:r>
          </w:p>
        </w:tc>
      </w:tr>
    </w:tbl>
    <w:p>
      <w:pPr>
        <w:pStyle w:val="3"/>
      </w:pPr>
      <w:bookmarkStart w:id="16" w:name="_Toc11751"/>
      <w:r>
        <w:rPr>
          <w:rFonts w:hint="eastAsia"/>
        </w:rPr>
        <w:t>环境风险</w:t>
      </w:r>
      <w:r>
        <w:rPr>
          <w:rFonts w:hint="eastAsia"/>
          <w:lang w:eastAsia="zh-CN"/>
        </w:rPr>
        <w:t>分析</w:t>
      </w:r>
      <w:bookmarkEnd w:id="16"/>
    </w:p>
    <w:p>
      <w:pPr>
        <w:pStyle w:val="4"/>
        <w:rPr>
          <w:sz w:val="24"/>
          <w:szCs w:val="24"/>
        </w:rPr>
      </w:pPr>
      <w:bookmarkStart w:id="17" w:name="_Toc18991"/>
      <w:r>
        <w:rPr>
          <w:rFonts w:hint="eastAsia"/>
          <w:sz w:val="24"/>
          <w:szCs w:val="24"/>
        </w:rPr>
        <w:t>环境风险等级</w:t>
      </w:r>
      <w:bookmarkEnd w:id="17"/>
    </w:p>
    <w:p>
      <w:pPr>
        <w:keepNext w:val="0"/>
        <w:keepLines w:val="0"/>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根据</w:t>
      </w:r>
      <w:r>
        <w:rPr>
          <w:rFonts w:hint="eastAsia"/>
          <w:sz w:val="24"/>
          <w:szCs w:val="24"/>
          <w:lang w:eastAsia="zh-CN"/>
        </w:rPr>
        <w:t>《南昌慧华高科混凝土有限公司环境风险评估报告》可知</w:t>
      </w:r>
      <w:r>
        <w:rPr>
          <w:rFonts w:hint="eastAsia"/>
          <w:sz w:val="24"/>
          <w:szCs w:val="24"/>
        </w:rPr>
        <w:t>，</w:t>
      </w:r>
      <w:r>
        <w:rPr>
          <w:rFonts w:hint="eastAsia"/>
          <w:sz w:val="24"/>
          <w:szCs w:val="24"/>
          <w:lang w:eastAsia="zh-CN"/>
        </w:rPr>
        <w:t>南昌慧华高科混凝土有限公司</w:t>
      </w:r>
      <w:r>
        <w:rPr>
          <w:rFonts w:hint="eastAsia"/>
          <w:sz w:val="24"/>
          <w:szCs w:val="24"/>
        </w:rPr>
        <w:t>突发大气环境事件风险等级和突发水环境事件风险等级均为</w:t>
      </w:r>
      <w:r>
        <w:rPr>
          <w:rFonts w:hint="eastAsia"/>
          <w:sz w:val="24"/>
          <w:szCs w:val="24"/>
          <w:lang w:eastAsia="zh-CN"/>
        </w:rPr>
        <w:t>一般风险</w:t>
      </w:r>
      <w:r>
        <w:rPr>
          <w:rFonts w:hint="eastAsia"/>
          <w:sz w:val="24"/>
          <w:szCs w:val="24"/>
        </w:rPr>
        <w:t>，确定</w:t>
      </w:r>
      <w:r>
        <w:rPr>
          <w:rFonts w:hint="eastAsia"/>
          <w:sz w:val="24"/>
          <w:szCs w:val="24"/>
          <w:lang w:eastAsia="zh-CN"/>
        </w:rPr>
        <w:t>南昌慧华高科混凝土有限公司</w:t>
      </w:r>
      <w:r>
        <w:rPr>
          <w:rFonts w:hint="eastAsia"/>
          <w:sz w:val="24"/>
          <w:szCs w:val="24"/>
        </w:rPr>
        <w:t>突发环境事件风险等级为</w:t>
      </w:r>
      <w:r>
        <w:rPr>
          <w:rFonts w:hint="eastAsia"/>
          <w:sz w:val="24"/>
          <w:szCs w:val="24"/>
          <w:lang w:eastAsia="zh-CN"/>
        </w:rPr>
        <w:t>一般风险</w:t>
      </w:r>
      <w:r>
        <w:rPr>
          <w:rFonts w:hint="eastAsia"/>
          <w:sz w:val="24"/>
          <w:szCs w:val="24"/>
        </w:rPr>
        <w:t>。</w:t>
      </w:r>
    </w:p>
    <w:p>
      <w:pPr>
        <w:pStyle w:val="4"/>
        <w:rPr>
          <w:sz w:val="24"/>
          <w:szCs w:val="24"/>
        </w:rPr>
      </w:pPr>
      <w:bookmarkStart w:id="18" w:name="_Toc15598"/>
      <w:r>
        <w:rPr>
          <w:rFonts w:hint="eastAsia"/>
          <w:sz w:val="24"/>
          <w:szCs w:val="24"/>
          <w:lang w:eastAsia="zh-CN"/>
        </w:rPr>
        <w:t>主要风险源</w:t>
      </w:r>
      <w:bookmarkEnd w:id="18"/>
    </w:p>
    <w:p>
      <w:pPr>
        <w:ind w:firstLine="560"/>
        <w:rPr>
          <w:sz w:val="24"/>
          <w:szCs w:val="24"/>
        </w:rPr>
      </w:pPr>
      <w:r>
        <w:rPr>
          <w:rFonts w:hint="eastAsia"/>
          <w:sz w:val="24"/>
          <w:szCs w:val="24"/>
          <w:lang w:eastAsia="zh-CN"/>
        </w:rPr>
        <w:t>主要风险源为</w:t>
      </w:r>
      <w:r>
        <w:rPr>
          <w:rFonts w:hint="eastAsia"/>
          <w:sz w:val="24"/>
          <w:szCs w:val="24"/>
          <w:lang w:val="en-US" w:eastAsia="zh-CN"/>
        </w:rPr>
        <w:t>生产装置（水泥筒仓、矿粉筒仓、粉煤灰筒仓、布袋除尘器)和实验室机械设备以及沉淀池，具体分布见附图6</w:t>
      </w:r>
      <w:r>
        <w:rPr>
          <w:rFonts w:hint="eastAsia"/>
          <w:sz w:val="24"/>
          <w:szCs w:val="24"/>
          <w:lang w:eastAsia="zh-CN"/>
        </w:rPr>
        <w:t>。</w:t>
      </w:r>
    </w:p>
    <w:p>
      <w:pPr>
        <w:ind w:firstLine="0" w:firstLineChars="0"/>
        <w:jc w:val="left"/>
        <w:rPr>
          <w:sz w:val="24"/>
          <w:szCs w:val="24"/>
        </w:rPr>
        <w:sectPr>
          <w:headerReference r:id="rId11" w:type="default"/>
          <w:footerReference r:id="rId12" w:type="default"/>
          <w:pgSz w:w="11906" w:h="16838"/>
          <w:pgMar w:top="1304" w:right="1247" w:bottom="1304" w:left="1531" w:header="851" w:footer="851" w:gutter="0"/>
          <w:pgNumType w:fmt="decimal"/>
          <w:cols w:space="425" w:num="1"/>
          <w:docGrid w:type="lines" w:linePitch="312" w:charSpace="0"/>
        </w:sectPr>
      </w:pPr>
    </w:p>
    <w:p>
      <w:pPr>
        <w:pStyle w:val="3"/>
      </w:pPr>
      <w:bookmarkStart w:id="19" w:name="_Toc6044"/>
      <w:r>
        <w:rPr>
          <w:rFonts w:hint="eastAsia"/>
          <w:lang w:eastAsia="zh-CN"/>
        </w:rPr>
        <w:t>应急</w:t>
      </w:r>
      <w:r>
        <w:rPr>
          <w:rFonts w:hint="eastAsia"/>
        </w:rPr>
        <w:t>组织机构和职责</w:t>
      </w:r>
      <w:bookmarkEnd w:id="19"/>
    </w:p>
    <w:p>
      <w:pPr>
        <w:pStyle w:val="4"/>
        <w:rPr>
          <w:sz w:val="24"/>
          <w:szCs w:val="24"/>
        </w:rPr>
      </w:pPr>
      <w:bookmarkStart w:id="20" w:name="_Toc4543"/>
      <w:r>
        <w:rPr>
          <w:rFonts w:hint="eastAsia"/>
          <w:sz w:val="24"/>
          <w:szCs w:val="24"/>
          <w:lang w:eastAsia="zh-CN"/>
        </w:rPr>
        <w:t>内部应急</w:t>
      </w:r>
      <w:r>
        <w:rPr>
          <w:rFonts w:hint="eastAsia"/>
          <w:sz w:val="24"/>
          <w:szCs w:val="24"/>
        </w:rPr>
        <w:t>组织机构</w:t>
      </w:r>
      <w:bookmarkEnd w:id="20"/>
    </w:p>
    <w:p>
      <w:pPr>
        <w:spacing w:line="480" w:lineRule="exact"/>
        <w:ind w:firstLine="480" w:firstLineChars="200"/>
        <w:rPr>
          <w:rFonts w:ascii="Times New Roman" w:hAnsi="Times New Roman"/>
          <w:sz w:val="24"/>
          <w:szCs w:val="24"/>
        </w:rPr>
      </w:pPr>
      <w:r>
        <w:rPr>
          <w:rFonts w:hint="eastAsia" w:ascii="Times New Roman" w:hAnsi="Times New Roman" w:cs="Times New Roman"/>
          <w:b w:val="0"/>
          <w:bCs w:val="0"/>
          <w:sz w:val="24"/>
          <w:szCs w:val="24"/>
          <w:lang w:eastAsia="zh-CN"/>
        </w:rPr>
        <w:t>南昌慧华高科混凝土</w:t>
      </w:r>
      <w:r>
        <w:rPr>
          <w:rFonts w:hint="eastAsia" w:ascii="Times New Roman" w:hAnsi="Times New Roman"/>
          <w:sz w:val="24"/>
          <w:szCs w:val="24"/>
        </w:rPr>
        <w:t>有限公司</w:t>
      </w:r>
      <w:r>
        <w:rPr>
          <w:rFonts w:ascii="Times New Roman" w:hAnsi="Times New Roman"/>
          <w:sz w:val="24"/>
          <w:szCs w:val="24"/>
        </w:rPr>
        <w:t>成立了突发环境事件应急指挥体系，全面负责公司突发环境事件的领导和指挥，制订公司环境事件应急管理方针、编制应急预案和管理以及日常预案工作计划并监督实施情况。为了防止事故的发生以及减轻事故所造成的危害，公司成立突发环境事件应急机构包括：应急指挥中心、应急办公室、现场指挥部、各应急工作小组，各小组组长由公司现有的相关部门的领导担任，同时，预案建议应急机构设置应与企业现有生产管理机构进行对应。公司应急组织机构见图</w:t>
      </w:r>
      <w:r>
        <w:rPr>
          <w:rFonts w:hint="eastAsia" w:ascii="Times New Roman" w:hAnsi="Times New Roman"/>
          <w:sz w:val="24"/>
          <w:szCs w:val="24"/>
          <w:lang w:val="en-US" w:eastAsia="zh-CN"/>
        </w:rPr>
        <w:t>4</w:t>
      </w:r>
      <w:r>
        <w:rPr>
          <w:rFonts w:ascii="Times New Roman" w:hAnsi="Times New Roman"/>
          <w:sz w:val="24"/>
          <w:szCs w:val="24"/>
        </w:rPr>
        <w:t>-1。</w:t>
      </w:r>
    </w:p>
    <w:p>
      <w:pPr>
        <w:keepNext/>
        <w:ind w:firstLine="0" w:firstLineChars="0"/>
        <w:jc w:val="center"/>
        <w:rPr>
          <w:rFonts w:hint="eastAsia" w:eastAsia="宋体"/>
          <w:lang w:eastAsia="zh-CN"/>
        </w:rPr>
      </w:pPr>
      <w:r>
        <w:rPr>
          <w:rFonts w:hint="eastAsia" w:eastAsia="宋体"/>
          <w:lang w:eastAsia="zh-CN"/>
        </w:rPr>
        <w:drawing>
          <wp:inline distT="0" distB="0" distL="114300" distR="114300">
            <wp:extent cx="6027420" cy="2424430"/>
            <wp:effectExtent l="0" t="0" r="11430" b="13970"/>
            <wp:docPr id="13" name="图片 13" descr="2020091521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0200915212451"/>
                    <pic:cNvPicPr>
                      <a:picLocks noChangeAspect="1"/>
                    </pic:cNvPicPr>
                  </pic:nvPicPr>
                  <pic:blipFill>
                    <a:blip r:embed="rId21"/>
                    <a:stretch>
                      <a:fillRect/>
                    </a:stretch>
                  </pic:blipFill>
                  <pic:spPr>
                    <a:xfrm>
                      <a:off x="0" y="0"/>
                      <a:ext cx="6027420" cy="2424430"/>
                    </a:xfrm>
                    <a:prstGeom prst="rect">
                      <a:avLst/>
                    </a:prstGeom>
                  </pic:spPr>
                </pic:pic>
              </a:graphicData>
            </a:graphic>
          </wp:inline>
        </w:drawing>
      </w:r>
    </w:p>
    <w:p>
      <w:pPr>
        <w:pStyle w:val="7"/>
        <w:rPr>
          <w:b/>
          <w:bCs/>
          <w:sz w:val="24"/>
          <w:szCs w:val="24"/>
        </w:rPr>
      </w:pPr>
      <w:bookmarkStart w:id="21" w:name="_Ref527060381"/>
      <w:r>
        <w:rPr>
          <w:rFonts w:hint="eastAsia"/>
          <w:b/>
          <w:bCs/>
          <w:sz w:val="24"/>
          <w:szCs w:val="24"/>
        </w:rPr>
        <w:t xml:space="preserve">图 </w:t>
      </w:r>
      <w:r>
        <w:rPr>
          <w:rFonts w:hint="eastAsia"/>
          <w:b/>
          <w:bCs/>
          <w:sz w:val="24"/>
          <w:szCs w:val="24"/>
          <w:lang w:val="en-US" w:eastAsia="zh-CN"/>
        </w:rPr>
        <w:t>4</w:t>
      </w:r>
      <w:r>
        <w:rPr>
          <w:b/>
          <w:bCs/>
          <w:sz w:val="24"/>
          <w:szCs w:val="24"/>
        </w:rPr>
        <w:noBreakHyphen/>
      </w:r>
      <w:r>
        <w:rPr>
          <w:b/>
          <w:bCs/>
          <w:sz w:val="24"/>
          <w:szCs w:val="24"/>
        </w:rPr>
        <w:fldChar w:fldCharType="begin"/>
      </w:r>
      <w:r>
        <w:rPr>
          <w:b/>
          <w:bCs/>
          <w:sz w:val="24"/>
          <w:szCs w:val="24"/>
        </w:rPr>
        <w:instrText xml:space="preserve"> </w:instrText>
      </w:r>
      <w:r>
        <w:rPr>
          <w:rFonts w:hint="eastAsia"/>
          <w:b/>
          <w:bCs/>
          <w:sz w:val="24"/>
          <w:szCs w:val="24"/>
        </w:rPr>
        <w:instrText xml:space="preserve">SEQ 图 \* ARABIC \s 1</w:instrText>
      </w:r>
      <w:r>
        <w:rPr>
          <w:b/>
          <w:bCs/>
          <w:sz w:val="24"/>
          <w:szCs w:val="24"/>
        </w:rPr>
        <w:instrText xml:space="preserve"> </w:instrText>
      </w:r>
      <w:r>
        <w:rPr>
          <w:b/>
          <w:bCs/>
          <w:sz w:val="24"/>
          <w:szCs w:val="24"/>
        </w:rPr>
        <w:fldChar w:fldCharType="separate"/>
      </w:r>
      <w:r>
        <w:rPr>
          <w:b/>
          <w:bCs/>
          <w:sz w:val="24"/>
          <w:szCs w:val="24"/>
        </w:rPr>
        <w:t>1</w:t>
      </w:r>
      <w:r>
        <w:rPr>
          <w:b/>
          <w:bCs/>
          <w:sz w:val="24"/>
          <w:szCs w:val="24"/>
        </w:rPr>
        <w:fldChar w:fldCharType="end"/>
      </w:r>
      <w:bookmarkEnd w:id="21"/>
      <w:r>
        <w:rPr>
          <w:rFonts w:hint="eastAsia"/>
          <w:b/>
          <w:bCs/>
          <w:sz w:val="24"/>
          <w:szCs w:val="24"/>
        </w:rPr>
        <w:t>应急组织机构</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总指挥：</w:t>
      </w:r>
      <w:r>
        <w:rPr>
          <w:rFonts w:hint="default" w:ascii="Times New Roman" w:hAnsi="Times New Roman" w:cs="Times New Roman"/>
          <w:sz w:val="24"/>
          <w:szCs w:val="24"/>
          <w:lang w:eastAsia="zh-CN"/>
        </w:rPr>
        <w:t>周剑文</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13907089796</w:t>
      </w:r>
      <w:r>
        <w:rPr>
          <w:rFonts w:hint="default" w:ascii="Times New Roman" w:hAnsi="Times New Roman" w:cs="Times New Roman"/>
          <w:sz w:val="24"/>
          <w:szCs w:val="24"/>
        </w:rPr>
        <w:t xml:space="preserve">）  </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副总指挥：</w:t>
      </w:r>
      <w:r>
        <w:rPr>
          <w:rFonts w:hint="default" w:ascii="Times New Roman" w:hAnsi="Times New Roman" w:cs="Times New Roman"/>
          <w:sz w:val="24"/>
          <w:szCs w:val="24"/>
          <w:lang w:eastAsia="zh-CN"/>
        </w:rPr>
        <w:t>胡文斌</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15970629327</w:t>
      </w:r>
      <w:r>
        <w:rPr>
          <w:rFonts w:hint="default" w:ascii="Times New Roman" w:hAnsi="Times New Roman" w:cs="Times New Roman"/>
          <w:sz w:val="24"/>
          <w:szCs w:val="24"/>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pPr>
      <w:r>
        <w:rPr>
          <w:rFonts w:hint="default" w:ascii="Times New Roman" w:hAnsi="Times New Roman" w:cs="Times New Roman"/>
          <w:sz w:val="24"/>
          <w:szCs w:val="24"/>
        </w:rPr>
        <w:t>指挥部成员：</w:t>
      </w:r>
      <w:r>
        <w:rPr>
          <w:rFonts w:hint="default" w:ascii="Times New Roman" w:hAnsi="Times New Roman" w:cs="Times New Roman"/>
          <w:sz w:val="24"/>
          <w:szCs w:val="24"/>
          <w:lang w:eastAsia="zh-CN"/>
        </w:rPr>
        <w:t>陈勇（</w:t>
      </w:r>
      <w:r>
        <w:rPr>
          <w:rFonts w:hint="default" w:ascii="Times New Roman" w:hAnsi="Times New Roman" w:cs="Times New Roman"/>
          <w:sz w:val="24"/>
          <w:szCs w:val="24"/>
          <w:lang w:val="en-US" w:eastAsia="zh-CN"/>
        </w:rPr>
        <w:t>13979112577</w:t>
      </w:r>
      <w:r>
        <w:rPr>
          <w:rFonts w:hint="default" w:ascii="Times New Roman" w:hAnsi="Times New Roman" w:cs="Times New Roman"/>
          <w:sz w:val="24"/>
          <w:szCs w:val="24"/>
          <w:lang w:eastAsia="zh-CN"/>
        </w:rPr>
        <w:t>）等</w:t>
      </w:r>
      <w:r>
        <w:rPr>
          <w:rFonts w:hint="default" w:ascii="Times New Roman" w:hAnsi="Times New Roman" w:cs="Times New Roman"/>
          <w:sz w:val="24"/>
          <w:szCs w:val="24"/>
        </w:rPr>
        <w:br w:type="page"/>
      </w:r>
    </w:p>
    <w:p>
      <w:pPr>
        <w:pStyle w:val="7"/>
        <w:keepNext/>
        <w:rPr>
          <w:rFonts w:hint="eastAsia"/>
          <w:b/>
          <w:bCs/>
          <w:sz w:val="24"/>
          <w:szCs w:val="24"/>
        </w:rPr>
      </w:pPr>
      <w:r>
        <w:rPr>
          <w:rFonts w:hint="eastAsia"/>
          <w:b/>
          <w:bCs/>
          <w:sz w:val="24"/>
          <w:szCs w:val="24"/>
        </w:rPr>
        <w:t>表</w:t>
      </w:r>
      <w:r>
        <w:rPr>
          <w:rFonts w:hint="eastAsia"/>
          <w:b/>
          <w:bCs/>
          <w:sz w:val="24"/>
          <w:szCs w:val="24"/>
          <w:lang w:val="en-US" w:eastAsia="zh-CN"/>
        </w:rPr>
        <w:t>4-1</w:t>
      </w:r>
      <w:r>
        <w:rPr>
          <w:rFonts w:hint="eastAsia"/>
          <w:b/>
          <w:bCs/>
          <w:sz w:val="24"/>
          <w:szCs w:val="24"/>
        </w:rPr>
        <w:t>公司应急</w:t>
      </w:r>
      <w:r>
        <w:rPr>
          <w:rFonts w:hint="eastAsia"/>
          <w:b/>
          <w:bCs/>
          <w:sz w:val="24"/>
          <w:szCs w:val="24"/>
          <w:lang w:eastAsia="zh-CN"/>
        </w:rPr>
        <w:t>救援小组</w:t>
      </w:r>
      <w:r>
        <w:rPr>
          <w:rFonts w:hint="eastAsia"/>
          <w:b/>
          <w:bCs/>
          <w:sz w:val="24"/>
          <w:szCs w:val="24"/>
        </w:rPr>
        <w:t>成员联系方式</w:t>
      </w:r>
    </w:p>
    <w:tbl>
      <w:tblPr>
        <w:tblStyle w:val="17"/>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49"/>
        <w:gridCol w:w="3140"/>
        <w:gridCol w:w="3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pct"/>
            <w:noWrap w:val="0"/>
            <w:vAlign w:val="top"/>
          </w:tcPr>
          <w:p>
            <w:pPr>
              <w:spacing w:line="240" w:lineRule="auto"/>
              <w:ind w:left="0"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机构</w:t>
            </w:r>
          </w:p>
        </w:tc>
        <w:tc>
          <w:tcPr>
            <w:tcW w:w="1680" w:type="pct"/>
            <w:noWrap w:val="0"/>
            <w:vAlign w:val="top"/>
          </w:tcPr>
          <w:p>
            <w:pPr>
              <w:spacing w:line="240" w:lineRule="auto"/>
              <w:ind w:left="0"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职务</w:t>
            </w:r>
          </w:p>
        </w:tc>
        <w:tc>
          <w:tcPr>
            <w:tcW w:w="2008" w:type="pct"/>
            <w:noWrap w:val="0"/>
            <w:vAlign w:val="top"/>
          </w:tcPr>
          <w:p>
            <w:pPr>
              <w:spacing w:line="240" w:lineRule="auto"/>
              <w:ind w:left="0"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11" w:type="pct"/>
            <w:noWrap w:val="0"/>
            <w:vAlign w:val="top"/>
          </w:tcPr>
          <w:p>
            <w:pPr>
              <w:spacing w:line="240" w:lineRule="auto"/>
              <w:ind w:left="0" w:leftChars="0"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 xml:space="preserve"> 总指挥  </w:t>
            </w:r>
          </w:p>
        </w:tc>
        <w:tc>
          <w:tcPr>
            <w:tcW w:w="1680"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总经理：</w:t>
            </w:r>
            <w:r>
              <w:rPr>
                <w:rFonts w:hint="default" w:ascii="Times New Roman" w:hAnsi="Times New Roman" w:eastAsia="宋体" w:cs="Times New Roman"/>
                <w:sz w:val="21"/>
                <w:szCs w:val="21"/>
                <w:lang w:eastAsia="zh-CN"/>
              </w:rPr>
              <w:t>周剑文</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13907089796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pct"/>
            <w:noWrap w:val="0"/>
            <w:vAlign w:val="top"/>
          </w:tcPr>
          <w:p>
            <w:pPr>
              <w:spacing w:line="240" w:lineRule="auto"/>
              <w:ind w:left="0" w:leftChars="0"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副总指挥</w:t>
            </w:r>
          </w:p>
        </w:tc>
        <w:tc>
          <w:tcPr>
            <w:tcW w:w="1680" w:type="pct"/>
            <w:noWrap w:val="0"/>
            <w:vAlign w:val="top"/>
          </w:tcPr>
          <w:p>
            <w:pPr>
              <w:spacing w:line="240" w:lineRule="auto"/>
              <w:ind w:left="0" w:firstLine="0"/>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副总经理：</w:t>
            </w:r>
            <w:r>
              <w:rPr>
                <w:rFonts w:hint="default" w:ascii="Times New Roman" w:hAnsi="Times New Roman" w:eastAsia="宋体" w:cs="Times New Roman"/>
                <w:sz w:val="21"/>
                <w:szCs w:val="21"/>
                <w:lang w:eastAsia="zh-CN"/>
              </w:rPr>
              <w:t>胡文斌</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15970629327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11" w:type="pct"/>
            <w:vMerge w:val="restart"/>
            <w:noWrap w:val="0"/>
            <w:vAlign w:val="top"/>
          </w:tcPr>
          <w:p>
            <w:pPr>
              <w:spacing w:line="240" w:lineRule="auto"/>
              <w:ind w:left="0" w:leftChars="0" w:firstLine="0" w:firstLineChars="0"/>
              <w:jc w:val="center"/>
              <w:rPr>
                <w:rFonts w:hint="default" w:ascii="Times New Roman" w:hAnsi="Times New Roman" w:eastAsia="宋体" w:cs="Times New Roman"/>
                <w:sz w:val="21"/>
                <w:szCs w:val="21"/>
              </w:rPr>
            </w:pPr>
          </w:p>
          <w:p>
            <w:pPr>
              <w:spacing w:line="240" w:lineRule="auto"/>
              <w:ind w:left="0" w:leftChars="0" w:firstLine="0" w:firstLineChars="0"/>
              <w:jc w:val="both"/>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现场处置组</w:t>
            </w:r>
          </w:p>
        </w:tc>
        <w:tc>
          <w:tcPr>
            <w:tcW w:w="1680" w:type="pct"/>
            <w:noWrap w:val="0"/>
            <w:vAlign w:val="top"/>
          </w:tcPr>
          <w:p>
            <w:pPr>
              <w:spacing w:line="240" w:lineRule="auto"/>
              <w:ind w:left="0" w:firstLine="0"/>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组长</w:t>
            </w:r>
            <w:r>
              <w:rPr>
                <w:rFonts w:hint="default" w:ascii="Times New Roman" w:hAnsi="Times New Roman" w:eastAsia="宋体" w:cs="Times New Roman"/>
                <w:sz w:val="21"/>
                <w:szCs w:val="21"/>
                <w:lang w:eastAsia="zh-CN"/>
              </w:rPr>
              <w:t>陈勇</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13979112577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pct"/>
            <w:vMerge w:val="continue"/>
            <w:noWrap w:val="0"/>
            <w:vAlign w:val="top"/>
          </w:tcPr>
          <w:p>
            <w:pPr>
              <w:spacing w:line="240" w:lineRule="auto"/>
              <w:ind w:left="0" w:leftChars="0" w:firstLine="0" w:firstLineChars="0"/>
              <w:rPr>
                <w:rFonts w:hint="default" w:ascii="Times New Roman" w:hAnsi="Times New Roman" w:eastAsia="宋体" w:cs="Times New Roman"/>
                <w:sz w:val="21"/>
                <w:szCs w:val="21"/>
              </w:rPr>
            </w:pPr>
          </w:p>
        </w:tc>
        <w:tc>
          <w:tcPr>
            <w:tcW w:w="1680" w:type="pct"/>
            <w:noWrap w:val="0"/>
            <w:vAlign w:val="top"/>
          </w:tcPr>
          <w:p>
            <w:pPr>
              <w:spacing w:line="240" w:lineRule="auto"/>
              <w:ind w:left="0" w:firstLine="0"/>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组员：</w:t>
            </w:r>
            <w:r>
              <w:rPr>
                <w:rFonts w:hint="default" w:ascii="Times New Roman" w:hAnsi="Times New Roman" w:eastAsia="宋体" w:cs="Times New Roman"/>
                <w:sz w:val="21"/>
                <w:szCs w:val="21"/>
                <w:lang w:eastAsia="zh-CN"/>
              </w:rPr>
              <w:t>张金梁</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13697002406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11" w:type="pct"/>
            <w:vMerge w:val="continue"/>
            <w:noWrap w:val="0"/>
            <w:vAlign w:val="top"/>
          </w:tcPr>
          <w:p>
            <w:pPr>
              <w:spacing w:line="240" w:lineRule="auto"/>
              <w:ind w:left="0" w:leftChars="0" w:firstLine="0" w:firstLineChars="0"/>
              <w:rPr>
                <w:rFonts w:hint="default" w:ascii="Times New Roman" w:hAnsi="Times New Roman" w:eastAsia="宋体" w:cs="Times New Roman"/>
                <w:sz w:val="21"/>
                <w:szCs w:val="21"/>
              </w:rPr>
            </w:pPr>
          </w:p>
        </w:tc>
        <w:tc>
          <w:tcPr>
            <w:tcW w:w="1680"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组员：程茂松</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13437093200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pct"/>
            <w:vMerge w:val="continue"/>
            <w:noWrap w:val="0"/>
            <w:vAlign w:val="top"/>
          </w:tcPr>
          <w:p>
            <w:pPr>
              <w:spacing w:line="240" w:lineRule="auto"/>
              <w:ind w:left="0" w:leftChars="0" w:firstLine="0" w:firstLineChars="0"/>
              <w:rPr>
                <w:rFonts w:hint="default" w:ascii="Times New Roman" w:hAnsi="Times New Roman" w:eastAsia="宋体" w:cs="Times New Roman"/>
                <w:sz w:val="21"/>
                <w:szCs w:val="21"/>
              </w:rPr>
            </w:pPr>
          </w:p>
        </w:tc>
        <w:tc>
          <w:tcPr>
            <w:tcW w:w="1680" w:type="pct"/>
            <w:noWrap w:val="0"/>
            <w:vAlign w:val="top"/>
          </w:tcPr>
          <w:p>
            <w:pPr>
              <w:spacing w:line="240" w:lineRule="auto"/>
              <w:ind w:left="0" w:firstLine="0"/>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组员：胡南平</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15083806720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11" w:type="pct"/>
            <w:vMerge w:val="restart"/>
            <w:noWrap w:val="0"/>
            <w:vAlign w:val="top"/>
          </w:tcPr>
          <w:p>
            <w:pPr>
              <w:spacing w:line="240" w:lineRule="auto"/>
              <w:ind w:left="0" w:leftChars="0" w:firstLine="0" w:firstLineChars="0"/>
              <w:jc w:val="center"/>
              <w:rPr>
                <w:rFonts w:hint="default" w:ascii="Times New Roman" w:hAnsi="Times New Roman" w:eastAsia="宋体" w:cs="Times New Roman"/>
                <w:sz w:val="21"/>
                <w:szCs w:val="21"/>
              </w:rPr>
            </w:pPr>
          </w:p>
          <w:p>
            <w:pPr>
              <w:spacing w:line="240" w:lineRule="auto"/>
              <w:ind w:left="0" w:leftChars="0" w:firstLine="0" w:firstLineChars="0"/>
              <w:jc w:val="both"/>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应急</w:t>
            </w:r>
            <w:r>
              <w:rPr>
                <w:rFonts w:hint="default" w:ascii="Times New Roman" w:hAnsi="Times New Roman" w:eastAsia="宋体" w:cs="Times New Roman"/>
                <w:sz w:val="21"/>
                <w:szCs w:val="21"/>
              </w:rPr>
              <w:t>医疗组</w:t>
            </w:r>
          </w:p>
        </w:tc>
        <w:tc>
          <w:tcPr>
            <w:tcW w:w="1680" w:type="pct"/>
            <w:noWrap w:val="0"/>
            <w:vAlign w:val="top"/>
          </w:tcPr>
          <w:p>
            <w:pPr>
              <w:spacing w:line="240" w:lineRule="auto"/>
              <w:ind w:left="0" w:firstLine="0"/>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组长：</w:t>
            </w:r>
            <w:r>
              <w:rPr>
                <w:rFonts w:hint="default" w:ascii="Times New Roman" w:hAnsi="Times New Roman" w:eastAsia="宋体" w:cs="Times New Roman"/>
                <w:sz w:val="21"/>
                <w:szCs w:val="21"/>
                <w:lang w:eastAsia="zh-CN"/>
              </w:rPr>
              <w:t>应雪霞</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18979110151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pct"/>
            <w:vMerge w:val="continue"/>
            <w:noWrap w:val="0"/>
            <w:vAlign w:val="top"/>
          </w:tcPr>
          <w:p>
            <w:pPr>
              <w:spacing w:line="240" w:lineRule="auto"/>
              <w:ind w:left="0" w:leftChars="0" w:firstLine="0" w:firstLineChars="0"/>
              <w:rPr>
                <w:rFonts w:hint="default" w:ascii="Times New Roman" w:hAnsi="Times New Roman" w:eastAsia="宋体" w:cs="Times New Roman"/>
                <w:sz w:val="21"/>
                <w:szCs w:val="21"/>
              </w:rPr>
            </w:pPr>
          </w:p>
        </w:tc>
        <w:tc>
          <w:tcPr>
            <w:tcW w:w="1680" w:type="pct"/>
            <w:noWrap w:val="0"/>
            <w:vAlign w:val="top"/>
          </w:tcPr>
          <w:p>
            <w:pPr>
              <w:spacing w:line="240" w:lineRule="auto"/>
              <w:ind w:left="0" w:firstLine="0"/>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组员：</w:t>
            </w:r>
            <w:r>
              <w:rPr>
                <w:rFonts w:hint="default" w:ascii="Times New Roman" w:hAnsi="Times New Roman" w:eastAsia="宋体" w:cs="Times New Roman"/>
                <w:sz w:val="21"/>
                <w:szCs w:val="21"/>
                <w:lang w:eastAsia="zh-CN"/>
              </w:rPr>
              <w:t>涂林影</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13879133451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11" w:type="pct"/>
            <w:vMerge w:val="continue"/>
            <w:noWrap w:val="0"/>
            <w:vAlign w:val="top"/>
          </w:tcPr>
          <w:p>
            <w:pPr>
              <w:spacing w:line="240" w:lineRule="auto"/>
              <w:ind w:left="0" w:leftChars="0" w:firstLine="0" w:firstLineChars="0"/>
              <w:rPr>
                <w:rFonts w:hint="default" w:ascii="Times New Roman" w:hAnsi="Times New Roman" w:eastAsia="宋体" w:cs="Times New Roman"/>
                <w:sz w:val="21"/>
                <w:szCs w:val="21"/>
              </w:rPr>
            </w:pPr>
          </w:p>
        </w:tc>
        <w:tc>
          <w:tcPr>
            <w:tcW w:w="1680" w:type="pct"/>
            <w:noWrap w:val="0"/>
            <w:vAlign w:val="top"/>
          </w:tcPr>
          <w:p>
            <w:pPr>
              <w:spacing w:line="240" w:lineRule="auto"/>
              <w:ind w:left="0" w:firstLine="0"/>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组员：胡小英</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13755798870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pct"/>
            <w:vMerge w:val="restart"/>
            <w:noWrap w:val="0"/>
            <w:vAlign w:val="top"/>
          </w:tcPr>
          <w:p>
            <w:pPr>
              <w:spacing w:line="240" w:lineRule="auto"/>
              <w:ind w:left="0" w:leftChars="0" w:firstLine="0" w:firstLineChars="0"/>
              <w:jc w:val="center"/>
              <w:rPr>
                <w:rFonts w:hint="default" w:ascii="Times New Roman" w:hAnsi="Times New Roman" w:eastAsia="宋体" w:cs="Times New Roman"/>
                <w:sz w:val="21"/>
                <w:szCs w:val="21"/>
              </w:rPr>
            </w:pPr>
          </w:p>
          <w:p>
            <w:pPr>
              <w:spacing w:line="240" w:lineRule="auto"/>
              <w:ind w:left="0" w:leftChars="0" w:firstLine="0" w:firstLineChars="0"/>
              <w:jc w:val="both"/>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信息</w:t>
            </w:r>
            <w:r>
              <w:rPr>
                <w:rFonts w:hint="default" w:ascii="Times New Roman" w:hAnsi="Times New Roman" w:eastAsia="宋体" w:cs="Times New Roman"/>
                <w:sz w:val="21"/>
                <w:szCs w:val="21"/>
              </w:rPr>
              <w:t>通讯组</w:t>
            </w:r>
          </w:p>
        </w:tc>
        <w:tc>
          <w:tcPr>
            <w:tcW w:w="1680" w:type="pct"/>
            <w:noWrap w:val="0"/>
            <w:vAlign w:val="top"/>
          </w:tcPr>
          <w:p>
            <w:pPr>
              <w:spacing w:line="240" w:lineRule="auto"/>
              <w:ind w:left="0" w:firstLine="0"/>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组长：</w:t>
            </w:r>
            <w:r>
              <w:rPr>
                <w:rFonts w:hint="default" w:ascii="Times New Roman" w:hAnsi="Times New Roman" w:eastAsia="宋体" w:cs="Times New Roman"/>
                <w:sz w:val="21"/>
                <w:szCs w:val="21"/>
                <w:lang w:eastAsia="zh-CN"/>
              </w:rPr>
              <w:t>叶明明</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13870086073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11" w:type="pct"/>
            <w:vMerge w:val="continue"/>
            <w:noWrap w:val="0"/>
            <w:vAlign w:val="top"/>
          </w:tcPr>
          <w:p>
            <w:pPr>
              <w:spacing w:line="240" w:lineRule="auto"/>
              <w:ind w:left="0" w:leftChars="0" w:firstLine="0" w:firstLineChars="0"/>
              <w:rPr>
                <w:rFonts w:hint="default" w:ascii="Times New Roman" w:hAnsi="Times New Roman" w:eastAsia="宋体" w:cs="Times New Roman"/>
                <w:sz w:val="21"/>
                <w:szCs w:val="21"/>
              </w:rPr>
            </w:pPr>
          </w:p>
        </w:tc>
        <w:tc>
          <w:tcPr>
            <w:tcW w:w="1680" w:type="pct"/>
            <w:noWrap w:val="0"/>
            <w:vAlign w:val="top"/>
          </w:tcPr>
          <w:p>
            <w:pPr>
              <w:spacing w:line="240" w:lineRule="auto"/>
              <w:ind w:left="0" w:firstLine="0"/>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组员：</w:t>
            </w:r>
            <w:r>
              <w:rPr>
                <w:rFonts w:hint="default" w:ascii="Times New Roman" w:hAnsi="Times New Roman" w:eastAsia="宋体" w:cs="Times New Roman"/>
                <w:sz w:val="21"/>
                <w:szCs w:val="21"/>
                <w:lang w:eastAsia="zh-CN"/>
              </w:rPr>
              <w:t>夏丽梅</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13979163979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pct"/>
            <w:vMerge w:val="restart"/>
            <w:noWrap w:val="0"/>
            <w:vAlign w:val="top"/>
          </w:tcPr>
          <w:p>
            <w:pPr>
              <w:spacing w:line="240" w:lineRule="auto"/>
              <w:ind w:left="0" w:leftChars="0" w:firstLine="0" w:firstLineChars="0"/>
              <w:rPr>
                <w:rFonts w:hint="default" w:ascii="Times New Roman" w:hAnsi="Times New Roman" w:eastAsia="宋体" w:cs="Times New Roman"/>
                <w:sz w:val="21"/>
                <w:szCs w:val="21"/>
              </w:rPr>
            </w:pPr>
          </w:p>
          <w:p>
            <w:pPr>
              <w:spacing w:line="240" w:lineRule="auto"/>
              <w:ind w:left="0" w:leftChars="0" w:firstLine="0" w:firstLineChars="0"/>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安全保卫组</w:t>
            </w:r>
          </w:p>
        </w:tc>
        <w:tc>
          <w:tcPr>
            <w:tcW w:w="1680" w:type="pct"/>
            <w:noWrap w:val="0"/>
            <w:vAlign w:val="top"/>
          </w:tcPr>
          <w:p>
            <w:pPr>
              <w:spacing w:line="240" w:lineRule="auto"/>
              <w:ind w:left="0" w:firstLine="0"/>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组长：</w:t>
            </w:r>
            <w:r>
              <w:rPr>
                <w:rFonts w:hint="default" w:ascii="Times New Roman" w:hAnsi="Times New Roman" w:eastAsia="宋体" w:cs="Times New Roman"/>
                <w:sz w:val="21"/>
                <w:szCs w:val="21"/>
                <w:lang w:eastAsia="zh-CN"/>
              </w:rPr>
              <w:t>夏友谊</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13755697638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11" w:type="pct"/>
            <w:vMerge w:val="continue"/>
            <w:noWrap w:val="0"/>
            <w:vAlign w:val="top"/>
          </w:tcPr>
          <w:p>
            <w:pPr>
              <w:spacing w:line="240" w:lineRule="auto"/>
              <w:ind w:left="0" w:firstLine="0"/>
              <w:rPr>
                <w:rFonts w:hint="default" w:ascii="Times New Roman" w:hAnsi="Times New Roman" w:eastAsia="宋体" w:cs="Times New Roman"/>
                <w:sz w:val="21"/>
                <w:szCs w:val="21"/>
              </w:rPr>
            </w:pPr>
          </w:p>
        </w:tc>
        <w:tc>
          <w:tcPr>
            <w:tcW w:w="1680" w:type="pct"/>
            <w:noWrap w:val="0"/>
            <w:vAlign w:val="top"/>
          </w:tcPr>
          <w:p>
            <w:pPr>
              <w:spacing w:line="240" w:lineRule="auto"/>
              <w:ind w:left="0" w:firstLine="0"/>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组员：</w:t>
            </w:r>
            <w:r>
              <w:rPr>
                <w:rFonts w:hint="default" w:ascii="Times New Roman" w:hAnsi="Times New Roman" w:eastAsia="宋体" w:cs="Times New Roman"/>
                <w:sz w:val="21"/>
                <w:szCs w:val="21"/>
                <w:lang w:eastAsia="zh-CN"/>
              </w:rPr>
              <w:t>熊忠信</w:t>
            </w:r>
          </w:p>
        </w:tc>
        <w:tc>
          <w:tcPr>
            <w:tcW w:w="2008" w:type="pct"/>
            <w:noWrap w:val="0"/>
            <w:vAlign w:val="top"/>
          </w:tcPr>
          <w:p>
            <w:pPr>
              <w:spacing w:line="240" w:lineRule="auto"/>
              <w:ind w:left="0" w:firstLine="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u w:val="none"/>
                <w:lang w:val="en-US" w:eastAsia="zh-CN"/>
              </w:rPr>
              <w:t>13627097137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pct"/>
            <w:noWrap w:val="0"/>
            <w:vAlign w:val="top"/>
          </w:tcPr>
          <w:p>
            <w:pPr>
              <w:spacing w:line="240" w:lineRule="auto"/>
              <w:ind w:left="0" w:leftChars="0" w:firstLine="0" w:firstLineChars="0"/>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应急监测组</w:t>
            </w:r>
          </w:p>
        </w:tc>
        <w:tc>
          <w:tcPr>
            <w:tcW w:w="1680" w:type="pct"/>
            <w:noWrap w:val="0"/>
            <w:vAlign w:val="top"/>
          </w:tcPr>
          <w:p>
            <w:pPr>
              <w:spacing w:line="240" w:lineRule="auto"/>
              <w:ind w:left="0" w:firstLine="0"/>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组长：杨武</w:t>
            </w:r>
          </w:p>
        </w:tc>
        <w:tc>
          <w:tcPr>
            <w:tcW w:w="2008" w:type="pct"/>
            <w:noWrap w:val="0"/>
            <w:vAlign w:val="top"/>
          </w:tcPr>
          <w:p>
            <w:pPr>
              <w:spacing w:line="240" w:lineRule="auto"/>
              <w:ind w:left="0" w:firstLine="0"/>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13677913605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11" w:type="pct"/>
            <w:noWrap w:val="0"/>
            <w:vAlign w:val="top"/>
          </w:tcPr>
          <w:p>
            <w:pPr>
              <w:spacing w:line="240" w:lineRule="auto"/>
              <w:ind w:left="0" w:leftChars="0" w:firstLine="0" w:firstLineChars="0"/>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后勤保障组</w:t>
            </w:r>
          </w:p>
        </w:tc>
        <w:tc>
          <w:tcPr>
            <w:tcW w:w="1680" w:type="pct"/>
            <w:noWrap w:val="0"/>
            <w:vAlign w:val="top"/>
          </w:tcPr>
          <w:p>
            <w:pPr>
              <w:spacing w:line="240" w:lineRule="auto"/>
              <w:ind w:left="0" w:firstLine="0"/>
              <w:jc w:val="left"/>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组长：刘芳</w:t>
            </w:r>
          </w:p>
        </w:tc>
        <w:tc>
          <w:tcPr>
            <w:tcW w:w="2008" w:type="pct"/>
            <w:noWrap w:val="0"/>
            <w:vAlign w:val="top"/>
          </w:tcPr>
          <w:p>
            <w:pPr>
              <w:spacing w:line="240" w:lineRule="auto"/>
              <w:ind w:left="0" w:firstLine="0"/>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13507081220</w:t>
            </w:r>
          </w:p>
        </w:tc>
      </w:tr>
    </w:tbl>
    <w:p>
      <w:pPr>
        <w:pStyle w:val="4"/>
        <w:rPr>
          <w:sz w:val="24"/>
          <w:szCs w:val="24"/>
        </w:rPr>
      </w:pPr>
      <w:bookmarkStart w:id="22" w:name="_Toc23554"/>
      <w:r>
        <w:rPr>
          <w:rFonts w:hint="eastAsia"/>
          <w:sz w:val="24"/>
          <w:szCs w:val="24"/>
        </w:rPr>
        <w:t>职责</w:t>
      </w:r>
      <w:bookmarkEnd w:id="22"/>
    </w:p>
    <w:p>
      <w:pPr>
        <w:pStyle w:val="14"/>
        <w:spacing w:line="480" w:lineRule="exact"/>
        <w:ind w:left="0" w:leftChars="0" w:firstLine="0" w:firstLineChars="0"/>
        <w:outlineLvl w:val="1"/>
        <w:rPr>
          <w:rFonts w:ascii="Times New Roman" w:hAnsi="Times New Roman"/>
          <w:b/>
          <w:bCs/>
          <w:sz w:val="24"/>
          <w:szCs w:val="24"/>
        </w:rPr>
      </w:pPr>
      <w:bookmarkStart w:id="23" w:name="_Toc525997837"/>
      <w:bookmarkStart w:id="24" w:name="_Toc26574"/>
      <w:bookmarkStart w:id="25" w:name="_Toc11511378"/>
      <w:bookmarkStart w:id="26" w:name="_Toc10229516"/>
      <w:bookmarkStart w:id="27" w:name="_Toc3495"/>
      <w:r>
        <w:rPr>
          <w:rFonts w:hint="eastAsia" w:ascii="Times New Roman" w:hAnsi="Times New Roman"/>
          <w:b/>
          <w:bCs/>
          <w:sz w:val="24"/>
          <w:szCs w:val="24"/>
          <w:lang w:val="en-US" w:eastAsia="zh-CN"/>
        </w:rPr>
        <w:t>4.</w:t>
      </w:r>
      <w:r>
        <w:rPr>
          <w:rFonts w:ascii="Times New Roman" w:hAnsi="Times New Roman"/>
          <w:b/>
          <w:bCs/>
          <w:sz w:val="24"/>
          <w:szCs w:val="24"/>
        </w:rPr>
        <w:t>2.1应急指挥中心</w:t>
      </w:r>
      <w:bookmarkEnd w:id="23"/>
      <w:bookmarkEnd w:id="24"/>
      <w:bookmarkEnd w:id="25"/>
      <w:bookmarkEnd w:id="26"/>
      <w:bookmarkEnd w:id="27"/>
    </w:p>
    <w:p>
      <w:pPr>
        <w:pStyle w:val="14"/>
        <w:spacing w:line="480" w:lineRule="exact"/>
        <w:ind w:left="0" w:firstLine="480" w:firstLineChars="200"/>
        <w:jc w:val="both"/>
        <w:rPr>
          <w:rFonts w:ascii="Times New Roman" w:hAnsi="Times New Roman"/>
          <w:color w:val="FF0000"/>
          <w:sz w:val="24"/>
          <w:szCs w:val="24"/>
        </w:rPr>
      </w:pPr>
      <w:r>
        <w:rPr>
          <w:rFonts w:hint="eastAsia" w:ascii="Times New Roman" w:hAnsi="Times New Roman" w:cs="Times New Roman"/>
          <w:b w:val="0"/>
          <w:bCs w:val="0"/>
          <w:sz w:val="24"/>
          <w:szCs w:val="24"/>
          <w:lang w:eastAsia="zh-CN"/>
        </w:rPr>
        <w:t>南昌慧华高科混凝土</w:t>
      </w:r>
      <w:r>
        <w:rPr>
          <w:rFonts w:hint="eastAsia" w:ascii="Times New Roman" w:hAnsi="Times New Roman"/>
          <w:sz w:val="24"/>
          <w:szCs w:val="24"/>
        </w:rPr>
        <w:t>有限公司</w:t>
      </w:r>
      <w:r>
        <w:rPr>
          <w:rFonts w:ascii="Times New Roman" w:hAnsi="Times New Roman"/>
          <w:sz w:val="24"/>
          <w:szCs w:val="24"/>
        </w:rPr>
        <w:t>的应急指挥中心由总指挥、副总指挥、应急办公室组成，事件发生时，应急指挥中心自动转换为现场指挥部。应急指挥中心总指挥为转为现场指挥部总指挥，副总指挥转为现场指挥部副总指挥。“应急办公室”由</w:t>
      </w:r>
      <w:r>
        <w:rPr>
          <w:rFonts w:hint="eastAsia" w:ascii="Times New Roman" w:hAnsi="Times New Roman"/>
          <w:sz w:val="24"/>
          <w:szCs w:val="24"/>
          <w:lang w:eastAsia="zh-CN"/>
        </w:rPr>
        <w:t>周剑文</w:t>
      </w:r>
      <w:r>
        <w:rPr>
          <w:rFonts w:ascii="Times New Roman" w:hAnsi="Times New Roman"/>
          <w:sz w:val="24"/>
          <w:szCs w:val="24"/>
        </w:rPr>
        <w:t>负责。</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应急指挥中心在发生突发环境事件时，负责应急指挥、调度、协调等工作，包括就是否需要外部应急/救援力量做出决策。</w:t>
      </w:r>
    </w:p>
    <w:p>
      <w:pPr>
        <w:pStyle w:val="41"/>
        <w:numPr>
          <w:ilvl w:val="0"/>
          <w:numId w:val="2"/>
        </w:numPr>
        <w:rPr>
          <w:rFonts w:ascii="Times New Roman" w:hAnsi="Times New Roman"/>
          <w:smallCaps/>
          <w:color w:val="auto"/>
          <w:kern w:val="2"/>
          <w:sz w:val="24"/>
          <w:szCs w:val="24"/>
          <w:lang w:val="en-US" w:eastAsia="zh-CN" w:bidi="ar-SA"/>
        </w:rPr>
      </w:pPr>
      <w:r>
        <w:rPr>
          <w:color w:val="auto"/>
          <w:sz w:val="24"/>
          <w:szCs w:val="24"/>
        </w:rPr>
        <w:t>总指挥</w:t>
      </w:r>
      <w:r>
        <w:rPr>
          <w:rFonts w:ascii="Times New Roman" w:hAnsi="Times New Roman"/>
          <w:smallCaps/>
          <w:color w:val="auto"/>
          <w:kern w:val="2"/>
          <w:sz w:val="24"/>
          <w:szCs w:val="24"/>
          <w:lang w:val="en-US" w:eastAsia="zh-CN" w:bidi="ar-SA"/>
        </w:rPr>
        <w:t>：</w:t>
      </w:r>
      <w:r>
        <w:rPr>
          <w:rFonts w:hint="eastAsia"/>
          <w:smallCaps/>
          <w:color w:val="auto"/>
          <w:kern w:val="2"/>
          <w:sz w:val="24"/>
          <w:szCs w:val="24"/>
          <w:lang w:val="en-US" w:eastAsia="zh-CN" w:bidi="ar-SA"/>
        </w:rPr>
        <w:t>周剑文</w:t>
      </w:r>
    </w:p>
    <w:p>
      <w:pPr>
        <w:pStyle w:val="41"/>
        <w:numPr>
          <w:ilvl w:val="0"/>
          <w:numId w:val="2"/>
        </w:numPr>
        <w:rPr>
          <w:color w:val="auto"/>
          <w:sz w:val="24"/>
          <w:szCs w:val="24"/>
        </w:rPr>
      </w:pPr>
      <w:r>
        <w:rPr>
          <w:color w:val="auto"/>
          <w:sz w:val="24"/>
          <w:szCs w:val="24"/>
        </w:rPr>
        <w:t>职责：</w:t>
      </w:r>
    </w:p>
    <w:p>
      <w:pPr>
        <w:pStyle w:val="41"/>
        <w:rPr>
          <w:color w:val="auto"/>
          <w:sz w:val="24"/>
          <w:szCs w:val="24"/>
        </w:rPr>
      </w:pPr>
      <w:r>
        <w:rPr>
          <w:color w:val="auto"/>
          <w:sz w:val="24"/>
          <w:szCs w:val="24"/>
        </w:rPr>
        <w:t>（1）负责组织指挥全厂的应急救援工作；</w:t>
      </w:r>
    </w:p>
    <w:p>
      <w:pPr>
        <w:pStyle w:val="41"/>
        <w:rPr>
          <w:color w:val="auto"/>
          <w:sz w:val="24"/>
          <w:szCs w:val="24"/>
        </w:rPr>
      </w:pPr>
      <w:r>
        <w:rPr>
          <w:color w:val="auto"/>
          <w:sz w:val="24"/>
          <w:szCs w:val="24"/>
        </w:rPr>
        <w:t>（2）配置应急救援的人力资源、资金和应急物资；</w:t>
      </w:r>
    </w:p>
    <w:p>
      <w:pPr>
        <w:pStyle w:val="41"/>
        <w:rPr>
          <w:color w:val="auto"/>
          <w:sz w:val="24"/>
          <w:szCs w:val="24"/>
        </w:rPr>
      </w:pPr>
      <w:r>
        <w:rPr>
          <w:color w:val="auto"/>
          <w:sz w:val="24"/>
          <w:szCs w:val="24"/>
        </w:rPr>
        <w:t>（3）向政府各相关部门报告事故情况及处置情况；</w:t>
      </w:r>
    </w:p>
    <w:p>
      <w:pPr>
        <w:pStyle w:val="41"/>
        <w:rPr>
          <w:color w:val="auto"/>
          <w:sz w:val="24"/>
          <w:szCs w:val="24"/>
        </w:rPr>
      </w:pPr>
      <w:r>
        <w:rPr>
          <w:color w:val="auto"/>
          <w:sz w:val="24"/>
          <w:szCs w:val="24"/>
        </w:rPr>
        <w:t>（4）配合、协助政府部门做好事故的应急救援。</w:t>
      </w:r>
    </w:p>
    <w:p>
      <w:pPr>
        <w:pStyle w:val="41"/>
        <w:rPr>
          <w:rFonts w:ascii="Times New Roman" w:hAnsi="Times New Roman"/>
          <w:smallCaps/>
          <w:color w:val="auto"/>
          <w:kern w:val="2"/>
          <w:sz w:val="24"/>
          <w:szCs w:val="24"/>
          <w:lang w:val="en-US" w:eastAsia="zh-CN" w:bidi="ar-SA"/>
        </w:rPr>
      </w:pPr>
      <w:r>
        <w:rPr>
          <w:color w:val="auto"/>
          <w:sz w:val="24"/>
          <w:szCs w:val="24"/>
        </w:rPr>
        <w:t>2、副总指挥</w:t>
      </w:r>
      <w:r>
        <w:rPr>
          <w:rFonts w:ascii="Times New Roman" w:hAnsi="Times New Roman"/>
          <w:smallCaps/>
          <w:color w:val="auto"/>
          <w:kern w:val="2"/>
          <w:sz w:val="24"/>
          <w:szCs w:val="24"/>
          <w:lang w:val="en-US" w:eastAsia="zh-CN" w:bidi="ar-SA"/>
        </w:rPr>
        <w:t>：</w:t>
      </w:r>
      <w:r>
        <w:rPr>
          <w:rFonts w:hint="eastAsia"/>
          <w:smallCaps/>
          <w:color w:val="auto"/>
          <w:kern w:val="2"/>
          <w:sz w:val="24"/>
          <w:szCs w:val="24"/>
          <w:lang w:val="en-US" w:eastAsia="zh-CN" w:bidi="ar-SA"/>
        </w:rPr>
        <w:t>胡文斌</w:t>
      </w:r>
    </w:p>
    <w:p>
      <w:pPr>
        <w:pStyle w:val="41"/>
        <w:rPr>
          <w:color w:val="auto"/>
          <w:sz w:val="24"/>
          <w:szCs w:val="24"/>
        </w:rPr>
      </w:pPr>
      <w:r>
        <w:rPr>
          <w:color w:val="auto"/>
          <w:sz w:val="24"/>
          <w:szCs w:val="24"/>
        </w:rPr>
        <w:t>职责：</w:t>
      </w:r>
    </w:p>
    <w:p>
      <w:pPr>
        <w:pStyle w:val="41"/>
        <w:rPr>
          <w:color w:val="auto"/>
          <w:sz w:val="24"/>
          <w:szCs w:val="24"/>
        </w:rPr>
      </w:pPr>
      <w:r>
        <w:rPr>
          <w:color w:val="auto"/>
          <w:sz w:val="24"/>
          <w:szCs w:val="24"/>
        </w:rPr>
        <w:t>（1）协助总指挥负责应急救援的具体指挥工作；</w:t>
      </w:r>
    </w:p>
    <w:p>
      <w:pPr>
        <w:pStyle w:val="41"/>
        <w:rPr>
          <w:color w:val="auto"/>
          <w:sz w:val="24"/>
          <w:szCs w:val="24"/>
        </w:rPr>
      </w:pPr>
      <w:r>
        <w:rPr>
          <w:color w:val="auto"/>
          <w:sz w:val="24"/>
          <w:szCs w:val="24"/>
        </w:rPr>
        <w:t>（2）协助总指挥做好事故报警、情况通报及事故处置工作；</w:t>
      </w:r>
    </w:p>
    <w:p>
      <w:pPr>
        <w:pStyle w:val="41"/>
        <w:rPr>
          <w:color w:val="auto"/>
          <w:sz w:val="24"/>
          <w:szCs w:val="24"/>
        </w:rPr>
      </w:pPr>
      <w:r>
        <w:rPr>
          <w:color w:val="auto"/>
          <w:sz w:val="24"/>
          <w:szCs w:val="24"/>
        </w:rPr>
        <w:t>（3）负责灭火、警戒、治安保卫、疏散、道路管制工作；</w:t>
      </w:r>
    </w:p>
    <w:p>
      <w:pPr>
        <w:pStyle w:val="41"/>
        <w:rPr>
          <w:color w:val="auto"/>
          <w:sz w:val="24"/>
          <w:szCs w:val="24"/>
        </w:rPr>
      </w:pPr>
      <w:r>
        <w:rPr>
          <w:color w:val="auto"/>
          <w:sz w:val="24"/>
          <w:szCs w:val="24"/>
        </w:rPr>
        <w:t>（4）协助总指挥负责工程抢险、抢修的现场指挥；</w:t>
      </w:r>
    </w:p>
    <w:p>
      <w:pPr>
        <w:pStyle w:val="41"/>
        <w:rPr>
          <w:color w:val="auto"/>
          <w:sz w:val="24"/>
          <w:szCs w:val="24"/>
        </w:rPr>
      </w:pPr>
      <w:r>
        <w:rPr>
          <w:color w:val="auto"/>
          <w:sz w:val="24"/>
          <w:szCs w:val="24"/>
        </w:rPr>
        <w:t>（5）负责现场医疗救护指挥及中毒、受伤人员分类抢救和护送转院工作。</w:t>
      </w:r>
    </w:p>
    <w:p>
      <w:pPr>
        <w:pStyle w:val="14"/>
        <w:spacing w:line="480" w:lineRule="exact"/>
        <w:ind w:left="0"/>
        <w:outlineLvl w:val="1"/>
        <w:rPr>
          <w:rFonts w:ascii="Times New Roman" w:hAnsi="Times New Roman"/>
          <w:b/>
          <w:bCs/>
          <w:sz w:val="24"/>
          <w:szCs w:val="24"/>
        </w:rPr>
      </w:pPr>
      <w:bookmarkStart w:id="28" w:name="_Toc10229517"/>
      <w:bookmarkStart w:id="29" w:name="_Toc13601"/>
      <w:bookmarkStart w:id="30" w:name="_Toc521359811"/>
      <w:bookmarkStart w:id="31" w:name="_Toc8122"/>
      <w:bookmarkStart w:id="32" w:name="_Toc525997838"/>
      <w:bookmarkStart w:id="33" w:name="_Toc11511379"/>
      <w:bookmarkStart w:id="34" w:name="_Toc22562"/>
      <w:r>
        <w:rPr>
          <w:rFonts w:hint="eastAsia" w:ascii="Times New Roman" w:hAnsi="Times New Roman"/>
          <w:b/>
          <w:bCs/>
          <w:sz w:val="24"/>
          <w:szCs w:val="24"/>
          <w:lang w:val="en-US" w:eastAsia="zh-CN"/>
        </w:rPr>
        <w:t>4.</w:t>
      </w:r>
      <w:r>
        <w:rPr>
          <w:rFonts w:ascii="Times New Roman" w:hAnsi="Times New Roman"/>
          <w:b/>
          <w:bCs/>
          <w:sz w:val="24"/>
          <w:szCs w:val="24"/>
        </w:rPr>
        <w:t>2.2应急办公室</w:t>
      </w:r>
      <w:bookmarkEnd w:id="28"/>
      <w:bookmarkEnd w:id="29"/>
      <w:bookmarkEnd w:id="30"/>
      <w:bookmarkEnd w:id="31"/>
      <w:bookmarkEnd w:id="32"/>
      <w:bookmarkEnd w:id="33"/>
      <w:bookmarkEnd w:id="34"/>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应急办公室受应急指挥中心直接领导，负责处理应急指挥中心的日常事务，应急预案的编制与管理，对外联络，应急物资的贮备管理等。</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应急办公室机构职责：</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（1）服从应急指挥中心的领导，处理应急指挥中心的日常应急工作以及突发环境事件时的工作；</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（2）每日例行巡检厂区内各可能发生环境污染危害行为的区域，发现问题及时纠正并排除隐患；</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（3）每日例行巡检厂区内应急抢险救援设备、救援物资是否完好及到位，发现问题及时维修救援设备及补充救援物资，保证物资落实到位；</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（4）每年组织1次以上突发环境事件应急演练等；</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（5）负责厂区《环境污染事件应急预案》的制定、修订；</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（6）检查、督促做好突发环境事故的预防措施和应急救援的各项准备工作。</w:t>
      </w:r>
    </w:p>
    <w:p>
      <w:pPr>
        <w:pStyle w:val="14"/>
        <w:spacing w:line="480" w:lineRule="exact"/>
        <w:ind w:left="0"/>
        <w:outlineLvl w:val="1"/>
        <w:rPr>
          <w:rFonts w:ascii="Times New Roman" w:hAnsi="Times New Roman"/>
          <w:b/>
          <w:bCs/>
          <w:sz w:val="24"/>
          <w:szCs w:val="24"/>
        </w:rPr>
      </w:pPr>
      <w:bookmarkStart w:id="35" w:name="_Toc525997839"/>
      <w:bookmarkStart w:id="36" w:name="_Toc17628"/>
      <w:bookmarkStart w:id="37" w:name="_Toc11511380"/>
      <w:bookmarkStart w:id="38" w:name="_Toc15714"/>
      <w:bookmarkStart w:id="39" w:name="_Toc521359812"/>
      <w:bookmarkStart w:id="40" w:name="_Toc10229518"/>
      <w:bookmarkStart w:id="41" w:name="_Toc26719"/>
      <w:r>
        <w:rPr>
          <w:rFonts w:hint="eastAsia" w:ascii="Times New Roman" w:hAnsi="Times New Roman"/>
          <w:b/>
          <w:bCs/>
          <w:sz w:val="24"/>
          <w:szCs w:val="24"/>
          <w:lang w:val="en-US" w:eastAsia="zh-CN"/>
        </w:rPr>
        <w:t>4.</w:t>
      </w:r>
      <w:r>
        <w:rPr>
          <w:rFonts w:ascii="Times New Roman" w:hAnsi="Times New Roman"/>
          <w:b/>
          <w:bCs/>
          <w:sz w:val="24"/>
          <w:szCs w:val="24"/>
        </w:rPr>
        <w:t>2.3现场指挥部</w:t>
      </w:r>
      <w:bookmarkEnd w:id="35"/>
      <w:bookmarkEnd w:id="36"/>
      <w:bookmarkEnd w:id="37"/>
      <w:bookmarkEnd w:id="38"/>
      <w:bookmarkEnd w:id="39"/>
      <w:bookmarkEnd w:id="40"/>
      <w:bookmarkEnd w:id="41"/>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当发生突发事故（件）时，立即启动应急救援预案，应急指挥中心自动转化成“现场指挥部”，现场指挥部所有成员参加事故现场应急救援指挥工作。如总指挥不在企业时，副总指挥全权负责事故应急救援指挥工作。总指挥和副总指挥皆不在企业时，由值班负责人全权负责事故应急救援指挥工作。</w:t>
      </w:r>
    </w:p>
    <w:p>
      <w:pPr>
        <w:pStyle w:val="14"/>
        <w:spacing w:line="480" w:lineRule="exact"/>
        <w:ind w:left="0"/>
        <w:outlineLvl w:val="1"/>
        <w:rPr>
          <w:rFonts w:ascii="Times New Roman" w:hAnsi="Times New Roman"/>
          <w:b/>
          <w:bCs/>
          <w:sz w:val="24"/>
          <w:szCs w:val="24"/>
        </w:rPr>
      </w:pPr>
      <w:bookmarkStart w:id="42" w:name="_Toc521359813"/>
      <w:bookmarkStart w:id="43" w:name="_Toc28471"/>
      <w:bookmarkStart w:id="44" w:name="_Toc10229519"/>
      <w:bookmarkStart w:id="45" w:name="_Toc11511381"/>
      <w:bookmarkStart w:id="46" w:name="_Toc525997840"/>
      <w:bookmarkStart w:id="47" w:name="_Toc1262"/>
      <w:bookmarkStart w:id="48" w:name="_Toc32457"/>
      <w:r>
        <w:rPr>
          <w:rFonts w:hint="eastAsia" w:ascii="Times New Roman" w:hAnsi="Times New Roman"/>
          <w:b/>
          <w:bCs/>
          <w:sz w:val="24"/>
          <w:szCs w:val="24"/>
          <w:lang w:val="en-US" w:eastAsia="zh-CN"/>
        </w:rPr>
        <w:t>4.</w:t>
      </w:r>
      <w:r>
        <w:rPr>
          <w:rFonts w:ascii="Times New Roman" w:hAnsi="Times New Roman"/>
          <w:b/>
          <w:bCs/>
          <w:sz w:val="24"/>
          <w:szCs w:val="24"/>
        </w:rPr>
        <w:t>2.4应急工作小组</w:t>
      </w:r>
      <w:bookmarkEnd w:id="42"/>
      <w:bookmarkEnd w:id="43"/>
      <w:bookmarkEnd w:id="44"/>
      <w:bookmarkEnd w:id="45"/>
      <w:bookmarkEnd w:id="46"/>
      <w:bookmarkEnd w:id="47"/>
      <w:bookmarkEnd w:id="48"/>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应急工作小组是依据实际需要设定的，是紧急情况已经发生或将要发生时在现场指挥部的领导下开展工作，应急工作小组有：现场处置组、应急医疗组、信息通讯组、应急监测组、后勤保障组、安全保卫组。</w:t>
      </w:r>
    </w:p>
    <w:p>
      <w:pPr>
        <w:pStyle w:val="14"/>
        <w:spacing w:line="480" w:lineRule="exact"/>
        <w:ind w:left="0" w:firstLine="480" w:firstLineChars="200"/>
        <w:jc w:val="both"/>
        <w:rPr>
          <w:rFonts w:ascii="Times New Roman" w:hAnsi="Times New Roman"/>
          <w:sz w:val="24"/>
          <w:szCs w:val="24"/>
        </w:rPr>
      </w:pPr>
      <w:r>
        <w:rPr>
          <w:rFonts w:hint="eastAsia" w:ascii="Times New Roman" w:hAnsi="Times New Roman"/>
          <w:sz w:val="24"/>
          <w:szCs w:val="24"/>
        </w:rPr>
        <w:t>公司</w:t>
      </w:r>
      <w:r>
        <w:rPr>
          <w:rFonts w:ascii="Times New Roman" w:hAnsi="Times New Roman"/>
          <w:sz w:val="24"/>
          <w:szCs w:val="24"/>
        </w:rPr>
        <w:t>各职能部门和全体员工都负有突发环境事件应急救援的责任，各应急工作小组是突发环境事件应急救援的骨干力量，担负着单位内各类突发环境事件的救援和处置工作的责任。</w:t>
      </w:r>
    </w:p>
    <w:p>
      <w:pPr>
        <w:spacing w:line="440" w:lineRule="exact"/>
        <w:outlineLvl w:val="2"/>
        <w:rPr>
          <w:rFonts w:ascii="Times New Roman" w:hAnsi="Times New Roman"/>
          <w:b/>
          <w:bCs/>
          <w:sz w:val="24"/>
          <w:szCs w:val="24"/>
        </w:rPr>
      </w:pPr>
      <w:bookmarkStart w:id="49" w:name="_Toc24982"/>
      <w:bookmarkStart w:id="50" w:name="_Toc10229520"/>
      <w:bookmarkStart w:id="51" w:name="_Toc9744"/>
      <w:bookmarkStart w:id="52" w:name="_Toc11511382"/>
      <w:r>
        <w:rPr>
          <w:rFonts w:hint="eastAsia" w:ascii="Times New Roman" w:hAnsi="Times New Roman"/>
          <w:b/>
          <w:bCs/>
          <w:sz w:val="24"/>
          <w:szCs w:val="24"/>
          <w:lang w:val="en-US" w:eastAsia="zh-CN"/>
        </w:rPr>
        <w:t>4</w:t>
      </w:r>
      <w:r>
        <w:rPr>
          <w:rFonts w:ascii="Times New Roman" w:hAnsi="Times New Roman"/>
          <w:b/>
          <w:bCs/>
          <w:sz w:val="24"/>
          <w:szCs w:val="24"/>
        </w:rPr>
        <w:t>.</w:t>
      </w:r>
      <w:r>
        <w:rPr>
          <w:rFonts w:hint="eastAsia" w:ascii="Times New Roman" w:hAnsi="Times New Roman"/>
          <w:b/>
          <w:bCs/>
          <w:sz w:val="24"/>
          <w:szCs w:val="24"/>
          <w:lang w:val="en-US" w:eastAsia="zh-CN"/>
        </w:rPr>
        <w:t>2</w:t>
      </w:r>
      <w:r>
        <w:rPr>
          <w:rFonts w:ascii="Times New Roman" w:hAnsi="Times New Roman"/>
          <w:b/>
          <w:bCs/>
          <w:sz w:val="24"/>
          <w:szCs w:val="24"/>
        </w:rPr>
        <w:t>.</w:t>
      </w:r>
      <w:r>
        <w:rPr>
          <w:rFonts w:hint="eastAsia" w:ascii="Times New Roman" w:hAnsi="Times New Roman"/>
          <w:b/>
          <w:bCs/>
          <w:sz w:val="24"/>
          <w:szCs w:val="24"/>
          <w:lang w:val="en-US" w:eastAsia="zh-CN"/>
        </w:rPr>
        <w:t>4.1</w:t>
      </w:r>
      <w:r>
        <w:rPr>
          <w:rFonts w:ascii="Times New Roman" w:hAnsi="Times New Roman"/>
          <w:b/>
          <w:bCs/>
          <w:sz w:val="24"/>
          <w:szCs w:val="24"/>
        </w:rPr>
        <w:t>现场处置组</w:t>
      </w:r>
      <w:bookmarkEnd w:id="49"/>
      <w:bookmarkEnd w:id="50"/>
      <w:bookmarkEnd w:id="51"/>
      <w:bookmarkEnd w:id="52"/>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由</w:t>
      </w:r>
      <w:r>
        <w:rPr>
          <w:rFonts w:hint="eastAsia" w:ascii="Times New Roman" w:hAnsi="Times New Roman"/>
          <w:sz w:val="24"/>
          <w:szCs w:val="24"/>
          <w:lang w:eastAsia="zh-CN"/>
        </w:rPr>
        <w:t>陈勇</w:t>
      </w:r>
      <w:r>
        <w:rPr>
          <w:rFonts w:ascii="Times New Roman" w:hAnsi="Times New Roman"/>
          <w:sz w:val="24"/>
          <w:szCs w:val="24"/>
        </w:rPr>
        <w:t>担任现场处置小组组长，生产员工经培训后担任现场处置小组成员。当发生事故时，依据污染防治的程序，进行现场救援活动，并参与生产恢复工作，具体职责如下：</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（1）协助预防各区域可能发生的环境污染危害行为；</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（2）应急处理，制定排险、抢险方案；</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（3）提出落实抢险救援装置、设备抢修所需物资；</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（4）组织落实排险、抢险方案，控制事故蔓延；</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（5）依现场状况，按照救援程序，进行现场援救活动，并按事件的发展，将事件发展信息向应急指挥中心汇报；</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（6）参与事故调查。</w:t>
      </w:r>
    </w:p>
    <w:p>
      <w:pPr>
        <w:spacing w:line="440" w:lineRule="exact"/>
        <w:outlineLvl w:val="2"/>
        <w:rPr>
          <w:rFonts w:ascii="Times New Roman" w:hAnsi="Times New Roman"/>
          <w:b/>
          <w:bCs/>
          <w:sz w:val="24"/>
          <w:szCs w:val="24"/>
        </w:rPr>
      </w:pPr>
      <w:bookmarkStart w:id="53" w:name="_Toc11511383"/>
      <w:bookmarkStart w:id="54" w:name="_Toc20810"/>
      <w:bookmarkStart w:id="55" w:name="_Toc14870"/>
      <w:bookmarkStart w:id="56" w:name="_Toc10229521"/>
      <w:r>
        <w:rPr>
          <w:rFonts w:hint="eastAsia" w:ascii="Times New Roman" w:hAnsi="Times New Roman"/>
          <w:b/>
          <w:bCs/>
          <w:sz w:val="24"/>
          <w:szCs w:val="24"/>
          <w:lang w:val="en-US" w:eastAsia="zh-CN"/>
        </w:rPr>
        <w:t>4.</w:t>
      </w:r>
      <w:r>
        <w:rPr>
          <w:rFonts w:ascii="Times New Roman" w:hAnsi="Times New Roman"/>
          <w:b/>
          <w:bCs/>
          <w:sz w:val="24"/>
          <w:szCs w:val="24"/>
        </w:rPr>
        <w:t>2.4.2应急医疗组</w:t>
      </w:r>
      <w:bookmarkEnd w:id="53"/>
      <w:bookmarkEnd w:id="54"/>
      <w:bookmarkEnd w:id="55"/>
      <w:bookmarkEnd w:id="56"/>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应急医疗组组长由</w:t>
      </w:r>
      <w:r>
        <w:rPr>
          <w:rFonts w:hint="eastAsia" w:ascii="Times New Roman" w:hAnsi="Times New Roman"/>
          <w:sz w:val="24"/>
          <w:szCs w:val="24"/>
          <w:lang w:eastAsia="zh-CN"/>
        </w:rPr>
        <w:t>应雪霞</w:t>
      </w:r>
      <w:r>
        <w:rPr>
          <w:rFonts w:ascii="Times New Roman" w:hAnsi="Times New Roman"/>
          <w:sz w:val="24"/>
          <w:szCs w:val="24"/>
        </w:rPr>
        <w:t>担任，配合医疗卫生部门对受伤人员展开救援工作，其主要职责：</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（1）</w:t>
      </w:r>
      <w:r>
        <w:rPr>
          <w:rFonts w:hint="eastAsia" w:ascii="Times New Roman" w:hAnsi="Times New Roman"/>
          <w:sz w:val="24"/>
          <w:szCs w:val="24"/>
          <w:lang w:eastAsia="zh-CN"/>
        </w:rPr>
        <w:t>南昌慧华高科</w:t>
      </w:r>
      <w:r>
        <w:rPr>
          <w:rFonts w:hint="eastAsia" w:ascii="Times New Roman" w:hAnsi="Times New Roman" w:cs="Times New Roman"/>
          <w:b w:val="0"/>
          <w:bCs w:val="0"/>
          <w:sz w:val="24"/>
          <w:szCs w:val="24"/>
          <w:lang w:eastAsia="zh-CN"/>
        </w:rPr>
        <w:t>混凝土</w:t>
      </w:r>
      <w:r>
        <w:rPr>
          <w:rFonts w:hint="eastAsia" w:ascii="Times New Roman" w:hAnsi="Times New Roman"/>
          <w:sz w:val="24"/>
          <w:szCs w:val="24"/>
        </w:rPr>
        <w:t>有限公司</w:t>
      </w:r>
      <w:r>
        <w:rPr>
          <w:rFonts w:ascii="Times New Roman" w:hAnsi="Times New Roman"/>
          <w:sz w:val="24"/>
          <w:szCs w:val="24"/>
        </w:rPr>
        <w:t>不具备医疗救治能力，联络</w:t>
      </w:r>
      <w:r>
        <w:rPr>
          <w:rFonts w:hint="eastAsia" w:ascii="Times New Roman" w:hAnsi="Times New Roman"/>
          <w:sz w:val="24"/>
          <w:szCs w:val="24"/>
          <w:lang w:eastAsia="zh-CN"/>
        </w:rPr>
        <w:t>南昌</w:t>
      </w:r>
      <w:r>
        <w:rPr>
          <w:rFonts w:ascii="Times New Roman" w:hAnsi="Times New Roman"/>
          <w:sz w:val="24"/>
          <w:szCs w:val="24"/>
        </w:rPr>
        <w:t>市人民医院（120）；</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（2）做好医疗救护应急药品及卫生防护药品等物质的储存与保护；</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（3）对伤员进行急救处理，积极配合医院开展救治工作。</w:t>
      </w:r>
    </w:p>
    <w:p>
      <w:pPr>
        <w:spacing w:line="440" w:lineRule="exact"/>
        <w:outlineLvl w:val="2"/>
        <w:rPr>
          <w:rFonts w:ascii="Times New Roman" w:hAnsi="Times New Roman"/>
          <w:b/>
          <w:bCs/>
          <w:sz w:val="24"/>
          <w:szCs w:val="24"/>
        </w:rPr>
      </w:pPr>
      <w:bookmarkStart w:id="57" w:name="_Toc10229522"/>
      <w:bookmarkStart w:id="58" w:name="_Toc488"/>
      <w:bookmarkStart w:id="59" w:name="_Toc21993"/>
      <w:bookmarkStart w:id="60" w:name="_Toc11511384"/>
      <w:r>
        <w:rPr>
          <w:rFonts w:hint="eastAsia" w:ascii="Times New Roman" w:hAnsi="Times New Roman"/>
          <w:b/>
          <w:bCs/>
          <w:sz w:val="24"/>
          <w:szCs w:val="24"/>
          <w:lang w:val="en-US" w:eastAsia="zh-CN"/>
        </w:rPr>
        <w:t>4.</w:t>
      </w:r>
      <w:r>
        <w:rPr>
          <w:rFonts w:ascii="Times New Roman" w:hAnsi="Times New Roman"/>
          <w:b/>
          <w:bCs/>
          <w:sz w:val="24"/>
          <w:szCs w:val="24"/>
        </w:rPr>
        <w:t>2.4.3信息通讯组</w:t>
      </w:r>
      <w:bookmarkEnd w:id="57"/>
      <w:bookmarkEnd w:id="58"/>
      <w:bookmarkEnd w:id="59"/>
      <w:bookmarkEnd w:id="60"/>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信息通讯组由</w:t>
      </w:r>
      <w:r>
        <w:rPr>
          <w:rFonts w:hint="eastAsia" w:ascii="Times New Roman" w:hAnsi="Times New Roman"/>
          <w:sz w:val="24"/>
          <w:szCs w:val="24"/>
          <w:lang w:eastAsia="zh-CN"/>
        </w:rPr>
        <w:t>叶明明</w:t>
      </w:r>
      <w:r>
        <w:rPr>
          <w:rFonts w:ascii="Times New Roman" w:hAnsi="Times New Roman"/>
          <w:sz w:val="24"/>
          <w:szCs w:val="24"/>
        </w:rPr>
        <w:t>担任组长，环境事件发生时主要负责对内、外信息报送和指令传达等任务。启动应急预案的第一时间打电话向有关部门报告，配合应急指挥中心做好内外的联络通信工作。</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（1）及时向应急指挥中心报告发生在本企业的突发环境事件处置的实时进展情况；</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（2）负责厂区突发环境事件的具体处置的指导、协调和督促；</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（3）发生突发事件或发现负面报道后，及时向应急指挥中心报告并提出工作建议；</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（4）向周边居民、企业、政府部门通报事故情况；</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（5）配合政府部门开展媒体应对。</w:t>
      </w:r>
    </w:p>
    <w:p>
      <w:pPr>
        <w:spacing w:line="440" w:lineRule="exact"/>
        <w:outlineLvl w:val="2"/>
        <w:rPr>
          <w:rFonts w:ascii="Times New Roman" w:hAnsi="Times New Roman"/>
          <w:b/>
          <w:bCs/>
          <w:sz w:val="24"/>
          <w:szCs w:val="24"/>
        </w:rPr>
      </w:pPr>
      <w:bookmarkStart w:id="61" w:name="_Toc13801"/>
      <w:bookmarkStart w:id="62" w:name="_Toc11511385"/>
      <w:bookmarkStart w:id="63" w:name="_Toc32414"/>
      <w:bookmarkStart w:id="64" w:name="_Toc10229523"/>
      <w:r>
        <w:rPr>
          <w:rFonts w:hint="eastAsia" w:ascii="Times New Roman" w:hAnsi="Times New Roman"/>
          <w:b/>
          <w:bCs/>
          <w:sz w:val="24"/>
          <w:szCs w:val="24"/>
          <w:lang w:val="en-US" w:eastAsia="zh-CN"/>
        </w:rPr>
        <w:t>4.</w:t>
      </w:r>
      <w:r>
        <w:rPr>
          <w:rFonts w:ascii="Times New Roman" w:hAnsi="Times New Roman"/>
          <w:b/>
          <w:bCs/>
          <w:sz w:val="24"/>
          <w:szCs w:val="24"/>
        </w:rPr>
        <w:t>2.4.4应急监测组</w:t>
      </w:r>
      <w:bookmarkEnd w:id="61"/>
      <w:bookmarkEnd w:id="62"/>
      <w:bookmarkEnd w:id="63"/>
      <w:bookmarkEnd w:id="64"/>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应急监测组组长由</w:t>
      </w:r>
      <w:r>
        <w:rPr>
          <w:rFonts w:hint="eastAsia" w:ascii="Times New Roman" w:hAnsi="Times New Roman"/>
          <w:sz w:val="24"/>
          <w:szCs w:val="24"/>
          <w:lang w:eastAsia="zh-CN"/>
        </w:rPr>
        <w:t>杨武</w:t>
      </w:r>
      <w:r>
        <w:rPr>
          <w:rFonts w:ascii="Times New Roman" w:hAnsi="Times New Roman"/>
          <w:sz w:val="24"/>
          <w:szCs w:val="24"/>
        </w:rPr>
        <w:t>担任，配合环保部门对周围环境进行布点监测，及时向应急指挥中心提供监测数据。</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（1）监控事件救援过程中的污染物产生量；</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（2）开展厂区内自行污染指标监测；</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（3）</w:t>
      </w:r>
      <w:r>
        <w:rPr>
          <w:rFonts w:hint="eastAsia" w:ascii="Times New Roman" w:hAnsi="Times New Roman"/>
          <w:sz w:val="24"/>
          <w:szCs w:val="24"/>
          <w:lang w:eastAsia="zh-CN"/>
        </w:rPr>
        <w:t>南昌慧华高科</w:t>
      </w:r>
      <w:r>
        <w:rPr>
          <w:rFonts w:hint="eastAsia" w:ascii="Times New Roman" w:hAnsi="Times New Roman" w:cs="Times New Roman"/>
          <w:b w:val="0"/>
          <w:bCs w:val="0"/>
          <w:sz w:val="24"/>
          <w:szCs w:val="24"/>
          <w:lang w:eastAsia="zh-CN"/>
        </w:rPr>
        <w:t>混凝土</w:t>
      </w:r>
      <w:r>
        <w:rPr>
          <w:rFonts w:hint="eastAsia" w:ascii="Times New Roman" w:hAnsi="Times New Roman"/>
          <w:sz w:val="24"/>
          <w:szCs w:val="24"/>
        </w:rPr>
        <w:t>有限公司</w:t>
      </w:r>
      <w:r>
        <w:rPr>
          <w:rFonts w:ascii="Times New Roman" w:hAnsi="Times New Roman"/>
          <w:sz w:val="24"/>
          <w:szCs w:val="24"/>
        </w:rPr>
        <w:t>不具备监测能力，联络</w:t>
      </w:r>
      <w:r>
        <w:rPr>
          <w:rFonts w:hint="eastAsia" w:ascii="MicrosoftYaHei" w:hAnsi="MicrosoftYaHei" w:eastAsia="宋体" w:cs="MicrosoftYaHei"/>
          <w:i w:val="0"/>
          <w:caps w:val="0"/>
          <w:color w:val="000000"/>
          <w:spacing w:val="0"/>
          <w:sz w:val="24"/>
          <w:szCs w:val="24"/>
          <w:u w:val="none"/>
          <w:shd w:val="clear" w:color="auto" w:fill="FFFFFF"/>
          <w:lang w:eastAsia="zh-CN"/>
        </w:rPr>
        <w:t>江西华检检测技术有限公司</w:t>
      </w:r>
      <w:r>
        <w:rPr>
          <w:rFonts w:ascii="Times New Roman" w:hAnsi="Times New Roman"/>
          <w:sz w:val="24"/>
          <w:szCs w:val="24"/>
        </w:rPr>
        <w:t>（</w:t>
      </w:r>
      <w:r>
        <w:rPr>
          <w:rFonts w:hint="default" w:ascii="Times New Roman" w:hAnsi="Times New Roman" w:cs="Times New Roman"/>
          <w:sz w:val="24"/>
          <w:szCs w:val="24"/>
          <w:u w:val="none"/>
          <w:lang w:val="en-US" w:eastAsia="zh-CN"/>
        </w:rPr>
        <w:t>19979952299</w:t>
      </w:r>
      <w:r>
        <w:rPr>
          <w:rFonts w:ascii="Times New Roman" w:hAnsi="Times New Roman"/>
          <w:sz w:val="24"/>
          <w:szCs w:val="24"/>
        </w:rPr>
        <w:t>）。协调应急监测人员开展厂区环境应急监测工作，并将监测结果向应急指挥中心报告；</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（4）组织制定事件应急处置结束后受污染场所的环境修复方案；</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（5）组织协调相关部门对事件造成的环境影响进行分析评估，形成事件环境影响评估报告。</w:t>
      </w:r>
    </w:p>
    <w:p>
      <w:pPr>
        <w:spacing w:line="440" w:lineRule="exact"/>
        <w:outlineLvl w:val="2"/>
        <w:rPr>
          <w:rFonts w:ascii="Times New Roman" w:hAnsi="Times New Roman"/>
          <w:b/>
          <w:bCs/>
          <w:sz w:val="24"/>
          <w:szCs w:val="24"/>
        </w:rPr>
      </w:pPr>
      <w:bookmarkStart w:id="65" w:name="_Toc11511386"/>
      <w:bookmarkStart w:id="66" w:name="_Toc20781"/>
      <w:bookmarkStart w:id="67" w:name="_Toc10229524"/>
      <w:bookmarkStart w:id="68" w:name="_Toc11388"/>
      <w:r>
        <w:rPr>
          <w:rFonts w:hint="eastAsia" w:ascii="Times New Roman" w:hAnsi="Times New Roman"/>
          <w:b/>
          <w:bCs/>
          <w:sz w:val="24"/>
          <w:szCs w:val="24"/>
          <w:lang w:val="en-US" w:eastAsia="zh-CN"/>
        </w:rPr>
        <w:t>4.</w:t>
      </w:r>
      <w:r>
        <w:rPr>
          <w:rFonts w:ascii="Times New Roman" w:hAnsi="Times New Roman"/>
          <w:b/>
          <w:bCs/>
          <w:sz w:val="24"/>
          <w:szCs w:val="24"/>
        </w:rPr>
        <w:t>2.4.5后勤保障组</w:t>
      </w:r>
      <w:bookmarkEnd w:id="65"/>
      <w:bookmarkEnd w:id="66"/>
      <w:bookmarkEnd w:id="67"/>
      <w:bookmarkEnd w:id="68"/>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由</w:t>
      </w:r>
      <w:r>
        <w:rPr>
          <w:rFonts w:hint="eastAsia" w:ascii="Times New Roman" w:hAnsi="Times New Roman"/>
          <w:sz w:val="24"/>
          <w:szCs w:val="24"/>
          <w:lang w:eastAsia="zh-CN"/>
        </w:rPr>
        <w:t>刘芳</w:t>
      </w:r>
      <w:r>
        <w:rPr>
          <w:rFonts w:ascii="Times New Roman" w:hAnsi="Times New Roman"/>
          <w:sz w:val="24"/>
          <w:szCs w:val="24"/>
        </w:rPr>
        <w:t>担任后勤保障组组长，负责应急物资供应以及后勤保障工作，其主要职责：</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（1）负责污染防治物资、设施、装备、器材、防护用品等的及时供应及保障；</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（2）协助疏散及安顿员工；</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（3）协助伤员救护、运转及安抚工作；</w:t>
      </w:r>
    </w:p>
    <w:p>
      <w:pPr>
        <w:pStyle w:val="14"/>
        <w:spacing w:line="480" w:lineRule="exact"/>
        <w:ind w:left="0" w:firstLine="480" w:firstLineChars="200"/>
        <w:rPr>
          <w:rFonts w:ascii="Times New Roman" w:hAnsi="Times New Roman"/>
          <w:sz w:val="24"/>
          <w:szCs w:val="24"/>
        </w:rPr>
      </w:pPr>
      <w:r>
        <w:rPr>
          <w:rFonts w:ascii="Times New Roman" w:hAnsi="Times New Roman"/>
          <w:sz w:val="24"/>
          <w:szCs w:val="24"/>
        </w:rPr>
        <w:t>（4）做好紧急情况发生时必要物资的储备、采购与发放工作；</w:t>
      </w:r>
    </w:p>
    <w:p>
      <w:pPr>
        <w:spacing w:line="440" w:lineRule="exact"/>
        <w:outlineLvl w:val="2"/>
        <w:rPr>
          <w:rFonts w:ascii="Times New Roman" w:hAnsi="Times New Roman"/>
          <w:b/>
          <w:bCs/>
          <w:sz w:val="24"/>
          <w:szCs w:val="24"/>
        </w:rPr>
      </w:pPr>
      <w:bookmarkStart w:id="69" w:name="_Toc11511387"/>
      <w:bookmarkStart w:id="70" w:name="_Toc2002"/>
      <w:bookmarkStart w:id="71" w:name="_Toc13875"/>
      <w:bookmarkStart w:id="72" w:name="_Toc10229525"/>
      <w:r>
        <w:rPr>
          <w:rFonts w:hint="eastAsia" w:ascii="Times New Roman" w:hAnsi="Times New Roman"/>
          <w:b/>
          <w:bCs/>
          <w:sz w:val="24"/>
          <w:szCs w:val="24"/>
          <w:lang w:val="en-US" w:eastAsia="zh-CN"/>
        </w:rPr>
        <w:t>4.</w:t>
      </w:r>
      <w:r>
        <w:rPr>
          <w:rFonts w:ascii="Times New Roman" w:hAnsi="Times New Roman"/>
          <w:b/>
          <w:bCs/>
          <w:sz w:val="24"/>
          <w:szCs w:val="24"/>
        </w:rPr>
        <w:t>2.4.6安全保卫组</w:t>
      </w:r>
      <w:bookmarkEnd w:id="69"/>
      <w:bookmarkEnd w:id="70"/>
      <w:bookmarkEnd w:id="71"/>
      <w:bookmarkEnd w:id="72"/>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安全保卫组由</w:t>
      </w:r>
      <w:r>
        <w:rPr>
          <w:rFonts w:hint="eastAsia" w:ascii="Times New Roman" w:hAnsi="Times New Roman"/>
          <w:sz w:val="24"/>
          <w:szCs w:val="24"/>
          <w:lang w:eastAsia="zh-CN"/>
        </w:rPr>
        <w:t>夏友谊</w:t>
      </w:r>
      <w:r>
        <w:rPr>
          <w:rFonts w:ascii="Times New Roman" w:hAnsi="Times New Roman"/>
          <w:sz w:val="24"/>
          <w:szCs w:val="24"/>
        </w:rPr>
        <w:t>、生产成员组成，主要负责事故发生后人员的紧急疏散、现场警戒、秩序维护、安全救护等。</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（1）执行应急指挥中心命令，组织人员紧急疏散及秩序维护措施；</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（2）进行现场警戒及保卫工作；</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（3）对受伤人员进行安全救护，清点统计人员受灾情况；</w:t>
      </w:r>
    </w:p>
    <w:p>
      <w:pPr>
        <w:pStyle w:val="14"/>
        <w:spacing w:line="480" w:lineRule="exact"/>
        <w:ind w:left="0" w:firstLine="480" w:firstLineChars="200"/>
        <w:jc w:val="both"/>
        <w:rPr>
          <w:rFonts w:ascii="Times New Roman" w:hAnsi="Times New Roman"/>
          <w:sz w:val="24"/>
          <w:szCs w:val="24"/>
        </w:rPr>
      </w:pPr>
      <w:r>
        <w:rPr>
          <w:rFonts w:ascii="Times New Roman" w:hAnsi="Times New Roman"/>
          <w:sz w:val="24"/>
          <w:szCs w:val="24"/>
        </w:rPr>
        <w:t>（4）根据警情迅速组织出警、参与泄漏控制、参与制定灭火方案、组织控制火势、火灾现场人员搜救、灭火抢险物资的保管及补充事故调查。</w:t>
      </w:r>
    </w:p>
    <w:p>
      <w:pPr>
        <w:pStyle w:val="4"/>
        <w:rPr>
          <w:rFonts w:hint="eastAsia"/>
          <w:sz w:val="24"/>
          <w:szCs w:val="24"/>
        </w:rPr>
      </w:pPr>
      <w:bookmarkStart w:id="73" w:name="_Toc25496"/>
      <w:r>
        <w:rPr>
          <w:rFonts w:hint="eastAsia"/>
          <w:sz w:val="24"/>
          <w:szCs w:val="24"/>
          <w:lang w:eastAsia="zh-CN"/>
        </w:rPr>
        <w:t>外部应急救援机构</w:t>
      </w:r>
      <w:bookmarkEnd w:id="73"/>
    </w:p>
    <w:p>
      <w:pPr>
        <w:pStyle w:val="7"/>
        <w:keepNext/>
        <w:keepLines w:val="0"/>
        <w:pageBreakBefore w:val="0"/>
        <w:widowControl w:val="0"/>
        <w:kinsoku/>
        <w:wordWrap/>
        <w:overflowPunct/>
        <w:topLinePunct w:val="0"/>
        <w:autoSpaceDE/>
        <w:autoSpaceDN/>
        <w:bidi w:val="0"/>
        <w:adjustRightInd/>
        <w:snapToGrid/>
        <w:ind w:firstLine="480" w:firstLineChars="200"/>
        <w:jc w:val="both"/>
        <w:textAlignment w:val="auto"/>
        <w:rPr>
          <w:rFonts w:hint="eastAsia"/>
          <w:sz w:val="24"/>
          <w:szCs w:val="24"/>
          <w:lang w:eastAsia="zh-CN"/>
        </w:rPr>
      </w:pPr>
      <w:r>
        <w:rPr>
          <w:rFonts w:hint="eastAsia"/>
          <w:sz w:val="24"/>
          <w:szCs w:val="24"/>
          <w:lang w:eastAsia="zh-CN"/>
        </w:rPr>
        <w:t>外部应急救援机构主要包括上级主管部门和相关资质单位。具体联系方式如下表所示：</w:t>
      </w:r>
    </w:p>
    <w:p>
      <w:pPr>
        <w:pStyle w:val="7"/>
        <w:keepNext/>
        <w:rPr>
          <w:b/>
          <w:bCs/>
          <w:sz w:val="24"/>
          <w:szCs w:val="24"/>
        </w:rPr>
      </w:pPr>
      <w:r>
        <w:rPr>
          <w:rFonts w:hint="eastAsia"/>
          <w:b/>
          <w:bCs/>
          <w:sz w:val="24"/>
          <w:szCs w:val="24"/>
        </w:rPr>
        <w:t xml:space="preserve">表 </w:t>
      </w:r>
      <w:r>
        <w:rPr>
          <w:rFonts w:hint="eastAsia"/>
          <w:b/>
          <w:bCs/>
          <w:sz w:val="24"/>
          <w:szCs w:val="24"/>
          <w:lang w:val="en-US" w:eastAsia="zh-CN"/>
        </w:rPr>
        <w:t>4</w:t>
      </w:r>
      <w:r>
        <w:rPr>
          <w:b/>
          <w:bCs/>
          <w:sz w:val="24"/>
          <w:szCs w:val="24"/>
        </w:rPr>
        <w:noBreakHyphen/>
      </w:r>
      <w:r>
        <w:rPr>
          <w:b/>
          <w:bCs/>
          <w:sz w:val="24"/>
          <w:szCs w:val="24"/>
        </w:rPr>
        <w:fldChar w:fldCharType="begin"/>
      </w:r>
      <w:r>
        <w:rPr>
          <w:b/>
          <w:bCs/>
          <w:sz w:val="24"/>
          <w:szCs w:val="24"/>
        </w:rPr>
        <w:instrText xml:space="preserve"> </w:instrText>
      </w:r>
      <w:r>
        <w:rPr>
          <w:rFonts w:hint="eastAsia"/>
          <w:b/>
          <w:bCs/>
          <w:sz w:val="24"/>
          <w:szCs w:val="24"/>
        </w:rPr>
        <w:instrText xml:space="preserve">SEQ 表 \* ARABIC \s 1</w:instrText>
      </w:r>
      <w:r>
        <w:rPr>
          <w:b/>
          <w:bCs/>
          <w:sz w:val="24"/>
          <w:szCs w:val="24"/>
        </w:rPr>
        <w:instrText xml:space="preserve"> </w:instrText>
      </w:r>
      <w:r>
        <w:rPr>
          <w:b/>
          <w:bCs/>
          <w:sz w:val="24"/>
          <w:szCs w:val="24"/>
        </w:rPr>
        <w:fldChar w:fldCharType="separate"/>
      </w:r>
      <w:r>
        <w:rPr>
          <w:b/>
          <w:bCs/>
          <w:sz w:val="24"/>
          <w:szCs w:val="24"/>
        </w:rPr>
        <w:t>2</w:t>
      </w:r>
      <w:r>
        <w:rPr>
          <w:b/>
          <w:bCs/>
          <w:sz w:val="24"/>
          <w:szCs w:val="24"/>
        </w:rPr>
        <w:fldChar w:fldCharType="end"/>
      </w:r>
      <w:r>
        <w:rPr>
          <w:rFonts w:hint="eastAsia"/>
          <w:b/>
          <w:bCs/>
          <w:sz w:val="24"/>
          <w:szCs w:val="24"/>
        </w:rPr>
        <w:t>外部救援机构联系方式</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7"/>
        <w:gridCol w:w="3769"/>
        <w:gridCol w:w="3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序号</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所在部门</w:t>
            </w:r>
          </w:p>
        </w:tc>
        <w:tc>
          <w:tcPr>
            <w:tcW w:w="3386"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值班电话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公安</w:t>
            </w:r>
          </w:p>
        </w:tc>
        <w:tc>
          <w:tcPr>
            <w:tcW w:w="3386"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2</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急救</w:t>
            </w:r>
          </w:p>
        </w:tc>
        <w:tc>
          <w:tcPr>
            <w:tcW w:w="3386"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3</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火警</w:t>
            </w:r>
          </w:p>
        </w:tc>
        <w:tc>
          <w:tcPr>
            <w:tcW w:w="3386"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4</w:t>
            </w:r>
          </w:p>
        </w:tc>
        <w:tc>
          <w:tcPr>
            <w:tcW w:w="3769" w:type="dxa"/>
            <w:noWrap w:val="0"/>
            <w:vAlign w:val="center"/>
          </w:tcPr>
          <w:p>
            <w:pPr>
              <w:widowControl w:val="0"/>
              <w:spacing w:line="360" w:lineRule="auto"/>
              <w:ind w:left="0" w:leftChars="0" w:firstLine="0" w:firstLineChars="0"/>
              <w:jc w:val="both"/>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南昌市生态环境局昌北分局</w:t>
            </w:r>
          </w:p>
        </w:tc>
        <w:tc>
          <w:tcPr>
            <w:tcW w:w="3386"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ascii="Times New Roman" w:hAnsi="Times New Roman"/>
                <w:sz w:val="24"/>
                <w:szCs w:val="24"/>
              </w:rPr>
              <w:t>079</w:t>
            </w:r>
            <w:r>
              <w:rPr>
                <w:rFonts w:hint="eastAsia" w:ascii="Times New Roman" w:hAnsi="Times New Roman"/>
                <w:sz w:val="24"/>
                <w:szCs w:val="24"/>
                <w:lang w:val="en-US" w:eastAsia="zh-CN"/>
              </w:rPr>
              <w:t>1</w:t>
            </w:r>
            <w:r>
              <w:rPr>
                <w:rFonts w:ascii="Times New Roman" w:hAnsi="Times New Roman"/>
                <w:sz w:val="24"/>
                <w:szCs w:val="24"/>
              </w:rPr>
              <w:t>-</w:t>
            </w:r>
            <w:r>
              <w:rPr>
                <w:rFonts w:hint="eastAsia" w:ascii="Times New Roman" w:hAnsi="Times New Roman"/>
                <w:sz w:val="24"/>
                <w:szCs w:val="24"/>
                <w:lang w:val="en-US" w:eastAsia="zh-CN"/>
              </w:rPr>
              <w:t>83805600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5</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南昌市应急管理局</w:t>
            </w:r>
          </w:p>
        </w:tc>
        <w:tc>
          <w:tcPr>
            <w:tcW w:w="3386"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0791-83986158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7</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南昌市公安局</w:t>
            </w:r>
          </w:p>
        </w:tc>
        <w:tc>
          <w:tcPr>
            <w:tcW w:w="3386"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0791-5215472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8</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南昌市自然资源局</w:t>
            </w:r>
          </w:p>
        </w:tc>
        <w:tc>
          <w:tcPr>
            <w:tcW w:w="3386"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0791-83986657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9</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南昌市气象局</w:t>
            </w:r>
          </w:p>
        </w:tc>
        <w:tc>
          <w:tcPr>
            <w:tcW w:w="3386"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0791-86224159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10</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南昌市应急救援支队</w:t>
            </w:r>
          </w:p>
        </w:tc>
        <w:tc>
          <w:tcPr>
            <w:tcW w:w="3386"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0791-88446703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12</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南昌市市场监管局</w:t>
            </w:r>
          </w:p>
        </w:tc>
        <w:tc>
          <w:tcPr>
            <w:tcW w:w="3386"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0791-88560129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14</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南昌市疾病预防控制中心</w:t>
            </w:r>
          </w:p>
        </w:tc>
        <w:tc>
          <w:tcPr>
            <w:tcW w:w="3386"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0791-86363837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15</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昌北供电局</w:t>
            </w:r>
          </w:p>
        </w:tc>
        <w:tc>
          <w:tcPr>
            <w:tcW w:w="3386"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0791-87336062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17</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国家化学事故应急咨询专线</w:t>
            </w:r>
          </w:p>
        </w:tc>
        <w:tc>
          <w:tcPr>
            <w:tcW w:w="3386"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053-83889090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cs="Times New Roman"/>
                <w:kern w:val="2"/>
                <w:sz w:val="24"/>
                <w:szCs w:val="24"/>
                <w:lang w:val="en-US" w:eastAsia="zh-CN" w:bidi="ar-SA"/>
              </w:rPr>
              <w:t>18</w:t>
            </w:r>
          </w:p>
        </w:tc>
        <w:tc>
          <w:tcPr>
            <w:tcW w:w="3769"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cs="Times New Roman"/>
                <w:kern w:val="2"/>
                <w:sz w:val="24"/>
                <w:szCs w:val="24"/>
                <w:lang w:val="en-US" w:eastAsia="zh-CN" w:bidi="ar-SA"/>
              </w:rPr>
              <w:t>江西华检检测技术有限公司</w:t>
            </w:r>
          </w:p>
        </w:tc>
        <w:tc>
          <w:tcPr>
            <w:tcW w:w="3386"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default" w:ascii="Times New Roman" w:hAnsi="Times New Roman" w:cs="Times New Roman"/>
                <w:sz w:val="24"/>
                <w:szCs w:val="24"/>
                <w:u w:val="none"/>
                <w:lang w:val="en-US" w:eastAsia="zh-CN"/>
              </w:rPr>
              <w:t>19979952299</w:t>
            </w:r>
          </w:p>
        </w:tc>
      </w:tr>
    </w:tbl>
    <w:p>
      <w:pPr>
        <w:pStyle w:val="2"/>
        <w:rPr>
          <w:rFonts w:hint="eastAsia"/>
          <w:lang w:eastAsia="zh-CN"/>
        </w:rPr>
        <w:sectPr>
          <w:pgSz w:w="11906" w:h="16838"/>
          <w:pgMar w:top="1304" w:right="1247" w:bottom="1304" w:left="1531" w:header="851" w:footer="851" w:gutter="0"/>
          <w:pgNumType w:fmt="decimal"/>
          <w:cols w:space="425" w:num="1"/>
          <w:docGrid w:type="lines" w:linePitch="312" w:charSpace="0"/>
        </w:sectPr>
      </w:pPr>
    </w:p>
    <w:p>
      <w:pPr>
        <w:pStyle w:val="3"/>
      </w:pPr>
      <w:bookmarkStart w:id="74" w:name="_Toc1201"/>
      <w:r>
        <w:rPr>
          <w:rFonts w:hint="eastAsia"/>
        </w:rPr>
        <w:t>预防、预警及信息报告</w:t>
      </w:r>
      <w:bookmarkEnd w:id="74"/>
    </w:p>
    <w:p>
      <w:pPr>
        <w:pStyle w:val="4"/>
        <w:rPr>
          <w:sz w:val="24"/>
          <w:szCs w:val="24"/>
        </w:rPr>
      </w:pPr>
      <w:bookmarkStart w:id="75" w:name="_Toc7110"/>
      <w:r>
        <w:rPr>
          <w:rFonts w:hint="eastAsia"/>
          <w:sz w:val="24"/>
          <w:szCs w:val="24"/>
        </w:rPr>
        <w:t>预防</w:t>
      </w:r>
      <w:bookmarkEnd w:id="75"/>
    </w:p>
    <w:p>
      <w:pPr>
        <w:pStyle w:val="5"/>
        <w:rPr>
          <w:sz w:val="24"/>
          <w:szCs w:val="24"/>
        </w:rPr>
      </w:pPr>
      <w:r>
        <w:rPr>
          <w:rFonts w:hint="eastAsia"/>
          <w:sz w:val="24"/>
          <w:szCs w:val="24"/>
        </w:rPr>
        <w:t>环境风险监控</w:t>
      </w:r>
    </w:p>
    <w:p>
      <w:pPr>
        <w:ind w:firstLine="560"/>
        <w:rPr>
          <w:rFonts w:hint="eastAsia"/>
          <w:sz w:val="24"/>
          <w:szCs w:val="24"/>
        </w:rPr>
      </w:pPr>
      <w:r>
        <w:rPr>
          <w:rFonts w:hint="eastAsia"/>
          <w:sz w:val="24"/>
          <w:szCs w:val="24"/>
          <w:lang w:eastAsia="zh-CN"/>
        </w:rPr>
        <w:t>针对公司危险源及环境风险源，公司采取相应的防范措施</w:t>
      </w:r>
      <w:r>
        <w:rPr>
          <w:rFonts w:hint="eastAsia"/>
          <w:color w:val="000000" w:themeColor="text1"/>
          <w:sz w:val="24"/>
          <w:szCs w:val="24"/>
        </w:rPr>
        <w:t>。</w:t>
      </w:r>
      <w:r>
        <w:rPr>
          <w:rFonts w:hint="eastAsia"/>
          <w:sz w:val="24"/>
          <w:szCs w:val="24"/>
        </w:rPr>
        <w:t>厂区</w:t>
      </w:r>
      <w:r>
        <w:rPr>
          <w:rFonts w:hint="eastAsia"/>
          <w:sz w:val="24"/>
          <w:szCs w:val="24"/>
          <w:lang w:eastAsia="zh-CN"/>
        </w:rPr>
        <w:t>生产车间、筒仓</w:t>
      </w:r>
      <w:r>
        <w:rPr>
          <w:rFonts w:hint="eastAsia"/>
          <w:sz w:val="24"/>
          <w:szCs w:val="24"/>
        </w:rPr>
        <w:t>及主干道设置监控，实行24小时不间断安全监控。一旦发生突发环境事件，工作人员可通过监视视频利用报警器迅速通知生产车间，同时厂区安排值班人员日常巡查，一旦发现突发环境事件，立即通知应急指挥部，同时启动相应的应急预案。</w:t>
      </w:r>
    </w:p>
    <w:p>
      <w:pPr>
        <w:numPr>
          <w:ilvl w:val="0"/>
          <w:numId w:val="3"/>
        </w:numPr>
        <w:ind w:firstLine="560"/>
        <w:rPr>
          <w:rFonts w:hint="eastAsia"/>
          <w:sz w:val="24"/>
          <w:szCs w:val="24"/>
        </w:rPr>
      </w:pPr>
      <w:r>
        <w:rPr>
          <w:rFonts w:hint="eastAsia"/>
          <w:sz w:val="24"/>
          <w:szCs w:val="24"/>
          <w:lang w:eastAsia="zh-CN"/>
        </w:rPr>
        <w:t>气态排放事故</w:t>
      </w:r>
      <w:r>
        <w:rPr>
          <w:rFonts w:hint="eastAsia"/>
          <w:sz w:val="24"/>
          <w:szCs w:val="24"/>
        </w:rPr>
        <w:t>监控</w:t>
      </w:r>
    </w:p>
    <w:p>
      <w:pPr>
        <w:pStyle w:val="2"/>
        <w:numPr>
          <w:ilvl w:val="0"/>
          <w:numId w:val="4"/>
        </w:numPr>
        <w:rPr>
          <w:rFonts w:hint="eastAsia"/>
          <w:sz w:val="24"/>
          <w:szCs w:val="24"/>
          <w:lang w:val="en-US" w:eastAsia="zh-CN"/>
        </w:rPr>
      </w:pPr>
      <w:r>
        <w:rPr>
          <w:rFonts w:hint="eastAsia"/>
          <w:sz w:val="24"/>
          <w:szCs w:val="24"/>
          <w:lang w:val="en-US" w:eastAsia="zh-CN"/>
        </w:rPr>
        <w:t>水泥粉、矿粉、粉煤灰泄漏事故监控措施</w:t>
      </w:r>
    </w:p>
    <w:p>
      <w:pPr>
        <w:pStyle w:val="2"/>
        <w:numPr>
          <w:ilvl w:val="0"/>
          <w:numId w:val="0"/>
        </w:numPr>
        <w:ind w:left="0" w:leftChars="0" w:firstLine="480" w:firstLineChars="200"/>
        <w:rPr>
          <w:rFonts w:hint="default"/>
          <w:sz w:val="24"/>
          <w:szCs w:val="24"/>
          <w:lang w:val="en-US" w:eastAsia="zh-CN"/>
        </w:rPr>
      </w:pPr>
      <w:r>
        <w:rPr>
          <w:rFonts w:hint="eastAsia"/>
          <w:sz w:val="24"/>
          <w:szCs w:val="24"/>
          <w:lang w:val="en-US" w:eastAsia="zh-CN"/>
        </w:rPr>
        <w:t xml:space="preserve">公司每天安排专人对供应商接口进行检查并做好记录，检查中发现问题，及时向应急指挥部报告并做好维修；同时公司定期检查筒仓是否处理稳定状态，并做出判断。          </w:t>
      </w:r>
    </w:p>
    <w:p>
      <w:pPr>
        <w:pStyle w:val="2"/>
        <w:numPr>
          <w:ilvl w:val="0"/>
          <w:numId w:val="4"/>
        </w:numPr>
        <w:rPr>
          <w:rFonts w:hint="eastAsia"/>
          <w:sz w:val="24"/>
          <w:szCs w:val="24"/>
          <w:lang w:val="en-US" w:eastAsia="zh-CN"/>
        </w:rPr>
      </w:pPr>
      <w:r>
        <w:rPr>
          <w:rFonts w:hint="eastAsia"/>
          <w:sz w:val="24"/>
          <w:szCs w:val="24"/>
          <w:lang w:val="en-US" w:eastAsia="zh-CN"/>
        </w:rPr>
        <w:t>粉尘除尘系统故障事故监控措施</w:t>
      </w:r>
    </w:p>
    <w:p>
      <w:pPr>
        <w:pStyle w:val="2"/>
        <w:numPr>
          <w:ilvl w:val="0"/>
          <w:numId w:val="0"/>
        </w:numPr>
        <w:ind w:left="0" w:leftChars="0" w:firstLine="480" w:firstLineChars="200"/>
        <w:rPr>
          <w:rFonts w:hint="eastAsia"/>
          <w:sz w:val="24"/>
          <w:szCs w:val="24"/>
          <w:lang w:val="en-US" w:eastAsia="zh-CN"/>
        </w:rPr>
      </w:pPr>
      <w:r>
        <w:rPr>
          <w:rFonts w:hint="eastAsia"/>
          <w:sz w:val="24"/>
          <w:szCs w:val="24"/>
          <w:lang w:val="en-US" w:eastAsia="zh-CN"/>
        </w:rPr>
        <w:t>公司定期对布袋除尘系统进行维护管理，发现有布袋破损及时更换布袋，保护粉尘达标排放。</w:t>
      </w:r>
    </w:p>
    <w:p>
      <w:pPr>
        <w:pStyle w:val="2"/>
        <w:numPr>
          <w:ilvl w:val="0"/>
          <w:numId w:val="3"/>
        </w:numPr>
        <w:rPr>
          <w:sz w:val="24"/>
          <w:szCs w:val="24"/>
        </w:rPr>
      </w:pPr>
      <w:r>
        <w:rPr>
          <w:rFonts w:hint="eastAsia"/>
          <w:sz w:val="24"/>
          <w:szCs w:val="24"/>
          <w:lang w:eastAsia="zh-CN"/>
        </w:rPr>
        <w:t>液态泄漏事故监控</w:t>
      </w:r>
    </w:p>
    <w:p>
      <w:pPr>
        <w:pStyle w:val="2"/>
        <w:numPr>
          <w:ilvl w:val="0"/>
          <w:numId w:val="0"/>
        </w:numPr>
        <w:ind w:left="0" w:leftChars="0" w:firstLine="480" w:firstLineChars="200"/>
        <w:rPr>
          <w:rFonts w:hint="eastAsia"/>
          <w:sz w:val="24"/>
          <w:szCs w:val="24"/>
          <w:lang w:val="en-US" w:eastAsia="zh-CN"/>
        </w:rPr>
      </w:pPr>
      <w:r>
        <w:rPr>
          <w:rFonts w:hint="eastAsia"/>
          <w:sz w:val="24"/>
          <w:szCs w:val="24"/>
          <w:lang w:val="en-US" w:eastAsia="zh-CN"/>
        </w:rPr>
        <w:t>公司存在的液态污染物主要为生活污水和生产废水。废水泄漏主要发生在沉淀池。公司安全环保部定期对沉淀池进行监控，并定期进行清池检查，保证沉淀池正常运行。</w:t>
      </w:r>
    </w:p>
    <w:p>
      <w:pPr>
        <w:pStyle w:val="2"/>
        <w:numPr>
          <w:ilvl w:val="0"/>
          <w:numId w:val="0"/>
        </w:numPr>
        <w:ind w:left="0" w:leftChars="0" w:firstLine="480" w:firstLineChars="200"/>
        <w:rPr>
          <w:rFonts w:hint="default"/>
          <w:sz w:val="24"/>
          <w:szCs w:val="24"/>
          <w:lang w:val="en-US" w:eastAsia="zh-CN"/>
        </w:rPr>
      </w:pPr>
      <w:r>
        <w:rPr>
          <w:rFonts w:hint="eastAsia"/>
          <w:sz w:val="24"/>
          <w:szCs w:val="24"/>
          <w:lang w:val="en-US" w:eastAsia="zh-CN"/>
        </w:rPr>
        <w:t>公司定期对供应商设备用油情况进行检查，如发现漏油，要求及时维修。</w:t>
      </w:r>
    </w:p>
    <w:p>
      <w:pPr>
        <w:ind w:firstLine="560"/>
        <w:rPr>
          <w:rFonts w:hint="eastAsia"/>
          <w:sz w:val="24"/>
          <w:szCs w:val="24"/>
          <w:lang w:val="en-US" w:eastAsia="zh-CN"/>
        </w:rPr>
      </w:pPr>
      <w:r>
        <w:rPr>
          <w:rFonts w:hint="eastAsia"/>
          <w:sz w:val="24"/>
          <w:szCs w:val="24"/>
          <w:lang w:val="en-US" w:eastAsia="zh-CN"/>
        </w:rPr>
        <w:t>2、信息分析研判的方式方法</w:t>
      </w:r>
    </w:p>
    <w:p>
      <w:pPr>
        <w:ind w:firstLine="560"/>
        <w:rPr>
          <w:rFonts w:hint="eastAsia"/>
          <w:sz w:val="24"/>
          <w:szCs w:val="24"/>
          <w:lang w:val="en-US" w:eastAsia="zh-CN"/>
        </w:rPr>
      </w:pPr>
      <w:r>
        <w:rPr>
          <w:rFonts w:hint="eastAsia"/>
          <w:sz w:val="24"/>
          <w:szCs w:val="24"/>
          <w:lang w:val="en-US" w:eastAsia="zh-CN"/>
        </w:rPr>
        <w:t>信息分析研判的最终目的是提示目标行为的动向和客观事实的发展趋势，通过对大量零散、孤立的信息进行汇聚整合，围绕人员、物品、事端、形势等主线进行深入关联碰撞和分析研究，以发现获取情报信息。</w:t>
      </w:r>
    </w:p>
    <w:p>
      <w:pPr>
        <w:ind w:firstLine="560"/>
        <w:rPr>
          <w:rFonts w:hint="eastAsia"/>
          <w:sz w:val="24"/>
          <w:szCs w:val="24"/>
          <w:lang w:val="en-US" w:eastAsia="zh-CN"/>
        </w:rPr>
      </w:pPr>
      <w:r>
        <w:rPr>
          <w:rFonts w:hint="eastAsia"/>
          <w:sz w:val="24"/>
          <w:szCs w:val="24"/>
          <w:lang w:val="en-US" w:eastAsia="zh-CN"/>
        </w:rPr>
        <w:t>项目以筒仓及管道、沉淀池及布袋除尘器 、机械设备为目标，密切关注其发展变化，综合各类信息在事故发生前挖掘出异常情况，预防事故的发生，减少人员及财产的损失；信息来源渠道主要为厂内监控和厂内人员报告，必要时需要亲身参与、亲眼目睹，保证信息的真实性和可靠性，作出更精确的判定。常用分析研判方法主要指依靠人的思维分析能力和方法来开展分析研判工作，包括逻辑推论、综合统计、比较联系等。</w:t>
      </w:r>
    </w:p>
    <w:p>
      <w:pPr>
        <w:pStyle w:val="4"/>
        <w:rPr>
          <w:sz w:val="24"/>
          <w:szCs w:val="24"/>
        </w:rPr>
      </w:pPr>
      <w:bookmarkStart w:id="76" w:name="_Toc27802"/>
      <w:r>
        <w:rPr>
          <w:rFonts w:hint="eastAsia"/>
          <w:sz w:val="24"/>
          <w:szCs w:val="24"/>
        </w:rPr>
        <w:t>预警</w:t>
      </w:r>
      <w:bookmarkEnd w:id="76"/>
    </w:p>
    <w:p>
      <w:pPr>
        <w:pStyle w:val="5"/>
        <w:rPr>
          <w:sz w:val="24"/>
          <w:szCs w:val="24"/>
        </w:rPr>
      </w:pPr>
      <w:r>
        <w:rPr>
          <w:rFonts w:hint="eastAsia"/>
          <w:sz w:val="24"/>
          <w:szCs w:val="24"/>
        </w:rPr>
        <w:t>分级预警</w:t>
      </w:r>
    </w:p>
    <w:p>
      <w:pPr>
        <w:spacing w:line="360" w:lineRule="auto"/>
        <w:ind w:firstLine="480" w:firstLineChars="200"/>
        <w:rPr>
          <w:color w:val="000000"/>
          <w:sz w:val="24"/>
          <w:szCs w:val="24"/>
        </w:rPr>
      </w:pPr>
      <w:r>
        <w:rPr>
          <w:rFonts w:hAnsi="宋体"/>
          <w:color w:val="000000"/>
          <w:sz w:val="24"/>
          <w:szCs w:val="24"/>
        </w:rPr>
        <w:t>按照危险源是否会发生事故、事故灾难可控性、后果的严重性、影响范围和紧急程度，本预案预警级别为三级预警：三级（现场级）预警、二级（公司级）预警、一级（社会级）预警。</w:t>
      </w:r>
    </w:p>
    <w:p>
      <w:pPr>
        <w:spacing w:line="360" w:lineRule="auto"/>
        <w:ind w:firstLine="480" w:firstLineChars="200"/>
        <w:rPr>
          <w:color w:val="000000"/>
          <w:sz w:val="24"/>
          <w:szCs w:val="24"/>
        </w:rPr>
      </w:pPr>
      <w:r>
        <w:rPr>
          <w:rFonts w:hAnsi="宋体"/>
          <w:color w:val="000000"/>
          <w:sz w:val="24"/>
          <w:szCs w:val="24"/>
        </w:rPr>
        <w:t>（</w:t>
      </w:r>
      <w:r>
        <w:rPr>
          <w:color w:val="000000"/>
          <w:sz w:val="24"/>
          <w:szCs w:val="24"/>
        </w:rPr>
        <w:t>1</w:t>
      </w:r>
      <w:r>
        <w:rPr>
          <w:rFonts w:hAnsi="宋体"/>
          <w:color w:val="000000"/>
          <w:sz w:val="24"/>
          <w:szCs w:val="24"/>
        </w:rPr>
        <w:t>）三级（现场级）预警</w:t>
      </w:r>
    </w:p>
    <w:p>
      <w:pPr>
        <w:spacing w:line="360" w:lineRule="auto"/>
        <w:ind w:firstLine="480" w:firstLineChars="200"/>
        <w:rPr>
          <w:color w:val="000000"/>
          <w:sz w:val="24"/>
          <w:szCs w:val="24"/>
        </w:rPr>
      </w:pPr>
      <w:r>
        <w:rPr>
          <w:rFonts w:hAnsi="宋体"/>
          <w:color w:val="000000"/>
          <w:sz w:val="24"/>
          <w:szCs w:val="24"/>
        </w:rPr>
        <w:t>三级（现场级）预警是指有危险源可能发生事故、已经出现发生事故的苗头，或事故发生的初期而做出相应的预警。</w:t>
      </w:r>
    </w:p>
    <w:p>
      <w:pPr>
        <w:spacing w:line="360" w:lineRule="auto"/>
        <w:ind w:firstLine="480" w:firstLineChars="200"/>
        <w:rPr>
          <w:color w:val="000000"/>
          <w:sz w:val="24"/>
          <w:szCs w:val="24"/>
        </w:rPr>
      </w:pPr>
      <w:r>
        <w:rPr>
          <w:rFonts w:hAnsi="宋体"/>
          <w:color w:val="000000"/>
          <w:sz w:val="24"/>
          <w:szCs w:val="24"/>
        </w:rPr>
        <w:t>（</w:t>
      </w:r>
      <w:r>
        <w:rPr>
          <w:color w:val="000000"/>
          <w:sz w:val="24"/>
          <w:szCs w:val="24"/>
        </w:rPr>
        <w:t>2</w:t>
      </w:r>
      <w:r>
        <w:rPr>
          <w:rFonts w:hAnsi="宋体"/>
          <w:color w:val="000000"/>
          <w:sz w:val="24"/>
          <w:szCs w:val="24"/>
        </w:rPr>
        <w:t>）二级（公司级）预警</w:t>
      </w:r>
    </w:p>
    <w:p>
      <w:pPr>
        <w:spacing w:line="360" w:lineRule="auto"/>
        <w:ind w:firstLine="480" w:firstLineChars="200"/>
        <w:rPr>
          <w:color w:val="000000"/>
          <w:sz w:val="24"/>
          <w:szCs w:val="24"/>
        </w:rPr>
      </w:pPr>
      <w:r>
        <w:rPr>
          <w:rFonts w:hAnsi="宋体"/>
          <w:color w:val="000000"/>
          <w:sz w:val="24"/>
          <w:szCs w:val="24"/>
        </w:rPr>
        <w:t>二级（公司级）预警是指已经发生了事故，但事故后果严重性或影响范围没有超出现场的控制能力，而做出相应的预警。</w:t>
      </w:r>
    </w:p>
    <w:p>
      <w:pPr>
        <w:spacing w:line="360" w:lineRule="auto"/>
        <w:ind w:firstLine="480" w:firstLineChars="200"/>
        <w:rPr>
          <w:color w:val="000000"/>
          <w:sz w:val="24"/>
          <w:szCs w:val="24"/>
        </w:rPr>
      </w:pPr>
      <w:r>
        <w:rPr>
          <w:rFonts w:hAnsi="宋体"/>
          <w:color w:val="000000"/>
          <w:sz w:val="24"/>
          <w:szCs w:val="24"/>
        </w:rPr>
        <w:t>（</w:t>
      </w:r>
      <w:r>
        <w:rPr>
          <w:color w:val="000000"/>
          <w:sz w:val="24"/>
          <w:szCs w:val="24"/>
        </w:rPr>
        <w:t>3</w:t>
      </w:r>
      <w:r>
        <w:rPr>
          <w:rFonts w:hAnsi="宋体"/>
          <w:color w:val="000000"/>
          <w:sz w:val="24"/>
          <w:szCs w:val="24"/>
        </w:rPr>
        <w:t>）一级（社会级）预警</w:t>
      </w:r>
    </w:p>
    <w:p>
      <w:pPr>
        <w:ind w:firstLine="560"/>
        <w:rPr>
          <w:rFonts w:hint="eastAsia" w:eastAsia="宋体"/>
          <w:sz w:val="24"/>
          <w:szCs w:val="24"/>
          <w:lang w:eastAsia="zh-CN"/>
        </w:rPr>
      </w:pPr>
      <w:r>
        <w:rPr>
          <w:rFonts w:hAnsi="宋体"/>
          <w:color w:val="000000"/>
          <w:sz w:val="24"/>
          <w:szCs w:val="24"/>
        </w:rPr>
        <w:t>一级（社会级）预警是指事故后果严重性或影响范围没有超出公司的控制能力，但有可能会超出公司的控制能力，而做出相应的预警</w:t>
      </w:r>
      <w:r>
        <w:rPr>
          <w:rFonts w:hint="eastAsia"/>
          <w:sz w:val="24"/>
          <w:szCs w:val="24"/>
          <w:lang w:eastAsia="zh-CN"/>
        </w:rPr>
        <w:t>。</w:t>
      </w:r>
    </w:p>
    <w:p>
      <w:pPr>
        <w:pStyle w:val="5"/>
        <w:rPr>
          <w:sz w:val="24"/>
          <w:szCs w:val="24"/>
        </w:rPr>
      </w:pPr>
      <w:r>
        <w:rPr>
          <w:rFonts w:hint="eastAsia"/>
          <w:sz w:val="24"/>
          <w:szCs w:val="24"/>
        </w:rPr>
        <w:t>预警的方式、方法</w:t>
      </w:r>
    </w:p>
    <w:p>
      <w:pPr>
        <w:spacing w:line="360" w:lineRule="auto"/>
        <w:ind w:firstLine="480" w:firstLineChars="200"/>
        <w:rPr>
          <w:color w:val="000000"/>
          <w:sz w:val="24"/>
          <w:szCs w:val="24"/>
        </w:rPr>
      </w:pPr>
      <w:r>
        <w:rPr>
          <w:rFonts w:hAnsi="宋体"/>
          <w:color w:val="000000"/>
          <w:sz w:val="24"/>
          <w:szCs w:val="24"/>
        </w:rPr>
        <w:t>（</w:t>
      </w:r>
      <w:r>
        <w:rPr>
          <w:color w:val="000000"/>
          <w:sz w:val="24"/>
          <w:szCs w:val="24"/>
        </w:rPr>
        <w:t>1</w:t>
      </w:r>
      <w:r>
        <w:rPr>
          <w:rFonts w:hAnsi="宋体"/>
          <w:color w:val="000000"/>
          <w:sz w:val="24"/>
          <w:szCs w:val="24"/>
        </w:rPr>
        <w:t>）三级（现场级）预警由现场负责人发布；</w:t>
      </w:r>
    </w:p>
    <w:p>
      <w:pPr>
        <w:spacing w:line="360" w:lineRule="auto"/>
        <w:ind w:firstLine="480" w:firstLineChars="200"/>
        <w:rPr>
          <w:color w:val="000000"/>
          <w:sz w:val="24"/>
          <w:szCs w:val="24"/>
        </w:rPr>
      </w:pPr>
      <w:r>
        <w:rPr>
          <w:rFonts w:hAnsi="宋体"/>
          <w:color w:val="000000"/>
          <w:sz w:val="24"/>
          <w:szCs w:val="24"/>
        </w:rPr>
        <w:t>（</w:t>
      </w:r>
      <w:r>
        <w:rPr>
          <w:color w:val="000000"/>
          <w:sz w:val="24"/>
          <w:szCs w:val="24"/>
        </w:rPr>
        <w:t>2</w:t>
      </w:r>
      <w:r>
        <w:rPr>
          <w:rFonts w:hAnsi="宋体"/>
          <w:color w:val="000000"/>
          <w:sz w:val="24"/>
          <w:szCs w:val="24"/>
        </w:rPr>
        <w:t>）二级（公司级）预警由应急指挥部发布；</w:t>
      </w:r>
    </w:p>
    <w:p>
      <w:pPr>
        <w:spacing w:line="360" w:lineRule="auto"/>
        <w:ind w:firstLine="480" w:firstLineChars="200"/>
        <w:rPr>
          <w:color w:val="000000"/>
          <w:sz w:val="24"/>
          <w:szCs w:val="24"/>
        </w:rPr>
      </w:pPr>
      <w:r>
        <w:rPr>
          <w:rFonts w:hAnsi="宋体"/>
          <w:color w:val="000000"/>
          <w:sz w:val="24"/>
          <w:szCs w:val="24"/>
        </w:rPr>
        <w:t>（</w:t>
      </w:r>
      <w:r>
        <w:rPr>
          <w:color w:val="000000"/>
          <w:sz w:val="24"/>
          <w:szCs w:val="24"/>
        </w:rPr>
        <w:t>3</w:t>
      </w:r>
      <w:r>
        <w:rPr>
          <w:rFonts w:hAnsi="宋体"/>
          <w:color w:val="000000"/>
          <w:sz w:val="24"/>
          <w:szCs w:val="24"/>
        </w:rPr>
        <w:t>）一级（社会级）预警向</w:t>
      </w:r>
      <w:r>
        <w:rPr>
          <w:rFonts w:hint="eastAsia" w:hAnsi="宋体"/>
          <w:color w:val="000000"/>
          <w:sz w:val="24"/>
          <w:szCs w:val="24"/>
          <w:lang w:eastAsia="zh-CN"/>
        </w:rPr>
        <w:t>南昌市生态环境局昌北分局</w:t>
      </w:r>
      <w:r>
        <w:rPr>
          <w:rFonts w:hAnsi="宋体"/>
          <w:color w:val="000000"/>
          <w:sz w:val="24"/>
          <w:szCs w:val="24"/>
        </w:rPr>
        <w:t>请其发布。</w:t>
      </w:r>
    </w:p>
    <w:p>
      <w:pPr>
        <w:ind w:firstLine="560"/>
        <w:rPr>
          <w:sz w:val="24"/>
          <w:szCs w:val="24"/>
        </w:rPr>
      </w:pPr>
      <w:r>
        <w:rPr>
          <w:rFonts w:hAnsi="宋体"/>
          <w:color w:val="000000"/>
          <w:sz w:val="24"/>
          <w:szCs w:val="24"/>
        </w:rPr>
        <w:t>预警发布可通过电话、对讲机或广播等形式发布，也可通过逐级下达，通过现场喊话等方式均可。预警信息发布的内容根据事态发展情况时时更新</w:t>
      </w:r>
      <w:r>
        <w:rPr>
          <w:rFonts w:hint="eastAsia"/>
          <w:sz w:val="24"/>
          <w:szCs w:val="24"/>
        </w:rPr>
        <w:t>。</w:t>
      </w:r>
    </w:p>
    <w:p>
      <w:pPr>
        <w:pStyle w:val="5"/>
        <w:rPr>
          <w:sz w:val="24"/>
          <w:szCs w:val="24"/>
        </w:rPr>
      </w:pPr>
      <w:r>
        <w:rPr>
          <w:rFonts w:hint="eastAsia"/>
          <w:sz w:val="24"/>
          <w:szCs w:val="24"/>
        </w:rPr>
        <w:t>预警</w:t>
      </w:r>
      <w:r>
        <w:rPr>
          <w:rFonts w:hint="eastAsia"/>
          <w:sz w:val="24"/>
          <w:szCs w:val="24"/>
          <w:lang w:eastAsia="zh-CN"/>
        </w:rPr>
        <w:t>启动程序</w:t>
      </w:r>
    </w:p>
    <w:p>
      <w:pPr>
        <w:spacing w:line="360" w:lineRule="auto"/>
        <w:ind w:firstLine="480" w:firstLineChars="200"/>
        <w:rPr>
          <w:color w:val="000000"/>
          <w:sz w:val="24"/>
          <w:szCs w:val="24"/>
        </w:rPr>
      </w:pPr>
      <w:r>
        <w:rPr>
          <w:rFonts w:hAnsi="宋体"/>
          <w:color w:val="000000"/>
          <w:sz w:val="24"/>
          <w:szCs w:val="24"/>
        </w:rPr>
        <w:t>（</w:t>
      </w:r>
      <w:r>
        <w:rPr>
          <w:color w:val="000000"/>
          <w:sz w:val="24"/>
          <w:szCs w:val="24"/>
        </w:rPr>
        <w:t>1</w:t>
      </w:r>
      <w:r>
        <w:rPr>
          <w:rFonts w:hAnsi="宋体"/>
          <w:color w:val="000000"/>
          <w:sz w:val="24"/>
          <w:szCs w:val="24"/>
        </w:rPr>
        <w:t>）现场已出现事故，或即将出现事故，则马上启动三级预警；</w:t>
      </w:r>
    </w:p>
    <w:p>
      <w:pPr>
        <w:spacing w:line="360" w:lineRule="auto"/>
        <w:ind w:firstLine="480" w:firstLineChars="200"/>
        <w:rPr>
          <w:color w:val="000000"/>
          <w:sz w:val="24"/>
          <w:szCs w:val="24"/>
        </w:rPr>
      </w:pPr>
      <w:r>
        <w:rPr>
          <w:rFonts w:hAnsi="宋体"/>
          <w:color w:val="000000"/>
          <w:sz w:val="24"/>
          <w:szCs w:val="24"/>
        </w:rPr>
        <w:t>（</w:t>
      </w:r>
      <w:r>
        <w:rPr>
          <w:color w:val="000000"/>
          <w:sz w:val="24"/>
          <w:szCs w:val="24"/>
        </w:rPr>
        <w:t>2</w:t>
      </w:r>
      <w:r>
        <w:rPr>
          <w:rFonts w:hAnsi="宋体"/>
          <w:color w:val="000000"/>
          <w:sz w:val="24"/>
          <w:szCs w:val="24"/>
        </w:rPr>
        <w:t>）一旦启动三级预警，应急指挥部应当立即派人赶赴现场，</w:t>
      </w:r>
    </w:p>
    <w:p>
      <w:pPr>
        <w:spacing w:line="360" w:lineRule="auto"/>
        <w:ind w:firstLine="480" w:firstLineChars="200"/>
        <w:rPr>
          <w:color w:val="000000"/>
          <w:sz w:val="24"/>
          <w:szCs w:val="24"/>
        </w:rPr>
      </w:pPr>
      <w:r>
        <w:rPr>
          <w:rFonts w:hAnsi="宋体"/>
          <w:color w:val="000000"/>
          <w:sz w:val="24"/>
          <w:szCs w:val="24"/>
        </w:rPr>
        <w:t>了解事故情况，及时向应急指挥部报告情况，并做好启动二级预警的准备；</w:t>
      </w:r>
    </w:p>
    <w:p>
      <w:pPr>
        <w:ind w:firstLine="560"/>
        <w:rPr>
          <w:sz w:val="24"/>
          <w:szCs w:val="24"/>
        </w:rPr>
      </w:pPr>
      <w:r>
        <w:rPr>
          <w:rFonts w:hAnsi="宋体"/>
          <w:color w:val="000000"/>
          <w:sz w:val="24"/>
          <w:szCs w:val="24"/>
        </w:rPr>
        <w:t>（</w:t>
      </w:r>
      <w:r>
        <w:rPr>
          <w:color w:val="000000"/>
          <w:sz w:val="24"/>
          <w:szCs w:val="24"/>
        </w:rPr>
        <w:t>3</w:t>
      </w:r>
      <w:r>
        <w:rPr>
          <w:rFonts w:hAnsi="宋体"/>
          <w:color w:val="000000"/>
          <w:sz w:val="24"/>
          <w:szCs w:val="24"/>
        </w:rPr>
        <w:t>）一旦启动二级预警，应急指挥部应将事故情况上报</w:t>
      </w:r>
      <w:r>
        <w:rPr>
          <w:rFonts w:hint="eastAsia" w:hAnsi="宋体"/>
          <w:color w:val="000000"/>
          <w:sz w:val="24"/>
          <w:szCs w:val="24"/>
          <w:lang w:eastAsia="zh-CN"/>
        </w:rPr>
        <w:t>南昌市生态环境局昌北分局</w:t>
      </w:r>
      <w:r>
        <w:rPr>
          <w:rFonts w:hAnsi="宋体"/>
          <w:color w:val="000000"/>
          <w:sz w:val="24"/>
          <w:szCs w:val="24"/>
        </w:rPr>
        <w:t>，并根据事故的发展态势，请求是否启动一级预警</w:t>
      </w:r>
      <w:r>
        <w:rPr>
          <w:rFonts w:hint="eastAsia"/>
          <w:sz w:val="24"/>
          <w:szCs w:val="24"/>
        </w:rPr>
        <w:t>。</w:t>
      </w:r>
    </w:p>
    <w:p>
      <w:pPr>
        <w:pStyle w:val="5"/>
        <w:rPr>
          <w:sz w:val="24"/>
          <w:szCs w:val="24"/>
        </w:rPr>
      </w:pPr>
      <w:r>
        <w:rPr>
          <w:rFonts w:hint="eastAsia"/>
          <w:sz w:val="24"/>
          <w:szCs w:val="24"/>
        </w:rPr>
        <w:t>预警行动</w:t>
      </w:r>
    </w:p>
    <w:p>
      <w:pPr>
        <w:ind w:firstLine="560"/>
        <w:rPr>
          <w:sz w:val="24"/>
          <w:szCs w:val="24"/>
        </w:rPr>
      </w:pPr>
      <w:r>
        <w:rPr>
          <w:rFonts w:hint="eastAsia"/>
          <w:sz w:val="24"/>
          <w:szCs w:val="24"/>
        </w:rPr>
        <w:t>收集到的有关信息证明环境风险源即将发生环境污染事故或者发生的可能性增大，对人员生命和设备财产安全构成威胁时，按照相关的突发环境事件预警程序执行。</w:t>
      </w:r>
    </w:p>
    <w:p>
      <w:pPr>
        <w:ind w:firstLine="560"/>
        <w:rPr>
          <w:sz w:val="24"/>
          <w:szCs w:val="24"/>
        </w:rPr>
      </w:pPr>
      <w:r>
        <w:rPr>
          <w:rFonts w:hint="eastAsia"/>
          <w:sz w:val="24"/>
          <w:szCs w:val="24"/>
        </w:rPr>
        <w:t>应急指挥部接到可能突发环境事件信息后，应按照分级响应的原则及时研究确定应对方案，并通知有关部门、车间采取有效措施预防事故发生；当应急指挥部认为事故较大，有可能超出公司处置能力时，要及时向</w:t>
      </w:r>
      <w:r>
        <w:rPr>
          <w:rFonts w:hint="eastAsia"/>
          <w:sz w:val="24"/>
          <w:szCs w:val="24"/>
          <w:lang w:eastAsia="zh-CN"/>
        </w:rPr>
        <w:t>南昌市生态环境</w:t>
      </w:r>
      <w:r>
        <w:rPr>
          <w:rFonts w:hint="eastAsia"/>
          <w:sz w:val="24"/>
          <w:szCs w:val="24"/>
        </w:rPr>
        <w:t>局</w:t>
      </w:r>
      <w:r>
        <w:rPr>
          <w:rFonts w:hint="eastAsia"/>
          <w:sz w:val="24"/>
          <w:szCs w:val="24"/>
          <w:lang w:eastAsia="zh-CN"/>
        </w:rPr>
        <w:t>昌北分局</w:t>
      </w:r>
      <w:r>
        <w:rPr>
          <w:rFonts w:hint="eastAsia"/>
          <w:sz w:val="24"/>
          <w:szCs w:val="24"/>
        </w:rPr>
        <w:t>报告，及时研究应对方案，采取预警行动。</w:t>
      </w:r>
    </w:p>
    <w:p>
      <w:pPr>
        <w:ind w:firstLine="560"/>
        <w:rPr>
          <w:sz w:val="24"/>
          <w:szCs w:val="24"/>
        </w:rPr>
      </w:pPr>
      <w:r>
        <w:rPr>
          <w:rFonts w:hint="eastAsia"/>
          <w:sz w:val="24"/>
          <w:szCs w:val="24"/>
        </w:rPr>
        <w:t>发生I级环境预警事件时，临时应急指挥部要通知可能受到事故影响的敏感目标向事件发生点的上风向转移，转移的同时采取用湿布捂鼻的保护措施。</w:t>
      </w:r>
    </w:p>
    <w:p>
      <w:pPr>
        <w:pStyle w:val="4"/>
        <w:spacing w:line="240" w:lineRule="auto"/>
        <w:rPr>
          <w:sz w:val="24"/>
          <w:szCs w:val="24"/>
        </w:rPr>
      </w:pPr>
      <w:bookmarkStart w:id="77" w:name="_Toc26712"/>
      <w:r>
        <w:rPr>
          <w:rFonts w:hint="eastAsia"/>
          <w:sz w:val="24"/>
          <w:szCs w:val="24"/>
        </w:rPr>
        <w:t>信息报告</w:t>
      </w:r>
      <w:bookmarkEnd w:id="77"/>
    </w:p>
    <w:p>
      <w:pPr>
        <w:pStyle w:val="5"/>
        <w:spacing w:line="240" w:lineRule="auto"/>
        <w:rPr>
          <w:sz w:val="24"/>
          <w:szCs w:val="24"/>
        </w:rPr>
      </w:pPr>
      <w:r>
        <w:rPr>
          <w:rFonts w:hint="eastAsia"/>
          <w:sz w:val="24"/>
          <w:szCs w:val="24"/>
        </w:rPr>
        <w:t>信息接收与通报</w:t>
      </w:r>
    </w:p>
    <w:p>
      <w:pPr>
        <w:pStyle w:val="6"/>
        <w:spacing w:line="240" w:lineRule="auto"/>
        <w:rPr>
          <w:sz w:val="24"/>
          <w:szCs w:val="24"/>
        </w:rPr>
      </w:pPr>
      <w:r>
        <w:rPr>
          <w:rFonts w:hint="eastAsia"/>
          <w:sz w:val="24"/>
          <w:szCs w:val="24"/>
        </w:rPr>
        <w:t>公司内部应急救援联系电话</w:t>
      </w:r>
    </w:p>
    <w:p>
      <w:pPr>
        <w:spacing w:line="240" w:lineRule="auto"/>
        <w:ind w:firstLine="560"/>
        <w:rPr>
          <w:sz w:val="24"/>
          <w:szCs w:val="24"/>
        </w:rPr>
      </w:pPr>
      <w:r>
        <w:rPr>
          <w:rFonts w:hAnsi="宋体"/>
          <w:color w:val="000000"/>
          <w:sz w:val="24"/>
          <w:szCs w:val="24"/>
        </w:rPr>
        <w:t>公司设置</w:t>
      </w:r>
      <w:r>
        <w:rPr>
          <w:color w:val="000000"/>
          <w:sz w:val="24"/>
          <w:szCs w:val="24"/>
        </w:rPr>
        <w:t>24</w:t>
      </w:r>
      <w:r>
        <w:rPr>
          <w:rFonts w:hAnsi="宋体"/>
          <w:color w:val="000000"/>
          <w:sz w:val="24"/>
          <w:szCs w:val="24"/>
        </w:rPr>
        <w:t>小时有效固定报警电话，接警单位为公司</w:t>
      </w:r>
      <w:r>
        <w:rPr>
          <w:rFonts w:hint="eastAsia" w:hAnsi="宋体" w:eastAsia="宋体"/>
          <w:color w:val="000000"/>
          <w:sz w:val="24"/>
          <w:szCs w:val="24"/>
          <w:lang w:val="en-US" w:eastAsia="zh-CN"/>
        </w:rPr>
        <w:t>安全环保部</w:t>
      </w:r>
      <w:r>
        <w:rPr>
          <w:rFonts w:hAnsi="宋体" w:eastAsia="宋体"/>
          <w:color w:val="000000"/>
          <w:sz w:val="24"/>
          <w:szCs w:val="24"/>
        </w:rPr>
        <w:t>，</w:t>
      </w:r>
      <w:r>
        <w:rPr>
          <w:rFonts w:hint="eastAsia" w:ascii="Times New Roman" w:hAnsi="Times New Roman" w:eastAsia="宋体" w:cs="Times New Roman"/>
          <w:smallCaps/>
          <w:color w:val="000000"/>
          <w:kern w:val="2"/>
          <w:sz w:val="24"/>
          <w:szCs w:val="24"/>
          <w:highlight w:val="none"/>
          <w:lang w:val="en-US" w:eastAsia="zh-CN" w:bidi="ar-SA"/>
        </w:rPr>
        <w:t>15970629327、0791-83821516</w:t>
      </w:r>
      <w:r>
        <w:rPr>
          <w:rFonts w:hint="eastAsia"/>
          <w:sz w:val="24"/>
          <w:szCs w:val="24"/>
        </w:rPr>
        <w:t>。如果发生了突发环境事件，可立即通过厂内的所有通讯报警装置进行报警：</w:t>
      </w:r>
    </w:p>
    <w:p>
      <w:pPr>
        <w:ind w:firstLine="560"/>
        <w:rPr>
          <w:sz w:val="24"/>
          <w:szCs w:val="24"/>
        </w:rPr>
      </w:pPr>
      <w:r>
        <w:rPr>
          <w:rFonts w:hint="eastAsia"/>
          <w:sz w:val="24"/>
          <w:szCs w:val="24"/>
        </w:rPr>
        <w:t>（1）对讲机；</w:t>
      </w:r>
    </w:p>
    <w:p>
      <w:pPr>
        <w:ind w:firstLine="560"/>
        <w:rPr>
          <w:sz w:val="24"/>
          <w:szCs w:val="24"/>
        </w:rPr>
      </w:pPr>
      <w:r>
        <w:rPr>
          <w:rFonts w:hint="eastAsia"/>
          <w:sz w:val="24"/>
          <w:szCs w:val="24"/>
        </w:rPr>
        <w:t>（2）内部电话或手机报警。</w:t>
      </w:r>
    </w:p>
    <w:p>
      <w:pPr>
        <w:ind w:firstLine="560"/>
        <w:rPr>
          <w:sz w:val="24"/>
          <w:szCs w:val="24"/>
        </w:rPr>
      </w:pPr>
      <w:r>
        <w:rPr>
          <w:rFonts w:hint="eastAsia"/>
          <w:sz w:val="24"/>
          <w:szCs w:val="24"/>
        </w:rPr>
        <w:t>各应急救援指挥部及救援小组人员名单及联系电话见</w:t>
      </w:r>
      <w:r>
        <w:rPr>
          <w:sz w:val="24"/>
          <w:szCs w:val="24"/>
        </w:rPr>
        <w:fldChar w:fldCharType="begin"/>
      </w:r>
      <w:r>
        <w:rPr>
          <w:sz w:val="24"/>
          <w:szCs w:val="24"/>
        </w:rPr>
        <w:instrText xml:space="preserve"> </w:instrText>
      </w:r>
      <w:r>
        <w:rPr>
          <w:rFonts w:hint="eastAsia"/>
          <w:sz w:val="24"/>
          <w:szCs w:val="24"/>
        </w:rPr>
        <w:instrText xml:space="preserve">REF _Ref526954349 \h</w:instrText>
      </w:r>
      <w:r>
        <w:rPr>
          <w:sz w:val="24"/>
          <w:szCs w:val="24"/>
        </w:rPr>
        <w:instrText xml:space="preserve"> </w:instrText>
      </w:r>
      <w:r>
        <w:rPr>
          <w:sz w:val="24"/>
          <w:szCs w:val="24"/>
        </w:rPr>
        <w:fldChar w:fldCharType="separate"/>
      </w:r>
      <w:r>
        <w:rPr>
          <w:rFonts w:hint="eastAsia"/>
          <w:sz w:val="24"/>
          <w:szCs w:val="24"/>
        </w:rPr>
        <w:t xml:space="preserve">表 </w:t>
      </w:r>
      <w:r>
        <w:rPr>
          <w:rFonts w:hint="eastAsia"/>
          <w:sz w:val="24"/>
          <w:szCs w:val="24"/>
          <w:lang w:val="en-US" w:eastAsia="zh-CN"/>
        </w:rPr>
        <w:t>3</w:t>
      </w:r>
      <w:r>
        <w:rPr>
          <w:sz w:val="24"/>
          <w:szCs w:val="24"/>
        </w:rPr>
        <w:noBreakHyphen/>
      </w:r>
      <w:r>
        <w:rPr>
          <w:sz w:val="24"/>
          <w:szCs w:val="24"/>
        </w:rPr>
        <w:t>1</w:t>
      </w:r>
      <w:r>
        <w:rPr>
          <w:sz w:val="24"/>
          <w:szCs w:val="24"/>
        </w:rPr>
        <w:fldChar w:fldCharType="end"/>
      </w:r>
      <w:r>
        <w:rPr>
          <w:rFonts w:hint="eastAsia"/>
          <w:sz w:val="24"/>
          <w:szCs w:val="24"/>
        </w:rPr>
        <w:t>。</w:t>
      </w:r>
    </w:p>
    <w:p>
      <w:pPr>
        <w:pStyle w:val="6"/>
        <w:rPr>
          <w:sz w:val="24"/>
          <w:szCs w:val="24"/>
        </w:rPr>
      </w:pPr>
      <w:r>
        <w:rPr>
          <w:rFonts w:hint="eastAsia"/>
          <w:sz w:val="24"/>
          <w:szCs w:val="24"/>
        </w:rPr>
        <w:t>外部通讯联络电话</w:t>
      </w:r>
    </w:p>
    <w:p>
      <w:pPr>
        <w:ind w:firstLine="562"/>
        <w:rPr>
          <w:b/>
          <w:sz w:val="24"/>
          <w:szCs w:val="24"/>
        </w:rPr>
      </w:pPr>
      <w:r>
        <w:rPr>
          <w:rFonts w:hint="eastAsia"/>
          <w:b/>
          <w:sz w:val="24"/>
          <w:szCs w:val="24"/>
        </w:rPr>
        <w:t>1、医疗急救</w:t>
      </w:r>
    </w:p>
    <w:p>
      <w:pPr>
        <w:ind w:firstLine="560"/>
        <w:rPr>
          <w:sz w:val="24"/>
          <w:szCs w:val="24"/>
        </w:rPr>
      </w:pPr>
      <w:r>
        <w:rPr>
          <w:rFonts w:hint="eastAsia"/>
          <w:sz w:val="24"/>
          <w:szCs w:val="24"/>
        </w:rPr>
        <w:t>如有人员受伤严重，立即联系救护车。求助时应注意：①讲清公司名称、地址；②受伤人数、受伤原因、伤员状态；③派人到路口迎接急救车。</w:t>
      </w:r>
    </w:p>
    <w:p>
      <w:pPr>
        <w:ind w:firstLine="562"/>
        <w:rPr>
          <w:b/>
          <w:sz w:val="24"/>
          <w:szCs w:val="24"/>
        </w:rPr>
      </w:pPr>
      <w:r>
        <w:rPr>
          <w:rFonts w:hint="eastAsia"/>
          <w:b/>
          <w:sz w:val="24"/>
          <w:szCs w:val="24"/>
        </w:rPr>
        <w:t>2、信息上报</w:t>
      </w:r>
    </w:p>
    <w:p>
      <w:pPr>
        <w:spacing w:line="360" w:lineRule="auto"/>
        <w:ind w:firstLine="480" w:firstLineChars="200"/>
        <w:rPr>
          <w:color w:val="000000"/>
          <w:sz w:val="24"/>
          <w:szCs w:val="24"/>
        </w:rPr>
      </w:pPr>
      <w:r>
        <w:rPr>
          <w:rFonts w:hAnsi="宋体"/>
          <w:color w:val="000000"/>
          <w:sz w:val="24"/>
          <w:szCs w:val="24"/>
        </w:rPr>
        <w:t>事故发生后，如果启动专项或综合应急预案，总指挥应在</w:t>
      </w:r>
      <w:r>
        <w:rPr>
          <w:color w:val="000000"/>
          <w:sz w:val="24"/>
          <w:szCs w:val="24"/>
        </w:rPr>
        <w:t>1</w:t>
      </w:r>
      <w:r>
        <w:rPr>
          <w:rFonts w:hAnsi="宋体"/>
          <w:color w:val="000000"/>
          <w:sz w:val="24"/>
          <w:szCs w:val="24"/>
        </w:rPr>
        <w:t>小时内向</w:t>
      </w:r>
      <w:r>
        <w:rPr>
          <w:rFonts w:hint="eastAsia" w:hAnsi="宋体"/>
          <w:color w:val="000000"/>
          <w:sz w:val="24"/>
          <w:szCs w:val="24"/>
          <w:lang w:eastAsia="zh-CN"/>
        </w:rPr>
        <w:t>南昌市生态环境局昌北分局</w:t>
      </w:r>
      <w:r>
        <w:rPr>
          <w:rFonts w:hAnsi="宋体"/>
          <w:color w:val="000000"/>
          <w:sz w:val="24"/>
          <w:szCs w:val="24"/>
        </w:rPr>
        <w:t>报告。</w:t>
      </w:r>
    </w:p>
    <w:p>
      <w:pPr>
        <w:spacing w:line="360" w:lineRule="auto"/>
        <w:ind w:firstLine="480" w:firstLineChars="200"/>
        <w:rPr>
          <w:color w:val="000000"/>
          <w:sz w:val="24"/>
          <w:szCs w:val="24"/>
        </w:rPr>
      </w:pPr>
      <w:r>
        <w:rPr>
          <w:rFonts w:hAnsi="宋体"/>
          <w:color w:val="000000"/>
          <w:sz w:val="24"/>
          <w:szCs w:val="24"/>
        </w:rPr>
        <w:t>情况紧急时，事故现场有关人员可以越级直接向</w:t>
      </w:r>
      <w:r>
        <w:rPr>
          <w:rFonts w:hint="eastAsia" w:hAnsi="宋体"/>
          <w:color w:val="000000"/>
          <w:sz w:val="24"/>
          <w:szCs w:val="24"/>
          <w:lang w:eastAsia="zh-CN"/>
        </w:rPr>
        <w:t>南昌市生态环境局昌北分局</w:t>
      </w:r>
      <w:r>
        <w:rPr>
          <w:rFonts w:hAnsi="宋体"/>
          <w:color w:val="000000"/>
          <w:sz w:val="24"/>
          <w:szCs w:val="24"/>
        </w:rPr>
        <w:t>报告。</w:t>
      </w:r>
    </w:p>
    <w:p>
      <w:pPr>
        <w:ind w:firstLine="560"/>
        <w:rPr>
          <w:sz w:val="24"/>
          <w:szCs w:val="24"/>
        </w:rPr>
      </w:pPr>
      <w:r>
        <w:rPr>
          <w:rFonts w:hint="eastAsia"/>
          <w:sz w:val="24"/>
          <w:szCs w:val="24"/>
        </w:rPr>
        <w:t>I级突发环境事件发生后</w:t>
      </w:r>
      <w:r>
        <w:rPr>
          <w:rFonts w:hint="eastAsia"/>
          <w:sz w:val="24"/>
          <w:szCs w:val="24"/>
          <w:lang w:eastAsia="zh-CN"/>
        </w:rPr>
        <w:t>外部救援机构</w:t>
      </w:r>
      <w:r>
        <w:rPr>
          <w:rFonts w:hint="eastAsia"/>
          <w:sz w:val="24"/>
          <w:szCs w:val="24"/>
        </w:rPr>
        <w:t>的联系方式详见</w:t>
      </w:r>
      <w:r>
        <w:rPr>
          <w:sz w:val="24"/>
          <w:szCs w:val="24"/>
        </w:rPr>
        <w:fldChar w:fldCharType="begin"/>
      </w:r>
      <w:r>
        <w:rPr>
          <w:sz w:val="24"/>
          <w:szCs w:val="24"/>
        </w:rPr>
        <w:instrText xml:space="preserve"> </w:instrText>
      </w:r>
      <w:r>
        <w:rPr>
          <w:rFonts w:hint="eastAsia"/>
          <w:sz w:val="24"/>
          <w:szCs w:val="24"/>
        </w:rPr>
        <w:instrText xml:space="preserve">REF _Ref526954759 \h</w:instrText>
      </w:r>
      <w:r>
        <w:rPr>
          <w:sz w:val="24"/>
          <w:szCs w:val="24"/>
        </w:rPr>
        <w:instrText xml:space="preserve"> </w:instrText>
      </w:r>
      <w:r>
        <w:rPr>
          <w:sz w:val="24"/>
          <w:szCs w:val="24"/>
        </w:rPr>
        <w:fldChar w:fldCharType="separate"/>
      </w:r>
      <w:r>
        <w:rPr>
          <w:rFonts w:hint="eastAsia"/>
          <w:sz w:val="24"/>
          <w:szCs w:val="24"/>
        </w:rPr>
        <w:t xml:space="preserve">表 </w:t>
      </w:r>
      <w:r>
        <w:rPr>
          <w:rFonts w:hint="eastAsia"/>
          <w:sz w:val="24"/>
          <w:szCs w:val="24"/>
          <w:lang w:val="en-US" w:eastAsia="zh-CN"/>
        </w:rPr>
        <w:t>4</w:t>
      </w:r>
      <w:r>
        <w:rPr>
          <w:sz w:val="24"/>
          <w:szCs w:val="24"/>
        </w:rPr>
        <w:noBreakHyphen/>
      </w:r>
      <w:r>
        <w:rPr>
          <w:rFonts w:hint="eastAsia"/>
          <w:sz w:val="24"/>
          <w:szCs w:val="24"/>
          <w:lang w:val="en-US" w:eastAsia="zh-CN"/>
        </w:rPr>
        <w:t>2</w:t>
      </w:r>
      <w:r>
        <w:rPr>
          <w:sz w:val="24"/>
          <w:szCs w:val="24"/>
        </w:rPr>
        <w:fldChar w:fldCharType="end"/>
      </w:r>
      <w:r>
        <w:rPr>
          <w:rFonts w:hint="eastAsia"/>
          <w:sz w:val="24"/>
          <w:szCs w:val="24"/>
        </w:rPr>
        <w:t>。</w:t>
      </w:r>
    </w:p>
    <w:p>
      <w:pPr>
        <w:bidi w:val="0"/>
        <w:rPr>
          <w:rFonts w:hint="eastAsia"/>
          <w:sz w:val="24"/>
          <w:szCs w:val="24"/>
          <w:lang w:val="en-US" w:eastAsia="zh-CN"/>
        </w:rPr>
      </w:pPr>
      <w:r>
        <w:rPr>
          <w:rFonts w:hint="eastAsia"/>
          <w:sz w:val="24"/>
          <w:szCs w:val="24"/>
          <w:lang w:eastAsia="zh-CN"/>
        </w:rPr>
        <w:t>突发环境事件发生后周边区域的单位联系方式见表</w:t>
      </w:r>
      <w:r>
        <w:rPr>
          <w:rFonts w:hint="eastAsia"/>
          <w:sz w:val="24"/>
          <w:szCs w:val="24"/>
          <w:lang w:val="en-US" w:eastAsia="zh-CN"/>
        </w:rPr>
        <w:t>5-1。</w:t>
      </w:r>
    </w:p>
    <w:p>
      <w:pPr>
        <w:pStyle w:val="7"/>
        <w:keepNext/>
        <w:rPr>
          <w:b/>
          <w:bCs/>
          <w:sz w:val="24"/>
          <w:szCs w:val="24"/>
        </w:rPr>
      </w:pPr>
      <w:r>
        <w:rPr>
          <w:rFonts w:hint="eastAsia"/>
          <w:b/>
          <w:bCs/>
          <w:sz w:val="24"/>
          <w:szCs w:val="24"/>
        </w:rPr>
        <w:t xml:space="preserve">表 </w:t>
      </w:r>
      <w:r>
        <w:rPr>
          <w:rFonts w:hint="eastAsia"/>
          <w:b/>
          <w:bCs/>
          <w:sz w:val="24"/>
          <w:szCs w:val="24"/>
          <w:lang w:val="en-US" w:eastAsia="zh-CN"/>
        </w:rPr>
        <w:t>5-1</w:t>
      </w:r>
      <w:r>
        <w:rPr>
          <w:rFonts w:hint="eastAsia"/>
          <w:b/>
          <w:bCs/>
          <w:sz w:val="24"/>
          <w:szCs w:val="24"/>
          <w:lang w:eastAsia="zh-CN"/>
        </w:rPr>
        <w:t>周边区域单位有关</w:t>
      </w:r>
      <w:r>
        <w:rPr>
          <w:rFonts w:hint="eastAsia"/>
          <w:b/>
          <w:bCs/>
          <w:sz w:val="24"/>
          <w:szCs w:val="24"/>
        </w:rPr>
        <w:t>联系方式</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98"/>
        <w:gridCol w:w="44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898" w:type="dxa"/>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contextualSpacing/>
              <w:jc w:val="center"/>
              <w:textAlignment w:val="auto"/>
              <w:rPr>
                <w:rFonts w:hint="eastAsia" w:cs="Times New Roman"/>
                <w:color w:val="000000"/>
                <w:kern w:val="0"/>
                <w:sz w:val="21"/>
                <w:szCs w:val="21"/>
                <w:lang w:eastAsia="zh-CN"/>
              </w:rPr>
            </w:pPr>
            <w:r>
              <w:rPr>
                <w:rFonts w:hint="eastAsia" w:cs="Times New Roman"/>
                <w:color w:val="000000"/>
                <w:kern w:val="0"/>
                <w:sz w:val="21"/>
                <w:szCs w:val="21"/>
                <w:lang w:eastAsia="zh-CN"/>
              </w:rPr>
              <w:t>单位名称</w:t>
            </w:r>
          </w:p>
        </w:tc>
        <w:tc>
          <w:tcPr>
            <w:tcW w:w="4446" w:type="dxa"/>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contextualSpacing/>
              <w:jc w:val="center"/>
              <w:textAlignment w:val="auto"/>
              <w:rPr>
                <w:rFonts w:hint="eastAsia" w:cs="Times New Roman"/>
                <w:color w:val="000000"/>
                <w:kern w:val="0"/>
                <w:sz w:val="21"/>
                <w:szCs w:val="21"/>
                <w:lang w:eastAsia="zh-CN"/>
              </w:rPr>
            </w:pPr>
            <w:r>
              <w:rPr>
                <w:rFonts w:hint="eastAsia" w:cs="Times New Roman"/>
                <w:color w:val="000000"/>
                <w:kern w:val="0"/>
                <w:sz w:val="21"/>
                <w:szCs w:val="21"/>
                <w:lang w:eastAsia="zh-CN"/>
              </w:rPr>
              <w:t>联系人及联系电话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898" w:type="dxa"/>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contextualSpacing/>
              <w:jc w:val="center"/>
              <w:textAlignment w:val="auto"/>
              <w:rPr>
                <w:rFonts w:hint="eastAsia" w:cs="Times New Roman"/>
                <w:color w:val="000000"/>
                <w:kern w:val="0"/>
                <w:sz w:val="21"/>
                <w:szCs w:val="21"/>
                <w:lang w:eastAsia="zh-CN"/>
              </w:rPr>
            </w:pPr>
            <w:r>
              <w:rPr>
                <w:rFonts w:hint="eastAsia" w:cs="Times New Roman"/>
                <w:color w:val="000000"/>
                <w:kern w:val="0"/>
                <w:sz w:val="21"/>
                <w:szCs w:val="21"/>
                <w:lang w:eastAsia="zh-CN"/>
              </w:rPr>
              <w:t>南昌华力超硬材料发展有限公司</w:t>
            </w:r>
          </w:p>
        </w:tc>
        <w:tc>
          <w:tcPr>
            <w:tcW w:w="4446" w:type="dxa"/>
            <w:vAlign w:val="center"/>
          </w:tcPr>
          <w:p>
            <w:pPr>
              <w:keepNext w:val="0"/>
              <w:keepLines w:val="0"/>
              <w:pageBreakBefore w:val="0"/>
              <w:widowControl/>
              <w:kinsoku/>
              <w:wordWrap/>
              <w:overflowPunct/>
              <w:topLinePunct w:val="0"/>
              <w:autoSpaceDE/>
              <w:autoSpaceDN/>
              <w:bidi w:val="0"/>
              <w:adjustRightInd/>
              <w:snapToGrid w:val="0"/>
              <w:spacing w:line="240" w:lineRule="auto"/>
              <w:ind w:firstLine="0" w:firstLineChars="0"/>
              <w:contextualSpacing/>
              <w:jc w:val="center"/>
              <w:textAlignment w:val="auto"/>
              <w:rPr>
                <w:rFonts w:hint="default" w:cs="Times New Roman"/>
                <w:color w:val="000000"/>
                <w:kern w:val="0"/>
                <w:sz w:val="21"/>
                <w:szCs w:val="21"/>
                <w:lang w:val="en-US" w:eastAsia="zh-CN"/>
              </w:rPr>
            </w:pPr>
            <w:r>
              <w:rPr>
                <w:rFonts w:hint="eastAsia" w:cs="Times New Roman"/>
                <w:color w:val="000000"/>
                <w:kern w:val="0"/>
                <w:sz w:val="21"/>
                <w:szCs w:val="21"/>
                <w:lang w:eastAsia="zh-CN"/>
              </w:rPr>
              <w:t>刘德力13807007279</w:t>
            </w:r>
          </w:p>
        </w:tc>
      </w:tr>
    </w:tbl>
    <w:p>
      <w:pPr>
        <w:ind w:firstLine="0" w:firstLineChars="0"/>
        <w:jc w:val="left"/>
        <w:rPr>
          <w:rFonts w:hint="default"/>
          <w:sz w:val="24"/>
          <w:szCs w:val="24"/>
          <w:lang w:val="en-US" w:eastAsia="zh-CN"/>
        </w:rPr>
        <w:sectPr>
          <w:pgSz w:w="11906" w:h="16838"/>
          <w:pgMar w:top="1304" w:right="1247" w:bottom="1304" w:left="1531" w:header="851" w:footer="851" w:gutter="0"/>
          <w:pgNumType w:fmt="decimal"/>
          <w:cols w:space="425" w:num="1"/>
          <w:docGrid w:type="lines" w:linePitch="312" w:charSpace="0"/>
        </w:sectPr>
      </w:pPr>
    </w:p>
    <w:p>
      <w:pPr>
        <w:pStyle w:val="3"/>
      </w:pPr>
      <w:bookmarkStart w:id="78" w:name="_Toc22810"/>
      <w:r>
        <w:rPr>
          <w:rFonts w:hint="eastAsia"/>
        </w:rPr>
        <w:t>信息报告与通报</w:t>
      </w:r>
      <w:bookmarkEnd w:id="78"/>
    </w:p>
    <w:p>
      <w:pPr>
        <w:pStyle w:val="4"/>
        <w:rPr>
          <w:sz w:val="24"/>
          <w:szCs w:val="24"/>
        </w:rPr>
      </w:pPr>
      <w:bookmarkStart w:id="79" w:name="_Toc3791"/>
      <w:r>
        <w:rPr>
          <w:rFonts w:hint="eastAsia"/>
          <w:sz w:val="24"/>
          <w:szCs w:val="24"/>
        </w:rPr>
        <w:t>内部报告</w:t>
      </w:r>
      <w:bookmarkEnd w:id="79"/>
    </w:p>
    <w:p>
      <w:pPr>
        <w:pStyle w:val="5"/>
        <w:rPr>
          <w:sz w:val="24"/>
          <w:szCs w:val="24"/>
        </w:rPr>
      </w:pPr>
      <w:r>
        <w:rPr>
          <w:rFonts w:hint="eastAsia"/>
          <w:sz w:val="24"/>
          <w:szCs w:val="24"/>
        </w:rPr>
        <w:t>内部报告的程序</w:t>
      </w:r>
    </w:p>
    <w:p>
      <w:pPr>
        <w:ind w:firstLine="560"/>
        <w:rPr>
          <w:sz w:val="24"/>
          <w:szCs w:val="24"/>
        </w:rPr>
      </w:pPr>
      <w:r>
        <w:rPr>
          <w:rFonts w:hint="eastAsia"/>
          <w:sz w:val="24"/>
          <w:szCs w:val="24"/>
        </w:rPr>
        <w:t>1</w:t>
      </w:r>
      <w:r>
        <w:rPr>
          <w:rFonts w:hint="eastAsia"/>
          <w:sz w:val="24"/>
          <w:szCs w:val="24"/>
          <w:lang w:eastAsia="zh-CN"/>
        </w:rPr>
        <w:t>、</w:t>
      </w:r>
      <w:r>
        <w:rPr>
          <w:rFonts w:hint="eastAsia"/>
          <w:sz w:val="24"/>
          <w:szCs w:val="24"/>
        </w:rPr>
        <w:t>操作人员或最先发现者立即向当班班长或直接向应急办公室报警，同时在做好自身防护的情况下，进行自救、互救；</w:t>
      </w:r>
    </w:p>
    <w:p>
      <w:pPr>
        <w:ind w:firstLine="560"/>
        <w:rPr>
          <w:sz w:val="24"/>
          <w:szCs w:val="24"/>
        </w:rPr>
      </w:pPr>
      <w:r>
        <w:rPr>
          <w:rFonts w:hint="eastAsia"/>
          <w:sz w:val="24"/>
          <w:szCs w:val="24"/>
        </w:rPr>
        <w:t>2、应急办公室判断突发环境事件为III级时，应急办公室负责事故现场的应急救援工作；</w:t>
      </w:r>
    </w:p>
    <w:p>
      <w:pPr>
        <w:ind w:firstLine="560"/>
        <w:rPr>
          <w:sz w:val="24"/>
          <w:szCs w:val="24"/>
        </w:rPr>
      </w:pPr>
      <w:r>
        <w:rPr>
          <w:rFonts w:hint="eastAsia"/>
          <w:sz w:val="24"/>
          <w:szCs w:val="24"/>
        </w:rPr>
        <w:t>3、应急办公室判断突发环境事件分级为II级</w:t>
      </w:r>
      <w:r>
        <w:rPr>
          <w:rFonts w:hint="eastAsia"/>
          <w:sz w:val="24"/>
          <w:szCs w:val="24"/>
          <w:lang w:eastAsia="zh-CN"/>
        </w:rPr>
        <w:t>及以上</w:t>
      </w:r>
      <w:r>
        <w:rPr>
          <w:rFonts w:hint="eastAsia"/>
          <w:sz w:val="24"/>
          <w:szCs w:val="24"/>
        </w:rPr>
        <w:t>时要立即向突发环境事件应急指挥部报告，由应急指挥部负责事故现场的应急救援工作</w:t>
      </w:r>
      <w:r>
        <w:rPr>
          <w:rFonts w:hint="eastAsia"/>
          <w:sz w:val="24"/>
          <w:szCs w:val="24"/>
          <w:lang w:eastAsia="zh-CN"/>
        </w:rPr>
        <w:t>，</w:t>
      </w:r>
      <w:r>
        <w:rPr>
          <w:rFonts w:hAnsi="宋体"/>
          <w:sz w:val="24"/>
          <w:szCs w:val="24"/>
        </w:rPr>
        <w:t>Ⅰ级</w:t>
      </w:r>
      <w:r>
        <w:rPr>
          <w:rFonts w:hint="eastAsia" w:hAnsi="宋体"/>
          <w:sz w:val="24"/>
          <w:szCs w:val="24"/>
          <w:lang w:eastAsia="zh-CN"/>
        </w:rPr>
        <w:t>时需要进一步向相关部门报告</w:t>
      </w:r>
      <w:r>
        <w:rPr>
          <w:rFonts w:hint="eastAsia"/>
          <w:sz w:val="24"/>
          <w:szCs w:val="24"/>
        </w:rPr>
        <w:t>。突发环境事件信息报告流程见</w:t>
      </w:r>
      <w:r>
        <w:rPr>
          <w:sz w:val="24"/>
          <w:szCs w:val="24"/>
        </w:rPr>
        <w:fldChar w:fldCharType="begin"/>
      </w:r>
      <w:r>
        <w:rPr>
          <w:sz w:val="24"/>
          <w:szCs w:val="24"/>
        </w:rPr>
        <w:instrText xml:space="preserve"> REF _Ref526955066 \h </w:instrText>
      </w:r>
      <w:r>
        <w:rPr>
          <w:sz w:val="24"/>
          <w:szCs w:val="24"/>
        </w:rPr>
        <w:fldChar w:fldCharType="separate"/>
      </w:r>
      <w:r>
        <w:rPr>
          <w:rFonts w:hint="eastAsia"/>
          <w:sz w:val="24"/>
          <w:szCs w:val="24"/>
        </w:rPr>
        <w:t xml:space="preserve">图 </w:t>
      </w:r>
      <w:r>
        <w:rPr>
          <w:rFonts w:hint="eastAsia"/>
          <w:sz w:val="24"/>
          <w:szCs w:val="24"/>
          <w:lang w:val="en-US" w:eastAsia="zh-CN"/>
        </w:rPr>
        <w:t>6</w:t>
      </w:r>
      <w:r>
        <w:rPr>
          <w:sz w:val="24"/>
          <w:szCs w:val="24"/>
        </w:rPr>
        <w:noBreakHyphen/>
      </w:r>
      <w:r>
        <w:rPr>
          <w:sz w:val="24"/>
          <w:szCs w:val="24"/>
        </w:rPr>
        <w:t>1</w:t>
      </w:r>
      <w:r>
        <w:rPr>
          <w:sz w:val="24"/>
          <w:szCs w:val="24"/>
        </w:rPr>
        <w:fldChar w:fldCharType="end"/>
      </w:r>
      <w:r>
        <w:rPr>
          <w:rFonts w:hint="eastAsia"/>
          <w:sz w:val="24"/>
          <w:szCs w:val="24"/>
        </w:rPr>
        <w:t>。</w:t>
      </w:r>
    </w:p>
    <w:p>
      <w:pPr>
        <w:keepNext/>
        <w:ind w:firstLine="0" w:firstLineChars="0"/>
        <w:rPr>
          <w:rFonts w:hint="eastAsia" w:eastAsia="宋体"/>
          <w:lang w:eastAsia="zh-CN"/>
        </w:rPr>
      </w:pPr>
      <w:r>
        <w:rPr>
          <w:rFonts w:hint="eastAsia" w:eastAsia="宋体"/>
          <w:lang w:eastAsia="zh-CN"/>
        </w:rPr>
        <w:drawing>
          <wp:inline distT="0" distB="0" distL="114300" distR="114300">
            <wp:extent cx="4823460" cy="3702050"/>
            <wp:effectExtent l="0" t="0" r="15240" b="12700"/>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22"/>
                    <a:stretch>
                      <a:fillRect/>
                    </a:stretch>
                  </pic:blipFill>
                  <pic:spPr>
                    <a:xfrm>
                      <a:off x="0" y="0"/>
                      <a:ext cx="4823460" cy="3702050"/>
                    </a:xfrm>
                    <a:prstGeom prst="rect">
                      <a:avLst/>
                    </a:prstGeom>
                  </pic:spPr>
                </pic:pic>
              </a:graphicData>
            </a:graphic>
          </wp:inline>
        </w:drawing>
      </w:r>
    </w:p>
    <w:p>
      <w:pPr>
        <w:pStyle w:val="7"/>
        <w:rPr>
          <w:b/>
          <w:bCs/>
          <w:sz w:val="24"/>
          <w:szCs w:val="24"/>
        </w:rPr>
      </w:pPr>
      <w:bookmarkStart w:id="80" w:name="_Ref526955066"/>
      <w:r>
        <w:rPr>
          <w:rFonts w:hint="eastAsia"/>
          <w:b/>
          <w:bCs/>
          <w:sz w:val="24"/>
          <w:szCs w:val="24"/>
        </w:rPr>
        <w:t xml:space="preserve">图 </w:t>
      </w:r>
      <w:r>
        <w:rPr>
          <w:rFonts w:hint="eastAsia"/>
          <w:b/>
          <w:bCs/>
          <w:sz w:val="24"/>
          <w:szCs w:val="24"/>
          <w:lang w:val="en-US" w:eastAsia="zh-CN"/>
        </w:rPr>
        <w:t>6</w:t>
      </w:r>
      <w:r>
        <w:rPr>
          <w:b/>
          <w:bCs/>
          <w:sz w:val="24"/>
          <w:szCs w:val="24"/>
        </w:rPr>
        <w:noBreakHyphen/>
      </w:r>
      <w:r>
        <w:rPr>
          <w:b/>
          <w:bCs/>
          <w:sz w:val="24"/>
          <w:szCs w:val="24"/>
        </w:rPr>
        <w:fldChar w:fldCharType="begin"/>
      </w:r>
      <w:r>
        <w:rPr>
          <w:b/>
          <w:bCs/>
          <w:sz w:val="24"/>
          <w:szCs w:val="24"/>
        </w:rPr>
        <w:instrText xml:space="preserve"> </w:instrText>
      </w:r>
      <w:r>
        <w:rPr>
          <w:rFonts w:hint="eastAsia"/>
          <w:b/>
          <w:bCs/>
          <w:sz w:val="24"/>
          <w:szCs w:val="24"/>
        </w:rPr>
        <w:instrText xml:space="preserve">SEQ 图 \* ARABIC \s 1</w:instrText>
      </w:r>
      <w:r>
        <w:rPr>
          <w:b/>
          <w:bCs/>
          <w:sz w:val="24"/>
          <w:szCs w:val="24"/>
        </w:rPr>
        <w:instrText xml:space="preserve"> </w:instrText>
      </w:r>
      <w:r>
        <w:rPr>
          <w:b/>
          <w:bCs/>
          <w:sz w:val="24"/>
          <w:szCs w:val="24"/>
        </w:rPr>
        <w:fldChar w:fldCharType="separate"/>
      </w:r>
      <w:r>
        <w:rPr>
          <w:b/>
          <w:bCs/>
          <w:sz w:val="24"/>
          <w:szCs w:val="24"/>
        </w:rPr>
        <w:t>1</w:t>
      </w:r>
      <w:r>
        <w:rPr>
          <w:b/>
          <w:bCs/>
          <w:sz w:val="24"/>
          <w:szCs w:val="24"/>
        </w:rPr>
        <w:fldChar w:fldCharType="end"/>
      </w:r>
      <w:bookmarkEnd w:id="80"/>
      <w:r>
        <w:rPr>
          <w:rFonts w:hint="eastAsia"/>
          <w:b/>
          <w:bCs/>
          <w:sz w:val="24"/>
          <w:szCs w:val="24"/>
        </w:rPr>
        <w:t>突发环境事件信息报告流程</w:t>
      </w:r>
    </w:p>
    <w:p>
      <w:pPr>
        <w:pStyle w:val="5"/>
        <w:rPr>
          <w:sz w:val="24"/>
          <w:szCs w:val="24"/>
        </w:rPr>
      </w:pPr>
      <w:r>
        <w:rPr>
          <w:rFonts w:hint="eastAsia"/>
          <w:sz w:val="24"/>
          <w:szCs w:val="24"/>
        </w:rPr>
        <w:t>内部报告的主体</w:t>
      </w:r>
    </w:p>
    <w:p>
      <w:pPr>
        <w:ind w:firstLine="560"/>
        <w:rPr>
          <w:sz w:val="24"/>
          <w:szCs w:val="24"/>
        </w:rPr>
      </w:pPr>
      <w:r>
        <w:rPr>
          <w:rFonts w:hint="eastAsia"/>
          <w:sz w:val="24"/>
          <w:szCs w:val="24"/>
        </w:rPr>
        <w:t>1、突发环境事件部门和应急办公室为逐级责任报告部门；事故风险源的岗位员工或第一发现者以及事故风险源负责人、应急办公室为逐级责任报告人。</w:t>
      </w:r>
    </w:p>
    <w:p>
      <w:pPr>
        <w:ind w:firstLine="560"/>
        <w:rPr>
          <w:sz w:val="24"/>
          <w:szCs w:val="24"/>
        </w:rPr>
      </w:pPr>
      <w:r>
        <w:rPr>
          <w:rFonts w:hint="eastAsia"/>
          <w:sz w:val="24"/>
          <w:szCs w:val="24"/>
        </w:rPr>
        <w:t>2、任何部门和个人都有义务向公司应急办公室或应急指挥部报告突发环境事件，有权举报不履行或者不按照规定履行突发环境事件应急处理职责的部门及个人。</w:t>
      </w:r>
    </w:p>
    <w:p>
      <w:pPr>
        <w:pStyle w:val="5"/>
        <w:rPr>
          <w:sz w:val="24"/>
          <w:szCs w:val="24"/>
        </w:rPr>
      </w:pPr>
      <w:r>
        <w:rPr>
          <w:rFonts w:hint="eastAsia"/>
          <w:sz w:val="24"/>
          <w:szCs w:val="24"/>
        </w:rPr>
        <w:t>内部报告原则</w:t>
      </w:r>
    </w:p>
    <w:p>
      <w:pPr>
        <w:ind w:firstLine="560"/>
        <w:rPr>
          <w:sz w:val="24"/>
          <w:szCs w:val="24"/>
        </w:rPr>
      </w:pPr>
      <w:r>
        <w:rPr>
          <w:rFonts w:hint="eastAsia"/>
          <w:sz w:val="24"/>
          <w:szCs w:val="24"/>
        </w:rPr>
        <w:t>按照“早发现、早报告、早处置”的原则，一旦发现突发环境事件，事故发生地岗位员工或第一发现者立即报告生产班长或应急办公室，应急办公室视突发环境事件可能造成的影响和危害程度，及时逐级上报信息。</w:t>
      </w:r>
    </w:p>
    <w:p>
      <w:pPr>
        <w:pStyle w:val="5"/>
        <w:rPr>
          <w:sz w:val="24"/>
          <w:szCs w:val="24"/>
        </w:rPr>
      </w:pPr>
      <w:r>
        <w:rPr>
          <w:rFonts w:hint="eastAsia"/>
          <w:sz w:val="24"/>
          <w:szCs w:val="24"/>
        </w:rPr>
        <w:t>内部报告时限</w:t>
      </w:r>
    </w:p>
    <w:p>
      <w:pPr>
        <w:ind w:firstLine="560"/>
        <w:rPr>
          <w:sz w:val="24"/>
          <w:szCs w:val="24"/>
        </w:rPr>
      </w:pPr>
      <w:r>
        <w:rPr>
          <w:rFonts w:hint="eastAsia"/>
          <w:sz w:val="24"/>
          <w:szCs w:val="24"/>
        </w:rPr>
        <w:t>1、发生任何突发环境事件后，现场操作人员或最先发现者要立即向当班班长或直接向应急办公室报警。</w:t>
      </w:r>
    </w:p>
    <w:p>
      <w:pPr>
        <w:ind w:firstLine="560"/>
        <w:rPr>
          <w:sz w:val="24"/>
          <w:szCs w:val="24"/>
        </w:rPr>
      </w:pPr>
      <w:r>
        <w:rPr>
          <w:rFonts w:hint="eastAsia"/>
          <w:sz w:val="24"/>
          <w:szCs w:val="24"/>
        </w:rPr>
        <w:t>2、应急办公室接到报警后根据事件的紧急程度和严重性判断突发环境事件为III级事件时要在5分钟内上报应急指挥部。</w:t>
      </w:r>
    </w:p>
    <w:p>
      <w:pPr>
        <w:ind w:firstLine="560"/>
        <w:rPr>
          <w:sz w:val="24"/>
          <w:szCs w:val="24"/>
        </w:rPr>
      </w:pPr>
      <w:r>
        <w:rPr>
          <w:rFonts w:hint="eastAsia"/>
          <w:sz w:val="24"/>
          <w:szCs w:val="24"/>
        </w:rPr>
        <w:t>3、应急指挥部立即向总指挥报告。</w:t>
      </w:r>
    </w:p>
    <w:p>
      <w:pPr>
        <w:pStyle w:val="5"/>
        <w:rPr>
          <w:sz w:val="24"/>
          <w:szCs w:val="24"/>
        </w:rPr>
      </w:pPr>
      <w:r>
        <w:rPr>
          <w:rFonts w:hint="eastAsia"/>
          <w:sz w:val="24"/>
          <w:szCs w:val="24"/>
        </w:rPr>
        <w:t>内部报告内容</w:t>
      </w:r>
    </w:p>
    <w:p>
      <w:pPr>
        <w:ind w:firstLine="560"/>
        <w:rPr>
          <w:sz w:val="24"/>
          <w:szCs w:val="24"/>
        </w:rPr>
      </w:pPr>
      <w:r>
        <w:rPr>
          <w:rFonts w:hint="eastAsia"/>
          <w:sz w:val="24"/>
          <w:szCs w:val="24"/>
        </w:rPr>
        <w:t>公司内突发III级环境事件内部报告内容详见</w:t>
      </w:r>
      <w:r>
        <w:rPr>
          <w:sz w:val="24"/>
          <w:szCs w:val="24"/>
        </w:rPr>
        <w:fldChar w:fldCharType="begin"/>
      </w:r>
      <w:r>
        <w:rPr>
          <w:sz w:val="24"/>
          <w:szCs w:val="24"/>
        </w:rPr>
        <w:instrText xml:space="preserve"> </w:instrText>
      </w:r>
      <w:r>
        <w:rPr>
          <w:rFonts w:hint="eastAsia"/>
          <w:sz w:val="24"/>
          <w:szCs w:val="24"/>
        </w:rPr>
        <w:instrText xml:space="preserve">REF _Ref526955236 \h</w:instrText>
      </w:r>
      <w:r>
        <w:rPr>
          <w:sz w:val="24"/>
          <w:szCs w:val="24"/>
        </w:rPr>
        <w:instrText xml:space="preserve"> </w:instrText>
      </w:r>
      <w:r>
        <w:rPr>
          <w:sz w:val="24"/>
          <w:szCs w:val="24"/>
        </w:rPr>
        <w:fldChar w:fldCharType="separate"/>
      </w:r>
      <w:r>
        <w:rPr>
          <w:rFonts w:hint="eastAsia"/>
          <w:sz w:val="24"/>
          <w:szCs w:val="24"/>
        </w:rPr>
        <w:t xml:space="preserve">表 </w:t>
      </w:r>
      <w:r>
        <w:rPr>
          <w:rFonts w:hint="eastAsia"/>
          <w:sz w:val="24"/>
          <w:szCs w:val="24"/>
          <w:lang w:val="en-US" w:eastAsia="zh-CN"/>
        </w:rPr>
        <w:t>6</w:t>
      </w:r>
      <w:r>
        <w:rPr>
          <w:sz w:val="24"/>
          <w:szCs w:val="24"/>
        </w:rPr>
        <w:noBreakHyphen/>
      </w:r>
      <w:r>
        <w:rPr>
          <w:sz w:val="24"/>
          <w:szCs w:val="24"/>
        </w:rPr>
        <w:t>1</w:t>
      </w:r>
      <w:r>
        <w:rPr>
          <w:sz w:val="24"/>
          <w:szCs w:val="24"/>
        </w:rPr>
        <w:fldChar w:fldCharType="end"/>
      </w:r>
      <w:r>
        <w:rPr>
          <w:rFonts w:hint="eastAsia"/>
          <w:sz w:val="24"/>
          <w:szCs w:val="24"/>
        </w:rPr>
        <w:t>。</w:t>
      </w:r>
    </w:p>
    <w:p>
      <w:pPr>
        <w:widowControl/>
        <w:spacing w:line="240" w:lineRule="auto"/>
        <w:ind w:firstLine="0" w:firstLineChars="0"/>
        <w:jc w:val="center"/>
        <w:rPr>
          <w:b/>
          <w:bCs/>
        </w:rPr>
      </w:pPr>
      <w:bookmarkStart w:id="81" w:name="_Ref526955236"/>
      <w:r>
        <w:rPr>
          <w:rFonts w:hint="eastAsia"/>
          <w:b/>
          <w:bCs/>
          <w:sz w:val="24"/>
          <w:szCs w:val="24"/>
        </w:rPr>
        <w:t xml:space="preserve">表 </w:t>
      </w:r>
      <w:r>
        <w:rPr>
          <w:rFonts w:hint="eastAsia"/>
          <w:b/>
          <w:bCs/>
          <w:sz w:val="24"/>
          <w:szCs w:val="24"/>
          <w:lang w:val="en-US" w:eastAsia="zh-CN"/>
        </w:rPr>
        <w:t>6</w:t>
      </w:r>
      <w:r>
        <w:rPr>
          <w:b/>
          <w:bCs/>
          <w:sz w:val="24"/>
          <w:szCs w:val="24"/>
        </w:rPr>
        <w:noBreakHyphen/>
      </w:r>
      <w:r>
        <w:rPr>
          <w:b/>
          <w:bCs/>
          <w:sz w:val="24"/>
          <w:szCs w:val="24"/>
        </w:rPr>
        <w:fldChar w:fldCharType="begin"/>
      </w:r>
      <w:r>
        <w:rPr>
          <w:b/>
          <w:bCs/>
          <w:sz w:val="24"/>
          <w:szCs w:val="24"/>
        </w:rPr>
        <w:instrText xml:space="preserve"> </w:instrText>
      </w:r>
      <w:r>
        <w:rPr>
          <w:rFonts w:hint="eastAsia"/>
          <w:b/>
          <w:bCs/>
          <w:sz w:val="24"/>
          <w:szCs w:val="24"/>
        </w:rPr>
        <w:instrText xml:space="preserve">SEQ 表 \* ARABIC \s 1</w:instrText>
      </w:r>
      <w:r>
        <w:rPr>
          <w:b/>
          <w:bCs/>
          <w:sz w:val="24"/>
          <w:szCs w:val="24"/>
        </w:rPr>
        <w:instrText xml:space="preserve"> </w:instrText>
      </w:r>
      <w:r>
        <w:rPr>
          <w:b/>
          <w:bCs/>
          <w:sz w:val="24"/>
          <w:szCs w:val="24"/>
        </w:rPr>
        <w:fldChar w:fldCharType="separate"/>
      </w:r>
      <w:r>
        <w:rPr>
          <w:b/>
          <w:bCs/>
          <w:sz w:val="24"/>
          <w:szCs w:val="24"/>
        </w:rPr>
        <w:t>1</w:t>
      </w:r>
      <w:r>
        <w:rPr>
          <w:b/>
          <w:bCs/>
          <w:sz w:val="24"/>
          <w:szCs w:val="24"/>
        </w:rPr>
        <w:fldChar w:fldCharType="end"/>
      </w:r>
      <w:bookmarkEnd w:id="81"/>
      <w:r>
        <w:rPr>
          <w:rFonts w:hint="eastAsia"/>
          <w:b/>
          <w:bCs/>
          <w:sz w:val="24"/>
          <w:szCs w:val="24"/>
        </w:rPr>
        <w:t>突发环境事件内部报告内容一览表</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1"/>
        <w:gridCol w:w="3050"/>
        <w:gridCol w:w="5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86" w:type="pct"/>
            <w:shd w:val="clear" w:color="auto" w:fill="auto"/>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序号</w:t>
            </w:r>
          </w:p>
        </w:tc>
        <w:tc>
          <w:tcPr>
            <w:tcW w:w="1632" w:type="pct"/>
            <w:shd w:val="clear" w:color="auto" w:fill="auto"/>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突发环境事件内部报告内容</w:t>
            </w:r>
          </w:p>
        </w:tc>
        <w:tc>
          <w:tcPr>
            <w:tcW w:w="2982" w:type="pct"/>
            <w:shd w:val="clear" w:color="auto" w:fill="auto"/>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86"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1</w:t>
            </w:r>
          </w:p>
        </w:tc>
        <w:tc>
          <w:tcPr>
            <w:tcW w:w="1632" w:type="pct"/>
            <w:vAlign w:val="center"/>
          </w:tcPr>
          <w:p>
            <w:pPr>
              <w:tabs>
                <w:tab w:val="left" w:pos="300"/>
              </w:tabs>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事件概述</w:t>
            </w:r>
          </w:p>
        </w:tc>
        <w:tc>
          <w:tcPr>
            <w:tcW w:w="2982" w:type="pct"/>
            <w:vAlign w:val="center"/>
          </w:tcPr>
          <w:p>
            <w:pPr>
              <w:snapToGrid w:val="0"/>
              <w:spacing w:line="240" w:lineRule="auto"/>
              <w:ind w:firstLine="0" w:firstLineChars="0"/>
              <w:contextualSpacing/>
              <w:jc w:val="center"/>
              <w:rPr>
                <w:rFonts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86"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2</w:t>
            </w:r>
          </w:p>
        </w:tc>
        <w:tc>
          <w:tcPr>
            <w:tcW w:w="1632"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事件时间</w:t>
            </w:r>
          </w:p>
        </w:tc>
        <w:tc>
          <w:tcPr>
            <w:tcW w:w="2982" w:type="pct"/>
            <w:vAlign w:val="center"/>
          </w:tcPr>
          <w:p>
            <w:pPr>
              <w:snapToGrid w:val="0"/>
              <w:spacing w:line="240" w:lineRule="auto"/>
              <w:ind w:firstLine="0" w:firstLineChars="0"/>
              <w:contextualSpacing/>
              <w:jc w:val="center"/>
              <w:rPr>
                <w:rFonts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86"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3</w:t>
            </w:r>
          </w:p>
        </w:tc>
        <w:tc>
          <w:tcPr>
            <w:tcW w:w="1632"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事件地点</w:t>
            </w:r>
          </w:p>
        </w:tc>
        <w:tc>
          <w:tcPr>
            <w:tcW w:w="2982" w:type="pct"/>
            <w:vAlign w:val="center"/>
          </w:tcPr>
          <w:p>
            <w:pPr>
              <w:snapToGrid w:val="0"/>
              <w:spacing w:line="240" w:lineRule="auto"/>
              <w:ind w:firstLine="0" w:firstLineChars="0"/>
              <w:contextualSpacing/>
              <w:jc w:val="center"/>
              <w:rPr>
                <w:rFonts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86"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4</w:t>
            </w:r>
          </w:p>
        </w:tc>
        <w:tc>
          <w:tcPr>
            <w:tcW w:w="1632"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初步原因</w:t>
            </w:r>
          </w:p>
        </w:tc>
        <w:tc>
          <w:tcPr>
            <w:tcW w:w="2982" w:type="pct"/>
            <w:vAlign w:val="center"/>
          </w:tcPr>
          <w:p>
            <w:pPr>
              <w:snapToGrid w:val="0"/>
              <w:spacing w:line="240" w:lineRule="auto"/>
              <w:ind w:firstLine="0" w:firstLineChars="0"/>
              <w:contextualSpacing/>
              <w:jc w:val="center"/>
              <w:rPr>
                <w:rFonts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86"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5</w:t>
            </w:r>
          </w:p>
        </w:tc>
        <w:tc>
          <w:tcPr>
            <w:tcW w:w="1632"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污染物泄漏量</w:t>
            </w:r>
          </w:p>
        </w:tc>
        <w:tc>
          <w:tcPr>
            <w:tcW w:w="2982" w:type="pct"/>
            <w:vAlign w:val="center"/>
          </w:tcPr>
          <w:p>
            <w:pPr>
              <w:snapToGrid w:val="0"/>
              <w:spacing w:line="240" w:lineRule="auto"/>
              <w:ind w:firstLine="0" w:firstLineChars="0"/>
              <w:contextualSpacing/>
              <w:jc w:val="center"/>
              <w:rPr>
                <w:rFonts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86"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6</w:t>
            </w:r>
          </w:p>
        </w:tc>
        <w:tc>
          <w:tcPr>
            <w:tcW w:w="1632"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污染影响范围</w:t>
            </w:r>
          </w:p>
        </w:tc>
        <w:tc>
          <w:tcPr>
            <w:tcW w:w="2982" w:type="pct"/>
            <w:vAlign w:val="center"/>
          </w:tcPr>
          <w:p>
            <w:pPr>
              <w:snapToGrid w:val="0"/>
              <w:spacing w:line="240" w:lineRule="auto"/>
              <w:ind w:firstLine="0" w:firstLineChars="0"/>
              <w:contextualSpacing/>
              <w:jc w:val="center"/>
              <w:rPr>
                <w:rFonts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86"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7</w:t>
            </w:r>
          </w:p>
        </w:tc>
        <w:tc>
          <w:tcPr>
            <w:tcW w:w="1632"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人员伤亡情况</w:t>
            </w:r>
          </w:p>
        </w:tc>
        <w:tc>
          <w:tcPr>
            <w:tcW w:w="2982" w:type="pct"/>
            <w:vAlign w:val="center"/>
          </w:tcPr>
          <w:p>
            <w:pPr>
              <w:snapToGrid w:val="0"/>
              <w:spacing w:line="240" w:lineRule="auto"/>
              <w:ind w:firstLine="0" w:firstLineChars="0"/>
              <w:contextualSpacing/>
              <w:jc w:val="center"/>
              <w:rPr>
                <w:rFonts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86"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8</w:t>
            </w:r>
          </w:p>
        </w:tc>
        <w:tc>
          <w:tcPr>
            <w:tcW w:w="1632"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人员救治情况</w:t>
            </w:r>
          </w:p>
        </w:tc>
        <w:tc>
          <w:tcPr>
            <w:tcW w:w="2982" w:type="pct"/>
            <w:vAlign w:val="center"/>
          </w:tcPr>
          <w:p>
            <w:pPr>
              <w:snapToGrid w:val="0"/>
              <w:spacing w:line="240" w:lineRule="auto"/>
              <w:ind w:firstLine="0" w:firstLineChars="0"/>
              <w:contextualSpacing/>
              <w:jc w:val="center"/>
              <w:rPr>
                <w:rFonts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86"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9</w:t>
            </w:r>
          </w:p>
        </w:tc>
        <w:tc>
          <w:tcPr>
            <w:tcW w:w="1632"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设施损坏情况</w:t>
            </w:r>
          </w:p>
        </w:tc>
        <w:tc>
          <w:tcPr>
            <w:tcW w:w="2982" w:type="pct"/>
            <w:vAlign w:val="center"/>
          </w:tcPr>
          <w:p>
            <w:pPr>
              <w:snapToGrid w:val="0"/>
              <w:spacing w:line="240" w:lineRule="auto"/>
              <w:ind w:firstLine="0" w:firstLineChars="0"/>
              <w:contextualSpacing/>
              <w:jc w:val="center"/>
              <w:rPr>
                <w:rFonts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86"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10</w:t>
            </w:r>
          </w:p>
        </w:tc>
        <w:tc>
          <w:tcPr>
            <w:tcW w:w="1632" w:type="pct"/>
            <w:vAlign w:val="center"/>
          </w:tcPr>
          <w:p>
            <w:pPr>
              <w:snapToGrid w:val="0"/>
              <w:spacing w:line="240" w:lineRule="auto"/>
              <w:ind w:firstLine="0" w:firstLineChars="0"/>
              <w:contextualSpacing/>
              <w:jc w:val="center"/>
              <w:rPr>
                <w:rFonts w:cs="Times New Roman"/>
                <w:color w:val="000000"/>
                <w:sz w:val="21"/>
                <w:szCs w:val="21"/>
              </w:rPr>
            </w:pPr>
            <w:r>
              <w:rPr>
                <w:rFonts w:cs="Times New Roman"/>
                <w:color w:val="000000"/>
                <w:sz w:val="21"/>
                <w:szCs w:val="21"/>
              </w:rPr>
              <w:t>财产损失情况</w:t>
            </w:r>
          </w:p>
        </w:tc>
        <w:tc>
          <w:tcPr>
            <w:tcW w:w="2982" w:type="pct"/>
            <w:vAlign w:val="center"/>
          </w:tcPr>
          <w:p>
            <w:pPr>
              <w:snapToGrid w:val="0"/>
              <w:spacing w:line="240" w:lineRule="auto"/>
              <w:ind w:firstLine="0" w:firstLineChars="0"/>
              <w:contextualSpacing/>
              <w:jc w:val="center"/>
              <w:rPr>
                <w:rFonts w:cs="Times New Roman"/>
                <w:color w:val="000000"/>
                <w:sz w:val="21"/>
                <w:szCs w:val="21"/>
              </w:rPr>
            </w:pPr>
          </w:p>
        </w:tc>
      </w:tr>
    </w:tbl>
    <w:p>
      <w:pPr>
        <w:pStyle w:val="4"/>
        <w:rPr>
          <w:sz w:val="24"/>
          <w:szCs w:val="24"/>
        </w:rPr>
      </w:pPr>
      <w:bookmarkStart w:id="82" w:name="_Toc31216"/>
      <w:r>
        <w:rPr>
          <w:rFonts w:hint="eastAsia"/>
          <w:sz w:val="24"/>
          <w:szCs w:val="24"/>
        </w:rPr>
        <w:t>信息上报</w:t>
      </w:r>
      <w:bookmarkEnd w:id="82"/>
    </w:p>
    <w:p>
      <w:pPr>
        <w:ind w:firstLine="560"/>
        <w:rPr>
          <w:sz w:val="24"/>
          <w:szCs w:val="24"/>
        </w:rPr>
      </w:pPr>
      <w:r>
        <w:rPr>
          <w:rFonts w:hint="eastAsia"/>
          <w:sz w:val="24"/>
          <w:szCs w:val="24"/>
        </w:rPr>
        <w:t>公司发生I级突发环境事件难以自行处理，除执行内部报告外，还须在</w:t>
      </w:r>
      <w:r>
        <w:rPr>
          <w:rFonts w:hint="eastAsia"/>
          <w:sz w:val="24"/>
          <w:szCs w:val="24"/>
          <w:lang w:eastAsia="zh-CN"/>
        </w:rPr>
        <w:t>一</w:t>
      </w:r>
      <w:r>
        <w:rPr>
          <w:rFonts w:hint="eastAsia"/>
          <w:sz w:val="24"/>
          <w:szCs w:val="24"/>
        </w:rPr>
        <w:t>小时之内将事件的详细情况汇报给</w:t>
      </w:r>
      <w:r>
        <w:rPr>
          <w:rFonts w:hint="eastAsia"/>
          <w:sz w:val="24"/>
          <w:szCs w:val="24"/>
          <w:lang w:eastAsia="zh-CN"/>
        </w:rPr>
        <w:t>南昌市生态环境</w:t>
      </w:r>
      <w:r>
        <w:rPr>
          <w:rFonts w:hint="eastAsia"/>
          <w:sz w:val="24"/>
          <w:szCs w:val="24"/>
        </w:rPr>
        <w:t>局应急办，请求援助以控制事故的发展扩大。</w:t>
      </w:r>
    </w:p>
    <w:p>
      <w:pPr>
        <w:ind w:firstLine="560"/>
        <w:rPr>
          <w:sz w:val="24"/>
          <w:szCs w:val="24"/>
        </w:rPr>
      </w:pPr>
      <w:r>
        <w:rPr>
          <w:rFonts w:hint="eastAsia"/>
          <w:sz w:val="24"/>
          <w:szCs w:val="24"/>
        </w:rPr>
        <w:t>当突发环境事件发生初期无法按突发环境事件分级标准确认等级时，报告上注明初步判断的可能等级；随着事件的续报，可视情</w:t>
      </w:r>
      <w:r>
        <w:rPr>
          <w:rFonts w:hint="eastAsia"/>
          <w:sz w:val="24"/>
          <w:szCs w:val="24"/>
          <w:lang w:eastAsia="zh-CN"/>
        </w:rPr>
        <w:t>况</w:t>
      </w:r>
      <w:r>
        <w:rPr>
          <w:rFonts w:hint="eastAsia"/>
          <w:sz w:val="24"/>
          <w:szCs w:val="24"/>
        </w:rPr>
        <w:t>核定突发环境事件等级并报告应报送的部门。</w:t>
      </w:r>
    </w:p>
    <w:p>
      <w:pPr>
        <w:pStyle w:val="5"/>
        <w:rPr>
          <w:sz w:val="24"/>
          <w:szCs w:val="24"/>
        </w:rPr>
      </w:pPr>
      <w:r>
        <w:rPr>
          <w:rFonts w:hint="eastAsia"/>
          <w:sz w:val="24"/>
          <w:szCs w:val="24"/>
        </w:rPr>
        <w:t>信息上报分类</w:t>
      </w:r>
    </w:p>
    <w:p>
      <w:pPr>
        <w:ind w:firstLine="560"/>
        <w:rPr>
          <w:sz w:val="24"/>
          <w:szCs w:val="24"/>
        </w:rPr>
      </w:pPr>
      <w:r>
        <w:rPr>
          <w:rFonts w:hint="eastAsia"/>
          <w:sz w:val="24"/>
          <w:szCs w:val="24"/>
        </w:rPr>
        <w:t>突发环境事件的报告分为初报、续报和处理结果报告。</w:t>
      </w:r>
    </w:p>
    <w:p>
      <w:pPr>
        <w:ind w:firstLine="560"/>
        <w:rPr>
          <w:sz w:val="24"/>
          <w:szCs w:val="24"/>
        </w:rPr>
      </w:pPr>
      <w:r>
        <w:rPr>
          <w:rFonts w:hint="eastAsia"/>
          <w:sz w:val="24"/>
          <w:szCs w:val="24"/>
        </w:rPr>
        <w:t>1、初报是从发现事件后立即上报；</w:t>
      </w:r>
    </w:p>
    <w:p>
      <w:pPr>
        <w:ind w:firstLine="560"/>
        <w:rPr>
          <w:sz w:val="24"/>
          <w:szCs w:val="24"/>
        </w:rPr>
      </w:pPr>
      <w:r>
        <w:rPr>
          <w:rFonts w:hint="eastAsia"/>
          <w:sz w:val="24"/>
          <w:szCs w:val="24"/>
        </w:rPr>
        <w:t>2、续报是在查清事件基本情况后或事故升级、危害扩大时随时上报；</w:t>
      </w:r>
    </w:p>
    <w:p>
      <w:pPr>
        <w:ind w:firstLine="560"/>
        <w:rPr>
          <w:sz w:val="24"/>
          <w:szCs w:val="24"/>
        </w:rPr>
      </w:pPr>
      <w:r>
        <w:rPr>
          <w:rFonts w:hint="eastAsia"/>
          <w:sz w:val="24"/>
          <w:szCs w:val="24"/>
        </w:rPr>
        <w:t>3、处理结果报告是在事件处理完毕后立即上报。</w:t>
      </w:r>
    </w:p>
    <w:p>
      <w:pPr>
        <w:pStyle w:val="5"/>
        <w:rPr>
          <w:sz w:val="24"/>
          <w:szCs w:val="24"/>
        </w:rPr>
      </w:pPr>
      <w:r>
        <w:rPr>
          <w:rFonts w:hint="eastAsia"/>
          <w:sz w:val="24"/>
          <w:szCs w:val="24"/>
        </w:rPr>
        <w:t>信息上报程序</w:t>
      </w:r>
    </w:p>
    <w:p>
      <w:pPr>
        <w:ind w:firstLine="562"/>
        <w:rPr>
          <w:b/>
          <w:sz w:val="24"/>
          <w:szCs w:val="24"/>
        </w:rPr>
      </w:pPr>
      <w:r>
        <w:rPr>
          <w:rFonts w:hint="eastAsia"/>
          <w:b/>
          <w:sz w:val="24"/>
          <w:szCs w:val="24"/>
        </w:rPr>
        <w:t>1、初报</w:t>
      </w:r>
    </w:p>
    <w:p>
      <w:pPr>
        <w:ind w:firstLine="560"/>
        <w:rPr>
          <w:sz w:val="24"/>
          <w:szCs w:val="24"/>
        </w:rPr>
      </w:pPr>
      <w:r>
        <w:rPr>
          <w:rFonts w:hint="eastAsia"/>
          <w:sz w:val="24"/>
          <w:szCs w:val="24"/>
        </w:rPr>
        <w:t>情况紧急时，初报可用电话直接报告，但应及时补充书面报告。初报应当报告突发环境事件的发生时间、地点、信息来源、事件起因和性质、基本过程、主要污染物和数量、人员受害情况、可能受影响的村庄、学校、企业等环境敏感点受影响情况、事件发展趋势、处置情况、拟采取的措施以及下一步工作建议等初步情况，并提供可能受到突发环境事件影响的环境敏感点的分布示意图。</w:t>
      </w:r>
    </w:p>
    <w:p>
      <w:pPr>
        <w:ind w:firstLine="562"/>
        <w:rPr>
          <w:b/>
          <w:sz w:val="24"/>
          <w:szCs w:val="24"/>
        </w:rPr>
      </w:pPr>
      <w:r>
        <w:rPr>
          <w:rFonts w:hint="eastAsia"/>
          <w:b/>
          <w:sz w:val="24"/>
          <w:szCs w:val="24"/>
        </w:rPr>
        <w:t>2、续报</w:t>
      </w:r>
    </w:p>
    <w:p>
      <w:pPr>
        <w:ind w:firstLine="560"/>
        <w:rPr>
          <w:sz w:val="24"/>
          <w:szCs w:val="24"/>
        </w:rPr>
      </w:pPr>
      <w:r>
        <w:rPr>
          <w:rFonts w:hint="eastAsia"/>
          <w:sz w:val="24"/>
          <w:szCs w:val="24"/>
        </w:rPr>
        <w:t>续报必须是书面报告，可通过网络或传真等报告，视突发环境事件进展情况可一次或多次报告。</w:t>
      </w:r>
    </w:p>
    <w:p>
      <w:pPr>
        <w:ind w:firstLine="560"/>
        <w:rPr>
          <w:sz w:val="24"/>
          <w:szCs w:val="24"/>
        </w:rPr>
      </w:pPr>
      <w:r>
        <w:rPr>
          <w:rFonts w:hint="eastAsia"/>
          <w:sz w:val="24"/>
          <w:szCs w:val="24"/>
        </w:rPr>
        <w:t>续报在初报的基础上报告突发环境事件有关确切数据、发生的原因、过程、进展情况、危害程度及采取的应急措施、措施效果等基本情况。</w:t>
      </w:r>
    </w:p>
    <w:p>
      <w:pPr>
        <w:ind w:firstLine="562"/>
        <w:rPr>
          <w:b/>
          <w:sz w:val="24"/>
          <w:szCs w:val="24"/>
        </w:rPr>
      </w:pPr>
      <w:r>
        <w:rPr>
          <w:rFonts w:hint="eastAsia"/>
          <w:b/>
          <w:sz w:val="24"/>
          <w:szCs w:val="24"/>
        </w:rPr>
        <w:t>3、结果报告</w:t>
      </w:r>
    </w:p>
    <w:p>
      <w:pPr>
        <w:ind w:firstLine="560"/>
        <w:rPr>
          <w:sz w:val="24"/>
          <w:szCs w:val="24"/>
        </w:rPr>
      </w:pPr>
      <w:r>
        <w:rPr>
          <w:rFonts w:hint="eastAsia"/>
          <w:sz w:val="24"/>
          <w:szCs w:val="24"/>
        </w:rPr>
        <w:t>处理结果报告采用书面报告。</w:t>
      </w:r>
    </w:p>
    <w:p>
      <w:pPr>
        <w:ind w:firstLine="560"/>
        <w:rPr>
          <w:sz w:val="24"/>
          <w:szCs w:val="24"/>
        </w:rPr>
      </w:pPr>
      <w:r>
        <w:rPr>
          <w:rFonts w:hint="eastAsia"/>
          <w:sz w:val="24"/>
          <w:szCs w:val="24"/>
        </w:rPr>
        <w:t>处理结果报告在初报和续报的基础上，报告处理突发环境事件的措施、过程和结果，突发环境事件潜在或间接的危害及损失、应急监测结果、社会影响、处理后的遗留问题、责任追究等详细情况。处理结果报告应当在突发环境事件处理完毕后立即报送。</w:t>
      </w:r>
    </w:p>
    <w:p>
      <w:pPr>
        <w:pStyle w:val="5"/>
        <w:rPr>
          <w:sz w:val="24"/>
          <w:szCs w:val="24"/>
        </w:rPr>
      </w:pPr>
      <w:r>
        <w:rPr>
          <w:rFonts w:hint="eastAsia"/>
          <w:sz w:val="24"/>
          <w:szCs w:val="24"/>
        </w:rPr>
        <w:t>信息报告流程</w:t>
      </w:r>
    </w:p>
    <w:p>
      <w:pPr>
        <w:ind w:firstLine="560"/>
        <w:rPr>
          <w:sz w:val="24"/>
          <w:szCs w:val="24"/>
        </w:rPr>
      </w:pPr>
      <w:r>
        <w:rPr>
          <w:rFonts w:hint="eastAsia"/>
          <w:sz w:val="24"/>
          <w:szCs w:val="24"/>
        </w:rPr>
        <w:t>在得知突发环境事件发生后，</w:t>
      </w:r>
      <w:r>
        <w:rPr>
          <w:rFonts w:hint="eastAsia"/>
          <w:sz w:val="24"/>
          <w:szCs w:val="24"/>
          <w:lang w:eastAsia="zh-CN"/>
        </w:rPr>
        <w:t>副总指挥</w:t>
      </w:r>
      <w:r>
        <w:rPr>
          <w:rFonts w:hint="eastAsia"/>
          <w:sz w:val="24"/>
          <w:szCs w:val="24"/>
        </w:rPr>
        <w:t>应当立即赶赴现场调查了解情况，采取措施努力控制污染和生态破坏事故继续扩大，对突发环境事件的性质和类别作出初步认定，并把初步认定的情况及时上报。</w:t>
      </w:r>
    </w:p>
    <w:p>
      <w:pPr>
        <w:ind w:firstLine="560"/>
        <w:rPr>
          <w:sz w:val="24"/>
          <w:szCs w:val="24"/>
        </w:rPr>
      </w:pPr>
      <w:r>
        <w:rPr>
          <w:rFonts w:hint="eastAsia"/>
          <w:sz w:val="24"/>
          <w:szCs w:val="24"/>
        </w:rPr>
        <w:t>1、Ⅲ级突发环境事件（</w:t>
      </w:r>
      <w:r>
        <w:rPr>
          <w:rFonts w:hint="eastAsia"/>
          <w:sz w:val="24"/>
          <w:szCs w:val="24"/>
          <w:lang w:eastAsia="zh-CN"/>
        </w:rPr>
        <w:t>现场级</w:t>
      </w:r>
      <w:r>
        <w:rPr>
          <w:rFonts w:hint="eastAsia"/>
          <w:sz w:val="24"/>
          <w:szCs w:val="24"/>
        </w:rPr>
        <w:t>），应急指挥部应在发现或得知突发环境事件后</w:t>
      </w:r>
      <w:r>
        <w:rPr>
          <w:rFonts w:hint="eastAsia"/>
          <w:sz w:val="24"/>
          <w:szCs w:val="24"/>
          <w:lang w:eastAsia="zh-CN"/>
        </w:rPr>
        <w:t>一</w:t>
      </w:r>
      <w:r>
        <w:rPr>
          <w:rFonts w:hint="eastAsia"/>
          <w:sz w:val="24"/>
          <w:szCs w:val="24"/>
        </w:rPr>
        <w:t>小时内，向</w:t>
      </w:r>
      <w:r>
        <w:rPr>
          <w:rFonts w:hint="eastAsia"/>
          <w:sz w:val="24"/>
          <w:szCs w:val="24"/>
          <w:lang w:eastAsia="zh-CN"/>
        </w:rPr>
        <w:t>南昌经济技术开发区</w:t>
      </w:r>
      <w:r>
        <w:rPr>
          <w:rFonts w:hint="eastAsia"/>
          <w:sz w:val="24"/>
          <w:szCs w:val="24"/>
        </w:rPr>
        <w:t>管委会报告。</w:t>
      </w:r>
    </w:p>
    <w:p>
      <w:pPr>
        <w:ind w:firstLine="560"/>
        <w:rPr>
          <w:sz w:val="24"/>
          <w:szCs w:val="24"/>
        </w:rPr>
      </w:pPr>
      <w:r>
        <w:rPr>
          <w:rFonts w:hint="eastAsia"/>
          <w:sz w:val="24"/>
          <w:szCs w:val="24"/>
        </w:rPr>
        <w:t>2、Ⅱ级突发环境事件（</w:t>
      </w:r>
      <w:r>
        <w:rPr>
          <w:rFonts w:hint="eastAsia"/>
          <w:sz w:val="24"/>
          <w:szCs w:val="24"/>
          <w:lang w:eastAsia="zh-CN"/>
        </w:rPr>
        <w:t>公司级</w:t>
      </w:r>
      <w:r>
        <w:rPr>
          <w:rFonts w:hint="eastAsia"/>
          <w:sz w:val="24"/>
          <w:szCs w:val="24"/>
        </w:rPr>
        <w:t>），应急指挥部应在发现或得知突发环境事件后</w:t>
      </w:r>
      <w:r>
        <w:rPr>
          <w:rFonts w:hint="eastAsia"/>
          <w:sz w:val="24"/>
          <w:szCs w:val="24"/>
          <w:lang w:eastAsia="zh-CN"/>
        </w:rPr>
        <w:t>一</w:t>
      </w:r>
      <w:r>
        <w:rPr>
          <w:rFonts w:hint="eastAsia"/>
          <w:sz w:val="24"/>
          <w:szCs w:val="24"/>
        </w:rPr>
        <w:t>小时内，向</w:t>
      </w:r>
      <w:r>
        <w:rPr>
          <w:rFonts w:hint="eastAsia"/>
          <w:sz w:val="24"/>
          <w:szCs w:val="24"/>
          <w:lang w:eastAsia="zh-CN"/>
        </w:rPr>
        <w:t>南昌经济技术开发区</w:t>
      </w:r>
      <w:r>
        <w:rPr>
          <w:rFonts w:hint="eastAsia"/>
          <w:sz w:val="24"/>
          <w:szCs w:val="24"/>
        </w:rPr>
        <w:t>管委会报告；</w:t>
      </w:r>
      <w:r>
        <w:rPr>
          <w:rFonts w:hint="eastAsia"/>
          <w:sz w:val="24"/>
          <w:szCs w:val="24"/>
          <w:lang w:eastAsia="zh-CN"/>
        </w:rPr>
        <w:t>并</w:t>
      </w:r>
      <w:r>
        <w:rPr>
          <w:rFonts w:hint="eastAsia"/>
          <w:sz w:val="24"/>
          <w:szCs w:val="24"/>
        </w:rPr>
        <w:t>同时上报</w:t>
      </w:r>
      <w:r>
        <w:rPr>
          <w:rFonts w:hint="eastAsia"/>
          <w:sz w:val="24"/>
          <w:szCs w:val="24"/>
          <w:lang w:eastAsia="zh-CN"/>
        </w:rPr>
        <w:t>南昌市生态环境</w:t>
      </w:r>
      <w:r>
        <w:rPr>
          <w:rFonts w:hint="eastAsia"/>
          <w:sz w:val="24"/>
          <w:szCs w:val="24"/>
        </w:rPr>
        <w:t>局</w:t>
      </w:r>
      <w:r>
        <w:rPr>
          <w:rFonts w:hint="eastAsia"/>
          <w:sz w:val="24"/>
          <w:szCs w:val="24"/>
          <w:lang w:eastAsia="zh-CN"/>
        </w:rPr>
        <w:t>昌北分局</w:t>
      </w:r>
      <w:r>
        <w:rPr>
          <w:rFonts w:hint="eastAsia"/>
          <w:sz w:val="24"/>
          <w:szCs w:val="24"/>
        </w:rPr>
        <w:t>。</w:t>
      </w:r>
    </w:p>
    <w:p>
      <w:pPr>
        <w:ind w:firstLine="560"/>
        <w:rPr>
          <w:sz w:val="24"/>
          <w:szCs w:val="24"/>
        </w:rPr>
      </w:pPr>
      <w:r>
        <w:rPr>
          <w:rFonts w:hint="eastAsia"/>
          <w:sz w:val="24"/>
          <w:szCs w:val="24"/>
        </w:rPr>
        <w:t>3、Ⅰ级突发环境事件（</w:t>
      </w:r>
      <w:r>
        <w:rPr>
          <w:rFonts w:hint="eastAsia"/>
          <w:sz w:val="24"/>
          <w:szCs w:val="24"/>
          <w:lang w:eastAsia="zh-CN"/>
        </w:rPr>
        <w:t>社会级</w:t>
      </w:r>
      <w:r>
        <w:rPr>
          <w:rFonts w:hint="eastAsia"/>
          <w:sz w:val="24"/>
          <w:szCs w:val="24"/>
        </w:rPr>
        <w:t>），应急指挥部应在发现或得知突发环境事件后</w:t>
      </w:r>
      <w:r>
        <w:rPr>
          <w:rFonts w:hint="eastAsia"/>
          <w:sz w:val="24"/>
          <w:szCs w:val="24"/>
          <w:lang w:eastAsia="zh-CN"/>
        </w:rPr>
        <w:t>一</w:t>
      </w:r>
      <w:r>
        <w:rPr>
          <w:rFonts w:hint="eastAsia"/>
          <w:sz w:val="24"/>
          <w:szCs w:val="24"/>
        </w:rPr>
        <w:t>小时内，向</w:t>
      </w:r>
      <w:r>
        <w:rPr>
          <w:rFonts w:hint="eastAsia"/>
          <w:sz w:val="24"/>
          <w:szCs w:val="24"/>
          <w:lang w:eastAsia="zh-CN"/>
        </w:rPr>
        <w:t>南昌经济技术开发区</w:t>
      </w:r>
      <w:r>
        <w:rPr>
          <w:rFonts w:hint="eastAsia"/>
          <w:sz w:val="24"/>
          <w:szCs w:val="24"/>
        </w:rPr>
        <w:t>管委会</w:t>
      </w:r>
      <w:r>
        <w:rPr>
          <w:rFonts w:hint="eastAsia"/>
          <w:sz w:val="24"/>
          <w:szCs w:val="24"/>
          <w:lang w:eastAsia="zh-CN"/>
        </w:rPr>
        <w:t>和南昌市生态环境局昌北分局</w:t>
      </w:r>
      <w:r>
        <w:rPr>
          <w:rFonts w:hint="eastAsia"/>
          <w:sz w:val="24"/>
          <w:szCs w:val="24"/>
        </w:rPr>
        <w:t>报告；</w:t>
      </w:r>
      <w:r>
        <w:rPr>
          <w:rFonts w:hint="eastAsia"/>
          <w:sz w:val="24"/>
          <w:szCs w:val="24"/>
          <w:lang w:eastAsia="zh-CN"/>
        </w:rPr>
        <w:t>南昌市生态环境局昌北分局</w:t>
      </w:r>
      <w:r>
        <w:rPr>
          <w:rFonts w:hint="eastAsia"/>
          <w:sz w:val="24"/>
          <w:szCs w:val="24"/>
        </w:rPr>
        <w:t>应当同时上报</w:t>
      </w:r>
      <w:r>
        <w:rPr>
          <w:rFonts w:hint="eastAsia"/>
          <w:sz w:val="24"/>
          <w:szCs w:val="24"/>
          <w:lang w:eastAsia="zh-CN"/>
        </w:rPr>
        <w:t>南昌</w:t>
      </w:r>
      <w:r>
        <w:rPr>
          <w:rFonts w:hint="eastAsia"/>
          <w:sz w:val="24"/>
          <w:szCs w:val="24"/>
        </w:rPr>
        <w:t>市</w:t>
      </w:r>
      <w:r>
        <w:rPr>
          <w:rFonts w:hint="eastAsia"/>
          <w:sz w:val="24"/>
          <w:szCs w:val="24"/>
          <w:lang w:eastAsia="zh-CN"/>
        </w:rPr>
        <w:t>生态环境</w:t>
      </w:r>
      <w:r>
        <w:rPr>
          <w:rFonts w:hint="eastAsia"/>
          <w:sz w:val="24"/>
          <w:szCs w:val="24"/>
        </w:rPr>
        <w:t>局。</w:t>
      </w:r>
    </w:p>
    <w:p>
      <w:pPr>
        <w:ind w:firstLine="560"/>
        <w:rPr>
          <w:sz w:val="24"/>
          <w:szCs w:val="24"/>
        </w:rPr>
      </w:pPr>
      <w:r>
        <w:rPr>
          <w:rFonts w:hint="eastAsia"/>
          <w:sz w:val="24"/>
          <w:szCs w:val="24"/>
        </w:rPr>
        <w:t>4、当突发环境事件发生初期无法按突发环境事件分级标准确认等级时，报告上应注明初步判断的可能等级。随着事件的续报，可视情核定突发环境事件等级并报告应报送的部门。</w:t>
      </w:r>
    </w:p>
    <w:p>
      <w:pPr>
        <w:ind w:firstLine="560"/>
        <w:rPr>
          <w:sz w:val="24"/>
          <w:szCs w:val="24"/>
        </w:rPr>
      </w:pPr>
      <w:r>
        <w:rPr>
          <w:rFonts w:hint="eastAsia"/>
          <w:sz w:val="24"/>
          <w:szCs w:val="24"/>
        </w:rPr>
        <w:t>紧急情况下，可越级上报。</w:t>
      </w:r>
    </w:p>
    <w:p>
      <w:pPr>
        <w:pStyle w:val="4"/>
        <w:rPr>
          <w:sz w:val="24"/>
          <w:szCs w:val="24"/>
        </w:rPr>
      </w:pPr>
      <w:bookmarkStart w:id="83" w:name="_Toc26435"/>
      <w:r>
        <w:rPr>
          <w:rFonts w:hint="eastAsia"/>
          <w:sz w:val="24"/>
          <w:szCs w:val="24"/>
        </w:rPr>
        <w:t>事故报告内容</w:t>
      </w:r>
      <w:bookmarkEnd w:id="83"/>
    </w:p>
    <w:p>
      <w:pPr>
        <w:ind w:firstLine="560"/>
        <w:rPr>
          <w:sz w:val="24"/>
          <w:szCs w:val="24"/>
        </w:rPr>
      </w:pPr>
      <w:r>
        <w:rPr>
          <w:rFonts w:hint="eastAsia"/>
          <w:sz w:val="24"/>
          <w:szCs w:val="24"/>
        </w:rPr>
        <w:t>1、事件基本内容</w:t>
      </w:r>
    </w:p>
    <w:p>
      <w:pPr>
        <w:spacing w:line="360" w:lineRule="auto"/>
        <w:ind w:firstLine="480" w:firstLineChars="200"/>
        <w:rPr>
          <w:color w:val="000000"/>
          <w:sz w:val="24"/>
          <w:szCs w:val="24"/>
        </w:rPr>
      </w:pPr>
      <w:r>
        <w:rPr>
          <w:rFonts w:hAnsi="宋体"/>
          <w:color w:val="000000"/>
          <w:sz w:val="24"/>
          <w:szCs w:val="24"/>
        </w:rPr>
        <w:t>（</w:t>
      </w:r>
      <w:r>
        <w:rPr>
          <w:color w:val="000000"/>
          <w:sz w:val="24"/>
          <w:szCs w:val="24"/>
        </w:rPr>
        <w:t>1</w:t>
      </w:r>
      <w:r>
        <w:rPr>
          <w:rFonts w:hAnsi="宋体"/>
          <w:color w:val="000000"/>
          <w:sz w:val="24"/>
          <w:szCs w:val="24"/>
        </w:rPr>
        <w:t>）事故发生单位概况；</w:t>
      </w:r>
    </w:p>
    <w:p>
      <w:pPr>
        <w:spacing w:line="360" w:lineRule="auto"/>
        <w:ind w:firstLine="480" w:firstLineChars="200"/>
        <w:rPr>
          <w:color w:val="000000"/>
          <w:sz w:val="24"/>
          <w:szCs w:val="24"/>
        </w:rPr>
      </w:pPr>
      <w:r>
        <w:rPr>
          <w:rFonts w:hAnsi="宋体"/>
          <w:color w:val="000000"/>
          <w:sz w:val="24"/>
          <w:szCs w:val="24"/>
        </w:rPr>
        <w:t>（</w:t>
      </w:r>
      <w:r>
        <w:rPr>
          <w:color w:val="000000"/>
          <w:sz w:val="24"/>
          <w:szCs w:val="24"/>
        </w:rPr>
        <w:t>2</w:t>
      </w:r>
      <w:r>
        <w:rPr>
          <w:rFonts w:hAnsi="宋体"/>
          <w:color w:val="000000"/>
          <w:sz w:val="24"/>
          <w:szCs w:val="24"/>
        </w:rPr>
        <w:t>）事故发生的时间、地点以及事故现场情况；</w:t>
      </w:r>
    </w:p>
    <w:p>
      <w:pPr>
        <w:spacing w:line="360" w:lineRule="auto"/>
        <w:ind w:firstLine="480" w:firstLineChars="200"/>
        <w:rPr>
          <w:color w:val="000000"/>
          <w:sz w:val="24"/>
          <w:szCs w:val="24"/>
        </w:rPr>
      </w:pPr>
      <w:r>
        <w:rPr>
          <w:rFonts w:hAnsi="宋体"/>
          <w:color w:val="000000"/>
          <w:sz w:val="24"/>
          <w:szCs w:val="24"/>
        </w:rPr>
        <w:t>（</w:t>
      </w:r>
      <w:r>
        <w:rPr>
          <w:color w:val="000000"/>
          <w:sz w:val="24"/>
          <w:szCs w:val="24"/>
        </w:rPr>
        <w:t>3</w:t>
      </w:r>
      <w:r>
        <w:rPr>
          <w:rFonts w:hAnsi="宋体"/>
          <w:color w:val="000000"/>
          <w:sz w:val="24"/>
          <w:szCs w:val="24"/>
        </w:rPr>
        <w:t>）事故的简要经过；</w:t>
      </w:r>
    </w:p>
    <w:p>
      <w:pPr>
        <w:spacing w:line="360" w:lineRule="auto"/>
        <w:ind w:firstLine="480" w:firstLineChars="200"/>
        <w:rPr>
          <w:color w:val="000000"/>
          <w:sz w:val="24"/>
          <w:szCs w:val="24"/>
        </w:rPr>
      </w:pPr>
      <w:r>
        <w:rPr>
          <w:rFonts w:hAnsi="宋体"/>
          <w:color w:val="000000"/>
          <w:sz w:val="24"/>
          <w:szCs w:val="24"/>
        </w:rPr>
        <w:t>（</w:t>
      </w:r>
      <w:r>
        <w:rPr>
          <w:color w:val="000000"/>
          <w:sz w:val="24"/>
          <w:szCs w:val="24"/>
        </w:rPr>
        <w:t>4</w:t>
      </w:r>
      <w:r>
        <w:rPr>
          <w:rFonts w:hAnsi="宋体"/>
          <w:color w:val="000000"/>
          <w:sz w:val="24"/>
          <w:szCs w:val="24"/>
        </w:rPr>
        <w:t>）事故已经造成或者可能造成的伤亡人数（包括下落不明的人数）和初步估计的直接经济损失；</w:t>
      </w:r>
    </w:p>
    <w:p>
      <w:pPr>
        <w:spacing w:line="360" w:lineRule="auto"/>
        <w:ind w:firstLine="480" w:firstLineChars="200"/>
        <w:rPr>
          <w:rFonts w:hint="eastAsia"/>
          <w:lang w:eastAsia="zh-CN"/>
        </w:rPr>
      </w:pPr>
      <w:r>
        <w:rPr>
          <w:rFonts w:hAnsi="宋体"/>
          <w:color w:val="000000"/>
          <w:sz w:val="24"/>
          <w:szCs w:val="24"/>
        </w:rPr>
        <w:t>（</w:t>
      </w:r>
      <w:r>
        <w:rPr>
          <w:color w:val="000000"/>
          <w:sz w:val="24"/>
          <w:szCs w:val="24"/>
        </w:rPr>
        <w:t>5</w:t>
      </w:r>
      <w:r>
        <w:rPr>
          <w:rFonts w:hAnsi="宋体"/>
          <w:color w:val="000000"/>
          <w:sz w:val="24"/>
          <w:szCs w:val="24"/>
        </w:rPr>
        <w:t>）已经采取的措施；</w:t>
      </w:r>
      <w:r>
        <w:rPr>
          <w:rFonts w:hint="eastAsia" w:hAnsi="宋体"/>
          <w:color w:val="000000"/>
          <w:sz w:val="24"/>
          <w:szCs w:val="24"/>
          <w:lang w:eastAsia="zh-CN"/>
        </w:rPr>
        <w:t>己污染环境的范围，潜在危害程度，转化方式趋向；</w:t>
      </w:r>
    </w:p>
    <w:p>
      <w:pPr>
        <w:ind w:firstLine="560"/>
        <w:rPr>
          <w:sz w:val="24"/>
          <w:szCs w:val="24"/>
        </w:rPr>
      </w:pPr>
      <w:r>
        <w:rPr>
          <w:rFonts w:hAnsi="宋体"/>
          <w:color w:val="000000"/>
          <w:sz w:val="24"/>
          <w:szCs w:val="24"/>
        </w:rPr>
        <w:t>（</w:t>
      </w:r>
      <w:r>
        <w:rPr>
          <w:color w:val="000000"/>
          <w:sz w:val="24"/>
          <w:szCs w:val="24"/>
        </w:rPr>
        <w:t>6</w:t>
      </w:r>
      <w:r>
        <w:rPr>
          <w:rFonts w:hAnsi="宋体"/>
          <w:color w:val="000000"/>
          <w:sz w:val="24"/>
          <w:szCs w:val="24"/>
        </w:rPr>
        <w:t>）</w:t>
      </w:r>
      <w:r>
        <w:rPr>
          <w:rFonts w:hint="eastAsia" w:hAnsi="宋体"/>
          <w:color w:val="000000"/>
          <w:sz w:val="24"/>
          <w:szCs w:val="24"/>
          <w:lang w:eastAsia="zh-CN"/>
        </w:rPr>
        <w:t>可能受影响区域及采取的措施建议</w:t>
      </w:r>
      <w:r>
        <w:rPr>
          <w:rFonts w:hint="eastAsia"/>
          <w:sz w:val="24"/>
          <w:szCs w:val="24"/>
        </w:rPr>
        <w:t>；</w:t>
      </w:r>
    </w:p>
    <w:p>
      <w:pPr>
        <w:ind w:firstLine="560"/>
        <w:rPr>
          <w:sz w:val="24"/>
          <w:szCs w:val="24"/>
        </w:rPr>
      </w:pPr>
      <w:r>
        <w:rPr>
          <w:rFonts w:hint="eastAsia"/>
          <w:sz w:val="24"/>
          <w:szCs w:val="24"/>
        </w:rPr>
        <w:t>2、内部报告基本内容</w:t>
      </w:r>
    </w:p>
    <w:p>
      <w:pPr>
        <w:ind w:firstLine="560"/>
        <w:rPr>
          <w:sz w:val="24"/>
          <w:szCs w:val="24"/>
        </w:rPr>
      </w:pPr>
      <w:r>
        <w:rPr>
          <w:rFonts w:hint="eastAsia"/>
          <w:sz w:val="24"/>
          <w:szCs w:val="24"/>
        </w:rPr>
        <w:t>1）事件地点、时间以及设备设施；</w:t>
      </w:r>
    </w:p>
    <w:p>
      <w:pPr>
        <w:ind w:firstLine="560"/>
        <w:rPr>
          <w:sz w:val="24"/>
          <w:szCs w:val="24"/>
        </w:rPr>
      </w:pPr>
      <w:r>
        <w:rPr>
          <w:sz w:val="24"/>
          <w:szCs w:val="24"/>
        </w:rPr>
        <w:t>2</w:t>
      </w:r>
      <w:r>
        <w:rPr>
          <w:rFonts w:hint="eastAsia"/>
          <w:sz w:val="24"/>
          <w:szCs w:val="24"/>
        </w:rPr>
        <w:t>）事件类型：中毒、泄漏</w:t>
      </w:r>
      <w:r>
        <w:rPr>
          <w:rFonts w:hint="eastAsia"/>
          <w:sz w:val="24"/>
          <w:szCs w:val="24"/>
          <w:lang w:eastAsia="zh-CN"/>
        </w:rPr>
        <w:t>、火灾爆炸、设施故障</w:t>
      </w:r>
      <w:r>
        <w:rPr>
          <w:rFonts w:hint="eastAsia"/>
          <w:sz w:val="24"/>
          <w:szCs w:val="24"/>
        </w:rPr>
        <w:t>等；</w:t>
      </w:r>
    </w:p>
    <w:p>
      <w:pPr>
        <w:ind w:firstLine="560"/>
        <w:rPr>
          <w:sz w:val="24"/>
          <w:szCs w:val="24"/>
        </w:rPr>
      </w:pPr>
      <w:r>
        <w:rPr>
          <w:sz w:val="24"/>
          <w:szCs w:val="24"/>
        </w:rPr>
        <w:t>3</w:t>
      </w:r>
      <w:r>
        <w:rPr>
          <w:rFonts w:hint="eastAsia"/>
          <w:sz w:val="24"/>
          <w:szCs w:val="24"/>
        </w:rPr>
        <w:t>）有无人员伤亡与被困人员；</w:t>
      </w:r>
    </w:p>
    <w:p>
      <w:pPr>
        <w:ind w:firstLine="560"/>
        <w:rPr>
          <w:sz w:val="24"/>
          <w:szCs w:val="24"/>
        </w:rPr>
      </w:pPr>
      <w:r>
        <w:rPr>
          <w:sz w:val="24"/>
          <w:szCs w:val="24"/>
        </w:rPr>
        <w:t>4</w:t>
      </w:r>
      <w:r>
        <w:rPr>
          <w:rFonts w:hint="eastAsia"/>
          <w:sz w:val="24"/>
          <w:szCs w:val="24"/>
        </w:rPr>
        <w:t>）已采取的应急措施。</w:t>
      </w:r>
    </w:p>
    <w:p>
      <w:pPr>
        <w:ind w:firstLine="560"/>
        <w:rPr>
          <w:sz w:val="24"/>
          <w:szCs w:val="24"/>
        </w:rPr>
      </w:pPr>
      <w:r>
        <w:rPr>
          <w:rFonts w:hint="eastAsia"/>
          <w:sz w:val="24"/>
          <w:szCs w:val="24"/>
        </w:rPr>
        <w:t>3、外部报告基本内容</w:t>
      </w:r>
    </w:p>
    <w:p>
      <w:pPr>
        <w:ind w:firstLine="560"/>
        <w:rPr>
          <w:sz w:val="24"/>
          <w:szCs w:val="24"/>
        </w:rPr>
      </w:pPr>
      <w:r>
        <w:rPr>
          <w:rFonts w:hint="eastAsia"/>
          <w:sz w:val="24"/>
          <w:szCs w:val="24"/>
        </w:rPr>
        <w:t>1）单位名称、事故发生时间、装置、设备；</w:t>
      </w:r>
    </w:p>
    <w:p>
      <w:pPr>
        <w:ind w:firstLine="560"/>
        <w:rPr>
          <w:sz w:val="24"/>
          <w:szCs w:val="24"/>
        </w:rPr>
      </w:pPr>
      <w:r>
        <w:rPr>
          <w:sz w:val="24"/>
          <w:szCs w:val="24"/>
        </w:rPr>
        <w:t>2</w:t>
      </w:r>
      <w:r>
        <w:rPr>
          <w:rFonts w:hint="eastAsia"/>
          <w:sz w:val="24"/>
          <w:szCs w:val="24"/>
        </w:rPr>
        <w:t>）事故类型：火灾爆炸、中毒、泄漏</w:t>
      </w:r>
      <w:r>
        <w:rPr>
          <w:rFonts w:hint="eastAsia"/>
          <w:sz w:val="24"/>
          <w:szCs w:val="24"/>
          <w:lang w:eastAsia="zh-CN"/>
        </w:rPr>
        <w:t>、设施故障</w:t>
      </w:r>
      <w:r>
        <w:rPr>
          <w:rFonts w:hint="eastAsia"/>
          <w:sz w:val="24"/>
          <w:szCs w:val="24"/>
        </w:rPr>
        <w:t>等；</w:t>
      </w:r>
    </w:p>
    <w:p>
      <w:pPr>
        <w:ind w:firstLine="560"/>
        <w:rPr>
          <w:sz w:val="24"/>
          <w:szCs w:val="24"/>
        </w:rPr>
      </w:pPr>
      <w:r>
        <w:rPr>
          <w:sz w:val="24"/>
          <w:szCs w:val="24"/>
        </w:rPr>
        <w:t>3</w:t>
      </w:r>
      <w:r>
        <w:rPr>
          <w:rFonts w:hint="eastAsia"/>
          <w:sz w:val="24"/>
          <w:szCs w:val="24"/>
        </w:rPr>
        <w:t>）事故伤亡情况、严重程度，有无被困人员；</w:t>
      </w:r>
    </w:p>
    <w:p>
      <w:pPr>
        <w:ind w:firstLine="560"/>
        <w:rPr>
          <w:sz w:val="24"/>
          <w:szCs w:val="24"/>
        </w:rPr>
      </w:pPr>
      <w:r>
        <w:rPr>
          <w:sz w:val="24"/>
          <w:szCs w:val="24"/>
        </w:rPr>
        <w:t>4</w:t>
      </w:r>
      <w:r>
        <w:rPr>
          <w:rFonts w:hint="eastAsia"/>
          <w:sz w:val="24"/>
          <w:szCs w:val="24"/>
        </w:rPr>
        <w:t>）己采取的应急措施和将要采取的措施；</w:t>
      </w:r>
    </w:p>
    <w:p>
      <w:pPr>
        <w:ind w:firstLine="560"/>
        <w:rPr>
          <w:sz w:val="24"/>
          <w:szCs w:val="24"/>
        </w:rPr>
      </w:pPr>
      <w:r>
        <w:rPr>
          <w:sz w:val="24"/>
          <w:szCs w:val="24"/>
        </w:rPr>
        <w:t>5</w:t>
      </w:r>
      <w:r>
        <w:rPr>
          <w:rFonts w:hint="eastAsia"/>
          <w:sz w:val="24"/>
          <w:szCs w:val="24"/>
        </w:rPr>
        <w:t>）事故可能的原因和影响范围；</w:t>
      </w:r>
    </w:p>
    <w:p>
      <w:pPr>
        <w:ind w:firstLine="560"/>
        <w:rPr>
          <w:sz w:val="24"/>
          <w:szCs w:val="24"/>
        </w:rPr>
      </w:pPr>
      <w:r>
        <w:rPr>
          <w:sz w:val="24"/>
          <w:szCs w:val="24"/>
        </w:rPr>
        <w:t>6</w:t>
      </w:r>
      <w:r>
        <w:rPr>
          <w:rFonts w:hint="eastAsia"/>
          <w:sz w:val="24"/>
          <w:szCs w:val="24"/>
        </w:rPr>
        <w:t>）需要增援和救援的需求。</w:t>
      </w:r>
    </w:p>
    <w:p>
      <w:pPr>
        <w:pStyle w:val="3"/>
      </w:pPr>
      <w:bookmarkStart w:id="84" w:name="_Toc22745"/>
      <w:r>
        <w:rPr>
          <w:rFonts w:hint="eastAsia"/>
        </w:rPr>
        <w:t>应急响应</w:t>
      </w:r>
      <w:bookmarkEnd w:id="84"/>
    </w:p>
    <w:p>
      <w:pPr>
        <w:pStyle w:val="4"/>
        <w:rPr>
          <w:sz w:val="24"/>
          <w:szCs w:val="24"/>
        </w:rPr>
      </w:pPr>
      <w:bookmarkStart w:id="85" w:name="_Toc18008"/>
      <w:r>
        <w:rPr>
          <w:rFonts w:hint="eastAsia"/>
          <w:sz w:val="24"/>
          <w:szCs w:val="24"/>
        </w:rPr>
        <w:t>响应分级</w:t>
      </w:r>
      <w:bookmarkEnd w:id="85"/>
    </w:p>
    <w:p>
      <w:pPr>
        <w:ind w:firstLine="560"/>
        <w:rPr>
          <w:sz w:val="24"/>
          <w:szCs w:val="24"/>
        </w:rPr>
      </w:pPr>
      <w:r>
        <w:rPr>
          <w:rFonts w:hint="eastAsia"/>
          <w:sz w:val="24"/>
          <w:szCs w:val="24"/>
        </w:rPr>
        <w:t>针对突发环境事件严重性、紧急程度、危害程度、影响范围、单位内部（车间、企业）控制事态的能力以及需要调动的应急资源，且按照分级响应的原则，明确应急响应级别，指挥调度应急救援工作和开展应急救援响应。</w:t>
      </w:r>
    </w:p>
    <w:p>
      <w:pPr>
        <w:ind w:firstLine="560"/>
        <w:rPr>
          <w:sz w:val="24"/>
          <w:szCs w:val="24"/>
        </w:rPr>
      </w:pPr>
      <w:r>
        <w:rPr>
          <w:rFonts w:hint="eastAsia"/>
          <w:sz w:val="24"/>
          <w:szCs w:val="24"/>
        </w:rPr>
        <w:t>1、巡检人员或岗位人员发现突发环境事件时，在通知中控室的同时，要立即向当班班长或应急办公室报告，并根据事故危害情况采取控制措施或撤离躲避措施。</w:t>
      </w:r>
    </w:p>
    <w:p>
      <w:pPr>
        <w:ind w:firstLine="560"/>
        <w:rPr>
          <w:sz w:val="24"/>
          <w:szCs w:val="24"/>
        </w:rPr>
      </w:pPr>
      <w:r>
        <w:rPr>
          <w:rFonts w:hint="eastAsia"/>
          <w:sz w:val="24"/>
          <w:szCs w:val="24"/>
        </w:rPr>
        <w:t>2、应急办公室接到事件报告后，根据事件的突发环境事件分级情况，立即判断环境事件类型和事件的预警级别。</w:t>
      </w:r>
    </w:p>
    <w:p>
      <w:pPr>
        <w:ind w:firstLine="560"/>
        <w:rPr>
          <w:sz w:val="24"/>
          <w:szCs w:val="24"/>
        </w:rPr>
      </w:pPr>
      <w:r>
        <w:rPr>
          <w:rFonts w:hint="eastAsia"/>
          <w:sz w:val="24"/>
          <w:szCs w:val="24"/>
        </w:rPr>
        <w:t>3、应急办公室判断突发环境事件级别为Ⅲ级以上时，立即上报应急指挥部；应急指挥部</w:t>
      </w:r>
      <w:r>
        <w:rPr>
          <w:rFonts w:hint="eastAsia"/>
          <w:sz w:val="24"/>
          <w:szCs w:val="24"/>
          <w:lang w:eastAsia="zh-CN"/>
        </w:rPr>
        <w:t>根据环境</w:t>
      </w:r>
      <w:r>
        <w:rPr>
          <w:rFonts w:hint="eastAsia"/>
          <w:sz w:val="24"/>
          <w:szCs w:val="24"/>
        </w:rPr>
        <w:t>事件级别立即上报</w:t>
      </w:r>
      <w:r>
        <w:rPr>
          <w:rFonts w:hint="eastAsia"/>
          <w:sz w:val="24"/>
          <w:szCs w:val="24"/>
          <w:lang w:eastAsia="zh-CN"/>
        </w:rPr>
        <w:t>南昌经济开发区</w:t>
      </w:r>
      <w:r>
        <w:rPr>
          <w:rFonts w:hint="eastAsia"/>
          <w:sz w:val="24"/>
          <w:szCs w:val="24"/>
        </w:rPr>
        <w:t>管委会</w:t>
      </w:r>
      <w:r>
        <w:rPr>
          <w:rFonts w:hint="eastAsia"/>
          <w:sz w:val="24"/>
          <w:szCs w:val="24"/>
          <w:lang w:eastAsia="zh-CN"/>
        </w:rPr>
        <w:t>、南昌市生态环境局或鹰潭市生态环境局</w:t>
      </w:r>
      <w:r>
        <w:rPr>
          <w:rFonts w:hint="eastAsia"/>
          <w:sz w:val="24"/>
          <w:szCs w:val="24"/>
        </w:rPr>
        <w:t>。</w:t>
      </w:r>
    </w:p>
    <w:p>
      <w:pPr>
        <w:ind w:firstLine="560"/>
        <w:rPr>
          <w:sz w:val="24"/>
          <w:szCs w:val="24"/>
        </w:rPr>
      </w:pPr>
      <w:r>
        <w:rPr>
          <w:rFonts w:hint="eastAsia"/>
          <w:sz w:val="24"/>
          <w:szCs w:val="24"/>
        </w:rPr>
        <w:t>4、应急响应级别与</w:t>
      </w:r>
      <w:r>
        <w:rPr>
          <w:rFonts w:hint="eastAsia"/>
          <w:sz w:val="24"/>
          <w:szCs w:val="24"/>
          <w:lang w:eastAsia="zh-CN"/>
        </w:rPr>
        <w:t>环境事件</w:t>
      </w:r>
      <w:r>
        <w:rPr>
          <w:rFonts w:hint="eastAsia"/>
          <w:sz w:val="24"/>
          <w:szCs w:val="24"/>
        </w:rPr>
        <w:t>级别相一致，分为</w:t>
      </w:r>
      <w:r>
        <w:rPr>
          <w:rFonts w:hAnsi="宋体"/>
          <w:color w:val="000000"/>
          <w:sz w:val="24"/>
          <w:szCs w:val="24"/>
        </w:rPr>
        <w:t>Ⅲ级（</w:t>
      </w:r>
      <w:r>
        <w:rPr>
          <w:rFonts w:hint="eastAsia" w:hAnsi="宋体"/>
          <w:color w:val="000000"/>
          <w:sz w:val="24"/>
          <w:szCs w:val="24"/>
          <w:lang w:eastAsia="zh-CN"/>
        </w:rPr>
        <w:t>潜在的紧急状态</w:t>
      </w:r>
      <w:r>
        <w:rPr>
          <w:rFonts w:hAnsi="宋体"/>
          <w:color w:val="000000"/>
          <w:sz w:val="24"/>
          <w:szCs w:val="24"/>
        </w:rPr>
        <w:t>）应急响应、Ⅱ级（</w:t>
      </w:r>
      <w:r>
        <w:rPr>
          <w:rFonts w:hint="eastAsia" w:hAnsi="宋体"/>
          <w:color w:val="000000"/>
          <w:sz w:val="24"/>
          <w:szCs w:val="24"/>
          <w:lang w:eastAsia="zh-CN"/>
        </w:rPr>
        <w:t>有限的紧急状态</w:t>
      </w:r>
      <w:r>
        <w:rPr>
          <w:rFonts w:hAnsi="宋体"/>
          <w:color w:val="000000"/>
          <w:sz w:val="24"/>
          <w:szCs w:val="24"/>
        </w:rPr>
        <w:t>）应急响应、Ⅰ级（</w:t>
      </w:r>
      <w:r>
        <w:rPr>
          <w:rFonts w:hint="eastAsia" w:hAnsi="宋体"/>
          <w:color w:val="000000"/>
          <w:sz w:val="24"/>
          <w:szCs w:val="24"/>
          <w:lang w:eastAsia="zh-CN"/>
        </w:rPr>
        <w:t>完全紧急状态</w:t>
      </w:r>
      <w:r>
        <w:rPr>
          <w:rFonts w:hAnsi="宋体"/>
          <w:color w:val="000000"/>
          <w:sz w:val="24"/>
          <w:szCs w:val="24"/>
        </w:rPr>
        <w:t>）应急响应</w:t>
      </w:r>
      <w:r>
        <w:rPr>
          <w:rFonts w:hint="eastAsia"/>
          <w:sz w:val="24"/>
          <w:szCs w:val="24"/>
        </w:rPr>
        <w:t>。</w:t>
      </w:r>
    </w:p>
    <w:p>
      <w:pPr>
        <w:ind w:firstLine="560"/>
        <w:rPr>
          <w:sz w:val="24"/>
          <w:szCs w:val="24"/>
        </w:rPr>
      </w:pPr>
      <w:r>
        <w:rPr>
          <w:rFonts w:hint="eastAsia"/>
          <w:sz w:val="24"/>
          <w:szCs w:val="24"/>
        </w:rPr>
        <w:t>I级响应：因厂区突发环境事件（泄露、火灾）造成直接经济损失在200万元以上；或造成人员受伤中毒、中毒或者重伤；或造成人员死亡；或对环境造成危害。应急救援小组赶赴事故现场，查明情况汇报应急指挥部。应急指挥部根据影响范围联合</w:t>
      </w:r>
      <w:r>
        <w:rPr>
          <w:rFonts w:hint="eastAsia"/>
          <w:sz w:val="24"/>
          <w:szCs w:val="24"/>
          <w:lang w:eastAsia="zh-CN"/>
        </w:rPr>
        <w:t>南昌市生态环境局昌北分局</w:t>
      </w:r>
      <w:r>
        <w:rPr>
          <w:rFonts w:hint="eastAsia"/>
          <w:sz w:val="24"/>
          <w:szCs w:val="24"/>
        </w:rPr>
        <w:t>进行区域范围内的人员疏散工作和紧急救援工作。</w:t>
      </w:r>
    </w:p>
    <w:p>
      <w:pPr>
        <w:ind w:firstLine="560"/>
        <w:rPr>
          <w:sz w:val="24"/>
          <w:szCs w:val="24"/>
        </w:rPr>
      </w:pPr>
      <w:r>
        <w:rPr>
          <w:rFonts w:hint="eastAsia"/>
          <w:sz w:val="24"/>
          <w:szCs w:val="24"/>
        </w:rPr>
        <w:t>II级响应：当</w:t>
      </w:r>
      <w:r>
        <w:rPr>
          <w:rFonts w:hint="eastAsia"/>
          <w:sz w:val="24"/>
          <w:szCs w:val="24"/>
          <w:lang w:eastAsia="zh-CN"/>
        </w:rPr>
        <w:t>废气处理设施发生严重故障</w:t>
      </w:r>
      <w:r>
        <w:rPr>
          <w:rFonts w:hint="eastAsia"/>
          <w:sz w:val="24"/>
          <w:szCs w:val="24"/>
        </w:rPr>
        <w:t>、厂区发生火灾等突发环境事件，造成直接经济损失在50万元以上200万以下，造成人员轻度伤害，未造成人员受伤中毒、中毒或者重伤的，未造成人员死亡，或事故危害在厂区范围内，经自救或组织救援能予以控制，并无进一步发展趋势；或未对环境造成危害。所有救援小组紧急动员，按照应急指挥部指令，进行现场警戒，做好防范措施准备撤离。</w:t>
      </w:r>
    </w:p>
    <w:p>
      <w:pPr>
        <w:ind w:firstLine="560"/>
        <w:rPr>
          <w:sz w:val="24"/>
          <w:szCs w:val="24"/>
        </w:rPr>
      </w:pPr>
      <w:r>
        <w:rPr>
          <w:rFonts w:hint="eastAsia"/>
          <w:sz w:val="24"/>
          <w:szCs w:val="24"/>
        </w:rPr>
        <w:t>III级响应：当厂区发生少量泄露或厂区发生小规模火灾，造成直接经济损失50万以下，未造成人员受伤中毒、中毒或者重伤，未造成人员死亡，或事故危害在厂区范围内，经自救或组织救援能予以控制，并无进一步发展趋势；或未对环境造成危害。启动III级预警，由应急办公室负责，车间内部小范围动员。应急救援小组赶赴现场，根据现场实际情况向应急办公室汇报并采取措施展开应急处理和救援工作。III级响应启动后，事故发生点周围50m人员做好防范措施。</w:t>
      </w:r>
    </w:p>
    <w:p>
      <w:pPr>
        <w:pStyle w:val="7"/>
        <w:rPr>
          <w:rFonts w:hint="eastAsia" w:eastAsia="宋体"/>
          <w:sz w:val="24"/>
          <w:szCs w:val="24"/>
          <w:lang w:eastAsia="zh-CN"/>
        </w:rPr>
      </w:pPr>
      <w:r>
        <w:rPr>
          <w:rFonts w:hint="eastAsia" w:eastAsia="宋体"/>
          <w:sz w:val="24"/>
          <w:szCs w:val="24"/>
          <w:lang w:eastAsia="zh-CN"/>
        </w:rPr>
        <w:drawing>
          <wp:inline distT="0" distB="0" distL="114300" distR="114300">
            <wp:extent cx="4105275" cy="2219325"/>
            <wp:effectExtent l="0" t="0" r="9525" b="9525"/>
            <wp:docPr id="1" name="图片 1" descr="2020091617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0200916174504"/>
                    <pic:cNvPicPr>
                      <a:picLocks noChangeAspect="1"/>
                    </pic:cNvPicPr>
                  </pic:nvPicPr>
                  <pic:blipFill>
                    <a:blip r:embed="rId23"/>
                    <a:stretch>
                      <a:fillRect/>
                    </a:stretch>
                  </pic:blipFill>
                  <pic:spPr>
                    <a:xfrm>
                      <a:off x="0" y="0"/>
                      <a:ext cx="4105275" cy="2219325"/>
                    </a:xfrm>
                    <a:prstGeom prst="rect">
                      <a:avLst/>
                    </a:prstGeom>
                  </pic:spPr>
                </pic:pic>
              </a:graphicData>
            </a:graphic>
          </wp:inline>
        </w:drawing>
      </w:r>
    </w:p>
    <w:p>
      <w:pPr>
        <w:pStyle w:val="7"/>
        <w:rPr>
          <w:b/>
          <w:bCs/>
          <w:sz w:val="24"/>
          <w:szCs w:val="24"/>
        </w:rPr>
      </w:pPr>
      <w:r>
        <w:rPr>
          <w:rFonts w:hint="eastAsia"/>
          <w:b/>
          <w:bCs/>
          <w:sz w:val="24"/>
          <w:szCs w:val="24"/>
        </w:rPr>
        <w:t xml:space="preserve">图 </w:t>
      </w:r>
      <w:r>
        <w:rPr>
          <w:rFonts w:hint="eastAsia"/>
          <w:b/>
          <w:bCs/>
          <w:sz w:val="24"/>
          <w:szCs w:val="24"/>
          <w:lang w:val="en-US" w:eastAsia="zh-CN"/>
        </w:rPr>
        <w:t>7</w:t>
      </w:r>
      <w:r>
        <w:rPr>
          <w:b/>
          <w:bCs/>
          <w:sz w:val="24"/>
          <w:szCs w:val="24"/>
        </w:rPr>
        <w:noBreakHyphen/>
      </w:r>
      <w:r>
        <w:rPr>
          <w:b/>
          <w:bCs/>
          <w:sz w:val="24"/>
          <w:szCs w:val="24"/>
        </w:rPr>
        <w:fldChar w:fldCharType="begin"/>
      </w:r>
      <w:r>
        <w:rPr>
          <w:b/>
          <w:bCs/>
          <w:sz w:val="24"/>
          <w:szCs w:val="24"/>
        </w:rPr>
        <w:instrText xml:space="preserve"> </w:instrText>
      </w:r>
      <w:r>
        <w:rPr>
          <w:rFonts w:hint="eastAsia"/>
          <w:b/>
          <w:bCs/>
          <w:sz w:val="24"/>
          <w:szCs w:val="24"/>
        </w:rPr>
        <w:instrText xml:space="preserve">SEQ 图 \* ARABIC \s 1</w:instrText>
      </w:r>
      <w:r>
        <w:rPr>
          <w:b/>
          <w:bCs/>
          <w:sz w:val="24"/>
          <w:szCs w:val="24"/>
        </w:rPr>
        <w:instrText xml:space="preserve"> </w:instrText>
      </w:r>
      <w:r>
        <w:rPr>
          <w:b/>
          <w:bCs/>
          <w:sz w:val="24"/>
          <w:szCs w:val="24"/>
        </w:rPr>
        <w:fldChar w:fldCharType="separate"/>
      </w:r>
      <w:r>
        <w:rPr>
          <w:b/>
          <w:bCs/>
          <w:sz w:val="24"/>
          <w:szCs w:val="24"/>
        </w:rPr>
        <w:t>1</w:t>
      </w:r>
      <w:r>
        <w:rPr>
          <w:b/>
          <w:bCs/>
          <w:sz w:val="24"/>
          <w:szCs w:val="24"/>
        </w:rPr>
        <w:fldChar w:fldCharType="end"/>
      </w:r>
      <w:r>
        <w:rPr>
          <w:rFonts w:hint="eastAsia"/>
          <w:b/>
          <w:bCs/>
          <w:sz w:val="24"/>
          <w:szCs w:val="24"/>
        </w:rPr>
        <w:t>突发环境事件区区域应急预案响应机制</w:t>
      </w:r>
    </w:p>
    <w:p>
      <w:pPr>
        <w:pStyle w:val="4"/>
        <w:rPr>
          <w:sz w:val="24"/>
          <w:szCs w:val="24"/>
        </w:rPr>
      </w:pPr>
      <w:bookmarkStart w:id="86" w:name="_Toc10819"/>
      <w:r>
        <w:rPr>
          <w:rFonts w:hint="eastAsia"/>
          <w:sz w:val="24"/>
          <w:szCs w:val="24"/>
        </w:rPr>
        <w:t>响应程序</w:t>
      </w:r>
      <w:bookmarkEnd w:id="86"/>
    </w:p>
    <w:p>
      <w:pPr>
        <w:ind w:firstLine="560"/>
        <w:rPr>
          <w:sz w:val="24"/>
          <w:szCs w:val="24"/>
        </w:rPr>
      </w:pPr>
      <w:r>
        <w:rPr>
          <w:rFonts w:hint="eastAsia"/>
          <w:sz w:val="24"/>
          <w:szCs w:val="24"/>
        </w:rPr>
        <w:t>突发环境事件应急响应程序见</w:t>
      </w:r>
      <w:r>
        <w:rPr>
          <w:sz w:val="24"/>
          <w:szCs w:val="24"/>
        </w:rPr>
        <w:fldChar w:fldCharType="begin"/>
      </w:r>
      <w:r>
        <w:rPr>
          <w:sz w:val="24"/>
          <w:szCs w:val="24"/>
        </w:rPr>
        <w:instrText xml:space="preserve"> </w:instrText>
      </w:r>
      <w:r>
        <w:rPr>
          <w:rFonts w:hint="eastAsia"/>
          <w:sz w:val="24"/>
          <w:szCs w:val="24"/>
        </w:rPr>
        <w:instrText xml:space="preserve">REF _Ref527060775 \h</w:instrText>
      </w:r>
      <w:r>
        <w:rPr>
          <w:sz w:val="24"/>
          <w:szCs w:val="24"/>
        </w:rPr>
        <w:instrText xml:space="preserve"> </w:instrText>
      </w:r>
      <w:r>
        <w:rPr>
          <w:sz w:val="24"/>
          <w:szCs w:val="24"/>
        </w:rPr>
        <w:fldChar w:fldCharType="separate"/>
      </w:r>
      <w:r>
        <w:rPr>
          <w:rFonts w:hint="eastAsia"/>
          <w:sz w:val="24"/>
          <w:szCs w:val="24"/>
        </w:rPr>
        <w:t xml:space="preserve">图 </w:t>
      </w:r>
      <w:r>
        <w:rPr>
          <w:rFonts w:hint="eastAsia"/>
          <w:sz w:val="24"/>
          <w:szCs w:val="24"/>
          <w:lang w:val="en-US" w:eastAsia="zh-CN"/>
        </w:rPr>
        <w:t>7</w:t>
      </w:r>
      <w:r>
        <w:rPr>
          <w:sz w:val="24"/>
          <w:szCs w:val="24"/>
        </w:rPr>
        <w:noBreakHyphen/>
      </w:r>
      <w:r>
        <w:rPr>
          <w:sz w:val="24"/>
          <w:szCs w:val="24"/>
        </w:rPr>
        <w:t>2</w:t>
      </w:r>
      <w:r>
        <w:rPr>
          <w:sz w:val="24"/>
          <w:szCs w:val="24"/>
        </w:rPr>
        <w:fldChar w:fldCharType="end"/>
      </w:r>
      <w:r>
        <w:rPr>
          <w:rFonts w:hint="eastAsia"/>
          <w:sz w:val="24"/>
          <w:szCs w:val="24"/>
        </w:rPr>
        <w:t>。</w:t>
      </w:r>
    </w:p>
    <w:p>
      <w:pPr>
        <w:keepNext/>
        <w:ind w:firstLine="0" w:firstLineChars="0"/>
        <w:jc w:val="center"/>
      </w:pPr>
      <w:r>
        <w:rPr>
          <w:sz w:val="24"/>
          <w:szCs w:val="24"/>
        </w:rPr>
        <w:drawing>
          <wp:inline distT="0" distB="0" distL="0" distR="0">
            <wp:extent cx="4003675" cy="5261610"/>
            <wp:effectExtent l="0" t="0" r="15875" b="152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003675" cy="5261610"/>
                    </a:xfrm>
                    <a:prstGeom prst="rect">
                      <a:avLst/>
                    </a:prstGeom>
                    <a:noFill/>
                    <a:ln>
                      <a:noFill/>
                    </a:ln>
                  </pic:spPr>
                </pic:pic>
              </a:graphicData>
            </a:graphic>
          </wp:inline>
        </w:drawing>
      </w:r>
    </w:p>
    <w:p>
      <w:pPr>
        <w:pStyle w:val="7"/>
        <w:rPr>
          <w:b/>
          <w:bCs/>
          <w:sz w:val="24"/>
          <w:szCs w:val="24"/>
        </w:rPr>
      </w:pPr>
      <w:bookmarkStart w:id="87" w:name="_Ref527060775"/>
      <w:r>
        <w:rPr>
          <w:rFonts w:hint="eastAsia"/>
          <w:b/>
          <w:bCs/>
          <w:sz w:val="24"/>
          <w:szCs w:val="24"/>
        </w:rPr>
        <w:t xml:space="preserve">图 </w:t>
      </w:r>
      <w:r>
        <w:rPr>
          <w:rFonts w:hint="eastAsia"/>
          <w:b/>
          <w:bCs/>
          <w:sz w:val="24"/>
          <w:szCs w:val="24"/>
          <w:lang w:val="en-US" w:eastAsia="zh-CN"/>
        </w:rPr>
        <w:t>7</w:t>
      </w:r>
      <w:r>
        <w:rPr>
          <w:b/>
          <w:bCs/>
          <w:sz w:val="24"/>
          <w:szCs w:val="24"/>
        </w:rPr>
        <w:noBreakHyphen/>
      </w:r>
      <w:r>
        <w:rPr>
          <w:b/>
          <w:bCs/>
          <w:sz w:val="24"/>
          <w:szCs w:val="24"/>
        </w:rPr>
        <w:fldChar w:fldCharType="begin"/>
      </w:r>
      <w:r>
        <w:rPr>
          <w:b/>
          <w:bCs/>
          <w:sz w:val="24"/>
          <w:szCs w:val="24"/>
        </w:rPr>
        <w:instrText xml:space="preserve"> </w:instrText>
      </w:r>
      <w:r>
        <w:rPr>
          <w:rFonts w:hint="eastAsia"/>
          <w:b/>
          <w:bCs/>
          <w:sz w:val="24"/>
          <w:szCs w:val="24"/>
        </w:rPr>
        <w:instrText xml:space="preserve">SEQ 图 \* ARABIC \s 1</w:instrText>
      </w:r>
      <w:r>
        <w:rPr>
          <w:b/>
          <w:bCs/>
          <w:sz w:val="24"/>
          <w:szCs w:val="24"/>
        </w:rPr>
        <w:instrText xml:space="preserve"> </w:instrText>
      </w:r>
      <w:r>
        <w:rPr>
          <w:b/>
          <w:bCs/>
          <w:sz w:val="24"/>
          <w:szCs w:val="24"/>
        </w:rPr>
        <w:fldChar w:fldCharType="separate"/>
      </w:r>
      <w:r>
        <w:rPr>
          <w:b/>
          <w:bCs/>
          <w:sz w:val="24"/>
          <w:szCs w:val="24"/>
        </w:rPr>
        <w:t>2</w:t>
      </w:r>
      <w:r>
        <w:rPr>
          <w:b/>
          <w:bCs/>
          <w:sz w:val="24"/>
          <w:szCs w:val="24"/>
        </w:rPr>
        <w:fldChar w:fldCharType="end"/>
      </w:r>
      <w:bookmarkEnd w:id="87"/>
      <w:r>
        <w:rPr>
          <w:rFonts w:hint="eastAsia"/>
          <w:b/>
          <w:bCs/>
          <w:sz w:val="24"/>
          <w:szCs w:val="24"/>
        </w:rPr>
        <w:t>突发环境事件应急响应程序</w:t>
      </w:r>
    </w:p>
    <w:p>
      <w:pPr>
        <w:ind w:firstLine="560"/>
        <w:rPr>
          <w:sz w:val="24"/>
          <w:szCs w:val="24"/>
        </w:rPr>
      </w:pPr>
      <w:r>
        <w:rPr>
          <w:rFonts w:hint="eastAsia"/>
          <w:sz w:val="24"/>
          <w:szCs w:val="24"/>
        </w:rPr>
        <w:t>发生任何突发环境事件后，现场操作人员或最先发现者在通知中控室的同时立即向当班班长汇报或直接向应急办公室报警。应急办公室接到报警后根据事件的紧急程度和严重性判断事件</w:t>
      </w:r>
      <w:r>
        <w:rPr>
          <w:rFonts w:hint="eastAsia"/>
          <w:sz w:val="24"/>
          <w:szCs w:val="24"/>
          <w:lang w:eastAsia="zh-CN"/>
        </w:rPr>
        <w:t>级别，</w:t>
      </w:r>
      <w:r>
        <w:rPr>
          <w:rFonts w:hint="eastAsia"/>
          <w:sz w:val="24"/>
          <w:szCs w:val="24"/>
        </w:rPr>
        <w:t>为II级以上突发环境事件时立即上报应急救援指挥部。</w:t>
      </w:r>
    </w:p>
    <w:p>
      <w:pPr>
        <w:ind w:firstLine="560"/>
        <w:rPr>
          <w:sz w:val="24"/>
          <w:szCs w:val="24"/>
        </w:rPr>
      </w:pPr>
      <w:r>
        <w:rPr>
          <w:rFonts w:hint="eastAsia"/>
          <w:sz w:val="24"/>
          <w:szCs w:val="24"/>
        </w:rPr>
        <w:t>应急救援指挥部接到报警后，立即根据当前所发生事故的状态和实际情况，判断启动应急救援预案的响应级别，以便明确调配应急物资，信息网络开通、协调组织应急行动、工程抢险、警戒与交通管制。倘若发生I级突发环境事件时，必须启动</w:t>
      </w:r>
      <w:r>
        <w:rPr>
          <w:rFonts w:hint="eastAsia"/>
          <w:sz w:val="24"/>
          <w:szCs w:val="24"/>
          <w:lang w:eastAsia="zh-CN"/>
        </w:rPr>
        <w:t>社会</w:t>
      </w:r>
      <w:r>
        <w:rPr>
          <w:rFonts w:hint="eastAsia"/>
          <w:sz w:val="24"/>
          <w:szCs w:val="24"/>
        </w:rPr>
        <w:t>级应急预案和外界救援时，立即组织无关人员疏散，现场有受伤人员时还应紧急医疗救护、扩大应急等。请求社会援助时应注意：应明确告之事故发生的地点，事故介质和行走路线；应派人在指定地点等候，负责联络引导；应详细告之事故的具体情况和安全注意事项；社会救援队伍参与救援时，应统一指挥，明确信号。</w:t>
      </w:r>
    </w:p>
    <w:p>
      <w:pPr>
        <w:pStyle w:val="4"/>
        <w:rPr>
          <w:sz w:val="24"/>
          <w:szCs w:val="24"/>
        </w:rPr>
      </w:pPr>
      <w:bookmarkStart w:id="88" w:name="_Toc24511"/>
      <w:r>
        <w:rPr>
          <w:rFonts w:hint="eastAsia"/>
          <w:sz w:val="24"/>
          <w:szCs w:val="24"/>
        </w:rPr>
        <w:t>应急处置</w:t>
      </w:r>
      <w:bookmarkEnd w:id="88"/>
    </w:p>
    <w:p>
      <w:pPr>
        <w:ind w:firstLine="560"/>
        <w:rPr>
          <w:sz w:val="24"/>
          <w:szCs w:val="24"/>
        </w:rPr>
      </w:pPr>
      <w:r>
        <w:rPr>
          <w:rFonts w:hint="eastAsia"/>
          <w:sz w:val="24"/>
          <w:szCs w:val="24"/>
        </w:rPr>
        <w:t>对公司范围内发生的各类突发事件，无论级别高低、规模大小、损伤轻重，各部门要迅速调度力量，尽快判明事件性质和危害程度，及时采取相应的应急处置措施，全力控制事态发展，减少财产损失和社会影响，并及时通过电话报告。应急值守人员在接到报警电话后，应立即通知公司应急救援指挥部和有关应急人员及时投入抢险和初期应急报警电话后，应立即通知公司应急救援指挥部和有关应急人员及时投入抢险和初期应急处理，防止事故扩大和蔓延。</w:t>
      </w:r>
    </w:p>
    <w:p>
      <w:pPr>
        <w:ind w:firstLine="560"/>
        <w:rPr>
          <w:sz w:val="24"/>
          <w:szCs w:val="24"/>
        </w:rPr>
      </w:pPr>
      <w:r>
        <w:rPr>
          <w:rFonts w:hint="eastAsia"/>
          <w:sz w:val="24"/>
          <w:szCs w:val="24"/>
        </w:rPr>
        <w:t>扩大应急基本条件及原则：</w:t>
      </w:r>
    </w:p>
    <w:p>
      <w:pPr>
        <w:ind w:firstLine="560"/>
        <w:rPr>
          <w:sz w:val="24"/>
          <w:szCs w:val="24"/>
        </w:rPr>
      </w:pPr>
      <w:r>
        <w:rPr>
          <w:rFonts w:hint="eastAsia"/>
          <w:sz w:val="24"/>
          <w:szCs w:val="24"/>
        </w:rPr>
        <w:t>1、当先期处置难以有效控制事态，出现大面积或可能发展为严重事件的态势时，立即转入扩大应急状态。在公司应急指挥部统一领导下，扩大抢险救灾资源使用、调用的范围和数量，必要时，依法动用一切可以动用的资源；</w:t>
      </w:r>
    </w:p>
    <w:p>
      <w:pPr>
        <w:ind w:firstLine="560"/>
        <w:rPr>
          <w:sz w:val="24"/>
          <w:szCs w:val="24"/>
        </w:rPr>
      </w:pPr>
      <w:r>
        <w:rPr>
          <w:rFonts w:hint="eastAsia"/>
          <w:sz w:val="24"/>
          <w:szCs w:val="24"/>
        </w:rPr>
        <w:t>2、当突发事件造成的危害程度十分严重，超出公司自身控制能力，需要上级提供援助和支持时，公司应急指挥部应立即上报</w:t>
      </w:r>
      <w:r>
        <w:rPr>
          <w:rFonts w:hint="eastAsia"/>
          <w:sz w:val="24"/>
          <w:szCs w:val="24"/>
          <w:lang w:eastAsia="zh-CN"/>
        </w:rPr>
        <w:t>南昌经济技术开发区</w:t>
      </w:r>
      <w:r>
        <w:rPr>
          <w:rFonts w:hint="eastAsia"/>
          <w:sz w:val="24"/>
          <w:szCs w:val="24"/>
        </w:rPr>
        <w:t>管委会值班、消防、</w:t>
      </w:r>
      <w:r>
        <w:rPr>
          <w:rFonts w:hint="eastAsia"/>
          <w:sz w:val="24"/>
          <w:szCs w:val="24"/>
          <w:lang w:eastAsia="zh-CN"/>
        </w:rPr>
        <w:t>南昌市生态环境局昌北分局</w:t>
      </w:r>
      <w:r>
        <w:rPr>
          <w:rFonts w:hint="eastAsia"/>
          <w:sz w:val="24"/>
          <w:szCs w:val="24"/>
        </w:rPr>
        <w:t>等政府部门，请求地方政府应急救援。</w:t>
      </w:r>
    </w:p>
    <w:p>
      <w:pPr>
        <w:ind w:firstLine="560"/>
        <w:rPr>
          <w:sz w:val="24"/>
          <w:szCs w:val="24"/>
        </w:rPr>
      </w:pPr>
      <w:r>
        <w:rPr>
          <w:rFonts w:hint="eastAsia"/>
          <w:sz w:val="24"/>
          <w:szCs w:val="24"/>
        </w:rPr>
        <w:t>在应急救援过程中，应急救援人员首先要确保自身人身安全，才能保证顺利采取应急救援措施。应急救援过程中，以救人为主，抢救财产损失为次。</w:t>
      </w:r>
    </w:p>
    <w:p>
      <w:pPr>
        <w:pStyle w:val="5"/>
        <w:rPr>
          <w:sz w:val="24"/>
          <w:szCs w:val="24"/>
        </w:rPr>
      </w:pPr>
      <w:r>
        <w:rPr>
          <w:rFonts w:hint="eastAsia"/>
          <w:sz w:val="24"/>
          <w:szCs w:val="24"/>
          <w:lang w:eastAsia="zh-CN"/>
        </w:rPr>
        <w:t>泄漏</w:t>
      </w:r>
      <w:r>
        <w:rPr>
          <w:rFonts w:hint="eastAsia"/>
          <w:sz w:val="24"/>
          <w:szCs w:val="24"/>
        </w:rPr>
        <w:t>事故</w:t>
      </w:r>
      <w:r>
        <w:rPr>
          <w:rFonts w:hint="eastAsia"/>
          <w:sz w:val="24"/>
          <w:szCs w:val="24"/>
          <w:lang w:eastAsia="zh-CN"/>
        </w:rPr>
        <w:t>应急措施</w:t>
      </w:r>
    </w:p>
    <w:p>
      <w:pPr>
        <w:outlineLvl w:val="9"/>
        <w:rPr>
          <w:sz w:val="24"/>
          <w:szCs w:val="24"/>
        </w:rPr>
      </w:pPr>
      <w:r>
        <w:rPr>
          <w:rFonts w:hint="eastAsia"/>
          <w:sz w:val="24"/>
          <w:szCs w:val="24"/>
        </w:rPr>
        <w:t>7.3.1.</w:t>
      </w:r>
      <w:r>
        <w:rPr>
          <w:rFonts w:hint="default"/>
          <w:sz w:val="24"/>
          <w:szCs w:val="24"/>
          <w:lang w:val="en-US"/>
        </w:rPr>
        <w:t>1</w:t>
      </w:r>
      <w:r>
        <w:rPr>
          <w:rFonts w:hint="eastAsia"/>
          <w:sz w:val="24"/>
          <w:szCs w:val="24"/>
          <w:lang w:eastAsia="zh-CN"/>
        </w:rPr>
        <w:t>废矿物油事故应急处理措施</w:t>
      </w:r>
    </w:p>
    <w:p>
      <w:pPr>
        <w:rPr>
          <w:rFonts w:hint="eastAsia"/>
          <w:sz w:val="24"/>
          <w:szCs w:val="24"/>
        </w:rPr>
      </w:pPr>
      <w:r>
        <w:rPr>
          <w:rFonts w:hint="eastAsia"/>
          <w:sz w:val="24"/>
          <w:szCs w:val="24"/>
        </w:rPr>
        <w:t>当公司事故废矿物油发生泄漏、滴漏等情况，且事件未有继续扩大的趋势，仅公司救援力量就能完成应急救援工作。</w:t>
      </w:r>
    </w:p>
    <w:p>
      <w:pPr>
        <w:rPr>
          <w:rFonts w:hint="eastAsia"/>
          <w:sz w:val="24"/>
          <w:szCs w:val="24"/>
        </w:rPr>
      </w:pPr>
      <w:r>
        <w:rPr>
          <w:rFonts w:hint="eastAsia"/>
          <w:sz w:val="24"/>
          <w:szCs w:val="24"/>
        </w:rPr>
        <w:t>➢发现人员:立即报告应急指挥部或报告应急办公室。</w:t>
      </w:r>
    </w:p>
    <w:p>
      <w:pPr>
        <w:rPr>
          <w:rFonts w:hint="eastAsia"/>
          <w:sz w:val="24"/>
          <w:szCs w:val="24"/>
        </w:rPr>
      </w:pPr>
      <w:r>
        <w:rPr>
          <w:rFonts w:hint="eastAsia"/>
          <w:sz w:val="24"/>
          <w:szCs w:val="24"/>
        </w:rPr>
        <w:t>➢应急救援办公室</w:t>
      </w:r>
    </w:p>
    <w:p>
      <w:pPr>
        <w:rPr>
          <w:rFonts w:hint="eastAsia"/>
          <w:sz w:val="24"/>
          <w:szCs w:val="24"/>
        </w:rPr>
      </w:pPr>
      <w:r>
        <w:rPr>
          <w:rFonts w:hint="eastAsia"/>
          <w:sz w:val="24"/>
          <w:szCs w:val="24"/>
        </w:rPr>
        <w:t>(1)接到报警后立即报告应急总指挥，应急总指挥下令启动应急响应，急速调配各应急小组展开先期处置援救等工作;</w:t>
      </w:r>
    </w:p>
    <w:p>
      <w:pPr>
        <w:rPr>
          <w:rFonts w:hint="eastAsia"/>
          <w:sz w:val="24"/>
          <w:szCs w:val="24"/>
        </w:rPr>
      </w:pPr>
      <w:r>
        <w:rPr>
          <w:rFonts w:hint="eastAsia"/>
          <w:sz w:val="24"/>
          <w:szCs w:val="24"/>
        </w:rPr>
        <w:t>(2)全程指导各应急救援小组开展救援、处置工作;</w:t>
      </w:r>
    </w:p>
    <w:p>
      <w:pPr>
        <w:rPr>
          <w:rFonts w:hint="eastAsia"/>
          <w:sz w:val="24"/>
          <w:szCs w:val="24"/>
        </w:rPr>
      </w:pPr>
      <w:r>
        <w:rPr>
          <w:rFonts w:hint="eastAsia"/>
          <w:sz w:val="24"/>
          <w:szCs w:val="24"/>
        </w:rPr>
        <w:t>➢</w:t>
      </w:r>
      <w:r>
        <w:rPr>
          <w:rFonts w:hint="eastAsia"/>
          <w:sz w:val="24"/>
          <w:szCs w:val="24"/>
          <w:lang w:eastAsia="zh-CN"/>
        </w:rPr>
        <w:t>现场处置</w:t>
      </w:r>
      <w:r>
        <w:rPr>
          <w:rFonts w:hint="eastAsia"/>
          <w:sz w:val="24"/>
          <w:szCs w:val="24"/>
        </w:rPr>
        <w:t>组</w:t>
      </w:r>
    </w:p>
    <w:p>
      <w:pPr>
        <w:rPr>
          <w:rFonts w:hint="eastAsia"/>
          <w:sz w:val="24"/>
          <w:szCs w:val="24"/>
        </w:rPr>
      </w:pPr>
      <w:r>
        <w:rPr>
          <w:rFonts w:hint="eastAsia"/>
          <w:sz w:val="24"/>
          <w:szCs w:val="24"/>
        </w:rPr>
        <w:t>(1)穿戴口罩、防滑鞋以及手套等个人防护设施进入事故现场，迅速找准废矿物油的泄漏点，并对泄漏点进行封堵;</w:t>
      </w:r>
    </w:p>
    <w:p>
      <w:pPr>
        <w:rPr>
          <w:rFonts w:hint="eastAsia"/>
          <w:sz w:val="24"/>
          <w:szCs w:val="24"/>
        </w:rPr>
      </w:pPr>
      <w:r>
        <w:rPr>
          <w:rFonts w:hint="eastAsia"/>
          <w:sz w:val="24"/>
          <w:szCs w:val="24"/>
        </w:rPr>
        <w:t>(2)对泄漏的储存罐进行封堵;</w:t>
      </w:r>
    </w:p>
    <w:p>
      <w:pPr>
        <w:rPr>
          <w:rFonts w:hint="eastAsia"/>
          <w:sz w:val="24"/>
          <w:szCs w:val="24"/>
        </w:rPr>
      </w:pPr>
      <w:r>
        <w:rPr>
          <w:rFonts w:hint="eastAsia"/>
          <w:sz w:val="24"/>
          <w:szCs w:val="24"/>
        </w:rPr>
        <w:t>(3)收集和转移未泄漏和外溢的废矿物油至空闲的或收集桶;</w:t>
      </w:r>
    </w:p>
    <w:p>
      <w:pPr>
        <w:rPr>
          <w:rFonts w:hint="eastAsia"/>
          <w:sz w:val="24"/>
          <w:szCs w:val="24"/>
        </w:rPr>
      </w:pPr>
      <w:r>
        <w:rPr>
          <w:rFonts w:hint="eastAsia"/>
          <w:sz w:val="24"/>
          <w:szCs w:val="24"/>
        </w:rPr>
        <w:t>(4)事故处置完成后，及时更换废矿物油的储存装置。</w:t>
      </w:r>
    </w:p>
    <w:p>
      <w:pPr>
        <w:rPr>
          <w:rFonts w:hint="eastAsia"/>
          <w:sz w:val="24"/>
          <w:szCs w:val="24"/>
        </w:rPr>
      </w:pPr>
      <w:r>
        <w:rPr>
          <w:rFonts w:hint="eastAsia"/>
          <w:sz w:val="24"/>
          <w:szCs w:val="24"/>
        </w:rPr>
        <w:t>➢</w:t>
      </w:r>
      <w:r>
        <w:rPr>
          <w:rFonts w:hint="eastAsia"/>
          <w:sz w:val="24"/>
          <w:szCs w:val="24"/>
          <w:lang w:eastAsia="zh-CN"/>
        </w:rPr>
        <w:t>后勤</w:t>
      </w:r>
      <w:r>
        <w:rPr>
          <w:rFonts w:hint="eastAsia"/>
          <w:sz w:val="24"/>
          <w:szCs w:val="24"/>
        </w:rPr>
        <w:t>保障组</w:t>
      </w:r>
    </w:p>
    <w:p>
      <w:pPr>
        <w:numPr>
          <w:ilvl w:val="0"/>
          <w:numId w:val="5"/>
        </w:numPr>
        <w:rPr>
          <w:rFonts w:hint="eastAsia"/>
          <w:sz w:val="24"/>
          <w:szCs w:val="24"/>
        </w:rPr>
      </w:pPr>
      <w:r>
        <w:rPr>
          <w:rFonts w:hint="eastAsia"/>
          <w:sz w:val="24"/>
          <w:szCs w:val="24"/>
        </w:rPr>
        <w:t>接到应急响应指令后，按应急救援办公室的要求，迅速将所需的应急物质送至事件现场并发放给各应急小组;</w:t>
      </w:r>
    </w:p>
    <w:p>
      <w:pPr>
        <w:numPr>
          <w:ilvl w:val="0"/>
          <w:numId w:val="5"/>
        </w:numPr>
        <w:rPr>
          <w:rFonts w:hint="eastAsia"/>
          <w:sz w:val="24"/>
          <w:szCs w:val="24"/>
        </w:rPr>
      </w:pPr>
      <w:r>
        <w:rPr>
          <w:rFonts w:hint="eastAsia"/>
          <w:sz w:val="24"/>
          <w:szCs w:val="24"/>
        </w:rPr>
        <w:t>做好事件应急救援处置工作中所需的资金保障工作;</w:t>
      </w:r>
    </w:p>
    <w:p>
      <w:pPr>
        <w:rPr>
          <w:rFonts w:hint="eastAsia" w:eastAsia="宋体"/>
          <w:sz w:val="24"/>
          <w:szCs w:val="24"/>
          <w:lang w:eastAsia="zh-CN"/>
        </w:rPr>
      </w:pPr>
      <w:r>
        <w:rPr>
          <w:rFonts w:hint="eastAsia"/>
          <w:sz w:val="24"/>
          <w:szCs w:val="24"/>
        </w:rPr>
        <w:t>➢</w:t>
      </w:r>
      <w:r>
        <w:rPr>
          <w:rFonts w:hint="eastAsia"/>
          <w:sz w:val="24"/>
          <w:szCs w:val="24"/>
          <w:lang w:eastAsia="zh-CN"/>
        </w:rPr>
        <w:t>安全保卫部</w:t>
      </w:r>
    </w:p>
    <w:p>
      <w:pPr>
        <w:numPr>
          <w:ilvl w:val="0"/>
          <w:numId w:val="6"/>
        </w:numPr>
        <w:ind w:left="425" w:leftChars="0" w:firstLine="135" w:firstLineChars="0"/>
        <w:rPr>
          <w:rFonts w:hint="eastAsia"/>
          <w:sz w:val="24"/>
          <w:szCs w:val="24"/>
        </w:rPr>
      </w:pPr>
      <w:r>
        <w:rPr>
          <w:rFonts w:hint="eastAsia"/>
          <w:sz w:val="24"/>
          <w:szCs w:val="24"/>
        </w:rPr>
        <w:t>迅速组织撤离泄漏区内的职工人员至安全区域，引导事故的救援、处置人员进入事故发生区域;</w:t>
      </w:r>
    </w:p>
    <w:p>
      <w:pPr>
        <w:numPr>
          <w:ilvl w:val="0"/>
          <w:numId w:val="6"/>
        </w:numPr>
        <w:ind w:left="425" w:leftChars="0" w:firstLine="135" w:firstLineChars="0"/>
        <w:rPr>
          <w:rFonts w:hint="eastAsia"/>
          <w:sz w:val="24"/>
          <w:szCs w:val="24"/>
        </w:rPr>
      </w:pPr>
      <w:r>
        <w:rPr>
          <w:rFonts w:hint="eastAsia"/>
          <w:sz w:val="24"/>
          <w:szCs w:val="24"/>
        </w:rPr>
        <w:t>对事故区域进行警戒，防止无关人员进入事故发生区域。</w:t>
      </w:r>
    </w:p>
    <w:p>
      <w:pPr>
        <w:rPr>
          <w:rFonts w:hint="eastAsia"/>
          <w:sz w:val="24"/>
          <w:szCs w:val="24"/>
        </w:rPr>
      </w:pPr>
      <w:r>
        <w:rPr>
          <w:rFonts w:hint="eastAsia"/>
          <w:sz w:val="24"/>
          <w:szCs w:val="24"/>
        </w:rPr>
        <w:t>➢</w:t>
      </w:r>
      <w:r>
        <w:rPr>
          <w:rFonts w:hint="eastAsia"/>
          <w:sz w:val="24"/>
          <w:szCs w:val="24"/>
          <w:lang w:eastAsia="zh-CN"/>
        </w:rPr>
        <w:t>信息通讯组</w:t>
      </w:r>
    </w:p>
    <w:p>
      <w:pPr>
        <w:numPr>
          <w:ilvl w:val="0"/>
          <w:numId w:val="7"/>
        </w:numPr>
        <w:rPr>
          <w:rFonts w:hint="eastAsia"/>
          <w:sz w:val="24"/>
          <w:szCs w:val="24"/>
        </w:rPr>
      </w:pPr>
      <w:r>
        <w:rPr>
          <w:rFonts w:hint="eastAsia"/>
          <w:sz w:val="24"/>
          <w:szCs w:val="24"/>
        </w:rPr>
        <w:t>保证事故现场通讯畅通。</w:t>
      </w:r>
    </w:p>
    <w:p>
      <w:pPr>
        <w:pStyle w:val="2"/>
        <w:numPr>
          <w:ilvl w:val="0"/>
          <w:numId w:val="0"/>
        </w:numPr>
        <w:ind w:left="0" w:leftChars="0" w:firstLine="480" w:firstLineChars="200"/>
        <w:rPr>
          <w:rFonts w:hint="eastAsia"/>
          <w:sz w:val="24"/>
          <w:szCs w:val="24"/>
          <w:lang w:eastAsia="zh-CN"/>
        </w:rPr>
      </w:pPr>
      <w:r>
        <w:rPr>
          <w:rFonts w:hint="eastAsia"/>
          <w:sz w:val="24"/>
          <w:szCs w:val="24"/>
          <w:lang w:eastAsia="zh-CN"/>
        </w:rPr>
        <w:t>应急监测组</w:t>
      </w:r>
    </w:p>
    <w:p>
      <w:pPr>
        <w:rPr>
          <w:rFonts w:hint="eastAsia"/>
          <w:sz w:val="24"/>
          <w:szCs w:val="24"/>
        </w:rPr>
      </w:pPr>
      <w:r>
        <w:rPr>
          <w:rFonts w:hint="eastAsia"/>
          <w:sz w:val="24"/>
          <w:szCs w:val="24"/>
        </w:rPr>
        <w:t>(1)穿戴口罩、防滑鞋以及手套等个人防护设施进入事故现场，迅速找准废矿物油的泄漏点，并对泄漏点进行封堵;</w:t>
      </w:r>
    </w:p>
    <w:p>
      <w:pPr>
        <w:rPr>
          <w:rFonts w:hint="eastAsia"/>
          <w:sz w:val="24"/>
          <w:szCs w:val="24"/>
        </w:rPr>
      </w:pPr>
      <w:r>
        <w:rPr>
          <w:rFonts w:hint="eastAsia"/>
          <w:sz w:val="24"/>
          <w:szCs w:val="24"/>
        </w:rPr>
        <w:t>(2)对泄漏的储存罐进行封堵;</w:t>
      </w:r>
    </w:p>
    <w:p>
      <w:pPr>
        <w:rPr>
          <w:rFonts w:hint="eastAsia"/>
          <w:sz w:val="24"/>
          <w:szCs w:val="24"/>
        </w:rPr>
      </w:pPr>
      <w:r>
        <w:rPr>
          <w:rFonts w:hint="eastAsia"/>
          <w:sz w:val="24"/>
          <w:szCs w:val="24"/>
        </w:rPr>
        <w:t>(3)收集和转移未泄漏和外溢的废矿物油至空闲的或收集桶;</w:t>
      </w:r>
    </w:p>
    <w:p>
      <w:pPr>
        <w:rPr>
          <w:rFonts w:hint="eastAsia"/>
          <w:sz w:val="24"/>
          <w:szCs w:val="24"/>
        </w:rPr>
      </w:pPr>
      <w:r>
        <w:rPr>
          <w:rFonts w:hint="eastAsia"/>
          <w:sz w:val="24"/>
          <w:szCs w:val="24"/>
        </w:rPr>
        <w:t>(4)事故处置完成后，及时更换废矿物油的储存装置。</w:t>
      </w:r>
    </w:p>
    <w:p>
      <w:pPr>
        <w:numPr>
          <w:ilvl w:val="0"/>
          <w:numId w:val="0"/>
        </w:numPr>
        <w:ind w:left="0" w:leftChars="0" w:firstLine="480" w:firstLineChars="200"/>
        <w:rPr>
          <w:rFonts w:hint="eastAsia"/>
          <w:sz w:val="24"/>
          <w:szCs w:val="24"/>
        </w:rPr>
      </w:pPr>
      <w:r>
        <w:rPr>
          <w:rFonts w:hint="eastAsia"/>
          <w:sz w:val="24"/>
          <w:szCs w:val="24"/>
          <w:lang w:eastAsia="zh-CN"/>
        </w:rPr>
        <w:t>（</w:t>
      </w:r>
      <w:r>
        <w:rPr>
          <w:rFonts w:hint="eastAsia"/>
          <w:sz w:val="24"/>
          <w:szCs w:val="24"/>
          <w:lang w:val="en-US" w:eastAsia="zh-CN"/>
        </w:rPr>
        <w:t>5）</w:t>
      </w:r>
      <w:r>
        <w:rPr>
          <w:rFonts w:hint="eastAsia"/>
          <w:sz w:val="24"/>
          <w:szCs w:val="24"/>
        </w:rPr>
        <w:t>作</w:t>
      </w:r>
      <w:r>
        <w:rPr>
          <w:rFonts w:hint="eastAsia"/>
          <w:sz w:val="24"/>
          <w:szCs w:val="24"/>
          <w:lang w:eastAsia="zh-CN"/>
        </w:rPr>
        <w:t>好事故处置</w:t>
      </w:r>
      <w:r>
        <w:rPr>
          <w:rFonts w:hint="eastAsia"/>
          <w:sz w:val="24"/>
          <w:szCs w:val="24"/>
        </w:rPr>
        <w:t>记录，最终形成整个事件书.面报告，存入档案。</w:t>
      </w:r>
    </w:p>
    <w:p>
      <w:pPr>
        <w:outlineLvl w:val="9"/>
        <w:rPr>
          <w:rFonts w:hint="eastAsia"/>
          <w:sz w:val="24"/>
          <w:szCs w:val="24"/>
        </w:rPr>
      </w:pPr>
      <w:r>
        <w:rPr>
          <w:rFonts w:hint="eastAsia"/>
          <w:sz w:val="24"/>
          <w:szCs w:val="24"/>
        </w:rPr>
        <w:t>7.3.1.2废水泄漏事故应急措施</w:t>
      </w:r>
    </w:p>
    <w:p>
      <w:pPr>
        <w:rPr>
          <w:rFonts w:hint="eastAsia"/>
          <w:sz w:val="24"/>
          <w:szCs w:val="24"/>
        </w:rPr>
      </w:pPr>
      <w:r>
        <w:rPr>
          <w:rFonts w:hint="eastAsia"/>
          <w:sz w:val="24"/>
          <w:szCs w:val="24"/>
        </w:rPr>
        <w:t>废水泄漏事件(影响在厂区内)</w:t>
      </w:r>
    </w:p>
    <w:p>
      <w:pPr>
        <w:rPr>
          <w:rFonts w:hint="eastAsia"/>
          <w:sz w:val="24"/>
          <w:szCs w:val="24"/>
        </w:rPr>
      </w:pPr>
      <w:r>
        <w:rPr>
          <w:rFonts w:hint="eastAsia"/>
          <w:sz w:val="24"/>
          <w:szCs w:val="24"/>
        </w:rPr>
        <w:t>当公司事故废水发生泄漏、滴漏等情况，且事件未有继续扩大的趋势，仅公司救援力量就能完成应急救援工作。</w:t>
      </w:r>
    </w:p>
    <w:p>
      <w:pPr>
        <w:rPr>
          <w:rFonts w:hint="eastAsia"/>
          <w:sz w:val="24"/>
          <w:szCs w:val="24"/>
        </w:rPr>
      </w:pPr>
      <w:r>
        <w:rPr>
          <w:rFonts w:hint="eastAsia"/>
          <w:sz w:val="24"/>
          <w:szCs w:val="24"/>
        </w:rPr>
        <w:t>➢发现人员: 立即报告应急指挥部或报告应急办公室。</w:t>
      </w:r>
    </w:p>
    <w:p>
      <w:pPr>
        <w:rPr>
          <w:rFonts w:hint="eastAsia"/>
          <w:sz w:val="24"/>
          <w:szCs w:val="24"/>
        </w:rPr>
      </w:pPr>
      <w:r>
        <w:rPr>
          <w:rFonts w:hint="eastAsia"/>
          <w:sz w:val="24"/>
          <w:szCs w:val="24"/>
        </w:rPr>
        <w:t>➢应急救援办公室</w:t>
      </w:r>
    </w:p>
    <w:p>
      <w:pPr>
        <w:rPr>
          <w:rFonts w:hint="eastAsia"/>
          <w:sz w:val="24"/>
          <w:szCs w:val="24"/>
        </w:rPr>
      </w:pPr>
      <w:r>
        <w:rPr>
          <w:rFonts w:hint="eastAsia"/>
          <w:sz w:val="24"/>
          <w:szCs w:val="24"/>
        </w:rPr>
        <w:t>(1)接到报警后立即报告应急总指挥，应急总指挥下令启动应急响应，急速调配各应急小组展开先期处置援救等工作;</w:t>
      </w:r>
    </w:p>
    <w:p>
      <w:pPr>
        <w:rPr>
          <w:rFonts w:hint="eastAsia"/>
          <w:sz w:val="24"/>
          <w:szCs w:val="24"/>
        </w:rPr>
      </w:pPr>
      <w:r>
        <w:rPr>
          <w:rFonts w:hint="eastAsia"/>
          <w:sz w:val="24"/>
          <w:szCs w:val="24"/>
        </w:rPr>
        <w:t>(2)全程指导各应急救援小组开展救援、处置工作;</w:t>
      </w:r>
    </w:p>
    <w:p>
      <w:pPr>
        <w:rPr>
          <w:rFonts w:hint="eastAsia"/>
          <w:sz w:val="24"/>
          <w:szCs w:val="24"/>
        </w:rPr>
      </w:pPr>
      <w:r>
        <w:rPr>
          <w:rFonts w:hint="eastAsia"/>
          <w:sz w:val="24"/>
          <w:szCs w:val="24"/>
        </w:rPr>
        <w:t>➢</w:t>
      </w:r>
      <w:r>
        <w:rPr>
          <w:rFonts w:hint="eastAsia"/>
          <w:sz w:val="24"/>
          <w:szCs w:val="24"/>
          <w:lang w:eastAsia="zh-CN"/>
        </w:rPr>
        <w:t>现场处置</w:t>
      </w:r>
      <w:r>
        <w:rPr>
          <w:rFonts w:hint="eastAsia"/>
          <w:sz w:val="24"/>
          <w:szCs w:val="24"/>
        </w:rPr>
        <w:t>组</w:t>
      </w:r>
    </w:p>
    <w:p>
      <w:pPr>
        <w:rPr>
          <w:rFonts w:hint="eastAsia"/>
          <w:sz w:val="24"/>
          <w:szCs w:val="24"/>
        </w:rPr>
      </w:pPr>
      <w:r>
        <w:rPr>
          <w:rFonts w:hint="eastAsia"/>
          <w:sz w:val="24"/>
          <w:szCs w:val="24"/>
        </w:rPr>
        <w:t>(1)穿戴雨鞋、手套等个人防护设施，进入处置现场;</w:t>
      </w:r>
    </w:p>
    <w:p>
      <w:pPr>
        <w:rPr>
          <w:rFonts w:hint="eastAsia"/>
          <w:sz w:val="24"/>
          <w:szCs w:val="24"/>
        </w:rPr>
      </w:pPr>
      <w:r>
        <w:rPr>
          <w:rFonts w:hint="eastAsia"/>
          <w:sz w:val="24"/>
          <w:szCs w:val="24"/>
        </w:rPr>
        <w:t>(2)迅速找准泄漏事件的原因，对泄漏点或故障设施进行封堵和修复;</w:t>
      </w:r>
    </w:p>
    <w:p>
      <w:pPr>
        <w:rPr>
          <w:rFonts w:hint="eastAsia"/>
          <w:sz w:val="24"/>
          <w:szCs w:val="24"/>
        </w:rPr>
      </w:pPr>
      <w:r>
        <w:rPr>
          <w:rFonts w:hint="eastAsia"/>
          <w:sz w:val="24"/>
          <w:szCs w:val="24"/>
        </w:rPr>
        <w:t>(3)将沉淀池中未泄漏的废水引入循环水池;</w:t>
      </w:r>
    </w:p>
    <w:p>
      <w:pPr>
        <w:rPr>
          <w:rFonts w:hint="eastAsia"/>
          <w:sz w:val="24"/>
          <w:szCs w:val="24"/>
        </w:rPr>
      </w:pPr>
      <w:r>
        <w:rPr>
          <w:rFonts w:hint="eastAsia"/>
          <w:sz w:val="24"/>
          <w:szCs w:val="24"/>
        </w:rPr>
        <w:t>➢应急</w:t>
      </w:r>
      <w:r>
        <w:rPr>
          <w:rFonts w:hint="eastAsia"/>
          <w:sz w:val="24"/>
          <w:szCs w:val="24"/>
          <w:lang w:eastAsia="zh-CN"/>
        </w:rPr>
        <w:t>监测</w:t>
      </w:r>
      <w:r>
        <w:rPr>
          <w:rFonts w:hint="eastAsia"/>
          <w:sz w:val="24"/>
          <w:szCs w:val="24"/>
        </w:rPr>
        <w:t>组</w:t>
      </w:r>
    </w:p>
    <w:p>
      <w:pPr>
        <w:rPr>
          <w:rFonts w:hint="eastAsia"/>
          <w:sz w:val="24"/>
          <w:szCs w:val="24"/>
        </w:rPr>
      </w:pPr>
      <w:r>
        <w:rPr>
          <w:rFonts w:hint="eastAsia"/>
          <w:sz w:val="24"/>
          <w:szCs w:val="24"/>
        </w:rPr>
        <w:t>(1)穿戴雨鞋、手套等个人防护设施，进入处置现场;</w:t>
      </w:r>
    </w:p>
    <w:p>
      <w:pPr>
        <w:numPr>
          <w:ilvl w:val="0"/>
          <w:numId w:val="8"/>
        </w:numPr>
        <w:rPr>
          <w:rFonts w:hint="eastAsia"/>
          <w:sz w:val="24"/>
          <w:szCs w:val="24"/>
        </w:rPr>
      </w:pPr>
      <w:r>
        <w:rPr>
          <w:rFonts w:hint="eastAsia"/>
          <w:sz w:val="24"/>
          <w:szCs w:val="24"/>
        </w:rPr>
        <w:t>将泄露的废水抽到循环水池中，待事故处置完后处理;</w:t>
      </w:r>
    </w:p>
    <w:p>
      <w:pPr>
        <w:numPr>
          <w:ilvl w:val="0"/>
          <w:numId w:val="8"/>
        </w:numPr>
        <w:rPr>
          <w:rFonts w:hint="eastAsia"/>
          <w:sz w:val="24"/>
          <w:szCs w:val="24"/>
        </w:rPr>
      </w:pPr>
      <w:r>
        <w:rPr>
          <w:rFonts w:hint="eastAsia"/>
          <w:sz w:val="24"/>
          <w:szCs w:val="24"/>
        </w:rPr>
        <w:t>后期做好处置后的废水处置，并作相应记录，最终形成整个事件书.面报告，存入档案。</w:t>
      </w:r>
    </w:p>
    <w:p>
      <w:pPr>
        <w:rPr>
          <w:rFonts w:hint="eastAsia"/>
          <w:sz w:val="24"/>
          <w:szCs w:val="24"/>
        </w:rPr>
      </w:pPr>
      <w:r>
        <w:rPr>
          <w:rFonts w:hint="eastAsia"/>
          <w:sz w:val="24"/>
          <w:szCs w:val="24"/>
        </w:rPr>
        <w:t>➢</w:t>
      </w:r>
      <w:r>
        <w:rPr>
          <w:rFonts w:hint="eastAsia"/>
          <w:sz w:val="24"/>
          <w:szCs w:val="24"/>
          <w:lang w:eastAsia="zh-CN"/>
        </w:rPr>
        <w:t>安全保卫</w:t>
      </w:r>
      <w:r>
        <w:rPr>
          <w:rFonts w:hint="eastAsia"/>
          <w:sz w:val="24"/>
          <w:szCs w:val="24"/>
        </w:rPr>
        <w:t>组</w:t>
      </w:r>
    </w:p>
    <w:p>
      <w:pPr>
        <w:rPr>
          <w:rFonts w:hint="eastAsia"/>
          <w:sz w:val="24"/>
          <w:szCs w:val="24"/>
        </w:rPr>
      </w:pPr>
      <w:r>
        <w:rPr>
          <w:rFonts w:hint="eastAsia"/>
          <w:sz w:val="24"/>
          <w:szCs w:val="24"/>
        </w:rPr>
        <w:t>(1)对事故区进行警戒，防止无关人员进入事故区;</w:t>
      </w:r>
    </w:p>
    <w:p>
      <w:pPr>
        <w:rPr>
          <w:rFonts w:hint="eastAsia"/>
          <w:sz w:val="24"/>
          <w:szCs w:val="24"/>
        </w:rPr>
      </w:pPr>
      <w:r>
        <w:rPr>
          <w:rFonts w:hint="eastAsia"/>
          <w:sz w:val="24"/>
          <w:szCs w:val="24"/>
        </w:rPr>
        <w:t>(2)指挥现场人员疏散、引导救援人员进入事故区;</w:t>
      </w:r>
    </w:p>
    <w:p>
      <w:pPr>
        <w:rPr>
          <w:rFonts w:hint="eastAsia"/>
          <w:sz w:val="24"/>
          <w:szCs w:val="24"/>
        </w:rPr>
      </w:pPr>
      <w:r>
        <w:rPr>
          <w:rFonts w:hint="eastAsia"/>
          <w:sz w:val="24"/>
          <w:szCs w:val="24"/>
        </w:rPr>
        <w:t>➢</w:t>
      </w:r>
      <w:r>
        <w:rPr>
          <w:rFonts w:hint="eastAsia"/>
          <w:sz w:val="24"/>
          <w:szCs w:val="24"/>
          <w:lang w:eastAsia="zh-CN"/>
        </w:rPr>
        <w:t>后勤</w:t>
      </w:r>
      <w:r>
        <w:rPr>
          <w:rFonts w:hint="eastAsia"/>
          <w:sz w:val="24"/>
          <w:szCs w:val="24"/>
        </w:rPr>
        <w:t>保障组</w:t>
      </w:r>
    </w:p>
    <w:p>
      <w:pPr>
        <w:rPr>
          <w:rFonts w:hint="eastAsia"/>
          <w:sz w:val="24"/>
          <w:szCs w:val="24"/>
        </w:rPr>
      </w:pPr>
      <w:r>
        <w:rPr>
          <w:rFonts w:hint="eastAsia"/>
          <w:sz w:val="24"/>
          <w:szCs w:val="24"/>
        </w:rPr>
        <w:t>(</w:t>
      </w:r>
      <w:r>
        <w:rPr>
          <w:rFonts w:hint="eastAsia"/>
          <w:sz w:val="24"/>
          <w:szCs w:val="24"/>
          <w:lang w:val="en-US" w:eastAsia="zh-CN"/>
        </w:rPr>
        <w:t>1</w:t>
      </w:r>
      <w:r>
        <w:rPr>
          <w:rFonts w:hint="eastAsia"/>
          <w:sz w:val="24"/>
          <w:szCs w:val="24"/>
        </w:rPr>
        <w:t>)接到应急响应指令后，按应急救援办公室的要求，迅速将所需的应急物质送至事件现场并发放;</w:t>
      </w:r>
    </w:p>
    <w:p>
      <w:pPr>
        <w:rPr>
          <w:rFonts w:hint="eastAsia"/>
          <w:sz w:val="24"/>
          <w:szCs w:val="24"/>
        </w:rPr>
      </w:pPr>
      <w:r>
        <w:rPr>
          <w:rFonts w:hint="eastAsia"/>
          <w:sz w:val="24"/>
          <w:szCs w:val="24"/>
        </w:rPr>
        <w:t>➢</w:t>
      </w:r>
      <w:r>
        <w:rPr>
          <w:rFonts w:hint="eastAsia"/>
          <w:sz w:val="24"/>
          <w:szCs w:val="24"/>
          <w:lang w:eastAsia="zh-CN"/>
        </w:rPr>
        <w:t>信息通讯</w:t>
      </w:r>
      <w:r>
        <w:rPr>
          <w:rFonts w:hint="eastAsia"/>
          <w:sz w:val="24"/>
          <w:szCs w:val="24"/>
        </w:rPr>
        <w:t>组</w:t>
      </w:r>
    </w:p>
    <w:p>
      <w:pPr>
        <w:rPr>
          <w:rFonts w:hint="eastAsia"/>
          <w:sz w:val="24"/>
          <w:szCs w:val="24"/>
        </w:rPr>
      </w:pPr>
      <w:r>
        <w:rPr>
          <w:rFonts w:hint="eastAsia"/>
          <w:sz w:val="24"/>
          <w:szCs w:val="24"/>
        </w:rPr>
        <w:t>(</w:t>
      </w:r>
      <w:r>
        <w:rPr>
          <w:rFonts w:hint="eastAsia"/>
          <w:sz w:val="24"/>
          <w:szCs w:val="24"/>
          <w:lang w:val="en-US" w:eastAsia="zh-CN"/>
        </w:rPr>
        <w:t>1</w:t>
      </w:r>
      <w:r>
        <w:rPr>
          <w:rFonts w:hint="eastAsia"/>
          <w:sz w:val="24"/>
          <w:szCs w:val="24"/>
        </w:rPr>
        <w:t>)保证事故现场通讯畅通。</w:t>
      </w:r>
    </w:p>
    <w:p>
      <w:pPr>
        <w:rPr>
          <w:rFonts w:hint="eastAsia"/>
          <w:sz w:val="24"/>
          <w:szCs w:val="24"/>
        </w:rPr>
      </w:pPr>
      <w:r>
        <w:rPr>
          <w:rFonts w:hint="eastAsia"/>
          <w:sz w:val="24"/>
          <w:szCs w:val="24"/>
        </w:rPr>
        <w:t>7.3.1.</w:t>
      </w:r>
      <w:r>
        <w:rPr>
          <w:rFonts w:hint="default"/>
          <w:sz w:val="24"/>
          <w:szCs w:val="24"/>
          <w:lang w:val="en-US"/>
        </w:rPr>
        <w:t>3</w:t>
      </w:r>
      <w:r>
        <w:rPr>
          <w:rFonts w:hint="eastAsia"/>
          <w:sz w:val="24"/>
          <w:szCs w:val="24"/>
        </w:rPr>
        <w:t>废水泄漏事件(影响在厂区外)</w:t>
      </w:r>
    </w:p>
    <w:p>
      <w:pPr>
        <w:rPr>
          <w:rFonts w:hint="eastAsia"/>
          <w:sz w:val="24"/>
          <w:szCs w:val="24"/>
        </w:rPr>
      </w:pPr>
      <w:r>
        <w:rPr>
          <w:rFonts w:hint="eastAsia"/>
          <w:sz w:val="24"/>
          <w:szCs w:val="24"/>
        </w:rPr>
        <w:t>当公司废水泄漏至公司范围外，渗透到土壤、地下水环境，仅靠公司的力量无法收集处理。</w:t>
      </w:r>
    </w:p>
    <w:p>
      <w:pPr>
        <w:rPr>
          <w:rFonts w:hint="eastAsia"/>
          <w:sz w:val="24"/>
          <w:szCs w:val="24"/>
        </w:rPr>
      </w:pPr>
      <w:r>
        <w:rPr>
          <w:rFonts w:hint="eastAsia"/>
          <w:sz w:val="24"/>
          <w:szCs w:val="24"/>
        </w:rPr>
        <w:t>➢发现人员:立即报告应急指挥部或报告应急办公室。</w:t>
      </w:r>
    </w:p>
    <w:p>
      <w:pPr>
        <w:rPr>
          <w:rFonts w:hint="eastAsia"/>
          <w:sz w:val="24"/>
          <w:szCs w:val="24"/>
        </w:rPr>
      </w:pPr>
      <w:r>
        <w:rPr>
          <w:rFonts w:hint="eastAsia"/>
          <w:sz w:val="24"/>
          <w:szCs w:val="24"/>
        </w:rPr>
        <w:t>➢应急救援办公室</w:t>
      </w:r>
    </w:p>
    <w:p>
      <w:pPr>
        <w:rPr>
          <w:rFonts w:hint="eastAsia"/>
          <w:sz w:val="24"/>
          <w:szCs w:val="24"/>
        </w:rPr>
      </w:pPr>
      <w:r>
        <w:rPr>
          <w:rFonts w:hint="eastAsia"/>
          <w:sz w:val="24"/>
          <w:szCs w:val="24"/>
        </w:rPr>
        <w:t>(1)接到报警后立即报告应急总指挥，应急总指挥下令启动应急响应，急速调配各应急小组展开先期处置援救等工作;</w:t>
      </w:r>
    </w:p>
    <w:p>
      <w:pPr>
        <w:rPr>
          <w:rFonts w:hint="eastAsia"/>
          <w:sz w:val="24"/>
          <w:szCs w:val="24"/>
        </w:rPr>
      </w:pPr>
      <w:r>
        <w:rPr>
          <w:rFonts w:hint="eastAsia"/>
          <w:sz w:val="24"/>
          <w:szCs w:val="24"/>
        </w:rPr>
        <w:t>(2)全程指导各应急救援小组开展救援、处置工作;</w:t>
      </w:r>
    </w:p>
    <w:p>
      <w:pPr>
        <w:rPr>
          <w:rFonts w:hint="eastAsia"/>
          <w:sz w:val="24"/>
          <w:szCs w:val="24"/>
        </w:rPr>
      </w:pPr>
      <w:r>
        <w:rPr>
          <w:rFonts w:hint="eastAsia"/>
          <w:sz w:val="24"/>
          <w:szCs w:val="24"/>
        </w:rPr>
        <w:t>(3)快速报告</w:t>
      </w:r>
      <w:r>
        <w:rPr>
          <w:rFonts w:hint="eastAsia"/>
          <w:sz w:val="24"/>
          <w:szCs w:val="24"/>
          <w:lang w:eastAsia="zh-CN"/>
        </w:rPr>
        <w:t>南昌市生态环境局昌北分局</w:t>
      </w:r>
      <w:r>
        <w:rPr>
          <w:rFonts w:hint="eastAsia"/>
          <w:sz w:val="24"/>
          <w:szCs w:val="24"/>
        </w:rPr>
        <w:t>;</w:t>
      </w:r>
    </w:p>
    <w:p>
      <w:pPr>
        <w:rPr>
          <w:rFonts w:hint="eastAsia"/>
          <w:sz w:val="24"/>
          <w:szCs w:val="24"/>
        </w:rPr>
      </w:pPr>
      <w:r>
        <w:rPr>
          <w:rFonts w:hint="eastAsia"/>
          <w:sz w:val="24"/>
          <w:szCs w:val="24"/>
        </w:rPr>
        <w:t>(4)外部救援力量到来后配合其开展应急救援工作。</w:t>
      </w:r>
    </w:p>
    <w:p>
      <w:pPr>
        <w:rPr>
          <w:rFonts w:hint="eastAsia"/>
          <w:sz w:val="24"/>
          <w:szCs w:val="24"/>
        </w:rPr>
      </w:pPr>
      <w:r>
        <w:rPr>
          <w:rFonts w:hint="eastAsia"/>
          <w:sz w:val="24"/>
          <w:szCs w:val="24"/>
        </w:rPr>
        <w:t>➢</w:t>
      </w:r>
      <w:r>
        <w:rPr>
          <w:rFonts w:hint="eastAsia"/>
          <w:sz w:val="24"/>
          <w:szCs w:val="24"/>
          <w:lang w:eastAsia="zh-CN"/>
        </w:rPr>
        <w:t>现场处置</w:t>
      </w:r>
      <w:r>
        <w:rPr>
          <w:rFonts w:hint="eastAsia"/>
          <w:sz w:val="24"/>
          <w:szCs w:val="24"/>
        </w:rPr>
        <w:t>组</w:t>
      </w:r>
    </w:p>
    <w:p>
      <w:pPr>
        <w:pStyle w:val="2"/>
        <w:rPr>
          <w:rFonts w:hint="eastAsia"/>
          <w:sz w:val="24"/>
          <w:szCs w:val="24"/>
        </w:rPr>
      </w:pPr>
      <w:r>
        <w:rPr>
          <w:rFonts w:hint="eastAsia"/>
          <w:sz w:val="24"/>
          <w:szCs w:val="24"/>
        </w:rPr>
        <w:t>(1)对泄漏点进行围堵，并把未泄漏的废水转移到循环水池中;</w:t>
      </w:r>
    </w:p>
    <w:p>
      <w:pPr>
        <w:pStyle w:val="2"/>
        <w:rPr>
          <w:rFonts w:hint="eastAsia"/>
          <w:sz w:val="24"/>
          <w:szCs w:val="24"/>
        </w:rPr>
      </w:pPr>
      <w:r>
        <w:rPr>
          <w:rFonts w:hint="eastAsia"/>
          <w:sz w:val="24"/>
          <w:szCs w:val="24"/>
        </w:rPr>
        <w:t>(2)穿戴口罩、雨鞋以及手套等个人防护设施进入事故现场，迅速找&gt;泄漏事件的原因，并对泄漏口进行围堵;</w:t>
      </w:r>
    </w:p>
    <w:p>
      <w:pPr>
        <w:pStyle w:val="2"/>
        <w:rPr>
          <w:rFonts w:hint="eastAsia"/>
          <w:sz w:val="24"/>
          <w:szCs w:val="24"/>
        </w:rPr>
      </w:pPr>
      <w:r>
        <w:rPr>
          <w:rFonts w:hint="eastAsia"/>
          <w:sz w:val="24"/>
          <w:szCs w:val="24"/>
        </w:rPr>
        <w:t>(3)待外部救援队伍到达后，配合其开展救援工作;</w:t>
      </w:r>
    </w:p>
    <w:p>
      <w:pPr>
        <w:pStyle w:val="2"/>
        <w:rPr>
          <w:rFonts w:hint="eastAsia"/>
          <w:sz w:val="24"/>
          <w:szCs w:val="24"/>
        </w:rPr>
      </w:pPr>
      <w:r>
        <w:rPr>
          <w:rFonts w:hint="eastAsia"/>
          <w:sz w:val="24"/>
          <w:szCs w:val="24"/>
        </w:rPr>
        <w:t>➢</w:t>
      </w:r>
      <w:r>
        <w:rPr>
          <w:rFonts w:hint="eastAsia"/>
          <w:sz w:val="24"/>
          <w:szCs w:val="24"/>
          <w:lang w:eastAsia="zh-CN"/>
        </w:rPr>
        <w:t>应急监测</w:t>
      </w:r>
      <w:r>
        <w:rPr>
          <w:rFonts w:hint="eastAsia"/>
          <w:sz w:val="24"/>
          <w:szCs w:val="24"/>
        </w:rPr>
        <w:t>组</w:t>
      </w:r>
    </w:p>
    <w:p>
      <w:pPr>
        <w:pStyle w:val="2"/>
        <w:rPr>
          <w:rFonts w:hint="eastAsia"/>
          <w:sz w:val="24"/>
          <w:szCs w:val="24"/>
        </w:rPr>
      </w:pPr>
      <w:r>
        <w:rPr>
          <w:rFonts w:hint="eastAsia"/>
          <w:sz w:val="24"/>
          <w:szCs w:val="24"/>
        </w:rPr>
        <w:t>(1)穿戴口罩、雨鞋以及手套等个人防护设施进入事故现场，查看、i估废水的泄漏量，并进行围堵，防止影响范围扩大;</w:t>
      </w:r>
    </w:p>
    <w:p>
      <w:pPr>
        <w:pStyle w:val="2"/>
        <w:rPr>
          <w:rFonts w:hint="eastAsia"/>
          <w:sz w:val="24"/>
          <w:szCs w:val="24"/>
        </w:rPr>
      </w:pPr>
      <w:r>
        <w:rPr>
          <w:rFonts w:hint="eastAsia"/>
          <w:sz w:val="24"/>
          <w:szCs w:val="24"/>
        </w:rPr>
        <w:t>(2)查看外溢的影响范围，视情况采取围堵措施，防止范围扩大;</w:t>
      </w:r>
    </w:p>
    <w:p>
      <w:pPr>
        <w:pStyle w:val="2"/>
        <w:rPr>
          <w:rFonts w:hint="eastAsia"/>
          <w:sz w:val="24"/>
          <w:szCs w:val="24"/>
        </w:rPr>
      </w:pPr>
      <w:r>
        <w:rPr>
          <w:rFonts w:hint="eastAsia"/>
          <w:sz w:val="24"/>
          <w:szCs w:val="24"/>
        </w:rPr>
        <w:t>(3)待外部救援队伍到达后，配合外部救援队伍开展救援工作;</w:t>
      </w:r>
    </w:p>
    <w:p>
      <w:pPr>
        <w:pStyle w:val="2"/>
        <w:rPr>
          <w:rFonts w:hint="eastAsia"/>
          <w:sz w:val="24"/>
          <w:szCs w:val="24"/>
        </w:rPr>
      </w:pPr>
      <w:r>
        <w:rPr>
          <w:rFonts w:hint="eastAsia"/>
          <w:sz w:val="24"/>
          <w:szCs w:val="24"/>
        </w:rPr>
        <w:t>(4)事故处理完后根据影响范围，-周内必须委托相关部门进行水环质量、土壤环境质量监测，界定影响程度，确定影响消除。</w:t>
      </w:r>
    </w:p>
    <w:p>
      <w:pPr>
        <w:pStyle w:val="2"/>
        <w:rPr>
          <w:rFonts w:hint="eastAsia"/>
          <w:sz w:val="24"/>
          <w:szCs w:val="24"/>
        </w:rPr>
      </w:pPr>
      <w:r>
        <w:rPr>
          <w:rFonts w:hint="eastAsia"/>
          <w:sz w:val="24"/>
          <w:szCs w:val="24"/>
        </w:rPr>
        <w:t>(5)后期做好处置后的废物收集、储存、处置，并做相应记录，最终开成整个事件书面报告，上报</w:t>
      </w:r>
      <w:r>
        <w:rPr>
          <w:rFonts w:hint="eastAsia"/>
          <w:sz w:val="24"/>
          <w:szCs w:val="24"/>
          <w:lang w:eastAsia="zh-CN"/>
        </w:rPr>
        <w:t>南昌市生态环境</w:t>
      </w:r>
      <w:r>
        <w:rPr>
          <w:rFonts w:hint="eastAsia"/>
          <w:sz w:val="24"/>
          <w:szCs w:val="24"/>
        </w:rPr>
        <w:t>局</w:t>
      </w:r>
      <w:r>
        <w:rPr>
          <w:rFonts w:hint="eastAsia"/>
          <w:sz w:val="24"/>
          <w:szCs w:val="24"/>
          <w:lang w:eastAsia="zh-CN"/>
        </w:rPr>
        <w:t>昌北分局</w:t>
      </w:r>
      <w:r>
        <w:rPr>
          <w:rFonts w:hint="eastAsia"/>
          <w:sz w:val="24"/>
          <w:szCs w:val="24"/>
        </w:rPr>
        <w:t>。</w:t>
      </w:r>
    </w:p>
    <w:p>
      <w:pPr>
        <w:pStyle w:val="2"/>
        <w:rPr>
          <w:rFonts w:hint="eastAsia"/>
          <w:sz w:val="24"/>
          <w:szCs w:val="24"/>
        </w:rPr>
      </w:pPr>
      <w:r>
        <w:rPr>
          <w:rFonts w:hint="eastAsia"/>
          <w:sz w:val="24"/>
          <w:szCs w:val="24"/>
        </w:rPr>
        <w:t>➢</w:t>
      </w:r>
      <w:r>
        <w:rPr>
          <w:rFonts w:hint="eastAsia"/>
          <w:sz w:val="24"/>
          <w:szCs w:val="24"/>
          <w:lang w:eastAsia="zh-CN"/>
        </w:rPr>
        <w:t>后勤</w:t>
      </w:r>
      <w:r>
        <w:rPr>
          <w:rFonts w:hint="eastAsia"/>
          <w:sz w:val="24"/>
          <w:szCs w:val="24"/>
        </w:rPr>
        <w:t>保障组</w:t>
      </w:r>
    </w:p>
    <w:p>
      <w:pPr>
        <w:pStyle w:val="2"/>
        <w:numPr>
          <w:ilvl w:val="0"/>
          <w:numId w:val="9"/>
        </w:numPr>
        <w:rPr>
          <w:rFonts w:hint="eastAsia"/>
          <w:sz w:val="24"/>
          <w:szCs w:val="24"/>
        </w:rPr>
      </w:pPr>
      <w:r>
        <w:rPr>
          <w:rFonts w:hint="eastAsia"/>
          <w:sz w:val="24"/>
          <w:szCs w:val="24"/>
        </w:rPr>
        <w:t>接到应急响应指令后，按应急救援办公室的要求，迅速将所需的</w:t>
      </w:r>
      <w:r>
        <w:rPr>
          <w:rFonts w:hint="eastAsia"/>
          <w:sz w:val="24"/>
          <w:szCs w:val="24"/>
          <w:lang w:eastAsia="zh-CN"/>
        </w:rPr>
        <w:t>应</w:t>
      </w:r>
      <w:r>
        <w:rPr>
          <w:rFonts w:hint="eastAsia"/>
          <w:sz w:val="24"/>
          <w:szCs w:val="24"/>
        </w:rPr>
        <w:t>急物质送至事件现场并发放给各应急小组;</w:t>
      </w:r>
    </w:p>
    <w:p>
      <w:pPr>
        <w:pStyle w:val="2"/>
        <w:numPr>
          <w:ilvl w:val="0"/>
          <w:numId w:val="9"/>
        </w:numPr>
        <w:rPr>
          <w:rFonts w:hint="eastAsia"/>
          <w:sz w:val="24"/>
          <w:szCs w:val="24"/>
        </w:rPr>
      </w:pPr>
      <w:r>
        <w:rPr>
          <w:rFonts w:hint="eastAsia"/>
          <w:sz w:val="24"/>
          <w:szCs w:val="24"/>
        </w:rPr>
        <w:t>做好事件应急救援处置工作中所需的资金保障工作;</w:t>
      </w:r>
    </w:p>
    <w:p>
      <w:pPr>
        <w:pStyle w:val="2"/>
        <w:rPr>
          <w:rFonts w:hint="eastAsia"/>
          <w:sz w:val="24"/>
          <w:szCs w:val="24"/>
        </w:rPr>
      </w:pPr>
      <w:r>
        <w:rPr>
          <w:rFonts w:hint="eastAsia"/>
          <w:sz w:val="24"/>
          <w:szCs w:val="24"/>
        </w:rPr>
        <w:t>➢</w:t>
      </w:r>
      <w:r>
        <w:rPr>
          <w:rFonts w:hint="eastAsia"/>
          <w:sz w:val="24"/>
          <w:szCs w:val="24"/>
          <w:lang w:eastAsia="zh-CN"/>
        </w:rPr>
        <w:t>安全保卫</w:t>
      </w:r>
      <w:r>
        <w:rPr>
          <w:rFonts w:hint="eastAsia"/>
          <w:sz w:val="24"/>
          <w:szCs w:val="24"/>
        </w:rPr>
        <w:t>组</w:t>
      </w:r>
    </w:p>
    <w:p>
      <w:pPr>
        <w:pStyle w:val="2"/>
        <w:rPr>
          <w:rFonts w:hint="eastAsia"/>
          <w:sz w:val="24"/>
          <w:szCs w:val="24"/>
        </w:rPr>
      </w:pPr>
      <w:r>
        <w:rPr>
          <w:rFonts w:hint="eastAsia"/>
          <w:sz w:val="24"/>
          <w:szCs w:val="24"/>
        </w:rPr>
        <w:t>(</w:t>
      </w:r>
      <w:r>
        <w:rPr>
          <w:rFonts w:hint="eastAsia"/>
          <w:sz w:val="24"/>
          <w:szCs w:val="24"/>
          <w:lang w:val="en-US" w:eastAsia="zh-CN"/>
        </w:rPr>
        <w:t>1</w:t>
      </w:r>
      <w:r>
        <w:rPr>
          <w:rFonts w:hint="eastAsia"/>
          <w:sz w:val="24"/>
          <w:szCs w:val="24"/>
        </w:rPr>
        <w:t>)引导事故的救援、处置人员进入事故发生区域;</w:t>
      </w:r>
    </w:p>
    <w:p>
      <w:pPr>
        <w:pStyle w:val="2"/>
        <w:rPr>
          <w:rFonts w:hint="eastAsia"/>
          <w:sz w:val="24"/>
          <w:szCs w:val="24"/>
        </w:rPr>
      </w:pPr>
      <w:r>
        <w:rPr>
          <w:rFonts w:hint="eastAsia"/>
          <w:sz w:val="24"/>
          <w:szCs w:val="24"/>
        </w:rPr>
        <w:t>(</w:t>
      </w:r>
      <w:r>
        <w:rPr>
          <w:rFonts w:hint="eastAsia"/>
          <w:sz w:val="24"/>
          <w:szCs w:val="24"/>
          <w:lang w:val="en-US" w:eastAsia="zh-CN"/>
        </w:rPr>
        <w:t>2</w:t>
      </w:r>
      <w:r>
        <w:rPr>
          <w:rFonts w:hint="eastAsia"/>
          <w:sz w:val="24"/>
          <w:szCs w:val="24"/>
        </w:rPr>
        <w:t>)对事故区域进行警戒，防止无关人员进入事故发生区域。</w:t>
      </w:r>
    </w:p>
    <w:p>
      <w:pPr>
        <w:pStyle w:val="2"/>
        <w:rPr>
          <w:rFonts w:hint="eastAsia"/>
          <w:sz w:val="24"/>
          <w:szCs w:val="24"/>
        </w:rPr>
      </w:pPr>
      <w:r>
        <w:rPr>
          <w:rFonts w:hint="eastAsia"/>
          <w:sz w:val="24"/>
          <w:szCs w:val="24"/>
        </w:rPr>
        <w:t>➢</w:t>
      </w:r>
      <w:r>
        <w:rPr>
          <w:rFonts w:hint="eastAsia"/>
          <w:sz w:val="24"/>
          <w:szCs w:val="24"/>
          <w:lang w:eastAsia="zh-CN"/>
        </w:rPr>
        <w:t>应急医疗</w:t>
      </w:r>
      <w:r>
        <w:rPr>
          <w:rFonts w:hint="eastAsia"/>
          <w:sz w:val="24"/>
          <w:szCs w:val="24"/>
        </w:rPr>
        <w:t>组</w:t>
      </w:r>
    </w:p>
    <w:p>
      <w:pPr>
        <w:pStyle w:val="2"/>
        <w:rPr>
          <w:rFonts w:hint="eastAsia"/>
          <w:sz w:val="24"/>
          <w:szCs w:val="24"/>
        </w:rPr>
      </w:pPr>
      <w:r>
        <w:rPr>
          <w:rFonts w:hint="eastAsia"/>
          <w:sz w:val="24"/>
          <w:szCs w:val="24"/>
        </w:rPr>
        <w:t>(</w:t>
      </w:r>
      <w:r>
        <w:rPr>
          <w:rFonts w:hint="eastAsia"/>
          <w:sz w:val="24"/>
          <w:szCs w:val="24"/>
          <w:lang w:val="en-US" w:eastAsia="zh-CN"/>
        </w:rPr>
        <w:t>1</w:t>
      </w:r>
      <w:r>
        <w:rPr>
          <w:rFonts w:hint="eastAsia"/>
          <w:sz w:val="24"/>
          <w:szCs w:val="24"/>
        </w:rPr>
        <w:t>)负责应急救援工作中伤员的救护工作，将伤员送到厂区附近有能医治的医院，并做好伤员的安抚工作;</w:t>
      </w:r>
    </w:p>
    <w:p>
      <w:pPr>
        <w:pStyle w:val="2"/>
        <w:rPr>
          <w:rFonts w:hint="eastAsia"/>
          <w:sz w:val="24"/>
          <w:szCs w:val="24"/>
        </w:rPr>
      </w:pPr>
      <w:r>
        <w:rPr>
          <w:rFonts w:hint="eastAsia"/>
          <w:sz w:val="24"/>
          <w:szCs w:val="24"/>
        </w:rPr>
        <w:t>➢</w:t>
      </w:r>
      <w:r>
        <w:rPr>
          <w:rFonts w:hint="eastAsia"/>
          <w:sz w:val="24"/>
          <w:szCs w:val="24"/>
          <w:lang w:eastAsia="zh-CN"/>
        </w:rPr>
        <w:t>信息通讯</w:t>
      </w:r>
      <w:r>
        <w:rPr>
          <w:rFonts w:hint="eastAsia"/>
          <w:sz w:val="24"/>
          <w:szCs w:val="24"/>
        </w:rPr>
        <w:t>组</w:t>
      </w:r>
    </w:p>
    <w:p>
      <w:pPr>
        <w:pStyle w:val="2"/>
        <w:numPr>
          <w:ilvl w:val="0"/>
          <w:numId w:val="10"/>
        </w:numPr>
        <w:ind w:left="0" w:leftChars="0" w:firstLine="480" w:firstLineChars="200"/>
        <w:rPr>
          <w:rFonts w:hint="eastAsia"/>
          <w:sz w:val="24"/>
          <w:szCs w:val="24"/>
        </w:rPr>
      </w:pPr>
      <w:r>
        <w:rPr>
          <w:rFonts w:hint="eastAsia"/>
          <w:sz w:val="24"/>
          <w:szCs w:val="24"/>
        </w:rPr>
        <w:t>保证事故现场通讯畅通。</w:t>
      </w:r>
    </w:p>
    <w:p>
      <w:pPr>
        <w:pStyle w:val="5"/>
        <w:rPr>
          <w:sz w:val="24"/>
          <w:szCs w:val="24"/>
        </w:rPr>
      </w:pPr>
      <w:r>
        <w:rPr>
          <w:rFonts w:hint="eastAsia"/>
          <w:sz w:val="24"/>
          <w:szCs w:val="24"/>
          <w:lang w:eastAsia="zh-CN"/>
        </w:rPr>
        <w:t>气态排放</w:t>
      </w:r>
      <w:r>
        <w:rPr>
          <w:rFonts w:hint="eastAsia"/>
          <w:sz w:val="24"/>
          <w:szCs w:val="24"/>
        </w:rPr>
        <w:t>事故</w:t>
      </w:r>
      <w:r>
        <w:rPr>
          <w:rFonts w:hint="eastAsia"/>
          <w:sz w:val="24"/>
          <w:szCs w:val="24"/>
          <w:lang w:eastAsia="zh-CN"/>
        </w:rPr>
        <w:t>应急措施</w:t>
      </w:r>
    </w:p>
    <w:p>
      <w:pPr>
        <w:outlineLvl w:val="9"/>
        <w:rPr>
          <w:rFonts w:hint="eastAsia" w:ascii="Times New Roman" w:hAnsi="Times New Roman" w:eastAsia="宋体" w:cstheme="minorBidi"/>
          <w:b w:val="0"/>
          <w:bCs w:val="0"/>
          <w:kern w:val="2"/>
          <w:sz w:val="24"/>
          <w:szCs w:val="24"/>
          <w:lang w:val="en-US" w:eastAsia="zh-CN" w:bidi="ar-SA"/>
        </w:rPr>
      </w:pPr>
      <w:r>
        <w:rPr>
          <w:rFonts w:hint="default" w:cstheme="minorBidi"/>
          <w:b w:val="0"/>
          <w:bCs w:val="0"/>
          <w:kern w:val="2"/>
          <w:sz w:val="24"/>
          <w:szCs w:val="24"/>
          <w:lang w:val="en-US" w:eastAsia="zh-CN" w:bidi="ar-SA"/>
        </w:rPr>
        <w:t>7.3.2.1</w:t>
      </w:r>
      <w:r>
        <w:rPr>
          <w:rFonts w:hint="eastAsia" w:ascii="Times New Roman" w:hAnsi="Times New Roman" w:eastAsia="宋体" w:cstheme="minorBidi"/>
          <w:b w:val="0"/>
          <w:bCs w:val="0"/>
          <w:kern w:val="2"/>
          <w:sz w:val="24"/>
          <w:szCs w:val="24"/>
          <w:lang w:val="en-US" w:eastAsia="zh-CN" w:bidi="ar-SA"/>
        </w:rPr>
        <w:t>除尘系统故障事件（影响在厂区）</w:t>
      </w:r>
    </w:p>
    <w:p>
      <w:pPr>
        <w:rPr>
          <w:rFonts w:hint="eastAsia"/>
          <w:sz w:val="24"/>
          <w:szCs w:val="24"/>
        </w:rPr>
      </w:pPr>
      <w:r>
        <w:rPr>
          <w:rFonts w:hint="eastAsia"/>
          <w:sz w:val="24"/>
          <w:szCs w:val="24"/>
        </w:rPr>
        <w:t>当公司除尘系统故障，粉尘泄漏，且事件未有继续扩大的趋势，仅公司救援力量就能完成应急救援工作。</w:t>
      </w:r>
    </w:p>
    <w:p>
      <w:pPr>
        <w:rPr>
          <w:rFonts w:hint="eastAsia"/>
          <w:sz w:val="24"/>
          <w:szCs w:val="24"/>
        </w:rPr>
      </w:pPr>
      <w:r>
        <w:rPr>
          <w:rFonts w:hint="eastAsia"/>
          <w:sz w:val="24"/>
          <w:szCs w:val="24"/>
        </w:rPr>
        <w:t>➢发现人员:立即报告应急指挥部或报告应急办公室。</w:t>
      </w:r>
    </w:p>
    <w:p>
      <w:pPr>
        <w:rPr>
          <w:rFonts w:hint="eastAsia"/>
          <w:sz w:val="24"/>
          <w:szCs w:val="24"/>
        </w:rPr>
      </w:pPr>
      <w:r>
        <w:rPr>
          <w:rFonts w:hint="eastAsia"/>
          <w:sz w:val="24"/>
          <w:szCs w:val="24"/>
        </w:rPr>
        <w:t>➢应急救援办公室</w:t>
      </w:r>
    </w:p>
    <w:p>
      <w:pPr>
        <w:rPr>
          <w:rFonts w:hint="eastAsia"/>
          <w:sz w:val="24"/>
          <w:szCs w:val="24"/>
        </w:rPr>
      </w:pPr>
      <w:r>
        <w:rPr>
          <w:rFonts w:hint="eastAsia"/>
          <w:sz w:val="24"/>
          <w:szCs w:val="24"/>
        </w:rPr>
        <w:t>(1)接到报警后立即报告应急总指挥，应急总指挥下令启动应急响应，急速调配各应急小组展开先期处置援救等工作;</w:t>
      </w:r>
    </w:p>
    <w:p>
      <w:pPr>
        <w:rPr>
          <w:rFonts w:hint="eastAsia"/>
          <w:sz w:val="24"/>
          <w:szCs w:val="24"/>
        </w:rPr>
      </w:pPr>
      <w:r>
        <w:rPr>
          <w:rFonts w:hint="eastAsia"/>
          <w:sz w:val="24"/>
          <w:szCs w:val="24"/>
        </w:rPr>
        <w:t>(2)全程指导各应急救援小组开展救援、处置工作;</w:t>
      </w:r>
    </w:p>
    <w:p>
      <w:pPr>
        <w:rPr>
          <w:rFonts w:hint="eastAsia"/>
          <w:sz w:val="24"/>
          <w:szCs w:val="24"/>
        </w:rPr>
      </w:pPr>
      <w:r>
        <w:rPr>
          <w:rFonts w:hint="eastAsia"/>
          <w:sz w:val="24"/>
          <w:szCs w:val="24"/>
        </w:rPr>
        <w:t>➢</w:t>
      </w:r>
      <w:r>
        <w:rPr>
          <w:rFonts w:hint="eastAsia"/>
          <w:sz w:val="24"/>
          <w:szCs w:val="24"/>
          <w:lang w:eastAsia="zh-CN"/>
        </w:rPr>
        <w:t>现场处置</w:t>
      </w:r>
      <w:r>
        <w:rPr>
          <w:rFonts w:hint="eastAsia"/>
          <w:sz w:val="24"/>
          <w:szCs w:val="24"/>
        </w:rPr>
        <w:t>组</w:t>
      </w:r>
    </w:p>
    <w:p>
      <w:pPr>
        <w:rPr>
          <w:rFonts w:hint="eastAsia"/>
          <w:sz w:val="24"/>
          <w:szCs w:val="24"/>
        </w:rPr>
      </w:pPr>
      <w:r>
        <w:rPr>
          <w:rFonts w:hint="eastAsia"/>
          <w:sz w:val="24"/>
          <w:szCs w:val="24"/>
        </w:rPr>
        <w:t>(1)穿戴好个人防护措施进入事故现场(防尘口罩、安全帽、防护手套等)，迅速找准泄漏点，并对泄漏点进行封堵;</w:t>
      </w:r>
    </w:p>
    <w:p>
      <w:pPr>
        <w:rPr>
          <w:rFonts w:hint="eastAsia"/>
          <w:sz w:val="24"/>
          <w:szCs w:val="24"/>
        </w:rPr>
      </w:pPr>
      <w:r>
        <w:rPr>
          <w:rFonts w:hint="eastAsia"/>
          <w:sz w:val="24"/>
          <w:szCs w:val="24"/>
        </w:rPr>
        <w:t>(2)将布袋中没有泄漏的收集粉尘全部收集，转存到安全的密闭容器中，防止再次污染发生;</w:t>
      </w:r>
    </w:p>
    <w:p>
      <w:pPr>
        <w:rPr>
          <w:rFonts w:hint="eastAsia"/>
          <w:sz w:val="24"/>
          <w:szCs w:val="24"/>
        </w:rPr>
      </w:pPr>
      <w:r>
        <w:rPr>
          <w:rFonts w:hint="eastAsia"/>
          <w:sz w:val="24"/>
          <w:szCs w:val="24"/>
        </w:rPr>
        <w:t>(3)更换和维修布袋，对除尘系统进行检修，保证正常运行;</w:t>
      </w:r>
    </w:p>
    <w:p>
      <w:pPr>
        <w:rPr>
          <w:rFonts w:hint="eastAsia"/>
          <w:sz w:val="24"/>
          <w:szCs w:val="24"/>
        </w:rPr>
      </w:pPr>
      <w:r>
        <w:rPr>
          <w:rFonts w:hint="eastAsia"/>
          <w:sz w:val="24"/>
          <w:szCs w:val="24"/>
        </w:rPr>
        <w:t>➢应急</w:t>
      </w:r>
      <w:r>
        <w:rPr>
          <w:rFonts w:hint="eastAsia"/>
          <w:sz w:val="24"/>
          <w:szCs w:val="24"/>
          <w:lang w:eastAsia="zh-CN"/>
        </w:rPr>
        <w:t>监测</w:t>
      </w:r>
      <w:r>
        <w:rPr>
          <w:rFonts w:hint="eastAsia"/>
          <w:sz w:val="24"/>
          <w:szCs w:val="24"/>
        </w:rPr>
        <w:t>组</w:t>
      </w:r>
    </w:p>
    <w:p>
      <w:pPr>
        <w:rPr>
          <w:rFonts w:hint="eastAsia"/>
          <w:sz w:val="24"/>
          <w:szCs w:val="24"/>
        </w:rPr>
      </w:pPr>
      <w:r>
        <w:rPr>
          <w:rFonts w:hint="eastAsia"/>
          <w:sz w:val="24"/>
          <w:szCs w:val="24"/>
        </w:rPr>
        <w:t>(1)穿戴好个人防护措施进入事故现场(防尘口罩、安全帽、防护手套等) ;</w:t>
      </w:r>
    </w:p>
    <w:p>
      <w:pPr>
        <w:rPr>
          <w:rFonts w:hint="eastAsia"/>
          <w:sz w:val="24"/>
          <w:szCs w:val="24"/>
        </w:rPr>
      </w:pPr>
      <w:r>
        <w:rPr>
          <w:rFonts w:hint="eastAsia"/>
          <w:sz w:val="24"/>
          <w:szCs w:val="24"/>
        </w:rPr>
        <w:t>(2)配合应急保障组，疏散排气口下游群众;</w:t>
      </w:r>
    </w:p>
    <w:p>
      <w:pPr>
        <w:rPr>
          <w:rFonts w:hint="eastAsia"/>
          <w:sz w:val="24"/>
          <w:szCs w:val="24"/>
        </w:rPr>
      </w:pPr>
      <w:r>
        <w:rPr>
          <w:rFonts w:hint="eastAsia"/>
          <w:sz w:val="24"/>
          <w:szCs w:val="24"/>
        </w:rPr>
        <w:t>(3)事故完后根据影响范围，一周内必须委托相关部门进行空气环境质量监测，界定影响程度，确定影响消除;</w:t>
      </w:r>
    </w:p>
    <w:p>
      <w:pPr>
        <w:rPr>
          <w:rFonts w:hint="eastAsia"/>
          <w:sz w:val="24"/>
          <w:szCs w:val="24"/>
        </w:rPr>
      </w:pPr>
      <w:r>
        <w:rPr>
          <w:rFonts w:hint="eastAsia"/>
          <w:sz w:val="24"/>
          <w:szCs w:val="24"/>
        </w:rPr>
        <w:t>(4)作相应记录，最终形成整个事件书面报告.上报</w:t>
      </w:r>
      <w:r>
        <w:rPr>
          <w:rFonts w:hint="eastAsia"/>
          <w:sz w:val="24"/>
          <w:szCs w:val="24"/>
          <w:lang w:eastAsia="zh-CN"/>
        </w:rPr>
        <w:t>南昌</w:t>
      </w:r>
      <w:r>
        <w:rPr>
          <w:rFonts w:hint="eastAsia"/>
          <w:sz w:val="24"/>
          <w:szCs w:val="24"/>
        </w:rPr>
        <w:t>市</w:t>
      </w:r>
      <w:r>
        <w:rPr>
          <w:rFonts w:hint="eastAsia"/>
          <w:sz w:val="24"/>
          <w:szCs w:val="24"/>
          <w:lang w:eastAsia="zh-CN"/>
        </w:rPr>
        <w:t>生态环境</w:t>
      </w:r>
      <w:r>
        <w:rPr>
          <w:rFonts w:hint="eastAsia"/>
          <w:sz w:val="24"/>
          <w:szCs w:val="24"/>
        </w:rPr>
        <w:t>局</w:t>
      </w:r>
      <w:r>
        <w:rPr>
          <w:rFonts w:hint="eastAsia"/>
          <w:sz w:val="24"/>
          <w:szCs w:val="24"/>
          <w:lang w:eastAsia="zh-CN"/>
        </w:rPr>
        <w:t>昌北分局</w:t>
      </w:r>
      <w:r>
        <w:rPr>
          <w:rFonts w:hint="eastAsia"/>
          <w:sz w:val="24"/>
          <w:szCs w:val="24"/>
        </w:rPr>
        <w:t>。</w:t>
      </w:r>
    </w:p>
    <w:p>
      <w:pPr>
        <w:rPr>
          <w:rFonts w:hint="eastAsia"/>
          <w:sz w:val="24"/>
          <w:szCs w:val="24"/>
        </w:rPr>
      </w:pPr>
      <w:r>
        <w:rPr>
          <w:rFonts w:hint="eastAsia"/>
          <w:sz w:val="24"/>
          <w:szCs w:val="24"/>
        </w:rPr>
        <w:t>➢</w:t>
      </w:r>
      <w:r>
        <w:rPr>
          <w:rFonts w:hint="eastAsia"/>
          <w:sz w:val="24"/>
          <w:szCs w:val="24"/>
          <w:lang w:eastAsia="zh-CN"/>
        </w:rPr>
        <w:t>后勤</w:t>
      </w:r>
      <w:r>
        <w:rPr>
          <w:rFonts w:hint="eastAsia"/>
          <w:sz w:val="24"/>
          <w:szCs w:val="24"/>
        </w:rPr>
        <w:t>保障组</w:t>
      </w:r>
    </w:p>
    <w:p>
      <w:pPr>
        <w:numPr>
          <w:ilvl w:val="0"/>
          <w:numId w:val="11"/>
        </w:numPr>
        <w:rPr>
          <w:rFonts w:hint="eastAsia"/>
          <w:sz w:val="24"/>
          <w:szCs w:val="24"/>
        </w:rPr>
      </w:pPr>
      <w:r>
        <w:rPr>
          <w:rFonts w:hint="eastAsia"/>
          <w:sz w:val="24"/>
          <w:szCs w:val="24"/>
        </w:rPr>
        <w:t>接到应急响应指令后，按应急救援办公室的要求，迅速将所需的应急物质送至事件现场并发放，引导救援人员进入事故发生区域;</w:t>
      </w:r>
    </w:p>
    <w:p>
      <w:pPr>
        <w:pStyle w:val="2"/>
        <w:numPr>
          <w:ilvl w:val="0"/>
          <w:numId w:val="11"/>
        </w:numPr>
        <w:rPr>
          <w:rFonts w:hint="eastAsia"/>
          <w:sz w:val="24"/>
          <w:szCs w:val="24"/>
        </w:rPr>
      </w:pPr>
      <w:r>
        <w:rPr>
          <w:rFonts w:hint="eastAsia"/>
          <w:sz w:val="24"/>
          <w:szCs w:val="24"/>
        </w:rPr>
        <w:t>做好事件应急救援处置工作中所需的资金保障工作</w:t>
      </w:r>
    </w:p>
    <w:p>
      <w:pPr>
        <w:rPr>
          <w:rFonts w:hint="eastAsia" w:eastAsia="宋体"/>
          <w:sz w:val="24"/>
          <w:szCs w:val="24"/>
          <w:lang w:eastAsia="zh-CN"/>
        </w:rPr>
      </w:pPr>
      <w:r>
        <w:rPr>
          <w:rFonts w:hint="eastAsia"/>
          <w:sz w:val="24"/>
          <w:szCs w:val="24"/>
        </w:rPr>
        <w:t>➢</w:t>
      </w:r>
      <w:r>
        <w:rPr>
          <w:rFonts w:hint="eastAsia"/>
          <w:sz w:val="24"/>
          <w:szCs w:val="24"/>
          <w:lang w:eastAsia="zh-CN"/>
        </w:rPr>
        <w:t>安全保卫组</w:t>
      </w:r>
    </w:p>
    <w:p>
      <w:pPr>
        <w:numPr>
          <w:ilvl w:val="0"/>
          <w:numId w:val="11"/>
        </w:numPr>
        <w:ind w:left="0" w:leftChars="0" w:firstLine="480" w:firstLineChars="200"/>
        <w:rPr>
          <w:rFonts w:hint="eastAsia"/>
          <w:sz w:val="24"/>
          <w:szCs w:val="24"/>
        </w:rPr>
      </w:pPr>
      <w:r>
        <w:rPr>
          <w:rFonts w:hint="eastAsia"/>
          <w:sz w:val="24"/>
          <w:szCs w:val="24"/>
        </w:rPr>
        <w:t>迅速撤离泄漏污染区内的职工人员至安全区(上风向空旷地)，</w:t>
      </w:r>
      <w:r>
        <w:rPr>
          <w:rFonts w:hint="eastAsia"/>
          <w:sz w:val="24"/>
          <w:szCs w:val="24"/>
          <w:lang w:eastAsia="zh-CN"/>
        </w:rPr>
        <w:t>通</w:t>
      </w:r>
      <w:r>
        <w:rPr>
          <w:rFonts w:hint="eastAsia"/>
          <w:sz w:val="24"/>
          <w:szCs w:val="24"/>
        </w:rPr>
        <w:t>知周围企业及群众，对下风向区域的人群进行疏散，发放防尘口罩;</w:t>
      </w:r>
    </w:p>
    <w:p>
      <w:pPr>
        <w:numPr>
          <w:ilvl w:val="0"/>
          <w:numId w:val="11"/>
        </w:numPr>
        <w:ind w:left="0" w:leftChars="0" w:firstLine="480" w:firstLineChars="200"/>
        <w:rPr>
          <w:rFonts w:hint="eastAsia"/>
          <w:sz w:val="24"/>
          <w:szCs w:val="24"/>
        </w:rPr>
      </w:pPr>
      <w:r>
        <w:rPr>
          <w:rFonts w:hint="eastAsia"/>
          <w:sz w:val="24"/>
          <w:szCs w:val="24"/>
        </w:rPr>
        <w:t>对事故区进行警戒，防止无关人员进入事故发生区域;</w:t>
      </w:r>
    </w:p>
    <w:p>
      <w:pPr>
        <w:rPr>
          <w:rFonts w:hint="eastAsia" w:eastAsia="宋体"/>
          <w:sz w:val="24"/>
          <w:szCs w:val="24"/>
          <w:lang w:eastAsia="zh-CN"/>
        </w:rPr>
      </w:pPr>
      <w:r>
        <w:rPr>
          <w:rFonts w:hint="eastAsia"/>
          <w:sz w:val="24"/>
          <w:szCs w:val="24"/>
        </w:rPr>
        <w:t>➢</w:t>
      </w:r>
      <w:r>
        <w:rPr>
          <w:rFonts w:hint="eastAsia"/>
          <w:sz w:val="24"/>
          <w:szCs w:val="24"/>
          <w:lang w:eastAsia="zh-CN"/>
        </w:rPr>
        <w:t>信息通讯组</w:t>
      </w:r>
    </w:p>
    <w:p>
      <w:pPr>
        <w:rPr>
          <w:rFonts w:hint="eastAsia"/>
          <w:sz w:val="24"/>
          <w:szCs w:val="24"/>
        </w:rPr>
      </w:pPr>
      <w:r>
        <w:rPr>
          <w:rFonts w:hint="eastAsia"/>
          <w:sz w:val="24"/>
          <w:szCs w:val="24"/>
        </w:rPr>
        <w:t>(</w:t>
      </w:r>
      <w:r>
        <w:rPr>
          <w:rFonts w:hint="eastAsia"/>
          <w:sz w:val="24"/>
          <w:szCs w:val="24"/>
          <w:lang w:val="en-US" w:eastAsia="zh-CN"/>
        </w:rPr>
        <w:t>1</w:t>
      </w:r>
      <w:r>
        <w:rPr>
          <w:rFonts w:hint="eastAsia"/>
          <w:sz w:val="24"/>
          <w:szCs w:val="24"/>
        </w:rPr>
        <w:t>)保证事故现场通讯畅通。</w:t>
      </w:r>
    </w:p>
    <w:p>
      <w:pPr>
        <w:rPr>
          <w:rFonts w:hint="eastAsia"/>
          <w:sz w:val="24"/>
          <w:szCs w:val="24"/>
        </w:rPr>
      </w:pPr>
      <w:r>
        <w:rPr>
          <w:rFonts w:hint="eastAsia"/>
          <w:sz w:val="24"/>
          <w:szCs w:val="24"/>
        </w:rPr>
        <w:t>➢</w:t>
      </w:r>
      <w:r>
        <w:rPr>
          <w:rFonts w:hint="eastAsia"/>
          <w:sz w:val="24"/>
          <w:szCs w:val="24"/>
          <w:lang w:eastAsia="zh-CN"/>
        </w:rPr>
        <w:t>应急医疗</w:t>
      </w:r>
      <w:r>
        <w:rPr>
          <w:rFonts w:hint="eastAsia"/>
          <w:sz w:val="24"/>
          <w:szCs w:val="24"/>
        </w:rPr>
        <w:t>组</w:t>
      </w:r>
    </w:p>
    <w:p>
      <w:pPr>
        <w:numPr>
          <w:ilvl w:val="0"/>
          <w:numId w:val="12"/>
        </w:numPr>
        <w:rPr>
          <w:rFonts w:hint="eastAsia"/>
          <w:sz w:val="24"/>
          <w:szCs w:val="24"/>
        </w:rPr>
      </w:pPr>
      <w:r>
        <w:rPr>
          <w:rFonts w:hint="eastAsia"/>
          <w:sz w:val="24"/>
          <w:szCs w:val="24"/>
        </w:rPr>
        <w:t>告知员工及其他救援无关人员事故发生情况，禁止进入警戒区域;</w:t>
      </w:r>
    </w:p>
    <w:p>
      <w:pPr>
        <w:numPr>
          <w:ilvl w:val="0"/>
          <w:numId w:val="12"/>
        </w:numPr>
        <w:rPr>
          <w:rFonts w:hint="eastAsia"/>
          <w:sz w:val="24"/>
          <w:szCs w:val="24"/>
        </w:rPr>
      </w:pPr>
      <w:r>
        <w:rPr>
          <w:rFonts w:hint="eastAsia"/>
          <w:sz w:val="24"/>
          <w:szCs w:val="24"/>
        </w:rPr>
        <w:t>对救援过程中的受伤人员进行医治。</w:t>
      </w:r>
    </w:p>
    <w:p>
      <w:pPr>
        <w:rPr>
          <w:rFonts w:hint="eastAsia"/>
          <w:sz w:val="24"/>
          <w:szCs w:val="24"/>
        </w:rPr>
      </w:pPr>
      <w:r>
        <w:rPr>
          <w:rFonts w:hint="eastAsia"/>
          <w:sz w:val="24"/>
          <w:szCs w:val="24"/>
          <w:lang w:val="en-US" w:eastAsia="zh-CN"/>
        </w:rPr>
        <w:t>7.3.2.2</w:t>
      </w:r>
      <w:r>
        <w:rPr>
          <w:rFonts w:hint="eastAsia"/>
          <w:sz w:val="24"/>
          <w:szCs w:val="24"/>
        </w:rPr>
        <w:t>除尘系统故障泄漏事件(影响在厂区外)</w:t>
      </w:r>
    </w:p>
    <w:p>
      <w:pPr>
        <w:rPr>
          <w:rFonts w:hint="eastAsia"/>
          <w:sz w:val="24"/>
          <w:szCs w:val="24"/>
        </w:rPr>
      </w:pPr>
      <w:r>
        <w:rPr>
          <w:rFonts w:hint="eastAsia"/>
          <w:sz w:val="24"/>
          <w:szCs w:val="24"/>
        </w:rPr>
        <w:t>当公司粉尘泄漏至公司范围外，影响到外部环境，仅靠公司的力量无法收集处理。</w:t>
      </w:r>
    </w:p>
    <w:p>
      <w:pPr>
        <w:rPr>
          <w:rFonts w:hint="eastAsia"/>
          <w:sz w:val="24"/>
          <w:szCs w:val="24"/>
        </w:rPr>
      </w:pPr>
      <w:r>
        <w:rPr>
          <w:rFonts w:hint="eastAsia"/>
          <w:sz w:val="24"/>
          <w:szCs w:val="24"/>
        </w:rPr>
        <w:t>➢应急救援办公室</w:t>
      </w:r>
    </w:p>
    <w:p>
      <w:pPr>
        <w:rPr>
          <w:rFonts w:hint="eastAsia"/>
          <w:sz w:val="24"/>
          <w:szCs w:val="24"/>
        </w:rPr>
      </w:pPr>
      <w:r>
        <w:rPr>
          <w:rFonts w:hint="eastAsia"/>
          <w:sz w:val="24"/>
          <w:szCs w:val="24"/>
        </w:rPr>
        <w:t>(1)接到报警后立即报告应急总指挥，应急总指挥下令启动应急响应，急速调配各应急小组展开先期处置援救等工作;</w:t>
      </w:r>
    </w:p>
    <w:p>
      <w:pPr>
        <w:rPr>
          <w:rFonts w:hint="eastAsia"/>
          <w:sz w:val="24"/>
          <w:szCs w:val="24"/>
        </w:rPr>
      </w:pPr>
      <w:r>
        <w:rPr>
          <w:rFonts w:hint="eastAsia"/>
          <w:sz w:val="24"/>
          <w:szCs w:val="24"/>
        </w:rPr>
        <w:t>(2)全程指导各应急救援小组开展救援、处置工作;</w:t>
      </w:r>
    </w:p>
    <w:p>
      <w:pPr>
        <w:rPr>
          <w:rFonts w:hint="eastAsia"/>
          <w:sz w:val="24"/>
          <w:szCs w:val="24"/>
        </w:rPr>
      </w:pPr>
      <w:r>
        <w:rPr>
          <w:rFonts w:hint="eastAsia"/>
          <w:sz w:val="24"/>
          <w:szCs w:val="24"/>
        </w:rPr>
        <w:t>(3)快速报告</w:t>
      </w:r>
      <w:r>
        <w:rPr>
          <w:rFonts w:hint="eastAsia"/>
          <w:sz w:val="24"/>
          <w:szCs w:val="24"/>
          <w:lang w:eastAsia="zh-CN"/>
        </w:rPr>
        <w:t>南昌市生态环境局昌北分</w:t>
      </w:r>
      <w:r>
        <w:rPr>
          <w:rFonts w:hint="eastAsia"/>
          <w:sz w:val="24"/>
          <w:szCs w:val="24"/>
        </w:rPr>
        <w:t>局，请求外部救援队伍力量，则救援队伍到来后配合其开展应急救援工作。</w:t>
      </w:r>
    </w:p>
    <w:p>
      <w:pPr>
        <w:rPr>
          <w:rFonts w:hint="eastAsia"/>
          <w:sz w:val="24"/>
          <w:szCs w:val="24"/>
        </w:rPr>
      </w:pPr>
      <w:r>
        <w:rPr>
          <w:rFonts w:hint="eastAsia"/>
          <w:sz w:val="24"/>
          <w:szCs w:val="24"/>
        </w:rPr>
        <w:t>➢</w:t>
      </w:r>
      <w:r>
        <w:rPr>
          <w:rFonts w:hint="eastAsia"/>
          <w:sz w:val="24"/>
          <w:szCs w:val="24"/>
          <w:lang w:eastAsia="zh-CN"/>
        </w:rPr>
        <w:t>现场处置</w:t>
      </w:r>
      <w:r>
        <w:rPr>
          <w:rFonts w:hint="eastAsia"/>
          <w:sz w:val="24"/>
          <w:szCs w:val="24"/>
        </w:rPr>
        <w:t>组</w:t>
      </w:r>
    </w:p>
    <w:p>
      <w:pPr>
        <w:rPr>
          <w:rFonts w:hint="eastAsia"/>
          <w:sz w:val="24"/>
          <w:szCs w:val="24"/>
        </w:rPr>
      </w:pPr>
      <w:r>
        <w:rPr>
          <w:rFonts w:hint="eastAsia"/>
          <w:sz w:val="24"/>
          <w:szCs w:val="24"/>
        </w:rPr>
        <w:t>(1)穿戴好个人防护措施进入事故现场(防尘口罩、安全帽、防护手套等)，迅速找准泄漏点，并对泄漏点进行封堵;</w:t>
      </w:r>
    </w:p>
    <w:p>
      <w:pPr>
        <w:rPr>
          <w:rFonts w:hint="eastAsia"/>
          <w:sz w:val="24"/>
          <w:szCs w:val="24"/>
        </w:rPr>
      </w:pPr>
      <w:r>
        <w:rPr>
          <w:rFonts w:hint="eastAsia"/>
          <w:sz w:val="24"/>
          <w:szCs w:val="24"/>
        </w:rPr>
        <w:t>(2)将布袋中没有泄漏的收集粉尘全部收集，转存到安全的密闭容器中，防止再次污染发生;</w:t>
      </w:r>
    </w:p>
    <w:p>
      <w:pPr>
        <w:rPr>
          <w:rFonts w:hint="eastAsia"/>
          <w:sz w:val="24"/>
          <w:szCs w:val="24"/>
        </w:rPr>
      </w:pPr>
      <w:r>
        <w:rPr>
          <w:rFonts w:hint="eastAsia"/>
          <w:sz w:val="24"/>
          <w:szCs w:val="24"/>
        </w:rPr>
        <w:t>(3)待救援队伍到达后，配合救援队伍展开救援工作。</w:t>
      </w:r>
    </w:p>
    <w:p>
      <w:pPr>
        <w:rPr>
          <w:rFonts w:hint="eastAsia"/>
          <w:sz w:val="24"/>
          <w:szCs w:val="24"/>
        </w:rPr>
      </w:pPr>
      <w:r>
        <w:rPr>
          <w:rFonts w:hint="eastAsia"/>
          <w:sz w:val="24"/>
          <w:szCs w:val="24"/>
        </w:rPr>
        <w:t>➢</w:t>
      </w:r>
      <w:r>
        <w:rPr>
          <w:rFonts w:hint="eastAsia"/>
          <w:sz w:val="24"/>
          <w:szCs w:val="24"/>
          <w:lang w:eastAsia="zh-CN"/>
        </w:rPr>
        <w:t>应急监测</w:t>
      </w:r>
      <w:r>
        <w:rPr>
          <w:rFonts w:hint="eastAsia"/>
          <w:sz w:val="24"/>
          <w:szCs w:val="24"/>
        </w:rPr>
        <w:t>组</w:t>
      </w:r>
    </w:p>
    <w:p>
      <w:pPr>
        <w:numPr>
          <w:ilvl w:val="0"/>
          <w:numId w:val="13"/>
        </w:numPr>
        <w:rPr>
          <w:rFonts w:hint="eastAsia"/>
          <w:sz w:val="24"/>
          <w:szCs w:val="24"/>
        </w:rPr>
      </w:pPr>
      <w:r>
        <w:rPr>
          <w:rFonts w:hint="eastAsia"/>
          <w:sz w:val="24"/>
          <w:szCs w:val="24"/>
        </w:rPr>
        <w:t>穿戴好个人防护措施进入事故现场(防尘口罩、安全帽、防护手套等);</w:t>
      </w:r>
    </w:p>
    <w:p>
      <w:pPr>
        <w:numPr>
          <w:ilvl w:val="0"/>
          <w:numId w:val="13"/>
        </w:numPr>
        <w:rPr>
          <w:rFonts w:hint="eastAsia"/>
          <w:sz w:val="24"/>
          <w:szCs w:val="24"/>
        </w:rPr>
      </w:pPr>
      <w:r>
        <w:rPr>
          <w:rFonts w:hint="eastAsia"/>
          <w:sz w:val="24"/>
          <w:szCs w:val="24"/>
        </w:rPr>
        <w:t>配合应急保障组，疏散排气口下游群众;</w:t>
      </w:r>
    </w:p>
    <w:p>
      <w:pPr>
        <w:rPr>
          <w:rFonts w:hint="eastAsia"/>
          <w:sz w:val="24"/>
          <w:szCs w:val="24"/>
        </w:rPr>
      </w:pPr>
      <w:r>
        <w:rPr>
          <w:rFonts w:hint="eastAsia"/>
          <w:sz w:val="24"/>
          <w:szCs w:val="24"/>
        </w:rPr>
        <w:t>(3)事故完后根据影响范围，一周内必须委托相关部门进行空气环境质量监测，界定影响程度，确定影响消除;</w:t>
      </w:r>
    </w:p>
    <w:p>
      <w:pPr>
        <w:rPr>
          <w:rFonts w:hint="eastAsia"/>
          <w:sz w:val="24"/>
          <w:szCs w:val="24"/>
        </w:rPr>
      </w:pPr>
      <w:r>
        <w:rPr>
          <w:rFonts w:hint="eastAsia"/>
          <w:sz w:val="24"/>
          <w:szCs w:val="24"/>
        </w:rPr>
        <w:t>(4)作相应记录，最终形成整个事件书面报告.上报</w:t>
      </w:r>
      <w:r>
        <w:rPr>
          <w:rFonts w:hint="eastAsia"/>
          <w:sz w:val="24"/>
          <w:szCs w:val="24"/>
          <w:lang w:eastAsia="zh-CN"/>
        </w:rPr>
        <w:t>南昌市生态环境局昌北分局</w:t>
      </w:r>
      <w:r>
        <w:rPr>
          <w:rFonts w:hint="eastAsia"/>
          <w:sz w:val="24"/>
          <w:szCs w:val="24"/>
        </w:rPr>
        <w:t>。</w:t>
      </w:r>
    </w:p>
    <w:p>
      <w:pPr>
        <w:rPr>
          <w:rFonts w:hint="eastAsia"/>
          <w:sz w:val="24"/>
          <w:szCs w:val="24"/>
        </w:rPr>
      </w:pPr>
      <w:r>
        <w:rPr>
          <w:rFonts w:hint="eastAsia"/>
          <w:sz w:val="24"/>
          <w:szCs w:val="24"/>
        </w:rPr>
        <w:t>➢</w:t>
      </w:r>
      <w:r>
        <w:rPr>
          <w:rFonts w:hint="eastAsia"/>
          <w:sz w:val="24"/>
          <w:szCs w:val="24"/>
          <w:lang w:eastAsia="zh-CN"/>
        </w:rPr>
        <w:t>后勤</w:t>
      </w:r>
      <w:r>
        <w:rPr>
          <w:rFonts w:hint="eastAsia"/>
          <w:sz w:val="24"/>
          <w:szCs w:val="24"/>
        </w:rPr>
        <w:t>保障组</w:t>
      </w:r>
    </w:p>
    <w:p>
      <w:pPr>
        <w:numPr>
          <w:ilvl w:val="0"/>
          <w:numId w:val="14"/>
        </w:numPr>
        <w:rPr>
          <w:rFonts w:hint="eastAsia"/>
          <w:sz w:val="24"/>
          <w:szCs w:val="24"/>
        </w:rPr>
      </w:pPr>
      <w:r>
        <w:rPr>
          <w:rFonts w:hint="eastAsia"/>
          <w:sz w:val="24"/>
          <w:szCs w:val="24"/>
        </w:rPr>
        <w:t>接到应急响应指令后，按应急救援办公室的要求，迅速将所需的应急物资送至事件现场并发放;</w:t>
      </w:r>
    </w:p>
    <w:p>
      <w:pPr>
        <w:numPr>
          <w:ilvl w:val="0"/>
          <w:numId w:val="14"/>
        </w:numPr>
        <w:rPr>
          <w:rFonts w:hint="eastAsia"/>
          <w:sz w:val="24"/>
          <w:szCs w:val="24"/>
        </w:rPr>
      </w:pPr>
      <w:r>
        <w:rPr>
          <w:rFonts w:hint="eastAsia"/>
          <w:sz w:val="24"/>
          <w:szCs w:val="24"/>
        </w:rPr>
        <w:t>做好事件应急抢险工作中所需的资金保障工作,如事件和应急抢险工作中出现人员伤亡，做好所需的治疗资金的保障;</w:t>
      </w:r>
    </w:p>
    <w:p>
      <w:pPr>
        <w:pStyle w:val="2"/>
        <w:numPr>
          <w:ilvl w:val="0"/>
          <w:numId w:val="0"/>
        </w:numPr>
        <w:ind w:left="0" w:leftChars="0" w:firstLine="480" w:firstLineChars="200"/>
        <w:rPr>
          <w:rFonts w:hint="default" w:eastAsia="宋体"/>
          <w:sz w:val="24"/>
          <w:szCs w:val="24"/>
          <w:lang w:val="en-US" w:eastAsia="zh-CN"/>
        </w:rPr>
      </w:pPr>
      <w:r>
        <w:rPr>
          <w:rFonts w:hint="eastAsia"/>
          <w:sz w:val="24"/>
          <w:szCs w:val="24"/>
        </w:rPr>
        <w:t>➢</w:t>
      </w:r>
      <w:r>
        <w:rPr>
          <w:rFonts w:hint="eastAsia"/>
          <w:sz w:val="24"/>
          <w:szCs w:val="24"/>
          <w:lang w:val="en-US" w:eastAsia="zh-CN"/>
        </w:rPr>
        <w:t>安全保卫组</w:t>
      </w:r>
    </w:p>
    <w:p>
      <w:pPr>
        <w:rPr>
          <w:rFonts w:hint="eastAsia"/>
          <w:sz w:val="24"/>
          <w:szCs w:val="24"/>
        </w:rPr>
      </w:pPr>
      <w:r>
        <w:rPr>
          <w:rFonts w:hint="eastAsia"/>
          <w:sz w:val="24"/>
          <w:szCs w:val="24"/>
          <w:lang w:eastAsia="zh-CN"/>
        </w:rPr>
        <w:t>（</w:t>
      </w:r>
      <w:r>
        <w:rPr>
          <w:rFonts w:hint="eastAsia"/>
          <w:sz w:val="24"/>
          <w:szCs w:val="24"/>
          <w:lang w:val="en-US" w:eastAsia="zh-CN"/>
        </w:rPr>
        <w:t>1）</w:t>
      </w:r>
      <w:r>
        <w:rPr>
          <w:rFonts w:hint="eastAsia"/>
          <w:sz w:val="24"/>
          <w:szCs w:val="24"/>
        </w:rPr>
        <w:t>迅速撤离泄漏污染区内的职工人员至安全区,引导救援人员进入事故发生区域;</w:t>
      </w:r>
    </w:p>
    <w:p>
      <w:pPr>
        <w:rPr>
          <w:rFonts w:hint="eastAsia"/>
          <w:sz w:val="24"/>
          <w:szCs w:val="24"/>
        </w:rPr>
      </w:pPr>
      <w:r>
        <w:rPr>
          <w:rFonts w:hint="eastAsia"/>
          <w:sz w:val="24"/>
          <w:szCs w:val="24"/>
        </w:rPr>
        <w:t>(2)对事故区进行警戒，防止无关人员进入事故发生区域;</w:t>
      </w:r>
    </w:p>
    <w:p>
      <w:pPr>
        <w:rPr>
          <w:rFonts w:hint="eastAsia" w:eastAsia="宋体"/>
          <w:sz w:val="24"/>
          <w:szCs w:val="24"/>
          <w:lang w:eastAsia="zh-CN"/>
        </w:rPr>
      </w:pPr>
      <w:r>
        <w:rPr>
          <w:rFonts w:hint="eastAsia"/>
          <w:sz w:val="24"/>
          <w:szCs w:val="24"/>
        </w:rPr>
        <w:t>➢</w:t>
      </w:r>
      <w:r>
        <w:rPr>
          <w:rFonts w:hint="eastAsia"/>
          <w:sz w:val="24"/>
          <w:szCs w:val="24"/>
          <w:lang w:eastAsia="zh-CN"/>
        </w:rPr>
        <w:t>信息通讯组</w:t>
      </w:r>
    </w:p>
    <w:p>
      <w:pPr>
        <w:rPr>
          <w:rFonts w:hint="eastAsia"/>
          <w:sz w:val="24"/>
          <w:szCs w:val="24"/>
        </w:rPr>
      </w:pPr>
      <w:r>
        <w:rPr>
          <w:rFonts w:hint="eastAsia"/>
          <w:sz w:val="24"/>
          <w:szCs w:val="24"/>
        </w:rPr>
        <w:t>(</w:t>
      </w:r>
      <w:r>
        <w:rPr>
          <w:rFonts w:hint="eastAsia"/>
          <w:sz w:val="24"/>
          <w:szCs w:val="24"/>
          <w:lang w:val="en-US" w:eastAsia="zh-CN"/>
        </w:rPr>
        <w:t>1</w:t>
      </w:r>
      <w:r>
        <w:rPr>
          <w:rFonts w:hint="eastAsia"/>
          <w:sz w:val="24"/>
          <w:szCs w:val="24"/>
        </w:rPr>
        <w:t>)保证事故现场通讯畅通</w:t>
      </w:r>
      <w:r>
        <w:rPr>
          <w:rFonts w:hint="eastAsia"/>
          <w:sz w:val="24"/>
          <w:szCs w:val="24"/>
          <w:lang w:eastAsia="zh-CN"/>
        </w:rPr>
        <w:t>，并在半小时内通知周边社区，告事故内容、相关风险及周边居民需采取的应急措施</w:t>
      </w:r>
      <w:r>
        <w:rPr>
          <w:rFonts w:hint="eastAsia"/>
          <w:sz w:val="24"/>
          <w:szCs w:val="24"/>
        </w:rPr>
        <w:t>。</w:t>
      </w:r>
    </w:p>
    <w:p>
      <w:pPr>
        <w:rPr>
          <w:rFonts w:hint="eastAsia"/>
          <w:sz w:val="24"/>
          <w:szCs w:val="24"/>
        </w:rPr>
      </w:pPr>
      <w:r>
        <w:rPr>
          <w:rFonts w:hint="eastAsia"/>
          <w:sz w:val="24"/>
          <w:szCs w:val="24"/>
        </w:rPr>
        <w:t>➢</w:t>
      </w:r>
      <w:r>
        <w:rPr>
          <w:rFonts w:hint="eastAsia"/>
          <w:sz w:val="24"/>
          <w:szCs w:val="24"/>
          <w:lang w:eastAsia="zh-CN"/>
        </w:rPr>
        <w:t>应急医疗</w:t>
      </w:r>
      <w:r>
        <w:rPr>
          <w:rFonts w:hint="eastAsia"/>
          <w:sz w:val="24"/>
          <w:szCs w:val="24"/>
        </w:rPr>
        <w:t>组</w:t>
      </w:r>
    </w:p>
    <w:p>
      <w:pPr>
        <w:numPr>
          <w:ilvl w:val="0"/>
          <w:numId w:val="12"/>
        </w:numPr>
        <w:rPr>
          <w:rFonts w:hint="eastAsia"/>
          <w:sz w:val="24"/>
          <w:szCs w:val="24"/>
        </w:rPr>
      </w:pPr>
      <w:r>
        <w:rPr>
          <w:rFonts w:hint="eastAsia"/>
          <w:sz w:val="24"/>
          <w:szCs w:val="24"/>
        </w:rPr>
        <w:t>告知员工及其他救援无关人员事故发生情况，禁止进入警戒区域;</w:t>
      </w:r>
    </w:p>
    <w:p>
      <w:pPr>
        <w:numPr>
          <w:ilvl w:val="0"/>
          <w:numId w:val="12"/>
        </w:numPr>
        <w:rPr>
          <w:rFonts w:hint="eastAsia"/>
          <w:sz w:val="24"/>
          <w:szCs w:val="24"/>
        </w:rPr>
      </w:pPr>
      <w:r>
        <w:rPr>
          <w:rFonts w:hint="eastAsia"/>
          <w:sz w:val="24"/>
          <w:szCs w:val="24"/>
        </w:rPr>
        <w:t>对救援过程中的受伤人员进行医治。</w:t>
      </w:r>
    </w:p>
    <w:p>
      <w:pPr>
        <w:pStyle w:val="5"/>
        <w:rPr>
          <w:sz w:val="24"/>
          <w:szCs w:val="24"/>
        </w:rPr>
      </w:pPr>
      <w:r>
        <w:rPr>
          <w:rFonts w:hint="eastAsia"/>
          <w:sz w:val="24"/>
          <w:szCs w:val="24"/>
          <w:lang w:eastAsia="zh-CN"/>
        </w:rPr>
        <w:t>应急物资分布及</w:t>
      </w:r>
      <w:r>
        <w:rPr>
          <w:rFonts w:hint="eastAsia"/>
          <w:sz w:val="24"/>
          <w:szCs w:val="24"/>
        </w:rPr>
        <w:t>应急</w:t>
      </w:r>
      <w:r>
        <w:rPr>
          <w:rFonts w:hint="eastAsia"/>
          <w:sz w:val="24"/>
          <w:szCs w:val="24"/>
          <w:lang w:eastAsia="zh-CN"/>
        </w:rPr>
        <w:t>处置卡</w:t>
      </w:r>
    </w:p>
    <w:p>
      <w:pPr>
        <w:ind w:firstLine="560"/>
        <w:rPr>
          <w:rFonts w:hint="eastAsia"/>
          <w:sz w:val="24"/>
          <w:szCs w:val="24"/>
          <w:lang w:val="en-US" w:eastAsia="zh-CN"/>
        </w:rPr>
      </w:pPr>
      <w:r>
        <w:rPr>
          <w:rFonts w:hint="eastAsia"/>
          <w:sz w:val="24"/>
          <w:szCs w:val="24"/>
          <w:lang w:eastAsia="zh-CN"/>
        </w:rPr>
        <w:t>应急物资分布图见附图</w:t>
      </w:r>
      <w:r>
        <w:rPr>
          <w:rFonts w:hint="eastAsia"/>
          <w:sz w:val="24"/>
          <w:szCs w:val="24"/>
          <w:lang w:val="en-US" w:eastAsia="zh-CN"/>
        </w:rPr>
        <w:t>7，应急处置卡见表7-1。</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bCs/>
          <w:sz w:val="24"/>
          <w:szCs w:val="24"/>
          <w:lang w:val="en-US" w:eastAsia="zh-CN"/>
        </w:rPr>
      </w:pPr>
      <w:r>
        <w:rPr>
          <w:rFonts w:hint="eastAsia"/>
          <w:b/>
          <w:bCs/>
          <w:sz w:val="24"/>
          <w:szCs w:val="24"/>
          <w:lang w:val="en-US" w:eastAsia="zh-CN"/>
        </w:rPr>
        <w:t>表7-1 应急处置卡</w:t>
      </w:r>
    </w:p>
    <w:tbl>
      <w:tblPr>
        <w:tblStyle w:val="17"/>
        <w:tblpPr w:leftFromText="180" w:rightFromText="180" w:vertAnchor="text" w:tblpXSpec="center" w:tblpY="1"/>
        <w:tblOverlap w:val="never"/>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4"/>
        <w:gridCol w:w="1618"/>
        <w:gridCol w:w="58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82"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center"/>
              <w:rPr>
                <w:rFonts w:hint="default"/>
                <w:sz w:val="21"/>
                <w:szCs w:val="21"/>
                <w:vertAlign w:val="baseline"/>
                <w:lang w:val="en-US" w:eastAsia="zh-CN"/>
              </w:rPr>
            </w:pPr>
            <w:r>
              <w:rPr>
                <w:rFonts w:hint="eastAsia"/>
                <w:sz w:val="21"/>
                <w:szCs w:val="21"/>
                <w:vertAlign w:val="baseline"/>
                <w:lang w:val="en-US" w:eastAsia="zh-CN"/>
              </w:rPr>
              <w:t>主要风险</w:t>
            </w:r>
          </w:p>
        </w:tc>
        <w:tc>
          <w:tcPr>
            <w:tcW w:w="866"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作业内容</w:t>
            </w:r>
          </w:p>
        </w:tc>
        <w:tc>
          <w:tcPr>
            <w:tcW w:w="3150"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应急处置措施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82"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矿物油泄漏</w:t>
            </w:r>
          </w:p>
        </w:tc>
        <w:tc>
          <w:tcPr>
            <w:tcW w:w="866"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生产车间机械设备</w:t>
            </w:r>
          </w:p>
        </w:tc>
        <w:tc>
          <w:tcPr>
            <w:tcW w:w="3150" w:type="pct"/>
            <w:vAlign w:val="center"/>
          </w:tcPr>
          <w:p>
            <w:pPr>
              <w:pStyle w:val="2"/>
              <w:ind w:left="0" w:leftChars="0" w:firstLine="0" w:firstLineChars="0"/>
              <w:rPr>
                <w:rFonts w:hint="default"/>
                <w:sz w:val="21"/>
                <w:szCs w:val="21"/>
                <w:lang w:val="en-US" w:eastAsia="zh-CN"/>
              </w:rPr>
            </w:pPr>
            <w:r>
              <w:rPr>
                <w:rFonts w:hint="eastAsia"/>
                <w:sz w:val="21"/>
                <w:szCs w:val="21"/>
                <w:vertAlign w:val="baseline"/>
                <w:lang w:val="en-US" w:eastAsia="zh-CN"/>
              </w:rPr>
              <w:t>1发现泄漏立即通知班长，泄漏量较小时，自行对泄漏口进行围堵。泄漏量较大时，班长立即通知应急总指挥，并立即关闭电源，对泄漏口进行围堵，</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both"/>
              <w:textAlignment w:val="auto"/>
              <w:rPr>
                <w:rFonts w:hint="eastAsia"/>
                <w:sz w:val="21"/>
                <w:szCs w:val="21"/>
                <w:vertAlign w:val="baseline"/>
                <w:lang w:val="en-US" w:eastAsia="zh-CN"/>
              </w:rPr>
            </w:pPr>
            <w:r>
              <w:rPr>
                <w:rFonts w:hint="eastAsia"/>
                <w:sz w:val="21"/>
                <w:szCs w:val="21"/>
                <w:vertAlign w:val="baseline"/>
                <w:lang w:val="en-US" w:eastAsia="zh-CN"/>
              </w:rPr>
              <w:t>2安全保卫组立即疏散无关车辆及人员，做好警戒；并准备好灭火器，做好现场的警戒；</w:t>
            </w:r>
          </w:p>
          <w:p>
            <w:pPr>
              <w:ind w:left="0" w:leftChars="0" w:firstLine="0" w:firstLineChars="0"/>
              <w:rPr>
                <w:rFonts w:hint="eastAsia"/>
                <w:sz w:val="21"/>
                <w:szCs w:val="21"/>
                <w:vertAlign w:val="baseline"/>
                <w:lang w:val="en-US" w:eastAsia="zh-CN"/>
              </w:rPr>
            </w:pPr>
            <w:r>
              <w:rPr>
                <w:rFonts w:hint="eastAsia"/>
                <w:sz w:val="21"/>
                <w:szCs w:val="21"/>
                <w:vertAlign w:val="baseline"/>
                <w:lang w:val="en-US" w:eastAsia="zh-CN"/>
              </w:rPr>
              <w:t>3现场处置组人员</w:t>
            </w:r>
            <w:r>
              <w:rPr>
                <w:rFonts w:hint="eastAsia"/>
                <w:sz w:val="21"/>
                <w:szCs w:val="21"/>
              </w:rPr>
              <w:t>穿戴口罩、防滑鞋以及手套等个人防护设施进入事故现场，迅速找准废矿物油的泄漏点，并对泄漏点进行封堵;收集和转移未泄漏和外溢的废矿物油至空闲的或收集桶;事故处置完成后，及时更换废矿物油的储存装置</w:t>
            </w:r>
            <w:r>
              <w:rPr>
                <w:rFonts w:hint="eastAsia"/>
                <w:sz w:val="21"/>
                <w:szCs w:val="21"/>
                <w:vertAlign w:val="baseline"/>
                <w:lang w:val="en-US" w:eastAsia="zh-CN"/>
              </w:rPr>
              <w:t>；</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both"/>
              <w:textAlignment w:val="auto"/>
              <w:rPr>
                <w:rFonts w:hint="eastAsia"/>
                <w:sz w:val="21"/>
                <w:szCs w:val="21"/>
                <w:vertAlign w:val="baseline"/>
                <w:lang w:val="en-US" w:eastAsia="zh-CN"/>
              </w:rPr>
            </w:pPr>
            <w:r>
              <w:rPr>
                <w:rFonts w:hint="eastAsia"/>
                <w:sz w:val="21"/>
                <w:szCs w:val="21"/>
                <w:vertAlign w:val="baseline"/>
                <w:lang w:val="en-US" w:eastAsia="zh-CN"/>
              </w:rPr>
              <w:t>5应急监测组确认损失，做好记录；</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both"/>
              <w:textAlignment w:val="auto"/>
              <w:rPr>
                <w:rFonts w:hint="default"/>
                <w:sz w:val="21"/>
                <w:szCs w:val="21"/>
                <w:vertAlign w:val="baseline"/>
                <w:lang w:val="en-US" w:eastAsia="zh-CN"/>
              </w:rPr>
            </w:pPr>
            <w:r>
              <w:rPr>
                <w:rFonts w:hint="eastAsia"/>
                <w:sz w:val="21"/>
                <w:szCs w:val="21"/>
                <w:vertAlign w:val="baseline"/>
                <w:lang w:val="en-US" w:eastAsia="zh-CN"/>
              </w:rPr>
              <w:t>6现场处置人员清理现场，恢复生产。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82"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废水泄漏</w:t>
            </w:r>
            <w:r>
              <w:rPr>
                <w:rFonts w:hint="eastAsia"/>
                <w:sz w:val="21"/>
                <w:szCs w:val="21"/>
              </w:rPr>
              <w:t>(影响在厂区</w:t>
            </w:r>
            <w:r>
              <w:rPr>
                <w:rFonts w:hint="eastAsia"/>
                <w:sz w:val="21"/>
                <w:szCs w:val="21"/>
                <w:lang w:eastAsia="zh-CN"/>
              </w:rPr>
              <w:t>内</w:t>
            </w:r>
            <w:r>
              <w:rPr>
                <w:rFonts w:hint="eastAsia"/>
                <w:sz w:val="21"/>
                <w:szCs w:val="21"/>
              </w:rPr>
              <w:t>)</w:t>
            </w:r>
          </w:p>
        </w:tc>
        <w:tc>
          <w:tcPr>
            <w:tcW w:w="866"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沉淀池</w:t>
            </w:r>
          </w:p>
        </w:tc>
        <w:tc>
          <w:tcPr>
            <w:tcW w:w="3150" w:type="pct"/>
            <w:vAlign w:val="center"/>
          </w:tcPr>
          <w:p>
            <w:pPr>
              <w:ind w:left="0" w:leftChars="0" w:firstLine="0" w:firstLineChars="0"/>
              <w:rPr>
                <w:rFonts w:hint="eastAsia"/>
                <w:sz w:val="21"/>
                <w:szCs w:val="21"/>
              </w:rPr>
            </w:pPr>
            <w:r>
              <w:rPr>
                <w:rFonts w:hint="eastAsia"/>
                <w:sz w:val="21"/>
                <w:szCs w:val="21"/>
                <w:vertAlign w:val="baseline"/>
                <w:lang w:val="en-US" w:eastAsia="zh-CN"/>
              </w:rPr>
              <w:t>1</w:t>
            </w:r>
            <w:r>
              <w:rPr>
                <w:rFonts w:hint="eastAsia"/>
                <w:sz w:val="21"/>
                <w:szCs w:val="21"/>
              </w:rPr>
              <w:t>发现</w:t>
            </w:r>
            <w:r>
              <w:rPr>
                <w:rFonts w:hint="eastAsia"/>
                <w:sz w:val="21"/>
                <w:szCs w:val="21"/>
                <w:lang w:eastAsia="zh-CN"/>
              </w:rPr>
              <w:t>沉淀池泄漏，</w:t>
            </w:r>
            <w:r>
              <w:rPr>
                <w:rFonts w:hint="eastAsia"/>
                <w:sz w:val="21"/>
                <w:szCs w:val="21"/>
              </w:rPr>
              <w:t>立即报告应急救援办公室。</w:t>
            </w:r>
          </w:p>
          <w:p>
            <w:pPr>
              <w:ind w:left="0" w:leftChars="0" w:firstLine="0" w:firstLineChars="0"/>
              <w:rPr>
                <w:rFonts w:hint="eastAsia"/>
                <w:sz w:val="21"/>
                <w:szCs w:val="21"/>
              </w:rPr>
            </w:pPr>
            <w:r>
              <w:rPr>
                <w:rFonts w:hint="eastAsia"/>
                <w:sz w:val="21"/>
                <w:szCs w:val="21"/>
                <w:lang w:val="en-US" w:eastAsia="zh-CN"/>
              </w:rPr>
              <w:t>2、</w:t>
            </w:r>
            <w:r>
              <w:rPr>
                <w:rFonts w:hint="eastAsia"/>
                <w:sz w:val="21"/>
                <w:szCs w:val="21"/>
              </w:rPr>
              <w:t>应急救援办公室接到报警后立即报告应急总指挥，应急总指挥下令启动应急响应，急速调配各应急小组展开先期处置援救等工作;</w:t>
            </w:r>
          </w:p>
          <w:p>
            <w:pPr>
              <w:ind w:left="0" w:leftChars="0" w:firstLine="0" w:firstLineChars="0"/>
              <w:rPr>
                <w:rFonts w:hint="eastAsia"/>
                <w:sz w:val="21"/>
                <w:szCs w:val="21"/>
              </w:rPr>
            </w:pPr>
            <w:r>
              <w:rPr>
                <w:rFonts w:hint="eastAsia"/>
                <w:sz w:val="21"/>
                <w:szCs w:val="21"/>
                <w:lang w:val="en-US" w:eastAsia="zh-CN"/>
              </w:rPr>
              <w:t>3、</w:t>
            </w:r>
            <w:r>
              <w:rPr>
                <w:rFonts w:hint="eastAsia"/>
                <w:sz w:val="21"/>
                <w:szCs w:val="21"/>
                <w:lang w:eastAsia="zh-CN"/>
              </w:rPr>
              <w:t>现场处置</w:t>
            </w:r>
            <w:r>
              <w:rPr>
                <w:rFonts w:hint="eastAsia"/>
                <w:sz w:val="21"/>
                <w:szCs w:val="21"/>
              </w:rPr>
              <w:t>组穿戴雨鞋、手套等个人防护设施，进入处置现场;迅速找准泄漏事件的原因，对泄漏点或故障设施进行封堵和修复;将沉淀池中未泄漏的废水引入循环水池;</w:t>
            </w:r>
          </w:p>
          <w:p>
            <w:pPr>
              <w:ind w:left="0" w:leftChars="0" w:firstLine="0" w:firstLineChars="0"/>
              <w:rPr>
                <w:rFonts w:hint="eastAsia"/>
                <w:sz w:val="21"/>
                <w:szCs w:val="21"/>
              </w:rPr>
            </w:pPr>
            <w:r>
              <w:rPr>
                <w:rFonts w:hint="eastAsia"/>
                <w:sz w:val="21"/>
                <w:szCs w:val="21"/>
                <w:lang w:val="en-US" w:eastAsia="zh-CN"/>
              </w:rPr>
              <w:t>4</w:t>
            </w:r>
            <w:r>
              <w:rPr>
                <w:rFonts w:hint="eastAsia"/>
                <w:sz w:val="21"/>
                <w:szCs w:val="21"/>
              </w:rPr>
              <w:t>应急</w:t>
            </w:r>
            <w:r>
              <w:rPr>
                <w:rFonts w:hint="eastAsia"/>
                <w:sz w:val="21"/>
                <w:szCs w:val="21"/>
                <w:lang w:eastAsia="zh-CN"/>
              </w:rPr>
              <w:t>监测</w:t>
            </w:r>
            <w:r>
              <w:rPr>
                <w:rFonts w:hint="eastAsia"/>
                <w:sz w:val="21"/>
                <w:szCs w:val="21"/>
              </w:rPr>
              <w:t>组穿戴雨鞋、手套等个人防护设施，进入处置现场;将泄露的废水抽到循环水池中，待事故处置完后处理;后期做好处置后的废水处置，并作相应记录，最终形成整个事件书.面报告，存入档案。</w:t>
            </w:r>
          </w:p>
          <w:p>
            <w:pPr>
              <w:ind w:left="0" w:leftChars="0" w:firstLine="0" w:firstLineChars="0"/>
              <w:rPr>
                <w:rFonts w:hint="eastAsia"/>
                <w:sz w:val="21"/>
                <w:szCs w:val="21"/>
              </w:rPr>
            </w:pPr>
            <w:r>
              <w:rPr>
                <w:rFonts w:hint="eastAsia"/>
                <w:sz w:val="21"/>
                <w:szCs w:val="21"/>
                <w:lang w:val="en-US" w:eastAsia="zh-CN"/>
              </w:rPr>
              <w:t>5</w:t>
            </w:r>
            <w:r>
              <w:rPr>
                <w:rFonts w:hint="eastAsia"/>
                <w:sz w:val="21"/>
                <w:szCs w:val="21"/>
                <w:lang w:eastAsia="zh-CN"/>
              </w:rPr>
              <w:t>安全保卫</w:t>
            </w:r>
            <w:r>
              <w:rPr>
                <w:rFonts w:hint="eastAsia"/>
                <w:sz w:val="21"/>
                <w:szCs w:val="21"/>
              </w:rPr>
              <w:t>组)对事故区进行警戒，防止无关人员进入事故区;指挥现场人员疏散、引导救援人员进入事故区;</w:t>
            </w:r>
          </w:p>
          <w:p>
            <w:pPr>
              <w:ind w:left="0" w:leftChars="0" w:firstLine="0" w:firstLineChars="0"/>
              <w:rPr>
                <w:rFonts w:hint="eastAsia"/>
                <w:sz w:val="21"/>
                <w:szCs w:val="21"/>
              </w:rPr>
            </w:pPr>
            <w:r>
              <w:rPr>
                <w:rFonts w:hint="eastAsia"/>
                <w:sz w:val="21"/>
                <w:szCs w:val="21"/>
                <w:lang w:val="en-US" w:eastAsia="zh-CN"/>
              </w:rPr>
              <w:t>6</w:t>
            </w:r>
            <w:r>
              <w:rPr>
                <w:rFonts w:hint="eastAsia"/>
                <w:sz w:val="21"/>
                <w:szCs w:val="21"/>
                <w:lang w:eastAsia="zh-CN"/>
              </w:rPr>
              <w:t>后勤</w:t>
            </w:r>
            <w:r>
              <w:rPr>
                <w:rFonts w:hint="eastAsia"/>
                <w:sz w:val="21"/>
                <w:szCs w:val="21"/>
              </w:rPr>
              <w:t>保障组接到应急响应指令后，按应急救援办公室的要求，迅速将所需的应急物质送至事件现场并发放;</w:t>
            </w:r>
          </w:p>
          <w:p>
            <w:pPr>
              <w:ind w:left="0" w:leftChars="0" w:firstLine="0" w:firstLineChars="0"/>
              <w:rPr>
                <w:rFonts w:hint="default"/>
                <w:sz w:val="21"/>
                <w:szCs w:val="21"/>
                <w:vertAlign w:val="baseline"/>
                <w:lang w:val="en-US" w:eastAsia="zh-CN"/>
              </w:rPr>
            </w:pPr>
            <w:r>
              <w:rPr>
                <w:rFonts w:hint="eastAsia"/>
                <w:sz w:val="21"/>
                <w:szCs w:val="21"/>
                <w:lang w:val="en-US" w:eastAsia="zh-CN"/>
              </w:rPr>
              <w:t>7</w:t>
            </w:r>
            <w:r>
              <w:rPr>
                <w:rFonts w:hint="eastAsia"/>
                <w:sz w:val="21"/>
                <w:szCs w:val="21"/>
                <w:lang w:eastAsia="zh-CN"/>
              </w:rPr>
              <w:t>信息通讯</w:t>
            </w:r>
            <w:r>
              <w:rPr>
                <w:rFonts w:hint="eastAsia"/>
                <w:sz w:val="21"/>
                <w:szCs w:val="21"/>
              </w:rPr>
              <w:t>组保证事故现场通讯畅通。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82"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废水泄漏</w:t>
            </w:r>
            <w:r>
              <w:rPr>
                <w:rFonts w:hint="eastAsia"/>
                <w:sz w:val="21"/>
                <w:szCs w:val="21"/>
              </w:rPr>
              <w:t>(影响在厂区外)</w:t>
            </w:r>
          </w:p>
        </w:tc>
        <w:tc>
          <w:tcPr>
            <w:tcW w:w="866"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both"/>
              <w:textAlignment w:val="auto"/>
              <w:rPr>
                <w:rFonts w:hint="default"/>
                <w:sz w:val="21"/>
                <w:szCs w:val="21"/>
                <w:vertAlign w:val="baseline"/>
                <w:lang w:val="en-US" w:eastAsia="zh-CN"/>
              </w:rPr>
            </w:pPr>
            <w:r>
              <w:rPr>
                <w:rFonts w:hint="eastAsia"/>
                <w:sz w:val="21"/>
                <w:szCs w:val="21"/>
                <w:vertAlign w:val="baseline"/>
                <w:lang w:val="en-US" w:eastAsia="zh-CN"/>
              </w:rPr>
              <w:t>沉淀池</w:t>
            </w:r>
          </w:p>
        </w:tc>
        <w:tc>
          <w:tcPr>
            <w:tcW w:w="3150" w:type="pct"/>
            <w:vAlign w:val="center"/>
          </w:tcPr>
          <w:p>
            <w:pPr>
              <w:numPr>
                <w:ilvl w:val="0"/>
                <w:numId w:val="15"/>
              </w:numPr>
              <w:ind w:left="0" w:leftChars="0" w:firstLine="0" w:firstLineChars="0"/>
              <w:rPr>
                <w:rFonts w:hint="eastAsia"/>
                <w:sz w:val="21"/>
                <w:szCs w:val="21"/>
              </w:rPr>
            </w:pPr>
            <w:r>
              <w:rPr>
                <w:rFonts w:hint="eastAsia"/>
                <w:sz w:val="21"/>
                <w:szCs w:val="21"/>
              </w:rPr>
              <w:t>发现人员</w:t>
            </w:r>
            <w:r>
              <w:rPr>
                <w:rFonts w:hint="eastAsia"/>
                <w:sz w:val="21"/>
                <w:szCs w:val="21"/>
                <w:lang w:eastAsia="zh-CN"/>
              </w:rPr>
              <w:t>发现</w:t>
            </w:r>
            <w:r>
              <w:rPr>
                <w:rFonts w:hint="eastAsia"/>
                <w:sz w:val="21"/>
                <w:szCs w:val="21"/>
              </w:rPr>
              <w:t>公司废水泄漏至公司范围外，渗透到土壤、地下水环境立即报告应急指挥部或报告应急救援办公室。</w:t>
            </w:r>
          </w:p>
          <w:p>
            <w:pPr>
              <w:ind w:left="0" w:leftChars="0" w:firstLine="0" w:firstLineChars="0"/>
              <w:rPr>
                <w:rFonts w:hint="eastAsia"/>
                <w:sz w:val="21"/>
                <w:szCs w:val="21"/>
              </w:rPr>
            </w:pPr>
            <w:r>
              <w:rPr>
                <w:rFonts w:hint="eastAsia"/>
                <w:sz w:val="21"/>
                <w:szCs w:val="21"/>
                <w:lang w:val="en-US" w:eastAsia="zh-CN"/>
              </w:rPr>
              <w:t>2、</w:t>
            </w:r>
            <w:r>
              <w:rPr>
                <w:rFonts w:hint="eastAsia"/>
                <w:sz w:val="21"/>
                <w:szCs w:val="21"/>
              </w:rPr>
              <w:t>应急救援办公室接到报警后立即报告应急总指挥，应急总指挥下令启动应急响应，急速调配各应急小组展开先期处置援救等工作;快速报告</w:t>
            </w:r>
            <w:r>
              <w:rPr>
                <w:rFonts w:hint="eastAsia"/>
                <w:sz w:val="21"/>
                <w:szCs w:val="21"/>
                <w:lang w:eastAsia="zh-CN"/>
              </w:rPr>
              <w:t>南昌市生态环境局昌北分局</w:t>
            </w:r>
            <w:r>
              <w:rPr>
                <w:rFonts w:hint="eastAsia"/>
                <w:sz w:val="21"/>
                <w:szCs w:val="21"/>
              </w:rPr>
              <w:t>;外部救援力量到来后配合其开展应急救援工作。</w:t>
            </w:r>
          </w:p>
          <w:p>
            <w:pPr>
              <w:pStyle w:val="2"/>
              <w:ind w:left="0" w:leftChars="0" w:firstLine="0" w:firstLineChars="0"/>
              <w:rPr>
                <w:rFonts w:hint="eastAsia"/>
                <w:sz w:val="21"/>
                <w:szCs w:val="21"/>
              </w:rPr>
            </w:pPr>
            <w:r>
              <w:rPr>
                <w:rFonts w:hint="eastAsia"/>
                <w:sz w:val="21"/>
                <w:szCs w:val="21"/>
                <w:lang w:val="en-US" w:eastAsia="zh-CN"/>
              </w:rPr>
              <w:t>3</w:t>
            </w:r>
            <w:r>
              <w:rPr>
                <w:rFonts w:hint="eastAsia"/>
                <w:sz w:val="21"/>
                <w:szCs w:val="21"/>
                <w:lang w:eastAsia="zh-CN"/>
              </w:rPr>
              <w:t>现场处置</w:t>
            </w:r>
            <w:r>
              <w:rPr>
                <w:rFonts w:hint="eastAsia"/>
                <w:sz w:val="21"/>
                <w:szCs w:val="21"/>
              </w:rPr>
              <w:t>组穿戴口罩、雨鞋以及手套等个人防护设施进入事故现场，迅速找&gt;泄漏事件的原因，并对泄漏口进行围堵;并把未泄漏的废水转移到循环水池中;待外部救援队伍到达后，配合其开展救援工作;</w:t>
            </w:r>
          </w:p>
          <w:p>
            <w:pPr>
              <w:pStyle w:val="2"/>
              <w:ind w:left="0" w:leftChars="0" w:firstLine="0" w:firstLineChars="0"/>
              <w:rPr>
                <w:rFonts w:hint="eastAsia"/>
                <w:sz w:val="21"/>
                <w:szCs w:val="21"/>
              </w:rPr>
            </w:pPr>
            <w:r>
              <w:rPr>
                <w:rFonts w:hint="eastAsia"/>
                <w:sz w:val="21"/>
                <w:szCs w:val="21"/>
                <w:lang w:val="en-US" w:eastAsia="zh-CN"/>
              </w:rPr>
              <w:t>4</w:t>
            </w:r>
            <w:r>
              <w:rPr>
                <w:rFonts w:hint="eastAsia"/>
                <w:sz w:val="21"/>
                <w:szCs w:val="21"/>
                <w:lang w:eastAsia="zh-CN"/>
              </w:rPr>
              <w:t>应急监测</w:t>
            </w:r>
            <w:r>
              <w:rPr>
                <w:rFonts w:hint="eastAsia"/>
                <w:sz w:val="21"/>
                <w:szCs w:val="21"/>
              </w:rPr>
              <w:t>组穿戴口罩、雨鞋以及手套等个人防护设施进入事故现场，查看</w:t>
            </w:r>
            <w:r>
              <w:rPr>
                <w:rFonts w:hint="eastAsia"/>
                <w:sz w:val="21"/>
                <w:szCs w:val="21"/>
                <w:lang w:eastAsia="zh-CN"/>
              </w:rPr>
              <w:t>评估</w:t>
            </w:r>
            <w:r>
              <w:rPr>
                <w:rFonts w:hint="eastAsia"/>
                <w:sz w:val="21"/>
                <w:szCs w:val="21"/>
              </w:rPr>
              <w:t>废水的泄漏量，并进行围堵，防止影响范围扩大;查看外溢的影响范围，视情况采取围堵措施，防止范围扩大;外部救援队伍到达后，配合外部救援队伍开展救援工作;事故处理完后根据影响范围，-周内必须委托相关部门进行水环质量、土壤环境质量监测，界定影响程度，确定影响消除</w:t>
            </w:r>
            <w:r>
              <w:rPr>
                <w:rFonts w:hint="eastAsia"/>
                <w:sz w:val="21"/>
                <w:szCs w:val="21"/>
                <w:lang w:eastAsia="zh-CN"/>
              </w:rPr>
              <w:t>；</w:t>
            </w:r>
            <w:r>
              <w:rPr>
                <w:rFonts w:hint="eastAsia"/>
                <w:sz w:val="21"/>
                <w:szCs w:val="21"/>
              </w:rPr>
              <w:t>后期做好处置后的废物收集、储存、处置，并做相应记录，最终开成整个事件书面报告，.上报</w:t>
            </w:r>
            <w:r>
              <w:rPr>
                <w:rFonts w:hint="eastAsia"/>
                <w:sz w:val="21"/>
                <w:szCs w:val="21"/>
                <w:lang w:eastAsia="zh-CN"/>
              </w:rPr>
              <w:t>南昌</w:t>
            </w:r>
            <w:r>
              <w:rPr>
                <w:rFonts w:hint="eastAsia"/>
                <w:sz w:val="21"/>
                <w:szCs w:val="21"/>
              </w:rPr>
              <w:t>市</w:t>
            </w:r>
            <w:r>
              <w:rPr>
                <w:rFonts w:hint="eastAsia"/>
                <w:sz w:val="21"/>
                <w:szCs w:val="21"/>
                <w:lang w:eastAsia="zh-CN"/>
              </w:rPr>
              <w:t>生态环境</w:t>
            </w:r>
            <w:r>
              <w:rPr>
                <w:rFonts w:hint="eastAsia"/>
                <w:sz w:val="21"/>
                <w:szCs w:val="21"/>
              </w:rPr>
              <w:t>局</w:t>
            </w:r>
            <w:r>
              <w:rPr>
                <w:rFonts w:hint="eastAsia"/>
                <w:sz w:val="21"/>
                <w:szCs w:val="21"/>
                <w:lang w:eastAsia="zh-CN"/>
              </w:rPr>
              <w:t>昌北分局</w:t>
            </w:r>
            <w:r>
              <w:rPr>
                <w:rFonts w:hint="eastAsia"/>
                <w:sz w:val="21"/>
                <w:szCs w:val="21"/>
              </w:rPr>
              <w:t>。</w:t>
            </w:r>
          </w:p>
          <w:p>
            <w:pPr>
              <w:pStyle w:val="2"/>
              <w:ind w:left="0" w:leftChars="0" w:firstLine="0" w:firstLineChars="0"/>
              <w:rPr>
                <w:rFonts w:hint="eastAsia"/>
                <w:sz w:val="21"/>
                <w:szCs w:val="21"/>
              </w:rPr>
            </w:pPr>
            <w:r>
              <w:rPr>
                <w:rFonts w:hint="eastAsia"/>
                <w:sz w:val="21"/>
                <w:szCs w:val="21"/>
                <w:lang w:val="en-US" w:eastAsia="zh-CN"/>
              </w:rPr>
              <w:t>5</w:t>
            </w:r>
            <w:r>
              <w:rPr>
                <w:rFonts w:hint="eastAsia"/>
                <w:sz w:val="21"/>
                <w:szCs w:val="21"/>
                <w:lang w:eastAsia="zh-CN"/>
              </w:rPr>
              <w:t>后勤</w:t>
            </w:r>
            <w:r>
              <w:rPr>
                <w:rFonts w:hint="eastAsia"/>
                <w:sz w:val="21"/>
                <w:szCs w:val="21"/>
              </w:rPr>
              <w:t>保障组接到应急响应指令后，按应急救援办公室的要求，迅速将所需的</w:t>
            </w:r>
            <w:r>
              <w:rPr>
                <w:rFonts w:hint="eastAsia"/>
                <w:sz w:val="21"/>
                <w:szCs w:val="21"/>
                <w:lang w:eastAsia="zh-CN"/>
              </w:rPr>
              <w:t>应</w:t>
            </w:r>
            <w:r>
              <w:rPr>
                <w:rFonts w:hint="eastAsia"/>
                <w:sz w:val="21"/>
                <w:szCs w:val="21"/>
              </w:rPr>
              <w:t>急物质送至事件现场并发放给各应急小组;做好事件应急救援处置工作中所需的资金保障工作;</w:t>
            </w:r>
          </w:p>
          <w:p>
            <w:pPr>
              <w:pStyle w:val="2"/>
              <w:ind w:left="0" w:leftChars="0" w:firstLine="0" w:firstLineChars="0"/>
              <w:rPr>
                <w:rFonts w:hint="eastAsia"/>
                <w:sz w:val="21"/>
                <w:szCs w:val="21"/>
              </w:rPr>
            </w:pPr>
            <w:r>
              <w:rPr>
                <w:rFonts w:hint="eastAsia"/>
                <w:sz w:val="21"/>
                <w:szCs w:val="21"/>
                <w:lang w:val="en-US" w:eastAsia="zh-CN"/>
              </w:rPr>
              <w:t>6</w:t>
            </w:r>
            <w:r>
              <w:rPr>
                <w:rFonts w:hint="eastAsia"/>
                <w:sz w:val="21"/>
                <w:szCs w:val="21"/>
                <w:lang w:eastAsia="zh-CN"/>
              </w:rPr>
              <w:t>安全保卫</w:t>
            </w:r>
            <w:r>
              <w:rPr>
                <w:rFonts w:hint="eastAsia"/>
                <w:sz w:val="21"/>
                <w:szCs w:val="21"/>
              </w:rPr>
              <w:t>组)引导事故的救援、处置人员进入事故发生区域;对事故区域进行警戒，防止无关人员进入事故发生区域。</w:t>
            </w:r>
          </w:p>
          <w:p>
            <w:pPr>
              <w:pStyle w:val="2"/>
              <w:ind w:left="0" w:leftChars="0" w:firstLine="0" w:firstLineChars="0"/>
              <w:rPr>
                <w:rFonts w:hint="eastAsia"/>
                <w:sz w:val="21"/>
                <w:szCs w:val="21"/>
              </w:rPr>
            </w:pPr>
            <w:r>
              <w:rPr>
                <w:rFonts w:hint="eastAsia"/>
                <w:sz w:val="21"/>
                <w:szCs w:val="21"/>
                <w:lang w:val="en-US" w:eastAsia="zh-CN"/>
              </w:rPr>
              <w:t>7</w:t>
            </w:r>
            <w:r>
              <w:rPr>
                <w:rFonts w:hint="eastAsia"/>
                <w:sz w:val="21"/>
                <w:szCs w:val="21"/>
                <w:lang w:eastAsia="zh-CN"/>
              </w:rPr>
              <w:t>应急医疗</w:t>
            </w:r>
            <w:r>
              <w:rPr>
                <w:rFonts w:hint="eastAsia"/>
                <w:sz w:val="21"/>
                <w:szCs w:val="21"/>
              </w:rPr>
              <w:t>组负责应急救援工作中伤员的救护工作，将伤员送到厂区附近有能医治的医院，并做好伤员的安抚工作;</w:t>
            </w:r>
          </w:p>
          <w:p>
            <w:pPr>
              <w:pStyle w:val="2"/>
              <w:ind w:left="0" w:leftChars="0" w:firstLine="0" w:firstLineChars="0"/>
              <w:rPr>
                <w:rFonts w:hint="eastAsia"/>
                <w:sz w:val="21"/>
                <w:szCs w:val="21"/>
              </w:rPr>
            </w:pPr>
            <w:r>
              <w:rPr>
                <w:rFonts w:hint="eastAsia"/>
                <w:sz w:val="21"/>
                <w:szCs w:val="21"/>
                <w:lang w:val="en-US" w:eastAsia="zh-CN"/>
              </w:rPr>
              <w:t>8</w:t>
            </w:r>
            <w:r>
              <w:rPr>
                <w:rFonts w:hint="eastAsia"/>
                <w:sz w:val="21"/>
                <w:szCs w:val="21"/>
                <w:lang w:eastAsia="zh-CN"/>
              </w:rPr>
              <w:t>信息通讯</w:t>
            </w:r>
            <w:r>
              <w:rPr>
                <w:rFonts w:hint="eastAsia"/>
                <w:sz w:val="21"/>
                <w:szCs w:val="21"/>
              </w:rPr>
              <w:t>组保证事故现场通讯畅通。</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both"/>
              <w:textAlignment w:val="auto"/>
              <w:rPr>
                <w:rFonts w:hint="default"/>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82"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sz w:val="21"/>
                <w:szCs w:val="21"/>
                <w:vertAlign w:val="baseline"/>
                <w:lang w:val="en-US" w:eastAsia="zh-CN"/>
              </w:rPr>
            </w:pPr>
            <w:r>
              <w:rPr>
                <w:rFonts w:hint="eastAsia"/>
                <w:sz w:val="21"/>
                <w:szCs w:val="21"/>
              </w:rPr>
              <w:t>除尘系统故障</w:t>
            </w:r>
          </w:p>
        </w:tc>
        <w:tc>
          <w:tcPr>
            <w:tcW w:w="866"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生产区</w:t>
            </w:r>
          </w:p>
        </w:tc>
        <w:tc>
          <w:tcPr>
            <w:tcW w:w="3150" w:type="pct"/>
            <w:vAlign w:val="center"/>
          </w:tcPr>
          <w:p>
            <w:pPr>
              <w:numPr>
                <w:ilvl w:val="0"/>
                <w:numId w:val="16"/>
              </w:numPr>
              <w:ind w:left="0" w:leftChars="0" w:firstLine="0" w:firstLineChars="0"/>
              <w:rPr>
                <w:rFonts w:hint="eastAsia"/>
                <w:sz w:val="21"/>
                <w:szCs w:val="21"/>
              </w:rPr>
            </w:pPr>
            <w:r>
              <w:rPr>
                <w:rFonts w:hint="eastAsia"/>
                <w:sz w:val="21"/>
                <w:szCs w:val="21"/>
              </w:rPr>
              <w:t>发现人员</w:t>
            </w:r>
            <w:r>
              <w:rPr>
                <w:rFonts w:hint="eastAsia"/>
                <w:sz w:val="21"/>
                <w:szCs w:val="21"/>
                <w:lang w:eastAsia="zh-CN"/>
              </w:rPr>
              <w:t>发现</w:t>
            </w:r>
            <w:r>
              <w:rPr>
                <w:rFonts w:hint="eastAsia"/>
                <w:sz w:val="21"/>
                <w:szCs w:val="21"/>
              </w:rPr>
              <w:t>公司除尘系统故障，粉尘泄漏，立即报告应急救援办公室。</w:t>
            </w:r>
          </w:p>
          <w:p>
            <w:pPr>
              <w:numPr>
                <w:ilvl w:val="0"/>
                <w:numId w:val="16"/>
              </w:numPr>
              <w:ind w:left="0" w:leftChars="0" w:firstLine="0" w:firstLineChars="0"/>
              <w:rPr>
                <w:rFonts w:hint="eastAsia"/>
                <w:sz w:val="21"/>
                <w:szCs w:val="21"/>
              </w:rPr>
            </w:pPr>
            <w:r>
              <w:rPr>
                <w:rFonts w:hint="eastAsia"/>
                <w:sz w:val="21"/>
                <w:szCs w:val="21"/>
              </w:rPr>
              <w:t>应急救援办公室接到报警后立即报告应急总指挥，应急总指挥下令启动应急响应，急速调配各应急小组展开先期处置援救等工作;</w:t>
            </w:r>
          </w:p>
          <w:p>
            <w:pPr>
              <w:numPr>
                <w:ilvl w:val="0"/>
                <w:numId w:val="16"/>
              </w:numPr>
              <w:ind w:left="0" w:leftChars="0" w:firstLine="0" w:firstLineChars="0"/>
              <w:rPr>
                <w:rFonts w:hint="eastAsia"/>
                <w:sz w:val="21"/>
                <w:szCs w:val="21"/>
              </w:rPr>
            </w:pPr>
            <w:r>
              <w:rPr>
                <w:rFonts w:hint="eastAsia"/>
                <w:sz w:val="21"/>
                <w:szCs w:val="21"/>
                <w:lang w:eastAsia="zh-CN"/>
              </w:rPr>
              <w:t>现场处置</w:t>
            </w:r>
            <w:r>
              <w:rPr>
                <w:rFonts w:hint="eastAsia"/>
                <w:sz w:val="21"/>
                <w:szCs w:val="21"/>
              </w:rPr>
              <w:t>组穿戴好个人防护措施进入事故现场(防尘口罩、安全帽、防护手套等)，迅速找准泄漏点，并对泄漏点进行封堵;将布袋中没有泄漏的收集粉尘全部收集，转存到安全的密闭容器中，防止再次污染发生;更换和维修布袋，对除尘系统进行检修，保证正常运行;</w:t>
            </w:r>
          </w:p>
          <w:p>
            <w:pPr>
              <w:ind w:left="0" w:leftChars="0" w:firstLine="0" w:firstLineChars="0"/>
              <w:rPr>
                <w:rFonts w:hint="eastAsia"/>
                <w:sz w:val="21"/>
                <w:szCs w:val="21"/>
              </w:rPr>
            </w:pPr>
            <w:r>
              <w:rPr>
                <w:rFonts w:hint="eastAsia"/>
                <w:sz w:val="21"/>
                <w:szCs w:val="21"/>
                <w:lang w:eastAsia="zh-CN"/>
              </w:rPr>
              <w:t>（</w:t>
            </w:r>
            <w:r>
              <w:rPr>
                <w:rFonts w:hint="eastAsia"/>
                <w:sz w:val="21"/>
                <w:szCs w:val="21"/>
                <w:lang w:val="en-US" w:eastAsia="zh-CN"/>
              </w:rPr>
              <w:t>4）</w:t>
            </w:r>
            <w:r>
              <w:rPr>
                <w:rFonts w:hint="eastAsia"/>
                <w:sz w:val="21"/>
                <w:szCs w:val="21"/>
              </w:rPr>
              <w:t>应急</w:t>
            </w:r>
            <w:r>
              <w:rPr>
                <w:rFonts w:hint="eastAsia"/>
                <w:sz w:val="21"/>
                <w:szCs w:val="21"/>
                <w:lang w:eastAsia="zh-CN"/>
              </w:rPr>
              <w:t>监测</w:t>
            </w:r>
            <w:r>
              <w:rPr>
                <w:rFonts w:hint="eastAsia"/>
                <w:sz w:val="21"/>
                <w:szCs w:val="21"/>
              </w:rPr>
              <w:t>组穿戴好个人防护措施进入事故现场(防尘口罩、安全帽、防护手套等) ;配合应急保障组，疏散排气口下游群众;事故完后根据影响范围，一周内必须委托相关部门进行空气环境质量监测，界定影响程度，确定影响消除;作相应记录，最终形成整个事件书面报告.上报</w:t>
            </w:r>
            <w:r>
              <w:rPr>
                <w:rFonts w:hint="eastAsia"/>
                <w:sz w:val="21"/>
                <w:szCs w:val="21"/>
                <w:lang w:eastAsia="zh-CN"/>
              </w:rPr>
              <w:t>南昌</w:t>
            </w:r>
            <w:r>
              <w:rPr>
                <w:rFonts w:hint="eastAsia"/>
                <w:sz w:val="21"/>
                <w:szCs w:val="21"/>
              </w:rPr>
              <w:t>市</w:t>
            </w:r>
            <w:r>
              <w:rPr>
                <w:rFonts w:hint="eastAsia"/>
                <w:sz w:val="21"/>
                <w:szCs w:val="21"/>
                <w:lang w:eastAsia="zh-CN"/>
              </w:rPr>
              <w:t>生态环境</w:t>
            </w:r>
            <w:r>
              <w:rPr>
                <w:rFonts w:hint="eastAsia"/>
                <w:sz w:val="21"/>
                <w:szCs w:val="21"/>
              </w:rPr>
              <w:t>局</w:t>
            </w:r>
            <w:r>
              <w:rPr>
                <w:rFonts w:hint="eastAsia"/>
                <w:sz w:val="21"/>
                <w:szCs w:val="21"/>
                <w:lang w:eastAsia="zh-CN"/>
              </w:rPr>
              <w:t>昌北分局</w:t>
            </w:r>
            <w:r>
              <w:rPr>
                <w:rFonts w:hint="eastAsia"/>
                <w:sz w:val="21"/>
                <w:szCs w:val="21"/>
              </w:rPr>
              <w:t>。</w:t>
            </w:r>
          </w:p>
          <w:p>
            <w:pPr>
              <w:ind w:left="0" w:leftChars="0" w:firstLine="0" w:firstLineChars="0"/>
              <w:rPr>
                <w:rFonts w:hint="eastAsia"/>
                <w:sz w:val="21"/>
                <w:szCs w:val="21"/>
              </w:rPr>
            </w:pPr>
            <w:r>
              <w:rPr>
                <w:rFonts w:hint="eastAsia"/>
                <w:sz w:val="21"/>
                <w:szCs w:val="21"/>
                <w:lang w:eastAsia="zh-CN"/>
              </w:rPr>
              <w:t>（</w:t>
            </w:r>
            <w:r>
              <w:rPr>
                <w:rFonts w:hint="eastAsia"/>
                <w:sz w:val="21"/>
                <w:szCs w:val="21"/>
                <w:lang w:val="en-US" w:eastAsia="zh-CN"/>
              </w:rPr>
              <w:t>5）</w:t>
            </w:r>
            <w:r>
              <w:rPr>
                <w:rFonts w:hint="eastAsia"/>
                <w:sz w:val="21"/>
                <w:szCs w:val="21"/>
                <w:lang w:eastAsia="zh-CN"/>
              </w:rPr>
              <w:t>后勤</w:t>
            </w:r>
            <w:r>
              <w:rPr>
                <w:rFonts w:hint="eastAsia"/>
                <w:sz w:val="21"/>
                <w:szCs w:val="21"/>
              </w:rPr>
              <w:t>保障组接到应急响应指令后，按应急救援办公室的要求，迅速将所需的应急物质送至事件现场并发放，引导救援人员进入事故发生区域;做好事件应急救援处置工作中所需的资金保障工作</w:t>
            </w:r>
          </w:p>
          <w:p>
            <w:pPr>
              <w:ind w:left="0" w:leftChars="0" w:firstLine="0" w:firstLineChars="0"/>
              <w:rPr>
                <w:rFonts w:hint="eastAsia"/>
                <w:sz w:val="21"/>
                <w:szCs w:val="21"/>
              </w:rPr>
            </w:pPr>
            <w:r>
              <w:rPr>
                <w:rFonts w:hint="eastAsia"/>
                <w:sz w:val="21"/>
                <w:szCs w:val="21"/>
                <w:lang w:eastAsia="zh-CN"/>
              </w:rPr>
              <w:t>（</w:t>
            </w:r>
            <w:r>
              <w:rPr>
                <w:rFonts w:hint="eastAsia"/>
                <w:sz w:val="21"/>
                <w:szCs w:val="21"/>
                <w:lang w:val="en-US" w:eastAsia="zh-CN"/>
              </w:rPr>
              <w:t>6）</w:t>
            </w:r>
            <w:r>
              <w:rPr>
                <w:rFonts w:hint="eastAsia"/>
                <w:sz w:val="21"/>
                <w:szCs w:val="21"/>
                <w:lang w:eastAsia="zh-CN"/>
              </w:rPr>
              <w:t>安全保卫组</w:t>
            </w:r>
            <w:r>
              <w:rPr>
                <w:rFonts w:hint="eastAsia"/>
                <w:sz w:val="21"/>
                <w:szCs w:val="21"/>
              </w:rPr>
              <w:t>迅速撤离泄漏污染区内的职工人员至安全区(上风向空旷地)，</w:t>
            </w:r>
            <w:r>
              <w:rPr>
                <w:rFonts w:hint="eastAsia"/>
                <w:sz w:val="21"/>
                <w:szCs w:val="21"/>
                <w:lang w:eastAsia="zh-CN"/>
              </w:rPr>
              <w:t>通</w:t>
            </w:r>
            <w:r>
              <w:rPr>
                <w:rFonts w:hint="eastAsia"/>
                <w:sz w:val="21"/>
                <w:szCs w:val="21"/>
              </w:rPr>
              <w:t>知周围企业及群众，对下风向区域的人群进行疏散，发放防尘口罩;对事故区进行警戒，防止无关人员进入事故发生区域;</w:t>
            </w:r>
          </w:p>
          <w:p>
            <w:pPr>
              <w:ind w:left="0" w:leftChars="0" w:firstLine="0" w:firstLineChars="0"/>
              <w:rPr>
                <w:rFonts w:hint="eastAsia"/>
                <w:sz w:val="21"/>
                <w:szCs w:val="21"/>
              </w:rPr>
            </w:pPr>
            <w:r>
              <w:rPr>
                <w:rFonts w:hint="eastAsia"/>
                <w:sz w:val="21"/>
                <w:szCs w:val="21"/>
                <w:lang w:eastAsia="zh-CN"/>
              </w:rPr>
              <w:t>（</w:t>
            </w:r>
            <w:r>
              <w:rPr>
                <w:rFonts w:hint="eastAsia"/>
                <w:sz w:val="21"/>
                <w:szCs w:val="21"/>
                <w:lang w:val="en-US" w:eastAsia="zh-CN"/>
              </w:rPr>
              <w:t>7）</w:t>
            </w:r>
            <w:r>
              <w:rPr>
                <w:rFonts w:hint="eastAsia"/>
                <w:sz w:val="21"/>
                <w:szCs w:val="21"/>
                <w:lang w:eastAsia="zh-CN"/>
              </w:rPr>
              <w:t>信息通讯组</w:t>
            </w:r>
            <w:r>
              <w:rPr>
                <w:rFonts w:hint="eastAsia"/>
                <w:sz w:val="21"/>
                <w:szCs w:val="21"/>
              </w:rPr>
              <w:t>保证事故现场通讯畅通。</w:t>
            </w:r>
          </w:p>
          <w:p>
            <w:pPr>
              <w:ind w:left="0" w:leftChars="0" w:firstLine="0" w:firstLineChars="0"/>
              <w:rPr>
                <w:rFonts w:hint="eastAsia"/>
                <w:sz w:val="21"/>
                <w:szCs w:val="21"/>
              </w:rPr>
            </w:pPr>
            <w:r>
              <w:rPr>
                <w:rFonts w:hint="eastAsia"/>
                <w:sz w:val="21"/>
                <w:szCs w:val="21"/>
                <w:lang w:eastAsia="zh-CN"/>
              </w:rPr>
              <w:t>（</w:t>
            </w:r>
            <w:r>
              <w:rPr>
                <w:rFonts w:hint="eastAsia"/>
                <w:sz w:val="21"/>
                <w:szCs w:val="21"/>
                <w:lang w:val="en-US" w:eastAsia="zh-CN"/>
              </w:rPr>
              <w:t>8）</w:t>
            </w:r>
            <w:r>
              <w:rPr>
                <w:rFonts w:hint="eastAsia"/>
                <w:sz w:val="21"/>
                <w:szCs w:val="21"/>
                <w:lang w:eastAsia="zh-CN"/>
              </w:rPr>
              <w:t>应急医疗</w:t>
            </w:r>
            <w:r>
              <w:rPr>
                <w:rFonts w:hint="eastAsia"/>
                <w:sz w:val="21"/>
                <w:szCs w:val="21"/>
              </w:rPr>
              <w:t>组告知员工及其他救援无关人员事故发生情况，禁止进入警戒区域;对救援过程中的受伤人员进行医治。</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both"/>
              <w:textAlignment w:val="auto"/>
              <w:rPr>
                <w:rFonts w:hint="default"/>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82"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sz w:val="21"/>
                <w:szCs w:val="21"/>
                <w:vertAlign w:val="baseline"/>
                <w:lang w:val="en-US" w:eastAsia="zh-CN"/>
              </w:rPr>
            </w:pPr>
            <w:r>
              <w:rPr>
                <w:rFonts w:hint="eastAsia"/>
                <w:sz w:val="21"/>
                <w:szCs w:val="21"/>
              </w:rPr>
              <w:t>除尘系统故障泄漏事件(影响在厂区外)</w:t>
            </w:r>
          </w:p>
        </w:tc>
        <w:tc>
          <w:tcPr>
            <w:tcW w:w="866" w:type="pct"/>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生产区</w:t>
            </w:r>
          </w:p>
        </w:tc>
        <w:tc>
          <w:tcPr>
            <w:tcW w:w="3150" w:type="pct"/>
            <w:vAlign w:val="center"/>
          </w:tcPr>
          <w:p>
            <w:pPr>
              <w:ind w:left="0" w:leftChars="0" w:firstLine="0" w:firstLineChars="0"/>
              <w:rPr>
                <w:rFonts w:hint="eastAsia"/>
                <w:sz w:val="21"/>
                <w:szCs w:val="21"/>
              </w:rPr>
            </w:pPr>
            <w:r>
              <w:rPr>
                <w:rFonts w:hint="eastAsia"/>
                <w:sz w:val="21"/>
                <w:szCs w:val="21"/>
              </w:rPr>
              <w:t>当公司粉尘泄漏至公司范围外，影响到外部环境，仅靠公司的力量无法收集处理。</w:t>
            </w:r>
          </w:p>
          <w:p>
            <w:pPr>
              <w:ind w:left="0" w:leftChars="0" w:firstLine="0" w:firstLineChars="0"/>
              <w:rPr>
                <w:rFonts w:hint="eastAsia"/>
                <w:sz w:val="21"/>
                <w:szCs w:val="21"/>
              </w:rPr>
            </w:pPr>
            <w:r>
              <w:rPr>
                <w:rFonts w:hint="eastAsia"/>
                <w:sz w:val="21"/>
                <w:szCs w:val="21"/>
                <w:lang w:eastAsia="zh-CN"/>
              </w:rPr>
              <w:t>（</w:t>
            </w:r>
            <w:r>
              <w:rPr>
                <w:rFonts w:hint="eastAsia"/>
                <w:sz w:val="21"/>
                <w:szCs w:val="21"/>
                <w:lang w:val="en-US" w:eastAsia="zh-CN"/>
              </w:rPr>
              <w:t>1</w:t>
            </w:r>
            <w:r>
              <w:rPr>
                <w:rFonts w:hint="eastAsia"/>
                <w:sz w:val="21"/>
                <w:szCs w:val="21"/>
                <w:lang w:eastAsia="zh-CN"/>
              </w:rPr>
              <w:t>）</w:t>
            </w:r>
            <w:r>
              <w:rPr>
                <w:rFonts w:hint="eastAsia"/>
                <w:sz w:val="21"/>
                <w:szCs w:val="21"/>
              </w:rPr>
              <w:t>发现人员</w:t>
            </w:r>
            <w:r>
              <w:rPr>
                <w:rFonts w:hint="eastAsia"/>
                <w:sz w:val="21"/>
                <w:szCs w:val="21"/>
                <w:lang w:eastAsia="zh-CN"/>
              </w:rPr>
              <w:t>发现</w:t>
            </w:r>
            <w:r>
              <w:rPr>
                <w:rFonts w:hint="eastAsia"/>
                <w:sz w:val="21"/>
                <w:szCs w:val="21"/>
              </w:rPr>
              <w:t>公司除尘系统故障，粉尘泄漏，立即报告应急救援办公室。</w:t>
            </w:r>
          </w:p>
          <w:p>
            <w:pPr>
              <w:ind w:left="0" w:leftChars="0" w:firstLine="0" w:firstLineChars="0"/>
              <w:rPr>
                <w:rFonts w:hint="eastAsia"/>
                <w:sz w:val="21"/>
                <w:szCs w:val="21"/>
              </w:rPr>
            </w:pPr>
            <w:r>
              <w:rPr>
                <w:rFonts w:hint="eastAsia"/>
                <w:sz w:val="21"/>
                <w:szCs w:val="21"/>
                <w:lang w:eastAsia="zh-CN"/>
              </w:rPr>
              <w:t>（</w:t>
            </w:r>
            <w:r>
              <w:rPr>
                <w:rFonts w:hint="eastAsia"/>
                <w:sz w:val="21"/>
                <w:szCs w:val="21"/>
                <w:lang w:val="en-US" w:eastAsia="zh-CN"/>
              </w:rPr>
              <w:t>2）</w:t>
            </w:r>
            <w:r>
              <w:rPr>
                <w:rFonts w:hint="eastAsia"/>
                <w:sz w:val="21"/>
                <w:szCs w:val="21"/>
              </w:rPr>
              <w:t>应急救援办公室接到报警后立即报告应急总指挥，应急总指挥下令启动应急响应，急速调配各应急小组展开先期处置援救等工作;快速报告</w:t>
            </w:r>
            <w:r>
              <w:rPr>
                <w:rFonts w:hint="eastAsia"/>
                <w:sz w:val="21"/>
                <w:szCs w:val="21"/>
                <w:lang w:eastAsia="zh-CN"/>
              </w:rPr>
              <w:t>南昌市生态环境</w:t>
            </w:r>
            <w:r>
              <w:rPr>
                <w:rFonts w:hint="eastAsia"/>
                <w:sz w:val="21"/>
                <w:szCs w:val="21"/>
              </w:rPr>
              <w:t>局</w:t>
            </w:r>
            <w:r>
              <w:rPr>
                <w:rFonts w:hint="eastAsia"/>
                <w:sz w:val="21"/>
                <w:szCs w:val="21"/>
                <w:lang w:eastAsia="zh-CN"/>
              </w:rPr>
              <w:t>昌北分局</w:t>
            </w:r>
            <w:r>
              <w:rPr>
                <w:rFonts w:hint="eastAsia"/>
                <w:sz w:val="21"/>
                <w:szCs w:val="21"/>
              </w:rPr>
              <w:t>，请求外部救援队伍力量，则救援队伍到来后配合其开展应急救援工作。</w:t>
            </w:r>
          </w:p>
          <w:p>
            <w:pPr>
              <w:ind w:left="0" w:leftChars="0" w:firstLine="0" w:firstLineChars="0"/>
              <w:rPr>
                <w:rFonts w:hint="eastAsia"/>
                <w:sz w:val="21"/>
                <w:szCs w:val="21"/>
              </w:rPr>
            </w:pPr>
            <w:r>
              <w:rPr>
                <w:rFonts w:hint="eastAsia"/>
                <w:sz w:val="21"/>
                <w:szCs w:val="21"/>
                <w:lang w:eastAsia="zh-CN"/>
              </w:rPr>
              <w:t>（</w:t>
            </w:r>
            <w:r>
              <w:rPr>
                <w:rFonts w:hint="eastAsia"/>
                <w:sz w:val="21"/>
                <w:szCs w:val="21"/>
                <w:lang w:val="en-US" w:eastAsia="zh-CN"/>
              </w:rPr>
              <w:t>3）</w:t>
            </w:r>
            <w:r>
              <w:rPr>
                <w:rFonts w:hint="eastAsia"/>
                <w:sz w:val="21"/>
                <w:szCs w:val="21"/>
                <w:lang w:eastAsia="zh-CN"/>
              </w:rPr>
              <w:t>现场处置</w:t>
            </w:r>
            <w:r>
              <w:rPr>
                <w:rFonts w:hint="eastAsia"/>
                <w:sz w:val="21"/>
                <w:szCs w:val="21"/>
              </w:rPr>
              <w:t>组穿戴好个人防护措施进入事故现场(防尘口罩、安全帽、防护手套等)，迅速找准泄漏点，并对泄漏点进行封堵;将布袋中没有泄漏的收集粉尘全部收集，转存到安全的密闭容器中，防止再次污染发生;待救援队伍到达后，配合救援队伍展开救援工作。</w:t>
            </w:r>
          </w:p>
          <w:p>
            <w:pPr>
              <w:ind w:left="0" w:leftChars="0" w:firstLine="0" w:firstLineChars="0"/>
              <w:rPr>
                <w:rFonts w:hint="eastAsia"/>
                <w:sz w:val="21"/>
                <w:szCs w:val="21"/>
              </w:rPr>
            </w:pPr>
            <w:r>
              <w:rPr>
                <w:rFonts w:hint="eastAsia"/>
                <w:sz w:val="21"/>
                <w:szCs w:val="21"/>
                <w:lang w:eastAsia="zh-CN"/>
              </w:rPr>
              <w:t>（</w:t>
            </w:r>
            <w:r>
              <w:rPr>
                <w:rFonts w:hint="eastAsia"/>
                <w:sz w:val="21"/>
                <w:szCs w:val="21"/>
                <w:lang w:val="en-US" w:eastAsia="zh-CN"/>
              </w:rPr>
              <w:t>4）</w:t>
            </w:r>
            <w:r>
              <w:rPr>
                <w:rFonts w:hint="eastAsia"/>
                <w:sz w:val="21"/>
                <w:szCs w:val="21"/>
                <w:lang w:eastAsia="zh-CN"/>
              </w:rPr>
              <w:t>应急监测</w:t>
            </w:r>
            <w:r>
              <w:rPr>
                <w:rFonts w:hint="eastAsia"/>
                <w:sz w:val="21"/>
                <w:szCs w:val="21"/>
              </w:rPr>
              <w:t>组穿戴好个人防护措施进入事故现场(防尘口罩、安全帽、防护手套等);配合应急保障组，疏散排气口下游群众;事故完后根据影响范围，一周内必须委托相关部门进行空气环境质量监测，界定影响程度，确定影响消除;作相应记录，最终形成整个事件书面报告.上报</w:t>
            </w:r>
            <w:r>
              <w:rPr>
                <w:rFonts w:hint="eastAsia"/>
                <w:sz w:val="21"/>
                <w:szCs w:val="21"/>
                <w:lang w:eastAsia="zh-CN"/>
              </w:rPr>
              <w:t>南昌市生态环境局昌北分局</w:t>
            </w:r>
            <w:r>
              <w:rPr>
                <w:rFonts w:hint="eastAsia"/>
                <w:sz w:val="21"/>
                <w:szCs w:val="21"/>
              </w:rPr>
              <w:t>。</w:t>
            </w:r>
          </w:p>
          <w:p>
            <w:pPr>
              <w:ind w:left="0" w:leftChars="0" w:firstLine="0" w:firstLineChars="0"/>
              <w:rPr>
                <w:rFonts w:hint="eastAsia"/>
                <w:sz w:val="21"/>
                <w:szCs w:val="21"/>
              </w:rPr>
            </w:pPr>
            <w:r>
              <w:rPr>
                <w:rFonts w:hint="eastAsia"/>
                <w:sz w:val="21"/>
                <w:szCs w:val="21"/>
                <w:lang w:eastAsia="zh-CN"/>
              </w:rPr>
              <w:t>（</w:t>
            </w:r>
            <w:r>
              <w:rPr>
                <w:rFonts w:hint="eastAsia"/>
                <w:sz w:val="21"/>
                <w:szCs w:val="21"/>
                <w:lang w:val="en-US" w:eastAsia="zh-CN"/>
              </w:rPr>
              <w:t>5）</w:t>
            </w:r>
            <w:r>
              <w:rPr>
                <w:rFonts w:hint="eastAsia"/>
                <w:sz w:val="21"/>
                <w:szCs w:val="21"/>
                <w:lang w:eastAsia="zh-CN"/>
              </w:rPr>
              <w:t>后勤</w:t>
            </w:r>
            <w:r>
              <w:rPr>
                <w:rFonts w:hint="eastAsia"/>
                <w:sz w:val="21"/>
                <w:szCs w:val="21"/>
              </w:rPr>
              <w:t>保障组接到应急响应指令后，按应急救援办公室的要求，迅速将所需的应急物资送至事件现场并发放;做好事件应急抢险工作中所需的资金保障工作,如事件和应急抢险工作中出现人员伤亡，做好所需的治疗资金的保障;</w:t>
            </w:r>
          </w:p>
          <w:p>
            <w:pPr>
              <w:pStyle w:val="2"/>
              <w:numPr>
                <w:ilvl w:val="0"/>
                <w:numId w:val="0"/>
              </w:numPr>
              <w:rPr>
                <w:rFonts w:hint="eastAsia"/>
                <w:sz w:val="21"/>
                <w:szCs w:val="21"/>
              </w:rPr>
            </w:pPr>
            <w:r>
              <w:rPr>
                <w:rFonts w:hint="eastAsia"/>
                <w:sz w:val="21"/>
                <w:szCs w:val="21"/>
                <w:lang w:val="en-US" w:eastAsia="zh-CN"/>
              </w:rPr>
              <w:t>（6）安全保卫组</w:t>
            </w:r>
            <w:r>
              <w:rPr>
                <w:rFonts w:hint="eastAsia"/>
                <w:sz w:val="21"/>
                <w:szCs w:val="21"/>
              </w:rPr>
              <w:t>迅速撤离泄漏污染区内的职工人员至安全区,引导救援人员进入事故发生区域;对事故区进行警戒，防止无关人员进入事故发生区域;</w:t>
            </w:r>
          </w:p>
          <w:p>
            <w:pPr>
              <w:ind w:left="0" w:leftChars="0" w:firstLine="0" w:firstLineChars="0"/>
              <w:rPr>
                <w:rFonts w:hint="eastAsia"/>
                <w:sz w:val="21"/>
                <w:szCs w:val="21"/>
              </w:rPr>
            </w:pPr>
            <w:r>
              <w:rPr>
                <w:rFonts w:hint="eastAsia"/>
                <w:sz w:val="21"/>
                <w:szCs w:val="21"/>
                <w:lang w:eastAsia="zh-CN"/>
              </w:rPr>
              <w:t>（</w:t>
            </w:r>
            <w:r>
              <w:rPr>
                <w:rFonts w:hint="eastAsia"/>
                <w:sz w:val="21"/>
                <w:szCs w:val="21"/>
                <w:lang w:val="en-US" w:eastAsia="zh-CN"/>
              </w:rPr>
              <w:t>7</w:t>
            </w:r>
            <w:r>
              <w:rPr>
                <w:rFonts w:hint="eastAsia"/>
                <w:sz w:val="21"/>
                <w:szCs w:val="21"/>
                <w:lang w:eastAsia="zh-CN"/>
              </w:rPr>
              <w:t>）信息通讯组</w:t>
            </w:r>
            <w:r>
              <w:rPr>
                <w:rFonts w:hint="eastAsia"/>
                <w:sz w:val="21"/>
                <w:szCs w:val="21"/>
              </w:rPr>
              <w:t>保证事故现场通讯畅通。</w:t>
            </w:r>
          </w:p>
          <w:p>
            <w:pPr>
              <w:ind w:left="0" w:leftChars="0" w:firstLine="0" w:firstLineChars="0"/>
              <w:rPr>
                <w:rFonts w:hint="default"/>
                <w:sz w:val="21"/>
                <w:szCs w:val="21"/>
                <w:vertAlign w:val="baseline"/>
                <w:lang w:val="en-US" w:eastAsia="zh-CN"/>
              </w:rPr>
            </w:pPr>
            <w:r>
              <w:rPr>
                <w:rFonts w:hint="eastAsia"/>
                <w:sz w:val="21"/>
                <w:szCs w:val="21"/>
                <w:lang w:eastAsia="zh-CN"/>
              </w:rPr>
              <w:t>（</w:t>
            </w:r>
            <w:r>
              <w:rPr>
                <w:rFonts w:hint="eastAsia"/>
                <w:sz w:val="21"/>
                <w:szCs w:val="21"/>
                <w:lang w:val="en-US" w:eastAsia="zh-CN"/>
              </w:rPr>
              <w:t>8）</w:t>
            </w:r>
            <w:r>
              <w:rPr>
                <w:rFonts w:hint="eastAsia"/>
                <w:sz w:val="21"/>
                <w:szCs w:val="21"/>
                <w:lang w:eastAsia="zh-CN"/>
              </w:rPr>
              <w:t>应急医疗</w:t>
            </w:r>
            <w:r>
              <w:rPr>
                <w:rFonts w:hint="eastAsia"/>
                <w:sz w:val="21"/>
                <w:szCs w:val="21"/>
              </w:rPr>
              <w:t>组知员工及其他救援无关人员事故发生情况，禁止进入警戒区域;对救援过程中的受伤人员进行医治。</w:t>
            </w:r>
          </w:p>
        </w:tc>
      </w:tr>
    </w:tbl>
    <w:p>
      <w:pPr>
        <w:pStyle w:val="4"/>
        <w:keepNext/>
        <w:keepLines/>
        <w:pageBreakBefore w:val="0"/>
        <w:widowControl w:val="0"/>
        <w:kinsoku/>
        <w:wordWrap/>
        <w:overflowPunct/>
        <w:topLinePunct w:val="0"/>
        <w:autoSpaceDE/>
        <w:autoSpaceDN/>
        <w:bidi w:val="0"/>
        <w:adjustRightInd/>
        <w:snapToGrid/>
        <w:textAlignment w:val="auto"/>
        <w:outlineLvl w:val="1"/>
      </w:pPr>
      <w:bookmarkStart w:id="89" w:name="_Toc10312"/>
      <w:r>
        <w:rPr>
          <w:rFonts w:hint="eastAsia"/>
        </w:rPr>
        <w:t>应急监测</w:t>
      </w:r>
      <w:bookmarkEnd w:id="89"/>
    </w:p>
    <w:p>
      <w:pPr>
        <w:ind w:firstLine="560"/>
        <w:rPr>
          <w:rFonts w:hint="eastAsia"/>
          <w:sz w:val="24"/>
          <w:szCs w:val="24"/>
          <w:lang w:val="en-US" w:eastAsia="zh-CN"/>
        </w:rPr>
      </w:pPr>
      <w:r>
        <w:rPr>
          <w:rFonts w:hint="eastAsia"/>
          <w:sz w:val="24"/>
          <w:szCs w:val="24"/>
          <w:lang w:val="en-US" w:eastAsia="zh-CN"/>
        </w:rPr>
        <w:t>本厂不具备突发环境事件应急监测能力，发生重大事故时，需报告南昌市生态环境局昌北分局，请求启动南昌市突发环境事件应急监测流程开展应急监测，事故较小时，委托江西华检检测技术有限公司进行应急监测。应急监测组需配合监测单位开展应急监测工作，确定污染事故类型、危害、污染范围，根据监测数据科学分析污染变化趋势，为应急指挥部提供应急安全防范、救援、环境安全处置技术等方面的决策依据；对事故污染实施跟踪监测，为应急工作的终止提供科学依据</w:t>
      </w:r>
      <w:r>
        <w:rPr>
          <w:rFonts w:hint="eastAsia"/>
          <w:sz w:val="24"/>
          <w:szCs w:val="24"/>
        </w:rPr>
        <w:t>。</w:t>
      </w:r>
      <w:r>
        <w:rPr>
          <w:rFonts w:hint="eastAsia"/>
          <w:sz w:val="24"/>
          <w:szCs w:val="24"/>
          <w:lang w:eastAsia="zh-CN"/>
        </w:rPr>
        <w:t>具体监测方案应根据现场事故情况以及</w:t>
      </w:r>
      <w:r>
        <w:rPr>
          <w:rFonts w:hint="eastAsia"/>
          <w:sz w:val="24"/>
          <w:szCs w:val="24"/>
          <w:lang w:val="en-US" w:eastAsia="zh-CN"/>
        </w:rPr>
        <w:t>HJ589-2010</w:t>
      </w:r>
      <w:r>
        <w:rPr>
          <w:rFonts w:hint="eastAsia"/>
          <w:sz w:val="24"/>
          <w:szCs w:val="24"/>
          <w:lang w:eastAsia="zh-CN"/>
        </w:rPr>
        <w:t>，选择表</w:t>
      </w:r>
      <w:r>
        <w:rPr>
          <w:rFonts w:hint="eastAsia"/>
          <w:sz w:val="24"/>
          <w:szCs w:val="24"/>
          <w:lang w:val="en-US" w:eastAsia="zh-CN"/>
        </w:rPr>
        <w:t>7-2中内容进行监测。</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sz w:val="24"/>
          <w:szCs w:val="24"/>
          <w:lang w:val="en-US" w:eastAsia="zh-CN"/>
        </w:rPr>
      </w:pPr>
      <w:r>
        <w:rPr>
          <w:rFonts w:hint="eastAsia"/>
          <w:sz w:val="24"/>
          <w:szCs w:val="24"/>
          <w:lang w:val="en-US" w:eastAsia="zh-CN"/>
        </w:rPr>
        <w:t>表7-2 应急监测方案</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7"/>
        <w:gridCol w:w="256"/>
        <w:gridCol w:w="1860"/>
        <w:gridCol w:w="1199"/>
        <w:gridCol w:w="1014"/>
        <w:gridCol w:w="35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43" w:type="dxa"/>
            <w:gridSpan w:val="6"/>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sz w:val="21"/>
                <w:szCs w:val="21"/>
                <w:lang w:eastAsia="zh-CN"/>
              </w:rPr>
            </w:pPr>
            <w:r>
              <w:rPr>
                <w:rFonts w:hint="default" w:ascii="Times New Roman" w:hAnsi="Times New Roman" w:eastAsia="仿宋" w:cs="Times New Roman"/>
                <w:sz w:val="21"/>
                <w:szCs w:val="21"/>
                <w:lang w:eastAsia="zh-CN"/>
              </w:rPr>
              <w:t>监测布点原则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43" w:type="dxa"/>
            <w:gridSpan w:val="6"/>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eastAsia="zh-CN"/>
              </w:rPr>
            </w:pPr>
            <w:r>
              <w:rPr>
                <w:rFonts w:hint="default" w:ascii="Times New Roman" w:hAnsi="Times New Roman" w:eastAsia="仿宋" w:cs="Times New Roman"/>
                <w:sz w:val="21"/>
                <w:szCs w:val="21"/>
                <w:lang w:eastAsia="zh-CN"/>
              </w:rPr>
              <w:t>采样断面（点）的设置一般以突发环境事件发生地及其附近区域为主，同时必须注重人群和生活环境，重点关注对饮用水水源地、人群活动区域的空气、农田土壤等区域的影响，并合理设置监测断面（点），以掌握污染发生地状况、反映事故发生区域环境的污染程度和范围。</w:t>
            </w:r>
          </w:p>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eastAsia="zh-CN"/>
              </w:rPr>
            </w:pPr>
            <w:r>
              <w:rPr>
                <w:rFonts w:hint="default" w:ascii="Times New Roman" w:hAnsi="Times New Roman" w:eastAsia="仿宋" w:cs="Times New Roman"/>
                <w:sz w:val="21"/>
                <w:szCs w:val="21"/>
                <w:lang w:eastAsia="zh-CN"/>
              </w:rPr>
              <w:t>对被突发环境事件所污染的地表水、地下水、大气和土壤应设置对照断面（点）、控制断面（点），对地表水和地下水还应设置消减断面，尽可能以最少的断面（点）获取足够的有代表性的所需信息，同时须考虑采样的可行性和方便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43" w:type="dxa"/>
            <w:gridSpan w:val="6"/>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sz w:val="21"/>
                <w:szCs w:val="21"/>
                <w:lang w:eastAsia="zh-CN"/>
              </w:rPr>
            </w:pPr>
            <w:r>
              <w:rPr>
                <w:rFonts w:hint="default" w:ascii="Times New Roman" w:hAnsi="Times New Roman" w:eastAsia="仿宋" w:cs="Times New Roman"/>
                <w:sz w:val="21"/>
                <w:szCs w:val="21"/>
                <w:lang w:eastAsia="zh-CN"/>
              </w:rPr>
              <w:t>采样布点方法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43" w:type="dxa"/>
            <w:gridSpan w:val="6"/>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1、对于环境空气污染事故：应尽可能在事故发生地就近采样，并以事故地点为中心，根据事故发生地的地理特点、当时盛行风向以及其他自然条件，在事故发生地下风向（污染物漂移云团经过的路径）影响区域、掩体或低洼等位置，按一定间隔的圆形布点采样，并根据污染物的特点在不同高度采样，同时在事故点的上风向适当位置布设对照点。在距事故发生地最近的工厂、职工生活区及邻近村落或其他敏感区域应布点采样。采样过程中应注意风向的变化，及时调整采样点的位置。对于应急监测用采样器，应经常予以校正，便于在紧急时刻，监测设备能第一时间投入使用。</w:t>
            </w:r>
          </w:p>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2、对于地表水突发环境事件：监测点位以事故发生地为主，根据水流方向、扩散速度(或流速)和现场具体情况(如地形地貌等)进行布点采样，同时应测定流量。监测点位以事故发生地为主，根据水流方向、扩散速度(或流速)和现场具体情况(如地形地貌等)进行布点采样，同时应测定流量。</w:t>
            </w:r>
          </w:p>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3、对于土壤污染事故：应以事故发生地为中心，在事故发生地及其周围一定距离内的区域按一定间隔圆形布点采样，并根据污染物的特性在不同深度采样，同时采集未受污染区域的样品作为对照样品。在相对开阔的污染区域采取垂直深10cm的表面土。一般在10m×10m范围内，采用梅花形布点方式或根据地形采样蛇形布点方法(采样点不少于5个)。将多点采集的土壤样品除去石块、草根等杂质，现场混合后取1～2kg样品装在塑料带内密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43" w:type="dxa"/>
            <w:gridSpan w:val="6"/>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应急监测频次的确定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97" w:type="dxa"/>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事故类型</w:t>
            </w:r>
          </w:p>
        </w:tc>
        <w:tc>
          <w:tcPr>
            <w:tcW w:w="3315" w:type="dxa"/>
            <w:gridSpan w:val="3"/>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监测点位</w:t>
            </w:r>
          </w:p>
        </w:tc>
        <w:tc>
          <w:tcPr>
            <w:tcW w:w="4531"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应急监测频次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97" w:type="dxa"/>
            <w:vMerge w:val="restart"/>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环境空气污染事故</w:t>
            </w:r>
          </w:p>
        </w:tc>
        <w:tc>
          <w:tcPr>
            <w:tcW w:w="3315" w:type="dxa"/>
            <w:gridSpan w:val="3"/>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事故发生地</w:t>
            </w:r>
          </w:p>
        </w:tc>
        <w:tc>
          <w:tcPr>
            <w:tcW w:w="4531"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初始加密(6次/天)监测，随着污染物浓度的下降逐渐降低频次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97" w:type="dxa"/>
            <w:vMerge w:val="continue"/>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p>
        </w:tc>
        <w:tc>
          <w:tcPr>
            <w:tcW w:w="3315" w:type="dxa"/>
            <w:gridSpan w:val="3"/>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事故发生地周围居民区等敏感区域</w:t>
            </w:r>
          </w:p>
        </w:tc>
        <w:tc>
          <w:tcPr>
            <w:tcW w:w="4531"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初始加密(6次/天)监测，随着污染物浓度的下降逐渐降低频次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97" w:type="dxa"/>
            <w:vMerge w:val="continue"/>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p>
        </w:tc>
        <w:tc>
          <w:tcPr>
            <w:tcW w:w="3315" w:type="dxa"/>
            <w:gridSpan w:val="3"/>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事故发生地下风向</w:t>
            </w:r>
          </w:p>
        </w:tc>
        <w:tc>
          <w:tcPr>
            <w:tcW w:w="4531"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4次/天或与事故发生地同频次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97" w:type="dxa"/>
            <w:vMerge w:val="continue"/>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p>
        </w:tc>
        <w:tc>
          <w:tcPr>
            <w:tcW w:w="3315" w:type="dxa"/>
            <w:gridSpan w:val="3"/>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事故发生地上风向对照点</w:t>
            </w:r>
          </w:p>
        </w:tc>
        <w:tc>
          <w:tcPr>
            <w:tcW w:w="4531"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3次/天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97" w:type="dxa"/>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地表水突发环境事件</w:t>
            </w:r>
          </w:p>
        </w:tc>
        <w:tc>
          <w:tcPr>
            <w:tcW w:w="3315" w:type="dxa"/>
            <w:gridSpan w:val="3"/>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事故发生地河流及其下游断面</w:t>
            </w:r>
          </w:p>
        </w:tc>
        <w:tc>
          <w:tcPr>
            <w:tcW w:w="4531"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初始加密(4次/天)监测，随着污染物浓度的下降逐渐降低频次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97" w:type="dxa"/>
            <w:vMerge w:val="restart"/>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地下水污染事故</w:t>
            </w:r>
          </w:p>
        </w:tc>
        <w:tc>
          <w:tcPr>
            <w:tcW w:w="3315" w:type="dxa"/>
            <w:gridSpan w:val="3"/>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地下水事故发生地中心周围2km内水井</w:t>
            </w:r>
          </w:p>
        </w:tc>
        <w:tc>
          <w:tcPr>
            <w:tcW w:w="4531"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初始2次/天，第三天后，1次/周直至应急结束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97" w:type="dxa"/>
            <w:vMerge w:val="continue"/>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p>
        </w:tc>
        <w:tc>
          <w:tcPr>
            <w:tcW w:w="3315" w:type="dxa"/>
            <w:gridSpan w:val="3"/>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地下水流经区域沿线水井</w:t>
            </w:r>
          </w:p>
        </w:tc>
        <w:tc>
          <w:tcPr>
            <w:tcW w:w="4531"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初始2次/天，第三天后，1次/周直至应急结束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97" w:type="dxa"/>
            <w:vMerge w:val="continue"/>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p>
        </w:tc>
        <w:tc>
          <w:tcPr>
            <w:tcW w:w="3315" w:type="dxa"/>
            <w:gridSpan w:val="3"/>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地下水事故发生地对照点</w:t>
            </w:r>
          </w:p>
        </w:tc>
        <w:tc>
          <w:tcPr>
            <w:tcW w:w="4531"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1次/应急期间，以平行双样数据为准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97" w:type="dxa"/>
            <w:vMerge w:val="restart"/>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土壤污染事故</w:t>
            </w:r>
          </w:p>
        </w:tc>
        <w:tc>
          <w:tcPr>
            <w:tcW w:w="3315" w:type="dxa"/>
            <w:gridSpan w:val="3"/>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事故发生地受污染区域</w:t>
            </w:r>
          </w:p>
        </w:tc>
        <w:tc>
          <w:tcPr>
            <w:tcW w:w="4531"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2次/天(应急期间)，视处置进展情况逐步降低频次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97" w:type="dxa"/>
            <w:vMerge w:val="continue"/>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p>
        </w:tc>
        <w:tc>
          <w:tcPr>
            <w:tcW w:w="3315" w:type="dxa"/>
            <w:gridSpan w:val="3"/>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对照点</w:t>
            </w:r>
          </w:p>
        </w:tc>
        <w:tc>
          <w:tcPr>
            <w:tcW w:w="4531"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both"/>
              <w:textAlignment w:val="auto"/>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1次/应急期间，以平行双样数据为准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43" w:type="dxa"/>
            <w:gridSpan w:val="6"/>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sz w:val="21"/>
                <w:szCs w:val="21"/>
                <w:lang w:eastAsia="zh-CN"/>
              </w:rPr>
            </w:pPr>
            <w:r>
              <w:rPr>
                <w:rFonts w:hint="default" w:ascii="Times New Roman" w:hAnsi="Times New Roman" w:eastAsia="仿宋" w:cs="Times New Roman"/>
                <w:color w:val="auto"/>
                <w:sz w:val="21"/>
                <w:szCs w:val="21"/>
                <w:lang w:eastAsia="zh-CN"/>
              </w:rPr>
              <w:t>监测相关指标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53"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eastAsia="zh-CN"/>
              </w:rPr>
              <w:t>情景</w:t>
            </w:r>
          </w:p>
        </w:tc>
        <w:tc>
          <w:tcPr>
            <w:tcW w:w="1860" w:type="dxa"/>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eastAsia="zh-CN"/>
              </w:rPr>
              <w:t>具体事故</w:t>
            </w:r>
          </w:p>
        </w:tc>
        <w:tc>
          <w:tcPr>
            <w:tcW w:w="2213"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eastAsia="zh-CN"/>
              </w:rPr>
              <w:t>监测点位</w:t>
            </w:r>
          </w:p>
        </w:tc>
        <w:tc>
          <w:tcPr>
            <w:tcW w:w="3517" w:type="dxa"/>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eastAsia="zh-CN"/>
              </w:rPr>
              <w:t>监测因子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53"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eastAsia="zh-CN"/>
              </w:rPr>
              <w:t>废水泄漏至厂内</w:t>
            </w:r>
          </w:p>
        </w:tc>
        <w:tc>
          <w:tcPr>
            <w:tcW w:w="1860" w:type="dxa"/>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eastAsia="zh-CN"/>
              </w:rPr>
              <w:t>沉淀池泄漏</w:t>
            </w:r>
          </w:p>
        </w:tc>
        <w:tc>
          <w:tcPr>
            <w:tcW w:w="2213"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eastAsia="仿宋" w:cs="Times New Roman"/>
                <w:color w:val="auto"/>
                <w:kern w:val="2"/>
                <w:sz w:val="21"/>
                <w:szCs w:val="21"/>
                <w:lang w:val="en-US" w:eastAsia="zh-CN" w:bidi="ar-SA"/>
              </w:rPr>
            </w:pPr>
            <w:r>
              <w:rPr>
                <w:rFonts w:hint="default" w:ascii="Times New Roman" w:hAnsi="Times New Roman" w:eastAsia="仿宋" w:cs="Times New Roman"/>
                <w:color w:val="auto"/>
                <w:sz w:val="21"/>
                <w:szCs w:val="21"/>
                <w:lang w:eastAsia="zh-CN"/>
              </w:rPr>
              <w:t>厂区污水总排口</w:t>
            </w:r>
          </w:p>
        </w:tc>
        <w:tc>
          <w:tcPr>
            <w:tcW w:w="3517" w:type="dxa"/>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eastAsia="仿宋" w:cs="Times New Roman"/>
                <w:color w:val="auto"/>
                <w:kern w:val="2"/>
                <w:sz w:val="21"/>
                <w:szCs w:val="21"/>
                <w:lang w:val="en-US" w:eastAsia="zh-CN" w:bidi="ar-SA"/>
              </w:rPr>
            </w:pPr>
            <w:r>
              <w:rPr>
                <w:rFonts w:hint="default" w:ascii="Times New Roman" w:hAnsi="Times New Roman" w:eastAsia="仿宋" w:cs="Times New Roman"/>
                <w:color w:val="auto"/>
                <w:sz w:val="21"/>
                <w:szCs w:val="21"/>
                <w:lang w:val="en-US" w:eastAsia="zh-CN"/>
              </w:rPr>
              <w:t>pH、</w:t>
            </w:r>
            <w:r>
              <w:rPr>
                <w:rFonts w:hint="default" w:ascii="Times New Roman" w:hAnsi="Times New Roman" w:eastAsia="仿宋" w:cs="Times New Roman"/>
                <w:color w:val="auto"/>
                <w:sz w:val="21"/>
                <w:szCs w:val="21"/>
                <w:lang w:eastAsia="zh-CN"/>
              </w:rPr>
              <w:t>COD、</w:t>
            </w:r>
            <w:r>
              <w:rPr>
                <w:rFonts w:hint="default" w:ascii="Times New Roman" w:hAnsi="Times New Roman" w:eastAsia="仿宋" w:cs="Times New Roman"/>
                <w:color w:val="auto"/>
                <w:sz w:val="21"/>
                <w:szCs w:val="21"/>
                <w:lang w:val="en-US" w:eastAsia="zh-CN"/>
              </w:rPr>
              <w:t>BOD</w:t>
            </w:r>
            <w:r>
              <w:rPr>
                <w:rFonts w:hint="default" w:ascii="Times New Roman" w:hAnsi="Times New Roman" w:eastAsia="仿宋" w:cs="Times New Roman"/>
                <w:color w:val="auto"/>
                <w:sz w:val="21"/>
                <w:szCs w:val="21"/>
                <w:vertAlign w:val="subscript"/>
                <w:lang w:val="en-US" w:eastAsia="zh-CN"/>
              </w:rPr>
              <w:t>5</w:t>
            </w:r>
            <w:r>
              <w:rPr>
                <w:rFonts w:hint="default" w:ascii="Times New Roman" w:hAnsi="Times New Roman" w:eastAsia="仿宋" w:cs="Times New Roman"/>
                <w:color w:val="auto"/>
                <w:sz w:val="21"/>
                <w:szCs w:val="21"/>
                <w:vertAlign w:val="baseline"/>
                <w:lang w:val="en-US" w:eastAsia="zh-CN"/>
              </w:rPr>
              <w:t>、SS、</w:t>
            </w:r>
            <w:r>
              <w:rPr>
                <w:rFonts w:hint="default" w:ascii="Times New Roman" w:hAnsi="Times New Roman" w:eastAsia="仿宋" w:cs="Times New Roman"/>
                <w:color w:val="auto"/>
                <w:sz w:val="21"/>
                <w:szCs w:val="21"/>
                <w:lang w:eastAsia="zh-CN"/>
              </w:rPr>
              <w:t>NH</w:t>
            </w:r>
            <w:r>
              <w:rPr>
                <w:rFonts w:hint="default" w:ascii="Times New Roman" w:hAnsi="Times New Roman" w:eastAsia="仿宋" w:cs="Times New Roman"/>
                <w:color w:val="auto"/>
                <w:sz w:val="21"/>
                <w:szCs w:val="21"/>
                <w:vertAlign w:val="subscript"/>
                <w:lang w:eastAsia="zh-CN"/>
              </w:rPr>
              <w:t>3</w:t>
            </w:r>
            <w:r>
              <w:rPr>
                <w:rFonts w:hint="default" w:ascii="Times New Roman" w:hAnsi="Times New Roman" w:eastAsia="仿宋" w:cs="Times New Roman"/>
                <w:color w:val="auto"/>
                <w:sz w:val="21"/>
                <w:szCs w:val="21"/>
                <w:lang w:eastAsia="zh-CN"/>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53"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eastAsia="zh-CN"/>
              </w:rPr>
              <w:t>废水泄漏至厂外</w:t>
            </w:r>
          </w:p>
        </w:tc>
        <w:tc>
          <w:tcPr>
            <w:tcW w:w="1860" w:type="dxa"/>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w:t>
            </w:r>
          </w:p>
        </w:tc>
        <w:tc>
          <w:tcPr>
            <w:tcW w:w="2213"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eastAsia="zh-CN"/>
              </w:rPr>
              <w:t>厂区污水总排口、污水入赣江北支上游</w:t>
            </w:r>
            <w:r>
              <w:rPr>
                <w:rFonts w:hint="default" w:ascii="Times New Roman" w:hAnsi="Times New Roman" w:eastAsia="仿宋" w:cs="Times New Roman"/>
                <w:color w:val="auto"/>
                <w:sz w:val="21"/>
                <w:szCs w:val="21"/>
                <w:lang w:val="en-US" w:eastAsia="zh-CN"/>
              </w:rPr>
              <w:t>500m~3000m断面</w:t>
            </w:r>
          </w:p>
        </w:tc>
        <w:tc>
          <w:tcPr>
            <w:tcW w:w="3517" w:type="dxa"/>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pH、</w:t>
            </w:r>
            <w:r>
              <w:rPr>
                <w:rFonts w:hint="default" w:ascii="Times New Roman" w:hAnsi="Times New Roman" w:eastAsia="仿宋" w:cs="Times New Roman"/>
                <w:color w:val="auto"/>
                <w:sz w:val="21"/>
                <w:szCs w:val="21"/>
                <w:lang w:eastAsia="zh-CN"/>
              </w:rPr>
              <w:t>COD、</w:t>
            </w:r>
            <w:r>
              <w:rPr>
                <w:rFonts w:hint="default" w:ascii="Times New Roman" w:hAnsi="Times New Roman" w:eastAsia="仿宋" w:cs="Times New Roman"/>
                <w:color w:val="auto"/>
                <w:sz w:val="21"/>
                <w:szCs w:val="21"/>
                <w:lang w:val="en-US" w:eastAsia="zh-CN"/>
              </w:rPr>
              <w:t>BOD</w:t>
            </w:r>
            <w:r>
              <w:rPr>
                <w:rFonts w:hint="default" w:ascii="Times New Roman" w:hAnsi="Times New Roman" w:eastAsia="仿宋" w:cs="Times New Roman"/>
                <w:color w:val="auto"/>
                <w:sz w:val="21"/>
                <w:szCs w:val="21"/>
                <w:vertAlign w:val="subscript"/>
                <w:lang w:val="en-US" w:eastAsia="zh-CN"/>
              </w:rPr>
              <w:t>5</w:t>
            </w:r>
            <w:r>
              <w:rPr>
                <w:rFonts w:hint="default" w:ascii="Times New Roman" w:hAnsi="Times New Roman" w:eastAsia="仿宋" w:cs="Times New Roman"/>
                <w:color w:val="auto"/>
                <w:sz w:val="21"/>
                <w:szCs w:val="21"/>
                <w:vertAlign w:val="baseline"/>
                <w:lang w:val="en-US" w:eastAsia="zh-CN"/>
              </w:rPr>
              <w:t>、SS、</w:t>
            </w:r>
            <w:r>
              <w:rPr>
                <w:rFonts w:hint="default" w:ascii="Times New Roman" w:hAnsi="Times New Roman" w:eastAsia="仿宋" w:cs="Times New Roman"/>
                <w:color w:val="auto"/>
                <w:sz w:val="21"/>
                <w:szCs w:val="21"/>
                <w:lang w:eastAsia="zh-CN"/>
              </w:rPr>
              <w:t>NH</w:t>
            </w:r>
            <w:r>
              <w:rPr>
                <w:rFonts w:hint="default" w:ascii="Times New Roman" w:hAnsi="Times New Roman" w:eastAsia="仿宋" w:cs="Times New Roman"/>
                <w:color w:val="auto"/>
                <w:sz w:val="21"/>
                <w:szCs w:val="21"/>
                <w:vertAlign w:val="subscript"/>
                <w:lang w:eastAsia="zh-CN"/>
              </w:rPr>
              <w:t>3</w:t>
            </w:r>
            <w:r>
              <w:rPr>
                <w:rFonts w:hint="default" w:ascii="Times New Roman" w:hAnsi="Times New Roman" w:eastAsia="仿宋" w:cs="Times New Roman"/>
                <w:color w:val="auto"/>
                <w:sz w:val="21"/>
                <w:szCs w:val="21"/>
                <w:lang w:eastAsia="zh-CN"/>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53"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eastAsia="zh-CN"/>
              </w:rPr>
              <w:t>废气超标排放事故</w:t>
            </w:r>
          </w:p>
        </w:tc>
        <w:tc>
          <w:tcPr>
            <w:tcW w:w="1860" w:type="dxa"/>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w:t>
            </w:r>
          </w:p>
        </w:tc>
        <w:tc>
          <w:tcPr>
            <w:tcW w:w="2213" w:type="dxa"/>
            <w:gridSpan w:val="2"/>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eastAsia="zh-CN"/>
              </w:rPr>
              <w:t>下风向厂界及最近敏感目标</w:t>
            </w:r>
          </w:p>
        </w:tc>
        <w:tc>
          <w:tcPr>
            <w:tcW w:w="3517" w:type="dxa"/>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eastAsia="zh-CN"/>
              </w:rPr>
              <w:t>颗粒物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43" w:type="dxa"/>
            <w:gridSpan w:val="6"/>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监测人员的防护措施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43" w:type="dxa"/>
            <w:gridSpan w:val="6"/>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420" w:firstLineChars="200"/>
              <w:jc w:val="both"/>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1）进入突发性环境污染事故现场的应急监测人员，必须注意自身的安全防护，对事故现场不熟悉、不能确认现场安全或不按规定配备必需的防护没备（如防护服、防毒呼吸器等）时，未经现场指挥、警戒人员许可，不得进入事故现场进行采样监测；</w:t>
            </w:r>
          </w:p>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420" w:firstLineChars="200"/>
              <w:jc w:val="both"/>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（2）应急监测时，至少应有2人同行。进入事故现场进行采样监测，应经现场指挥、警戒人员的许可，在确认安全的情况下，按规定配备必需的防护设备（如防护服、防毒呼吸器等）；</w:t>
            </w:r>
          </w:p>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420" w:firstLineChars="200"/>
              <w:jc w:val="both"/>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3）进入易燃、易爆事故现场的应急监测车辆应有防火、防爆安全装置，应使用防爆的现场应急监测仪器设备（包括附件，如电源等）进行现场监测，或在确认安全的情况下使用现场应急监测仪器设备进行现场监测；</w:t>
            </w:r>
          </w:p>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420" w:firstLineChars="200"/>
              <w:jc w:val="both"/>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（4）进入水体或登高采样，应穿戴救生衣或佩带防护安全带（绳），以防安全事故；</w:t>
            </w:r>
          </w:p>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420" w:firstLineChars="200"/>
              <w:jc w:val="both"/>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（5）对需送实验室进行分析的有毒有害、易燃易爆或性状不明样品，特别是污染源样品应用特别的标识（如图案、文字）加以注明，以便送样、接样和分析人员采取合适的处置对策，确保他们自身的安全；</w:t>
            </w:r>
          </w:p>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420" w:firstLineChars="200"/>
              <w:jc w:val="both"/>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（6）对含有剧毒或大量有毒有害化合物的样品，特别是污染源样品，不得随意处置，应做无害化处理或送至有资质的处理单位进行无害化处理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43" w:type="dxa"/>
            <w:gridSpan w:val="6"/>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0" w:firstLineChars="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监测结果报告制度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43" w:type="dxa"/>
            <w:gridSpan w:val="6"/>
            <w:noWrap w:val="0"/>
            <w:vAlign w:val="center"/>
          </w:tcPr>
          <w:p>
            <w:pPr>
              <w:pStyle w:val="24"/>
              <w:keepNext w:val="0"/>
              <w:keepLines w:val="0"/>
              <w:pageBreakBefore w:val="0"/>
              <w:widowControl w:val="0"/>
              <w:kinsoku/>
              <w:wordWrap/>
              <w:overflowPunct/>
              <w:topLinePunct w:val="0"/>
              <w:autoSpaceDE/>
              <w:autoSpaceDN/>
              <w:bidi w:val="0"/>
              <w:adjustRightInd w:val="0"/>
              <w:snapToGrid w:val="0"/>
              <w:spacing w:after="0" w:line="240" w:lineRule="auto"/>
              <w:ind w:left="0" w:firstLine="420" w:firstLineChars="200"/>
              <w:jc w:val="both"/>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应急工艺生产组应尽快向指挥中心报告有关的监测结果，定期或不定期编写监测快报（一般水污染在4小时内，气污染在2小时内作出快报）。污染跟踪监测则根据监测数据、预测污染迁移强度、速度和影响范围以及主管部门的意见定时编制报告</w:t>
            </w:r>
          </w:p>
        </w:tc>
      </w:tr>
    </w:tbl>
    <w:p>
      <w:pPr>
        <w:ind w:firstLine="560"/>
        <w:rPr>
          <w:rFonts w:hint="default"/>
          <w:lang w:val="en-US" w:eastAsia="zh-CN"/>
        </w:rPr>
      </w:pPr>
    </w:p>
    <w:p>
      <w:pPr>
        <w:pStyle w:val="4"/>
        <w:rPr>
          <w:sz w:val="24"/>
          <w:szCs w:val="24"/>
        </w:rPr>
      </w:pPr>
      <w:bookmarkStart w:id="90" w:name="_Toc11684"/>
      <w:r>
        <w:rPr>
          <w:rFonts w:hint="eastAsia"/>
          <w:sz w:val="24"/>
          <w:szCs w:val="24"/>
        </w:rPr>
        <w:t>应急终止</w:t>
      </w:r>
      <w:bookmarkEnd w:id="90"/>
    </w:p>
    <w:p>
      <w:pPr>
        <w:ind w:firstLine="560"/>
        <w:rPr>
          <w:sz w:val="24"/>
          <w:szCs w:val="24"/>
        </w:rPr>
      </w:pPr>
      <w:r>
        <w:rPr>
          <w:rFonts w:hint="eastAsia"/>
          <w:sz w:val="24"/>
          <w:szCs w:val="24"/>
        </w:rPr>
        <w:t>事件现场得以控制，环境符合有关标准，导致次生、衍生事件隐患消除后，经事件现场应急指挥机构批准后，现场立即结束。</w:t>
      </w:r>
    </w:p>
    <w:p>
      <w:pPr>
        <w:pStyle w:val="5"/>
        <w:rPr>
          <w:sz w:val="24"/>
          <w:szCs w:val="24"/>
        </w:rPr>
      </w:pPr>
      <w:r>
        <w:rPr>
          <w:rFonts w:hint="eastAsia"/>
          <w:sz w:val="24"/>
          <w:szCs w:val="24"/>
        </w:rPr>
        <w:t>应急终止的条件</w:t>
      </w:r>
    </w:p>
    <w:p>
      <w:pPr>
        <w:ind w:firstLine="560"/>
        <w:rPr>
          <w:sz w:val="24"/>
          <w:szCs w:val="24"/>
        </w:rPr>
      </w:pPr>
      <w:r>
        <w:rPr>
          <w:rFonts w:hint="eastAsia"/>
          <w:sz w:val="24"/>
          <w:szCs w:val="24"/>
        </w:rPr>
        <w:t>符合下列条件，即满足终止条件：</w:t>
      </w:r>
    </w:p>
    <w:p>
      <w:pPr>
        <w:spacing w:line="360" w:lineRule="auto"/>
        <w:ind w:firstLine="480" w:firstLineChars="200"/>
        <w:rPr>
          <w:color w:val="000000"/>
          <w:sz w:val="24"/>
          <w:szCs w:val="24"/>
        </w:rPr>
      </w:pPr>
      <w:r>
        <w:rPr>
          <w:color w:val="000000"/>
          <w:sz w:val="24"/>
          <w:szCs w:val="24"/>
        </w:rPr>
        <w:t>1</w:t>
      </w:r>
      <w:r>
        <w:rPr>
          <w:rFonts w:hAnsi="宋体"/>
          <w:color w:val="000000"/>
          <w:sz w:val="24"/>
          <w:szCs w:val="24"/>
        </w:rPr>
        <w:t>）事件现场得到控制，事件条件已经消除；</w:t>
      </w:r>
    </w:p>
    <w:p>
      <w:pPr>
        <w:spacing w:line="360" w:lineRule="auto"/>
        <w:ind w:firstLine="480" w:firstLineChars="200"/>
        <w:rPr>
          <w:color w:val="000000"/>
          <w:sz w:val="24"/>
          <w:szCs w:val="24"/>
        </w:rPr>
      </w:pPr>
      <w:r>
        <w:rPr>
          <w:color w:val="000000"/>
          <w:sz w:val="24"/>
          <w:szCs w:val="24"/>
        </w:rPr>
        <w:t>2</w:t>
      </w:r>
      <w:r>
        <w:rPr>
          <w:rFonts w:hAnsi="宋体"/>
          <w:color w:val="000000"/>
          <w:sz w:val="24"/>
          <w:szCs w:val="24"/>
        </w:rPr>
        <w:t>）泄漏或释放已降至规定限值以内；</w:t>
      </w:r>
    </w:p>
    <w:p>
      <w:pPr>
        <w:spacing w:line="360" w:lineRule="auto"/>
        <w:ind w:firstLine="480" w:firstLineChars="200"/>
        <w:rPr>
          <w:color w:val="000000"/>
          <w:sz w:val="24"/>
          <w:szCs w:val="24"/>
        </w:rPr>
      </w:pPr>
      <w:r>
        <w:rPr>
          <w:color w:val="000000"/>
          <w:sz w:val="24"/>
          <w:szCs w:val="24"/>
        </w:rPr>
        <w:t>3</w:t>
      </w:r>
      <w:r>
        <w:rPr>
          <w:rFonts w:hAnsi="宋体"/>
          <w:color w:val="000000"/>
          <w:sz w:val="24"/>
          <w:szCs w:val="24"/>
        </w:rPr>
        <w:t>）事件造成的危害已经被彻底消除，无继发可能；</w:t>
      </w:r>
    </w:p>
    <w:p>
      <w:pPr>
        <w:spacing w:line="360" w:lineRule="auto"/>
        <w:ind w:firstLine="480" w:firstLineChars="200"/>
        <w:rPr>
          <w:color w:val="000000"/>
          <w:sz w:val="24"/>
          <w:szCs w:val="24"/>
        </w:rPr>
      </w:pPr>
      <w:r>
        <w:rPr>
          <w:color w:val="000000"/>
          <w:sz w:val="24"/>
          <w:szCs w:val="24"/>
        </w:rPr>
        <w:t>4</w:t>
      </w:r>
      <w:r>
        <w:rPr>
          <w:rFonts w:hAnsi="宋体"/>
          <w:color w:val="000000"/>
          <w:sz w:val="24"/>
          <w:szCs w:val="24"/>
        </w:rPr>
        <w:t>）事件现场的各种专业应急处置行动已无继续的必要；</w:t>
      </w:r>
    </w:p>
    <w:p>
      <w:pPr>
        <w:ind w:firstLine="560"/>
        <w:rPr>
          <w:sz w:val="24"/>
          <w:szCs w:val="24"/>
        </w:rPr>
      </w:pPr>
      <w:r>
        <w:rPr>
          <w:color w:val="000000"/>
          <w:sz w:val="24"/>
          <w:szCs w:val="24"/>
        </w:rPr>
        <w:t>5</w:t>
      </w:r>
      <w:r>
        <w:rPr>
          <w:rFonts w:hAnsi="宋体"/>
          <w:color w:val="000000"/>
          <w:sz w:val="24"/>
          <w:szCs w:val="24"/>
        </w:rPr>
        <w:t>）采取了必要的防护措施以保护公众免受再次危害，并使事件可能引起的中长期影响趋于合理且尽量低的水平</w:t>
      </w:r>
      <w:r>
        <w:rPr>
          <w:rFonts w:hint="eastAsia"/>
          <w:sz w:val="24"/>
          <w:szCs w:val="24"/>
        </w:rPr>
        <w:t>；</w:t>
      </w:r>
    </w:p>
    <w:p>
      <w:pPr>
        <w:pStyle w:val="5"/>
        <w:rPr>
          <w:sz w:val="24"/>
          <w:szCs w:val="24"/>
        </w:rPr>
      </w:pPr>
      <w:r>
        <w:rPr>
          <w:rFonts w:hint="eastAsia"/>
          <w:sz w:val="24"/>
          <w:szCs w:val="24"/>
        </w:rPr>
        <w:t>应急终止的程序</w:t>
      </w:r>
    </w:p>
    <w:p>
      <w:pPr>
        <w:ind w:firstLine="560"/>
        <w:rPr>
          <w:sz w:val="24"/>
          <w:szCs w:val="24"/>
        </w:rPr>
      </w:pPr>
      <w:r>
        <w:rPr>
          <w:rFonts w:hint="eastAsia"/>
          <w:sz w:val="24"/>
          <w:szCs w:val="24"/>
        </w:rPr>
        <w:t>各小组完成救援任务后，及时反馈信息，应急指挥部根据反馈信息，确认救援结束：</w:t>
      </w:r>
    </w:p>
    <w:p>
      <w:pPr>
        <w:ind w:firstLine="560"/>
        <w:rPr>
          <w:sz w:val="24"/>
          <w:szCs w:val="24"/>
        </w:rPr>
      </w:pPr>
      <w:r>
        <w:rPr>
          <w:rFonts w:hint="eastAsia"/>
          <w:sz w:val="24"/>
          <w:szCs w:val="24"/>
        </w:rPr>
        <w:t>1、III级突发环境事件由应急办公室决定终止救援，由应急办公室下达终止命令；</w:t>
      </w:r>
    </w:p>
    <w:p>
      <w:pPr>
        <w:ind w:firstLine="560"/>
        <w:rPr>
          <w:sz w:val="24"/>
          <w:szCs w:val="24"/>
        </w:rPr>
      </w:pPr>
      <w:r>
        <w:rPr>
          <w:rFonts w:hint="eastAsia"/>
          <w:sz w:val="24"/>
          <w:szCs w:val="24"/>
        </w:rPr>
        <w:t>2、II级突发环境事件由应急救援指挥部决定终止救援，发布终止命令。应急救援指挥部向应急办公室下达应急救援终止命令，再由应急办公室向各救援小组转达应急救援终止命令；</w:t>
      </w:r>
    </w:p>
    <w:p>
      <w:pPr>
        <w:ind w:firstLine="560"/>
        <w:rPr>
          <w:sz w:val="24"/>
          <w:szCs w:val="24"/>
        </w:rPr>
      </w:pPr>
      <w:r>
        <w:rPr>
          <w:rFonts w:hint="eastAsia"/>
          <w:sz w:val="24"/>
          <w:szCs w:val="24"/>
        </w:rPr>
        <w:t>3、I级突发环境事件由公司应急救援指挥部和</w:t>
      </w:r>
      <w:r>
        <w:rPr>
          <w:rFonts w:hint="eastAsia"/>
          <w:sz w:val="24"/>
          <w:szCs w:val="24"/>
          <w:lang w:eastAsia="zh-CN"/>
        </w:rPr>
        <w:t>南昌经济技术开发区</w:t>
      </w:r>
      <w:r>
        <w:rPr>
          <w:rFonts w:hint="eastAsia"/>
          <w:sz w:val="24"/>
          <w:szCs w:val="24"/>
        </w:rPr>
        <w:t>管委会应急办共同决定终止救援，由临时指挥部向应急办公室下达救援终止命令。再由应急办公室向各救援小组和周围受影响的敏感目标转达救援终止命令。</w:t>
      </w:r>
    </w:p>
    <w:p>
      <w:pPr>
        <w:ind w:firstLine="560"/>
        <w:rPr>
          <w:sz w:val="24"/>
          <w:szCs w:val="24"/>
        </w:rPr>
      </w:pPr>
      <w:r>
        <w:rPr>
          <w:rFonts w:hint="eastAsia"/>
          <w:sz w:val="24"/>
          <w:szCs w:val="24"/>
        </w:rPr>
        <w:t>突发环境事件应急终止的程序详见</w:t>
      </w:r>
      <w:r>
        <w:rPr>
          <w:sz w:val="24"/>
          <w:szCs w:val="24"/>
        </w:rPr>
        <w:fldChar w:fldCharType="begin"/>
      </w:r>
      <w:r>
        <w:rPr>
          <w:sz w:val="24"/>
          <w:szCs w:val="24"/>
        </w:rPr>
        <w:instrText xml:space="preserve"> </w:instrText>
      </w:r>
      <w:r>
        <w:rPr>
          <w:rFonts w:hint="eastAsia"/>
          <w:sz w:val="24"/>
          <w:szCs w:val="24"/>
        </w:rPr>
        <w:instrText xml:space="preserve">REF _Ref527061237 \h</w:instrText>
      </w:r>
      <w:r>
        <w:rPr>
          <w:sz w:val="24"/>
          <w:szCs w:val="24"/>
        </w:rPr>
        <w:instrText xml:space="preserve"> </w:instrText>
      </w:r>
      <w:r>
        <w:rPr>
          <w:sz w:val="24"/>
          <w:szCs w:val="24"/>
        </w:rPr>
        <w:fldChar w:fldCharType="separate"/>
      </w:r>
      <w:r>
        <w:rPr>
          <w:rFonts w:hint="eastAsia"/>
          <w:sz w:val="24"/>
          <w:szCs w:val="24"/>
        </w:rPr>
        <w:t xml:space="preserve">图 </w:t>
      </w:r>
      <w:r>
        <w:rPr>
          <w:rFonts w:hint="eastAsia"/>
          <w:sz w:val="24"/>
          <w:szCs w:val="24"/>
          <w:lang w:val="en-US" w:eastAsia="zh-CN"/>
        </w:rPr>
        <w:t>7</w:t>
      </w:r>
      <w:r>
        <w:rPr>
          <w:sz w:val="24"/>
          <w:szCs w:val="24"/>
        </w:rPr>
        <w:noBreakHyphen/>
      </w:r>
      <w:r>
        <w:rPr>
          <w:rFonts w:hint="eastAsia"/>
          <w:sz w:val="24"/>
          <w:szCs w:val="24"/>
          <w:lang w:val="en-US" w:eastAsia="zh-CN"/>
        </w:rPr>
        <w:t>2</w:t>
      </w:r>
      <w:r>
        <w:rPr>
          <w:sz w:val="24"/>
          <w:szCs w:val="24"/>
        </w:rPr>
        <w:fldChar w:fldCharType="end"/>
      </w:r>
      <w:r>
        <w:rPr>
          <w:rFonts w:hint="eastAsia"/>
          <w:sz w:val="24"/>
          <w:szCs w:val="24"/>
        </w:rPr>
        <w:t>。</w:t>
      </w:r>
    </w:p>
    <w:p>
      <w:pPr>
        <w:keepNext/>
        <w:ind w:firstLine="0" w:firstLineChars="0"/>
        <w:rPr>
          <w:rFonts w:hint="eastAsia" w:eastAsia="宋体"/>
          <w:sz w:val="24"/>
          <w:szCs w:val="24"/>
          <w:lang w:eastAsia="zh-CN"/>
        </w:rPr>
      </w:pPr>
      <w:r>
        <w:rPr>
          <w:rFonts w:hint="eastAsia" w:eastAsia="宋体"/>
          <w:sz w:val="24"/>
          <w:szCs w:val="24"/>
          <w:lang w:eastAsia="zh-CN"/>
        </w:rPr>
        <w:drawing>
          <wp:inline distT="0" distB="0" distL="114300" distR="114300">
            <wp:extent cx="5794375" cy="6423660"/>
            <wp:effectExtent l="0" t="0" r="15875" b="15240"/>
            <wp:docPr id="5" name="图片 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1"/>
                    <pic:cNvPicPr>
                      <a:picLocks noChangeAspect="1"/>
                    </pic:cNvPicPr>
                  </pic:nvPicPr>
                  <pic:blipFill>
                    <a:blip r:embed="rId25"/>
                    <a:stretch>
                      <a:fillRect/>
                    </a:stretch>
                  </pic:blipFill>
                  <pic:spPr>
                    <a:xfrm>
                      <a:off x="0" y="0"/>
                      <a:ext cx="5794375" cy="6423660"/>
                    </a:xfrm>
                    <a:prstGeom prst="rect">
                      <a:avLst/>
                    </a:prstGeom>
                  </pic:spPr>
                </pic:pic>
              </a:graphicData>
            </a:graphic>
          </wp:inline>
        </w:drawing>
      </w:r>
    </w:p>
    <w:p>
      <w:pPr>
        <w:pStyle w:val="7"/>
        <w:rPr>
          <w:b/>
          <w:bCs/>
          <w:sz w:val="24"/>
          <w:szCs w:val="24"/>
        </w:rPr>
      </w:pPr>
      <w:bookmarkStart w:id="91" w:name="_Ref527061237"/>
      <w:r>
        <w:rPr>
          <w:rFonts w:hint="eastAsia"/>
          <w:b/>
          <w:bCs/>
          <w:sz w:val="24"/>
          <w:szCs w:val="24"/>
        </w:rPr>
        <w:t xml:space="preserve">图 </w:t>
      </w:r>
      <w:r>
        <w:rPr>
          <w:rFonts w:hint="eastAsia"/>
          <w:b/>
          <w:bCs/>
          <w:sz w:val="24"/>
          <w:szCs w:val="24"/>
          <w:lang w:val="en-US" w:eastAsia="zh-CN"/>
        </w:rPr>
        <w:t>7</w:t>
      </w:r>
      <w:r>
        <w:rPr>
          <w:b/>
          <w:bCs/>
          <w:sz w:val="24"/>
          <w:szCs w:val="24"/>
        </w:rPr>
        <w:noBreakHyphen/>
      </w:r>
      <w:bookmarkEnd w:id="91"/>
      <w:r>
        <w:rPr>
          <w:rFonts w:hint="eastAsia"/>
          <w:b/>
          <w:bCs/>
          <w:sz w:val="24"/>
          <w:szCs w:val="24"/>
          <w:lang w:val="en-US" w:eastAsia="zh-CN"/>
        </w:rPr>
        <w:t>2</w:t>
      </w:r>
      <w:r>
        <w:rPr>
          <w:rFonts w:hint="eastAsia"/>
          <w:b/>
          <w:bCs/>
          <w:sz w:val="24"/>
          <w:szCs w:val="24"/>
        </w:rPr>
        <w:t>突发环境事件应急终止程序</w:t>
      </w:r>
    </w:p>
    <w:p>
      <w:pPr>
        <w:pStyle w:val="5"/>
        <w:rPr>
          <w:sz w:val="24"/>
          <w:szCs w:val="24"/>
        </w:rPr>
      </w:pPr>
      <w:r>
        <w:rPr>
          <w:rFonts w:hint="eastAsia"/>
          <w:sz w:val="24"/>
          <w:szCs w:val="24"/>
        </w:rPr>
        <w:t>应急终止后的行动</w:t>
      </w:r>
    </w:p>
    <w:p>
      <w:pPr>
        <w:ind w:firstLine="560"/>
        <w:rPr>
          <w:sz w:val="24"/>
          <w:szCs w:val="24"/>
        </w:rPr>
      </w:pPr>
      <w:r>
        <w:rPr>
          <w:rFonts w:hint="eastAsia"/>
          <w:sz w:val="24"/>
          <w:szCs w:val="24"/>
        </w:rPr>
        <w:t>1、事故处理完毕后，应急救援指挥部要及时将环境危险已解除的情况通报给公司相关部门和根据临时指挥部的指示通知周边单位、社区和社会关注区事件危险已解除，以恢复他们正常的工作和生活。</w:t>
      </w:r>
    </w:p>
    <w:p>
      <w:pPr>
        <w:ind w:firstLine="560"/>
        <w:rPr>
          <w:sz w:val="24"/>
          <w:szCs w:val="24"/>
        </w:rPr>
      </w:pPr>
      <w:r>
        <w:rPr>
          <w:rFonts w:hint="eastAsia"/>
          <w:sz w:val="24"/>
          <w:szCs w:val="24"/>
        </w:rPr>
        <w:t>2、由应急办公室负责采用照相和录像的方法保存事故现场资料。</w:t>
      </w:r>
    </w:p>
    <w:p>
      <w:pPr>
        <w:ind w:firstLine="560"/>
        <w:rPr>
          <w:sz w:val="24"/>
          <w:szCs w:val="24"/>
        </w:rPr>
      </w:pPr>
      <w:r>
        <w:rPr>
          <w:rFonts w:hint="eastAsia"/>
          <w:sz w:val="24"/>
          <w:szCs w:val="24"/>
        </w:rPr>
        <w:t>3、应急办公室负责组织对现场中暴露的工作人员、应急行动人员进行身体检查和受污染设备、事故现场进行清洁净化、整理、分类回收；</w:t>
      </w:r>
    </w:p>
    <w:p>
      <w:pPr>
        <w:ind w:firstLine="560"/>
        <w:rPr>
          <w:sz w:val="24"/>
          <w:szCs w:val="24"/>
        </w:rPr>
      </w:pPr>
      <w:r>
        <w:rPr>
          <w:rFonts w:hint="eastAsia"/>
          <w:sz w:val="24"/>
          <w:szCs w:val="24"/>
        </w:rPr>
        <w:t>4、对工艺流程、设备进行全面检查，排除故障和不安全因素。</w:t>
      </w:r>
    </w:p>
    <w:p>
      <w:pPr>
        <w:ind w:firstLine="560"/>
        <w:rPr>
          <w:sz w:val="24"/>
          <w:szCs w:val="24"/>
        </w:rPr>
      </w:pPr>
      <w:r>
        <w:rPr>
          <w:rFonts w:hint="eastAsia"/>
          <w:sz w:val="24"/>
          <w:szCs w:val="24"/>
        </w:rPr>
        <w:t>5、应急办公室负责调查事故的原因，经济损失，认定事故的责任者；</w:t>
      </w:r>
    </w:p>
    <w:p>
      <w:pPr>
        <w:ind w:firstLine="560"/>
        <w:rPr>
          <w:sz w:val="24"/>
          <w:szCs w:val="24"/>
        </w:rPr>
      </w:pPr>
      <w:r>
        <w:rPr>
          <w:rFonts w:hint="eastAsia"/>
          <w:sz w:val="24"/>
          <w:szCs w:val="24"/>
        </w:rPr>
        <w:t>6、突发环境污染事故应急处理结束后，应急办公室应组织公司相关部门认真总结、分析、吸取事故教训，及时进行整改完善；</w:t>
      </w:r>
    </w:p>
    <w:p>
      <w:pPr>
        <w:ind w:firstLine="560"/>
        <w:rPr>
          <w:sz w:val="24"/>
          <w:szCs w:val="24"/>
        </w:rPr>
      </w:pPr>
      <w:r>
        <w:rPr>
          <w:rFonts w:hint="eastAsia"/>
          <w:sz w:val="24"/>
          <w:szCs w:val="24"/>
        </w:rPr>
        <w:t>7、应急办公室组织各职能小组对应急计划和实施程序的可行性、应急装备的有效性、应急人员的素质和反应速度作出评价，并提出对应急预案的修改意见和建议。</w:t>
      </w:r>
    </w:p>
    <w:p>
      <w:pPr>
        <w:ind w:firstLine="560"/>
        <w:rPr>
          <w:sz w:val="24"/>
          <w:szCs w:val="24"/>
        </w:rPr>
      </w:pPr>
      <w:r>
        <w:rPr>
          <w:rFonts w:hint="eastAsia"/>
          <w:sz w:val="24"/>
          <w:szCs w:val="24"/>
        </w:rPr>
        <w:t>8、如有需要，应急办公室可组织环境监测、环境评价人员及相关部门专家进行跟踪监测，并对事故进行污染损失评估。弄清楚污染状况和污染覆盖面，确定事故的波及范围和影响程度，对事故污染的经济损失进行评估，评价报告报</w:t>
      </w:r>
      <w:r>
        <w:rPr>
          <w:rFonts w:hint="eastAsia"/>
          <w:sz w:val="24"/>
          <w:szCs w:val="24"/>
          <w:lang w:eastAsia="zh-CN"/>
        </w:rPr>
        <w:t>南昌市生态环境局</w:t>
      </w:r>
      <w:r>
        <w:rPr>
          <w:rFonts w:hint="eastAsia"/>
          <w:sz w:val="24"/>
          <w:szCs w:val="24"/>
        </w:rPr>
        <w:t>应急办作为事故处理的依据。</w:t>
      </w:r>
    </w:p>
    <w:p>
      <w:pPr>
        <w:ind w:firstLine="560"/>
        <w:rPr>
          <w:sz w:val="24"/>
          <w:szCs w:val="24"/>
        </w:rPr>
      </w:pPr>
      <w:r>
        <w:rPr>
          <w:rFonts w:hint="eastAsia"/>
          <w:sz w:val="24"/>
          <w:szCs w:val="24"/>
        </w:rPr>
        <w:t>报告一般包括如下几个方面：</w:t>
      </w:r>
    </w:p>
    <w:p>
      <w:pPr>
        <w:ind w:firstLine="560"/>
        <w:rPr>
          <w:sz w:val="24"/>
          <w:szCs w:val="24"/>
        </w:rPr>
      </w:pPr>
      <w:r>
        <w:rPr>
          <w:rFonts w:hint="eastAsia"/>
          <w:sz w:val="24"/>
          <w:szCs w:val="24"/>
        </w:rPr>
        <w:t>（1）自然资源和能源流失的损失；</w:t>
      </w:r>
    </w:p>
    <w:p>
      <w:pPr>
        <w:ind w:firstLine="560"/>
        <w:rPr>
          <w:sz w:val="24"/>
          <w:szCs w:val="24"/>
        </w:rPr>
      </w:pPr>
      <w:r>
        <w:rPr>
          <w:rFonts w:hint="eastAsia"/>
          <w:sz w:val="24"/>
          <w:szCs w:val="24"/>
        </w:rPr>
        <w:t>（2）人员生命、健康和劳动力的损失</w:t>
      </w:r>
    </w:p>
    <w:p>
      <w:pPr>
        <w:ind w:firstLine="560"/>
        <w:rPr>
          <w:sz w:val="24"/>
          <w:szCs w:val="24"/>
        </w:rPr>
      </w:pPr>
      <w:r>
        <w:rPr>
          <w:rFonts w:hint="eastAsia"/>
          <w:sz w:val="24"/>
          <w:szCs w:val="24"/>
        </w:rPr>
        <w:t>（3）事故清污费用及其他事故处理费用</w:t>
      </w:r>
    </w:p>
    <w:p>
      <w:pPr>
        <w:ind w:firstLine="560"/>
        <w:rPr>
          <w:sz w:val="24"/>
          <w:szCs w:val="24"/>
        </w:rPr>
      </w:pPr>
      <w:r>
        <w:rPr>
          <w:rFonts w:hint="eastAsia"/>
          <w:sz w:val="24"/>
          <w:szCs w:val="24"/>
        </w:rPr>
        <w:t>（4）事故环境恢复措施及相关监测费用</w:t>
      </w:r>
    </w:p>
    <w:p>
      <w:pPr>
        <w:ind w:firstLine="560"/>
        <w:rPr>
          <w:sz w:val="24"/>
          <w:szCs w:val="24"/>
        </w:rPr>
      </w:pPr>
      <w:r>
        <w:rPr>
          <w:rFonts w:hint="eastAsia"/>
          <w:sz w:val="24"/>
          <w:szCs w:val="24"/>
        </w:rPr>
        <w:t>（5）其他相关费用。</w:t>
      </w:r>
    </w:p>
    <w:p>
      <w:pPr>
        <w:ind w:firstLine="560"/>
        <w:rPr>
          <w:sz w:val="24"/>
          <w:szCs w:val="24"/>
        </w:rPr>
      </w:pPr>
      <w:r>
        <w:rPr>
          <w:rFonts w:hint="eastAsia"/>
          <w:sz w:val="24"/>
          <w:szCs w:val="24"/>
        </w:rPr>
        <w:t>跟踪监测与评估：事故现场经过处置后，为检验其处置效果，同时为掌握事故影响的程度和范围，还应做好跟踪监测，直到污染物达到排放标准和环境质量标准为止。监测间隔时间2小时一次。</w:t>
      </w:r>
    </w:p>
    <w:p>
      <w:pPr>
        <w:ind w:firstLine="560"/>
        <w:rPr>
          <w:sz w:val="24"/>
          <w:szCs w:val="24"/>
        </w:rPr>
      </w:pPr>
    </w:p>
    <w:p>
      <w:pPr>
        <w:ind w:firstLine="560"/>
        <w:rPr>
          <w:sz w:val="24"/>
          <w:szCs w:val="24"/>
        </w:rPr>
        <w:sectPr>
          <w:pgSz w:w="11906" w:h="16838"/>
          <w:pgMar w:top="1304" w:right="1247" w:bottom="1304" w:left="1531" w:header="851" w:footer="851" w:gutter="0"/>
          <w:pgNumType w:fmt="decimal"/>
          <w:cols w:space="425" w:num="1"/>
          <w:docGrid w:type="lines" w:linePitch="312" w:charSpace="0"/>
        </w:sectPr>
      </w:pPr>
    </w:p>
    <w:p>
      <w:pPr>
        <w:pStyle w:val="5"/>
        <w:rPr>
          <w:sz w:val="24"/>
          <w:szCs w:val="24"/>
        </w:rPr>
      </w:pPr>
      <w:r>
        <w:rPr>
          <w:rFonts w:hint="eastAsia"/>
          <w:sz w:val="24"/>
          <w:szCs w:val="24"/>
        </w:rPr>
        <w:t>事故现场处理</w:t>
      </w:r>
    </w:p>
    <w:p>
      <w:pPr>
        <w:ind w:firstLine="560"/>
        <w:rPr>
          <w:sz w:val="24"/>
          <w:szCs w:val="24"/>
        </w:rPr>
      </w:pPr>
      <w:r>
        <w:rPr>
          <w:rFonts w:hint="eastAsia"/>
          <w:sz w:val="24"/>
          <w:szCs w:val="24"/>
        </w:rPr>
        <w:t>突发环境事件处置结束后，在应急中未能及时、彻底清除的有害污染物，事故受控后进行清理。现场遗留区域可以采用以下几种方法进行处理。</w:t>
      </w:r>
    </w:p>
    <w:p>
      <w:pPr>
        <w:ind w:firstLine="560"/>
        <w:rPr>
          <w:sz w:val="24"/>
          <w:szCs w:val="24"/>
        </w:rPr>
      </w:pPr>
      <w:r>
        <w:rPr>
          <w:rFonts w:hint="eastAsia"/>
          <w:sz w:val="24"/>
          <w:szCs w:val="24"/>
        </w:rPr>
        <w:t>1、清洗：用水、清洁剂、清洗液对污染区域进行清洗，清洗水</w:t>
      </w:r>
      <w:r>
        <w:rPr>
          <w:rFonts w:hint="eastAsia"/>
          <w:sz w:val="24"/>
          <w:szCs w:val="24"/>
          <w:lang w:eastAsia="zh-CN"/>
        </w:rPr>
        <w:t>经厂内隔油池</w:t>
      </w:r>
      <w:r>
        <w:rPr>
          <w:rFonts w:hint="eastAsia"/>
          <w:sz w:val="24"/>
          <w:szCs w:val="24"/>
          <w:lang w:val="en-US" w:eastAsia="zh-CN"/>
        </w:rPr>
        <w:t>+化粪池处理后</w:t>
      </w:r>
      <w:r>
        <w:rPr>
          <w:rFonts w:hint="eastAsia"/>
          <w:sz w:val="24"/>
          <w:szCs w:val="24"/>
          <w:lang w:eastAsia="zh-CN"/>
        </w:rPr>
        <w:t>排入污水管网进入污水处理厂</w:t>
      </w:r>
      <w:r>
        <w:rPr>
          <w:rFonts w:hint="eastAsia"/>
          <w:sz w:val="24"/>
          <w:szCs w:val="24"/>
        </w:rPr>
        <w:t>；</w:t>
      </w:r>
    </w:p>
    <w:p>
      <w:pPr>
        <w:ind w:firstLine="560"/>
        <w:rPr>
          <w:sz w:val="24"/>
          <w:szCs w:val="24"/>
        </w:rPr>
      </w:pPr>
      <w:r>
        <w:rPr>
          <w:rFonts w:hint="eastAsia"/>
          <w:sz w:val="24"/>
          <w:szCs w:val="24"/>
        </w:rPr>
        <w:t>2、吸附：化学试剂、高浓度化学品等用吸附材料吸收污染物，吸附材料作为危废处理；</w:t>
      </w:r>
    </w:p>
    <w:p>
      <w:pPr>
        <w:ind w:firstLine="560"/>
        <w:rPr>
          <w:sz w:val="24"/>
          <w:szCs w:val="24"/>
        </w:rPr>
      </w:pPr>
      <w:r>
        <w:rPr>
          <w:rFonts w:hint="eastAsia"/>
          <w:sz w:val="24"/>
          <w:szCs w:val="24"/>
        </w:rPr>
        <w:t>3、清扫：固态物质及时清扫，放入危废桶中暂存。</w:t>
      </w:r>
    </w:p>
    <w:p>
      <w:pPr>
        <w:ind w:firstLine="560"/>
        <w:rPr>
          <w:sz w:val="24"/>
          <w:szCs w:val="24"/>
        </w:rPr>
      </w:pPr>
      <w:r>
        <w:rPr>
          <w:rFonts w:hint="eastAsia"/>
          <w:sz w:val="24"/>
          <w:szCs w:val="24"/>
        </w:rPr>
        <w:t>清理具体工作程序中产生的危险废物应按公司危险废物相关的管理和处置规定进行回收、处置。</w:t>
      </w:r>
    </w:p>
    <w:p>
      <w:pPr>
        <w:pStyle w:val="3"/>
        <w:rPr>
          <w:color w:val="000000" w:themeColor="text1"/>
          <w:sz w:val="32"/>
          <w:szCs w:val="32"/>
        </w:rPr>
      </w:pPr>
      <w:bookmarkStart w:id="92" w:name="_Toc29403"/>
      <w:r>
        <w:rPr>
          <w:rFonts w:hint="eastAsia"/>
          <w:color w:val="000000" w:themeColor="text1"/>
          <w:sz w:val="32"/>
          <w:szCs w:val="32"/>
        </w:rPr>
        <w:t>信息公开</w:t>
      </w:r>
      <w:bookmarkEnd w:id="92"/>
    </w:p>
    <w:p>
      <w:pPr>
        <w:ind w:firstLine="560"/>
        <w:rPr>
          <w:sz w:val="24"/>
          <w:szCs w:val="24"/>
        </w:rPr>
      </w:pPr>
      <w:r>
        <w:rPr>
          <w:rFonts w:hint="eastAsia"/>
          <w:sz w:val="24"/>
          <w:szCs w:val="24"/>
        </w:rPr>
        <w:t>重大事故发生后，不可避免的引起新闻媒体、社会公众的关注。因此，</w:t>
      </w:r>
      <w:r>
        <w:rPr>
          <w:rFonts w:hint="eastAsia"/>
          <w:sz w:val="24"/>
          <w:szCs w:val="24"/>
          <w:lang w:eastAsia="zh-CN"/>
        </w:rPr>
        <w:t>在事故发生后</w:t>
      </w:r>
      <w:r>
        <w:rPr>
          <w:rFonts w:hint="eastAsia"/>
          <w:sz w:val="24"/>
          <w:szCs w:val="24"/>
          <w:lang w:val="en-US" w:eastAsia="zh-CN"/>
        </w:rPr>
        <w:t>需及</w:t>
      </w:r>
      <w:r>
        <w:rPr>
          <w:rFonts w:hint="eastAsia"/>
          <w:sz w:val="24"/>
          <w:szCs w:val="24"/>
        </w:rPr>
        <w:t>将事故的信息、影响、救援工作的进展等情况向</w:t>
      </w:r>
      <w:r>
        <w:rPr>
          <w:rFonts w:hint="eastAsia"/>
          <w:sz w:val="24"/>
          <w:szCs w:val="24"/>
          <w:lang w:eastAsia="zh-CN"/>
        </w:rPr>
        <w:t>相关媒体、社会公众</w:t>
      </w:r>
      <w:r>
        <w:rPr>
          <w:rFonts w:hint="eastAsia"/>
          <w:sz w:val="24"/>
          <w:szCs w:val="24"/>
        </w:rPr>
        <w:t>进行通报，以消除公众的恐慌心理，控制谣言，避免公众的猜疑和不满。</w:t>
      </w:r>
    </w:p>
    <w:p>
      <w:pPr>
        <w:ind w:firstLine="560"/>
        <w:rPr>
          <w:sz w:val="24"/>
          <w:szCs w:val="24"/>
        </w:rPr>
      </w:pPr>
      <w:r>
        <w:rPr>
          <w:rFonts w:hint="eastAsia"/>
          <w:sz w:val="24"/>
          <w:szCs w:val="24"/>
        </w:rPr>
        <w:t>上级主管部门或应急管理机构负责信息通报工作，通报前应对要通报的信息进行认真的审核，经过审核和批准后，方能对外透露，以确保信息的统一性。同时，为公众咨询、接待、安抚受伤人员家属作出合理安排。</w:t>
      </w:r>
    </w:p>
    <w:p>
      <w:pPr>
        <w:ind w:firstLine="560"/>
        <w:rPr>
          <w:sz w:val="24"/>
          <w:szCs w:val="24"/>
        </w:rPr>
      </w:pPr>
    </w:p>
    <w:p>
      <w:pPr>
        <w:ind w:firstLine="560"/>
        <w:rPr>
          <w:sz w:val="24"/>
          <w:szCs w:val="24"/>
        </w:rPr>
        <w:sectPr>
          <w:pgSz w:w="11906" w:h="16838"/>
          <w:pgMar w:top="1440" w:right="1276" w:bottom="1440" w:left="1134" w:header="851" w:footer="992" w:gutter="0"/>
          <w:pgNumType w:fmt="decimal"/>
          <w:cols w:space="425" w:num="1"/>
          <w:docGrid w:type="linesAndChars" w:linePitch="381" w:charSpace="0"/>
        </w:sectPr>
      </w:pPr>
    </w:p>
    <w:p>
      <w:pPr>
        <w:pStyle w:val="3"/>
      </w:pPr>
      <w:bookmarkStart w:id="93" w:name="_Toc3268"/>
      <w:r>
        <w:rPr>
          <w:rFonts w:hint="eastAsia"/>
        </w:rPr>
        <w:t>后期处置</w:t>
      </w:r>
      <w:bookmarkEnd w:id="93"/>
    </w:p>
    <w:p>
      <w:pPr>
        <w:pStyle w:val="4"/>
        <w:rPr>
          <w:sz w:val="24"/>
          <w:szCs w:val="24"/>
        </w:rPr>
      </w:pPr>
      <w:bookmarkStart w:id="94" w:name="_Toc1554"/>
      <w:r>
        <w:rPr>
          <w:rFonts w:hint="eastAsia"/>
          <w:sz w:val="24"/>
          <w:szCs w:val="24"/>
        </w:rPr>
        <w:t>善后处置</w:t>
      </w:r>
      <w:bookmarkEnd w:id="94"/>
    </w:p>
    <w:p>
      <w:pPr>
        <w:pStyle w:val="5"/>
        <w:rPr>
          <w:sz w:val="24"/>
          <w:szCs w:val="24"/>
        </w:rPr>
      </w:pPr>
      <w:r>
        <w:rPr>
          <w:rFonts w:hint="eastAsia"/>
          <w:sz w:val="24"/>
          <w:szCs w:val="24"/>
        </w:rPr>
        <w:t>现场秩序恢复</w:t>
      </w:r>
    </w:p>
    <w:p>
      <w:pPr>
        <w:ind w:firstLine="560"/>
        <w:rPr>
          <w:sz w:val="24"/>
          <w:szCs w:val="24"/>
        </w:rPr>
      </w:pPr>
      <w:r>
        <w:rPr>
          <w:rFonts w:hint="eastAsia"/>
          <w:sz w:val="24"/>
          <w:szCs w:val="24"/>
        </w:rPr>
        <w:t>当应急抢险各队伍任务完成，事故现场得到妥善处置，无发生二次灾害的危险后，由应急指挥中心总指挥宣布解除紧急状态，安全集合点的员工可返回各相应的工作区域。</w:t>
      </w:r>
    </w:p>
    <w:p>
      <w:pPr>
        <w:ind w:firstLine="560"/>
        <w:rPr>
          <w:sz w:val="24"/>
          <w:szCs w:val="24"/>
        </w:rPr>
      </w:pPr>
      <w:r>
        <w:rPr>
          <w:rFonts w:hint="eastAsia"/>
          <w:sz w:val="24"/>
          <w:szCs w:val="24"/>
        </w:rPr>
        <w:t>办公室对现场使用的应急物资进行清点、记录并及时购置补充。</w:t>
      </w:r>
    </w:p>
    <w:p>
      <w:pPr>
        <w:ind w:firstLine="560"/>
        <w:rPr>
          <w:sz w:val="24"/>
          <w:szCs w:val="24"/>
        </w:rPr>
      </w:pPr>
      <w:r>
        <w:rPr>
          <w:rFonts w:hint="eastAsia"/>
          <w:sz w:val="24"/>
          <w:szCs w:val="24"/>
        </w:rPr>
        <w:t>公司生产及部门管理人员及时对生产设备进行检查检测，确保各类设备设施能正常运转时恢复生产。</w:t>
      </w:r>
    </w:p>
    <w:p>
      <w:pPr>
        <w:pStyle w:val="5"/>
        <w:rPr>
          <w:sz w:val="24"/>
          <w:szCs w:val="24"/>
        </w:rPr>
      </w:pPr>
      <w:r>
        <w:rPr>
          <w:rFonts w:hint="eastAsia"/>
          <w:sz w:val="24"/>
          <w:szCs w:val="24"/>
        </w:rPr>
        <w:t>受灾人员的安置及损失赔偿</w:t>
      </w:r>
    </w:p>
    <w:p>
      <w:pPr>
        <w:ind w:firstLine="560"/>
        <w:rPr>
          <w:sz w:val="24"/>
          <w:szCs w:val="24"/>
        </w:rPr>
      </w:pPr>
      <w:r>
        <w:rPr>
          <w:rFonts w:hint="eastAsia"/>
          <w:sz w:val="24"/>
          <w:szCs w:val="24"/>
        </w:rPr>
        <w:t>突发环境事件结束后，应急指挥中心承担善后处置任务，具体负责处置现场清理、人员安置和赔偿、污染物收集、清理与处置等善后工作。各部门对所负责的善后工作制定严格的处置程序，尽快恢复事故发生区的正常工作。突发环境事件结束后，由财</w:t>
      </w:r>
      <w:r>
        <w:rPr>
          <w:rFonts w:hint="eastAsia"/>
          <w:sz w:val="24"/>
          <w:szCs w:val="24"/>
          <w:lang w:eastAsia="zh-CN"/>
        </w:rPr>
        <w:t>务</w:t>
      </w:r>
      <w:r>
        <w:rPr>
          <w:rFonts w:hint="eastAsia"/>
          <w:sz w:val="24"/>
          <w:szCs w:val="24"/>
        </w:rPr>
        <w:t>部联系保险机构开展相关的保险受理和赔付工作。</w:t>
      </w:r>
    </w:p>
    <w:p>
      <w:pPr>
        <w:ind w:firstLine="560"/>
        <w:rPr>
          <w:sz w:val="24"/>
          <w:szCs w:val="24"/>
        </w:rPr>
      </w:pPr>
      <w:r>
        <w:rPr>
          <w:rFonts w:hint="eastAsia"/>
          <w:sz w:val="24"/>
          <w:szCs w:val="24"/>
        </w:rPr>
        <w:t>坚持以人为本的原则，从职工切身利益出发，严格执行有关法律法规，妥善安置受灾人员。不适合在原岗位工作的，另择合适岗位安排。并对受灾人员按照相关规定进行相应的补偿。对因工负伤的职工，按照国家规定执行伤残补贴，并支付一定的经济补偿金。</w:t>
      </w:r>
    </w:p>
    <w:p>
      <w:pPr>
        <w:ind w:firstLine="560"/>
        <w:rPr>
          <w:sz w:val="24"/>
          <w:szCs w:val="24"/>
        </w:rPr>
      </w:pPr>
      <w:r>
        <w:rPr>
          <w:rFonts w:hint="eastAsia"/>
          <w:sz w:val="24"/>
          <w:szCs w:val="24"/>
        </w:rPr>
        <w:t>为妥善照顾已疏散人群，根据政府安排，组织已疏散人群至安全的临时安置场所，并保障其基本生活需求。</w:t>
      </w:r>
    </w:p>
    <w:p>
      <w:pPr>
        <w:pStyle w:val="5"/>
        <w:rPr>
          <w:sz w:val="24"/>
          <w:szCs w:val="24"/>
        </w:rPr>
      </w:pPr>
      <w:r>
        <w:rPr>
          <w:rFonts w:hint="eastAsia"/>
          <w:sz w:val="24"/>
          <w:szCs w:val="24"/>
        </w:rPr>
        <w:t>应急预案的修订</w:t>
      </w:r>
    </w:p>
    <w:p>
      <w:pPr>
        <w:ind w:firstLine="560"/>
        <w:rPr>
          <w:sz w:val="24"/>
          <w:szCs w:val="24"/>
        </w:rPr>
      </w:pPr>
      <w:r>
        <w:rPr>
          <w:rFonts w:hint="eastAsia"/>
          <w:sz w:val="24"/>
          <w:szCs w:val="24"/>
        </w:rPr>
        <w:t>事故善后处置工作结束后，应急指挥部要专门针对本预案进行总结，主要总结内容包括：预案对突发环境事件的评估是否准确、应急救援决策是否准确有效、应急救援资源调配是否合理、应急救援行动是否协调、通信是否畅通，评估本预案不适之处，应及时提出修改意见并更新出新版本的应急预案。</w:t>
      </w:r>
    </w:p>
    <w:p>
      <w:pPr>
        <w:pStyle w:val="4"/>
        <w:rPr>
          <w:sz w:val="24"/>
          <w:szCs w:val="24"/>
        </w:rPr>
      </w:pPr>
      <w:bookmarkStart w:id="95" w:name="_Toc31230"/>
      <w:r>
        <w:rPr>
          <w:rFonts w:hint="eastAsia"/>
          <w:sz w:val="24"/>
          <w:szCs w:val="24"/>
        </w:rPr>
        <w:t>调查与评估</w:t>
      </w:r>
      <w:bookmarkEnd w:id="95"/>
    </w:p>
    <w:p>
      <w:pPr>
        <w:ind w:firstLine="560"/>
        <w:rPr>
          <w:sz w:val="24"/>
          <w:szCs w:val="24"/>
        </w:rPr>
      </w:pPr>
      <w:r>
        <w:rPr>
          <w:rFonts w:hint="eastAsia"/>
          <w:sz w:val="24"/>
          <w:szCs w:val="24"/>
        </w:rPr>
        <w:t>突发环境事件结束后，应急指挥中心组织对环境事件的处理情况进行调查和评估，主要内容主要包括事件概况、突发原由、现场处理情况、受害人群救治情况、经济损失、应急处理过程存在的问题和取得的经验，在事故调查结束后1周内编制事故调查评估报告，分析原因，制定纠正预防措施，并向应急指挥中心提交事故调查评估报告。事故调查评估报告需经应急指挥中心讨论，强调“四不放过”，即必须坚持事故原因分析不清不放过，责任人员未受到严肃处理不放过，事故责任者和员工没有受到教育不放过，没有采取切实可行的防范措施不放过。以起到教育和预防的作用。</w:t>
      </w:r>
    </w:p>
    <w:p>
      <w:pPr>
        <w:ind w:firstLine="560"/>
        <w:rPr>
          <w:sz w:val="24"/>
          <w:szCs w:val="24"/>
        </w:rPr>
      </w:pPr>
      <w:r>
        <w:rPr>
          <w:rFonts w:hint="eastAsia"/>
          <w:sz w:val="24"/>
          <w:szCs w:val="24"/>
        </w:rPr>
        <w:t>应急指挥中心积极配合安全、环境、卫生和消防等部门对公司开展的环境污染损害评估及中长期评估工作。</w:t>
      </w:r>
    </w:p>
    <w:p>
      <w:pPr>
        <w:ind w:firstLine="560"/>
        <w:rPr>
          <w:sz w:val="24"/>
          <w:szCs w:val="24"/>
        </w:rPr>
      </w:pPr>
      <w:r>
        <w:rPr>
          <w:rFonts w:hint="eastAsia"/>
          <w:sz w:val="24"/>
          <w:szCs w:val="24"/>
        </w:rPr>
        <w:t>事故调查评估报告经应急指挥中心评估后，在全公司各部门发布，进行学习教育，若有需要，在规定时间内上报</w:t>
      </w:r>
      <w:r>
        <w:rPr>
          <w:rFonts w:hint="eastAsia"/>
          <w:sz w:val="24"/>
          <w:szCs w:val="24"/>
          <w:lang w:eastAsia="zh-CN"/>
        </w:rPr>
        <w:t>南昌市</w:t>
      </w:r>
      <w:r>
        <w:rPr>
          <w:rFonts w:hint="eastAsia"/>
          <w:sz w:val="24"/>
          <w:szCs w:val="24"/>
        </w:rPr>
        <w:t>政府。</w:t>
      </w:r>
    </w:p>
    <w:p>
      <w:pPr>
        <w:pStyle w:val="4"/>
        <w:rPr>
          <w:sz w:val="24"/>
          <w:szCs w:val="24"/>
        </w:rPr>
      </w:pPr>
      <w:bookmarkStart w:id="96" w:name="_Toc8165"/>
      <w:r>
        <w:rPr>
          <w:rFonts w:hint="eastAsia"/>
          <w:sz w:val="24"/>
          <w:szCs w:val="24"/>
        </w:rPr>
        <w:t>恢复重建</w:t>
      </w:r>
      <w:bookmarkEnd w:id="96"/>
    </w:p>
    <w:p>
      <w:pPr>
        <w:ind w:firstLine="560"/>
        <w:rPr>
          <w:sz w:val="24"/>
          <w:szCs w:val="24"/>
        </w:rPr>
      </w:pPr>
      <w:r>
        <w:rPr>
          <w:rFonts w:hint="eastAsia"/>
          <w:sz w:val="24"/>
          <w:szCs w:val="24"/>
        </w:rPr>
        <w:t>事故善后完成后，必须由应急指挥中心进行事故善后及现场设备设施的验收，确认事故隐患消除并且无连锁损害和潜在影响后，方可批准进行生产恢复。生产恢复初期，应急指挥中心和部门负责人必须在应急岗位，密切监控生产安全情况，确保恢复正常。</w:t>
      </w:r>
    </w:p>
    <w:p>
      <w:pPr>
        <w:ind w:firstLine="560"/>
        <w:rPr>
          <w:sz w:val="24"/>
          <w:szCs w:val="24"/>
        </w:rPr>
      </w:pPr>
      <w:r>
        <w:rPr>
          <w:rFonts w:hint="eastAsia"/>
          <w:sz w:val="24"/>
          <w:szCs w:val="24"/>
        </w:rPr>
        <w:t>积极开展环境恢复与重建工作。明确环境恢复对象（土壤、大气、水体），确定系统边界；诊断分析环境损害系统，确定恢复目标，进行环境恢复的自然-经济-社会技术可行性分析。提出环境重建实施方案，后续进行监测、评价与反馈。</w:t>
      </w:r>
    </w:p>
    <w:p>
      <w:pPr>
        <w:ind w:firstLine="560"/>
        <w:rPr>
          <w:sz w:val="24"/>
          <w:szCs w:val="24"/>
        </w:rPr>
      </w:pPr>
    </w:p>
    <w:p>
      <w:pPr>
        <w:ind w:firstLine="560"/>
        <w:rPr>
          <w:sz w:val="24"/>
          <w:szCs w:val="24"/>
        </w:rPr>
        <w:sectPr>
          <w:pgSz w:w="11906" w:h="16838"/>
          <w:pgMar w:top="1440" w:right="1276" w:bottom="1440" w:left="1134" w:header="851" w:footer="992" w:gutter="0"/>
          <w:pgNumType w:fmt="decimal"/>
          <w:cols w:space="425" w:num="1"/>
          <w:docGrid w:type="linesAndChars" w:linePitch="381" w:charSpace="0"/>
        </w:sectPr>
      </w:pPr>
    </w:p>
    <w:p>
      <w:pPr>
        <w:pStyle w:val="3"/>
      </w:pPr>
      <w:bookmarkStart w:id="97" w:name="_Toc1435"/>
      <w:r>
        <w:rPr>
          <w:rFonts w:hint="eastAsia"/>
        </w:rPr>
        <w:t>保障措施</w:t>
      </w:r>
      <w:bookmarkEnd w:id="97"/>
    </w:p>
    <w:p>
      <w:pPr>
        <w:pStyle w:val="4"/>
        <w:pageBreakBefore w:val="0"/>
        <w:widowControl w:val="0"/>
        <w:kinsoku/>
        <w:wordWrap/>
        <w:overflowPunct/>
        <w:topLinePunct w:val="0"/>
        <w:autoSpaceDE/>
        <w:autoSpaceDN/>
        <w:bidi w:val="0"/>
        <w:adjustRightInd/>
        <w:snapToGrid/>
        <w:textAlignment w:val="auto"/>
        <w:rPr>
          <w:sz w:val="24"/>
          <w:szCs w:val="24"/>
        </w:rPr>
      </w:pPr>
      <w:bookmarkStart w:id="98" w:name="_Toc30953"/>
      <w:r>
        <w:rPr>
          <w:rFonts w:hint="eastAsia"/>
          <w:sz w:val="24"/>
          <w:szCs w:val="24"/>
        </w:rPr>
        <w:t>应急通信与信息保障</w:t>
      </w:r>
      <w:bookmarkEnd w:id="98"/>
    </w:p>
    <w:p>
      <w:pPr>
        <w:pageBreakBefore w:val="0"/>
        <w:widowControl w:val="0"/>
        <w:kinsoku/>
        <w:wordWrap/>
        <w:overflowPunct/>
        <w:topLinePunct w:val="0"/>
        <w:autoSpaceDE/>
        <w:autoSpaceDN/>
        <w:bidi w:val="0"/>
        <w:adjustRightInd/>
        <w:snapToGrid/>
        <w:ind w:firstLine="560"/>
        <w:textAlignment w:val="auto"/>
        <w:rPr>
          <w:sz w:val="24"/>
          <w:szCs w:val="24"/>
        </w:rPr>
      </w:pPr>
      <w:r>
        <w:rPr>
          <w:rFonts w:hint="eastAsia"/>
          <w:sz w:val="24"/>
          <w:szCs w:val="24"/>
        </w:rPr>
        <w:t>应急指挥中心应协调有关部门建立稳定、可靠、便捷的通讯手段，明确处置突发事件参与部门、单位和有关人员的通讯联系方式，定期对通讯系统进行检查和维护。指挥中心各负责人必须24小时开通个人手机，值班电话24小时保持通畅，节假日安排人员值班，确保通讯畅通。</w:t>
      </w:r>
    </w:p>
    <w:p>
      <w:pPr>
        <w:pageBreakBefore w:val="0"/>
        <w:widowControl w:val="0"/>
        <w:kinsoku/>
        <w:wordWrap/>
        <w:overflowPunct/>
        <w:topLinePunct w:val="0"/>
        <w:autoSpaceDE/>
        <w:autoSpaceDN/>
        <w:bidi w:val="0"/>
        <w:adjustRightInd/>
        <w:snapToGrid/>
        <w:ind w:firstLine="560"/>
        <w:textAlignment w:val="auto"/>
        <w:rPr>
          <w:sz w:val="24"/>
          <w:szCs w:val="24"/>
        </w:rPr>
      </w:pPr>
      <w:r>
        <w:rPr>
          <w:rFonts w:hint="eastAsia"/>
          <w:sz w:val="24"/>
          <w:szCs w:val="24"/>
        </w:rPr>
        <w:t>发生、发现事故或紧急情况，通过手机、内线电话等方式报告相关部门。</w:t>
      </w:r>
    </w:p>
    <w:p>
      <w:pPr>
        <w:pStyle w:val="4"/>
        <w:pageBreakBefore w:val="0"/>
        <w:widowControl w:val="0"/>
        <w:kinsoku/>
        <w:wordWrap/>
        <w:overflowPunct/>
        <w:topLinePunct w:val="0"/>
        <w:autoSpaceDE/>
        <w:autoSpaceDN/>
        <w:bidi w:val="0"/>
        <w:adjustRightInd/>
        <w:snapToGrid/>
        <w:textAlignment w:val="auto"/>
        <w:rPr>
          <w:sz w:val="24"/>
          <w:szCs w:val="24"/>
        </w:rPr>
      </w:pPr>
      <w:bookmarkStart w:id="99" w:name="_Toc29087"/>
      <w:r>
        <w:rPr>
          <w:rFonts w:hint="eastAsia"/>
          <w:sz w:val="24"/>
          <w:szCs w:val="24"/>
        </w:rPr>
        <w:t>应急队伍保障</w:t>
      </w:r>
      <w:bookmarkEnd w:id="99"/>
    </w:p>
    <w:p>
      <w:pPr>
        <w:pageBreakBefore w:val="0"/>
        <w:widowControl w:val="0"/>
        <w:kinsoku/>
        <w:wordWrap/>
        <w:overflowPunct/>
        <w:topLinePunct w:val="0"/>
        <w:autoSpaceDE/>
        <w:autoSpaceDN/>
        <w:bidi w:val="0"/>
        <w:adjustRightInd/>
        <w:snapToGrid/>
        <w:ind w:firstLine="560"/>
        <w:textAlignment w:val="auto"/>
        <w:rPr>
          <w:sz w:val="24"/>
          <w:szCs w:val="24"/>
        </w:rPr>
      </w:pPr>
      <w:r>
        <w:rPr>
          <w:rFonts w:hint="eastAsia"/>
          <w:sz w:val="24"/>
          <w:szCs w:val="24"/>
        </w:rPr>
        <w:t>公司各部门都建立了应急响应责任人员名单，确保不论是何时发生事故，都有应急响应人员能第一时间出现在现场。公司加强了各应急救援抢险队伍的业务培训和应急演练，整合公司范围内现有应急资源，建立联动协调机制，提高装备水平；加强广大员工应急能力培训和教育；积极参与突发事件的应急救援工作，不断提高公司应急抢险救助队伍综合素质。确保在事件发生时，能迅速控制污染、减少危害，确保环境和公众安全。同时公司应确保应急救援组织机构的完整，一旦出现人事流动，及时调整、培训，确保应急队伍在发生突发事件时能快速有效遏制时间发展。</w:t>
      </w:r>
    </w:p>
    <w:p>
      <w:pPr>
        <w:pStyle w:val="4"/>
        <w:pageBreakBefore w:val="0"/>
        <w:widowControl w:val="0"/>
        <w:kinsoku/>
        <w:wordWrap/>
        <w:overflowPunct/>
        <w:topLinePunct w:val="0"/>
        <w:autoSpaceDE/>
        <w:autoSpaceDN/>
        <w:bidi w:val="0"/>
        <w:adjustRightInd/>
        <w:snapToGrid/>
        <w:textAlignment w:val="auto"/>
        <w:rPr>
          <w:sz w:val="24"/>
          <w:szCs w:val="24"/>
        </w:rPr>
      </w:pPr>
      <w:bookmarkStart w:id="100" w:name="_Toc4039"/>
      <w:r>
        <w:rPr>
          <w:rFonts w:hint="eastAsia"/>
          <w:sz w:val="24"/>
          <w:szCs w:val="24"/>
        </w:rPr>
        <w:t>应急装备保障</w:t>
      </w:r>
      <w:bookmarkEnd w:id="100"/>
    </w:p>
    <w:p>
      <w:pPr>
        <w:pageBreakBefore w:val="0"/>
        <w:widowControl w:val="0"/>
        <w:kinsoku/>
        <w:wordWrap/>
        <w:overflowPunct/>
        <w:topLinePunct w:val="0"/>
        <w:autoSpaceDE/>
        <w:autoSpaceDN/>
        <w:bidi w:val="0"/>
        <w:adjustRightInd/>
        <w:snapToGrid/>
        <w:ind w:firstLine="560"/>
        <w:textAlignment w:val="auto"/>
        <w:rPr>
          <w:sz w:val="24"/>
          <w:szCs w:val="24"/>
        </w:rPr>
      </w:pPr>
      <w:r>
        <w:rPr>
          <w:rFonts w:hint="eastAsia"/>
          <w:sz w:val="24"/>
          <w:szCs w:val="24"/>
        </w:rPr>
        <w:t>依据本预案应急处置的需求，建立健全公司应急物资储备系统。公司厂内必须配备一定的应急设备和防护用品，事故应急抢险救援需要，落实配备消防、堵漏、通讯、交通、工具、应急照明、防护、急救等。各类所需应急抢险装备器材，以便在发生安全事故是能迅速、正确的投入到应急救援行动中。所有应急设备、器材应有专人管理，保证完好、有效、随时可用。</w:t>
      </w:r>
    </w:p>
    <w:p>
      <w:pPr>
        <w:pageBreakBefore w:val="0"/>
        <w:widowControl w:val="0"/>
        <w:kinsoku/>
        <w:wordWrap/>
        <w:overflowPunct/>
        <w:topLinePunct w:val="0"/>
        <w:autoSpaceDE/>
        <w:autoSpaceDN/>
        <w:bidi w:val="0"/>
        <w:adjustRightInd/>
        <w:snapToGrid/>
        <w:ind w:firstLine="560"/>
        <w:textAlignment w:val="auto"/>
        <w:rPr>
          <w:sz w:val="24"/>
          <w:szCs w:val="24"/>
        </w:rPr>
      </w:pPr>
      <w:r>
        <w:rPr>
          <w:rFonts w:hint="eastAsia"/>
          <w:sz w:val="24"/>
          <w:szCs w:val="24"/>
        </w:rPr>
        <w:t>制定巡检制度，对应急物资进行例行常规检查，确保在有效期内，发生环境事故时各类应急物资能正常使用。及时对失效物资进行更换，对缺少的物资进行补充。在应急状态下，应急物资由公司应急指挥中心统一调配使用。</w:t>
      </w:r>
    </w:p>
    <w:p>
      <w:pPr>
        <w:pStyle w:val="4"/>
        <w:pageBreakBefore w:val="0"/>
        <w:widowControl w:val="0"/>
        <w:kinsoku/>
        <w:wordWrap/>
        <w:overflowPunct/>
        <w:topLinePunct w:val="0"/>
        <w:autoSpaceDE/>
        <w:autoSpaceDN/>
        <w:bidi w:val="0"/>
        <w:adjustRightInd/>
        <w:snapToGrid/>
        <w:textAlignment w:val="auto"/>
        <w:rPr>
          <w:sz w:val="24"/>
          <w:szCs w:val="24"/>
        </w:rPr>
      </w:pPr>
      <w:bookmarkStart w:id="101" w:name="_Toc23525"/>
      <w:r>
        <w:rPr>
          <w:rFonts w:hint="eastAsia"/>
          <w:sz w:val="24"/>
          <w:szCs w:val="24"/>
        </w:rPr>
        <w:t>其他保障</w:t>
      </w:r>
      <w:bookmarkEnd w:id="101"/>
    </w:p>
    <w:p>
      <w:pPr>
        <w:pStyle w:val="5"/>
        <w:pageBreakBefore w:val="0"/>
        <w:widowControl w:val="0"/>
        <w:kinsoku/>
        <w:wordWrap/>
        <w:overflowPunct/>
        <w:topLinePunct w:val="0"/>
        <w:autoSpaceDE/>
        <w:autoSpaceDN/>
        <w:bidi w:val="0"/>
        <w:adjustRightInd/>
        <w:snapToGrid/>
        <w:textAlignment w:val="auto"/>
        <w:rPr>
          <w:sz w:val="24"/>
          <w:szCs w:val="24"/>
        </w:rPr>
      </w:pPr>
      <w:r>
        <w:rPr>
          <w:rFonts w:hint="eastAsia"/>
          <w:sz w:val="24"/>
          <w:szCs w:val="24"/>
        </w:rPr>
        <w:t>资金保障</w:t>
      </w:r>
    </w:p>
    <w:p>
      <w:pPr>
        <w:pageBreakBefore w:val="0"/>
        <w:widowControl w:val="0"/>
        <w:kinsoku/>
        <w:wordWrap/>
        <w:overflowPunct/>
        <w:topLinePunct w:val="0"/>
        <w:autoSpaceDE/>
        <w:autoSpaceDN/>
        <w:bidi w:val="0"/>
        <w:adjustRightInd/>
        <w:snapToGrid/>
        <w:ind w:firstLine="560"/>
        <w:textAlignment w:val="auto"/>
        <w:rPr>
          <w:sz w:val="24"/>
          <w:szCs w:val="24"/>
        </w:rPr>
      </w:pPr>
      <w:r>
        <w:rPr>
          <w:rFonts w:hint="eastAsia"/>
          <w:sz w:val="24"/>
          <w:szCs w:val="24"/>
        </w:rPr>
        <w:t>公司总指挥保障提供满足生产安全和环保达标的各种资金需求。公司</w:t>
      </w:r>
      <w:r>
        <w:rPr>
          <w:rFonts w:hint="eastAsia"/>
          <w:sz w:val="24"/>
          <w:szCs w:val="24"/>
          <w:lang w:eastAsia="zh-CN"/>
        </w:rPr>
        <w:t>财政部</w:t>
      </w:r>
      <w:r>
        <w:rPr>
          <w:rFonts w:hint="eastAsia"/>
          <w:sz w:val="24"/>
          <w:szCs w:val="24"/>
        </w:rPr>
        <w:t>负责对全厂范围内的应急工作的日常费用作出预算，经财务部门预审和总指挥审定后，列入年度预算，保证专款专用；突发事件应急处置结束后，财务部、总经理等相关人员对应急处置费用进行如实核销。该经费用于完善和改进企业应急救援体系建设、监控设备使用和维护、应急救援物质采购、应急救援演习和应急人员培训等，保障应急状态时应急经费及时到位。</w:t>
      </w:r>
    </w:p>
    <w:p>
      <w:pPr>
        <w:pStyle w:val="5"/>
        <w:pageBreakBefore w:val="0"/>
        <w:widowControl w:val="0"/>
        <w:kinsoku/>
        <w:wordWrap/>
        <w:overflowPunct/>
        <w:topLinePunct w:val="0"/>
        <w:autoSpaceDE/>
        <w:autoSpaceDN/>
        <w:bidi w:val="0"/>
        <w:adjustRightInd/>
        <w:snapToGrid/>
        <w:textAlignment w:val="auto"/>
        <w:rPr>
          <w:sz w:val="24"/>
          <w:szCs w:val="24"/>
        </w:rPr>
      </w:pPr>
      <w:r>
        <w:rPr>
          <w:rFonts w:hint="eastAsia"/>
          <w:sz w:val="24"/>
          <w:szCs w:val="24"/>
        </w:rPr>
        <w:t>医疗卫生保障</w:t>
      </w:r>
    </w:p>
    <w:p>
      <w:pPr>
        <w:pageBreakBefore w:val="0"/>
        <w:widowControl w:val="0"/>
        <w:kinsoku/>
        <w:wordWrap/>
        <w:overflowPunct/>
        <w:topLinePunct w:val="0"/>
        <w:autoSpaceDE/>
        <w:autoSpaceDN/>
        <w:bidi w:val="0"/>
        <w:adjustRightInd/>
        <w:snapToGrid/>
        <w:ind w:firstLine="560"/>
        <w:textAlignment w:val="auto"/>
        <w:rPr>
          <w:sz w:val="24"/>
          <w:szCs w:val="24"/>
        </w:rPr>
      </w:pPr>
      <w:r>
        <w:rPr>
          <w:rFonts w:hint="eastAsia"/>
          <w:sz w:val="24"/>
          <w:szCs w:val="24"/>
        </w:rPr>
        <w:t>应急指挥中心组织协调各级医疗救护队伍实施医疗救治，应急救援行动以人员安全放在首要地位，应急救援人员必须穿戴好安全帽、呼吸面罩等个人防护用品后方可实施救援。</w:t>
      </w:r>
    </w:p>
    <w:p>
      <w:pPr>
        <w:pageBreakBefore w:val="0"/>
        <w:widowControl w:val="0"/>
        <w:kinsoku/>
        <w:wordWrap/>
        <w:overflowPunct/>
        <w:topLinePunct w:val="0"/>
        <w:autoSpaceDE/>
        <w:autoSpaceDN/>
        <w:bidi w:val="0"/>
        <w:adjustRightInd/>
        <w:snapToGrid/>
        <w:ind w:firstLine="560"/>
        <w:textAlignment w:val="auto"/>
        <w:rPr>
          <w:sz w:val="24"/>
          <w:szCs w:val="24"/>
        </w:rPr>
      </w:pPr>
      <w:r>
        <w:rPr>
          <w:rFonts w:hint="eastAsia"/>
          <w:sz w:val="24"/>
          <w:szCs w:val="24"/>
        </w:rPr>
        <w:t>当发生有重大人员伤亡时，快速联系外部医疗机构，引导外部医疗人员到达指定救护区域，并护送、陪同伤情较重人员到医院进行治疗。</w:t>
      </w:r>
    </w:p>
    <w:p>
      <w:pPr>
        <w:pStyle w:val="5"/>
        <w:pageBreakBefore w:val="0"/>
        <w:widowControl w:val="0"/>
        <w:kinsoku/>
        <w:wordWrap/>
        <w:overflowPunct/>
        <w:topLinePunct w:val="0"/>
        <w:autoSpaceDE/>
        <w:autoSpaceDN/>
        <w:bidi w:val="0"/>
        <w:adjustRightInd/>
        <w:snapToGrid/>
        <w:textAlignment w:val="auto"/>
        <w:rPr>
          <w:sz w:val="24"/>
          <w:szCs w:val="24"/>
        </w:rPr>
      </w:pPr>
      <w:r>
        <w:rPr>
          <w:rFonts w:hint="eastAsia"/>
          <w:sz w:val="24"/>
          <w:szCs w:val="24"/>
        </w:rPr>
        <w:t>治安维护</w:t>
      </w:r>
    </w:p>
    <w:p>
      <w:pPr>
        <w:pageBreakBefore w:val="0"/>
        <w:widowControl w:val="0"/>
        <w:kinsoku/>
        <w:wordWrap/>
        <w:overflowPunct/>
        <w:topLinePunct w:val="0"/>
        <w:autoSpaceDE/>
        <w:autoSpaceDN/>
        <w:bidi w:val="0"/>
        <w:adjustRightInd/>
        <w:snapToGrid/>
        <w:ind w:firstLine="560"/>
        <w:textAlignment w:val="auto"/>
        <w:rPr>
          <w:sz w:val="24"/>
          <w:szCs w:val="24"/>
        </w:rPr>
      </w:pPr>
      <w:r>
        <w:rPr>
          <w:rFonts w:hint="eastAsia"/>
          <w:sz w:val="24"/>
          <w:szCs w:val="24"/>
        </w:rPr>
        <w:t>加强对重要物质和设备的保护，维持现场秩序，及时疏散群众。同时，门卫负责隔离厂区入口，管制人员、车辆进出工厂及执行厂区内、外交通指挥与疏散，协助执行事故现场的封锁、隔离及警戒工作。必要时请求</w:t>
      </w:r>
      <w:r>
        <w:rPr>
          <w:rFonts w:hint="eastAsia"/>
          <w:sz w:val="24"/>
          <w:szCs w:val="24"/>
          <w:lang w:eastAsia="zh-CN"/>
        </w:rPr>
        <w:t>南昌经济开发区</w:t>
      </w:r>
      <w:r>
        <w:rPr>
          <w:rFonts w:hint="eastAsia"/>
          <w:sz w:val="24"/>
          <w:szCs w:val="24"/>
        </w:rPr>
        <w:t>管委会协助事故灾难现场治安警戒和治安管理。</w:t>
      </w:r>
    </w:p>
    <w:p>
      <w:pPr>
        <w:pStyle w:val="5"/>
        <w:pageBreakBefore w:val="0"/>
        <w:widowControl w:val="0"/>
        <w:kinsoku/>
        <w:wordWrap/>
        <w:overflowPunct/>
        <w:topLinePunct w:val="0"/>
        <w:autoSpaceDE/>
        <w:autoSpaceDN/>
        <w:bidi w:val="0"/>
        <w:adjustRightInd/>
        <w:snapToGrid/>
        <w:textAlignment w:val="auto"/>
        <w:rPr>
          <w:sz w:val="24"/>
          <w:szCs w:val="24"/>
        </w:rPr>
      </w:pPr>
      <w:r>
        <w:rPr>
          <w:rFonts w:hint="eastAsia"/>
          <w:sz w:val="24"/>
          <w:szCs w:val="24"/>
        </w:rPr>
        <w:t>交通运输保障</w:t>
      </w:r>
    </w:p>
    <w:p>
      <w:pPr>
        <w:pageBreakBefore w:val="0"/>
        <w:widowControl w:val="0"/>
        <w:kinsoku/>
        <w:wordWrap/>
        <w:overflowPunct/>
        <w:topLinePunct w:val="0"/>
        <w:autoSpaceDE/>
        <w:autoSpaceDN/>
        <w:bidi w:val="0"/>
        <w:adjustRightInd/>
        <w:snapToGrid/>
        <w:ind w:firstLine="560"/>
        <w:textAlignment w:val="auto"/>
        <w:rPr>
          <w:sz w:val="24"/>
          <w:szCs w:val="24"/>
        </w:rPr>
      </w:pPr>
      <w:r>
        <w:rPr>
          <w:rFonts w:hint="eastAsia"/>
          <w:sz w:val="24"/>
          <w:szCs w:val="24"/>
        </w:rPr>
        <w:t>在应急响应时，利用现有的交通资源，请求交通部门提供交通支持，保证及时调用有关应急救援人员、装备和物质。</w:t>
      </w:r>
    </w:p>
    <w:p>
      <w:pPr>
        <w:pStyle w:val="5"/>
        <w:pageBreakBefore w:val="0"/>
        <w:widowControl w:val="0"/>
        <w:kinsoku/>
        <w:wordWrap/>
        <w:overflowPunct/>
        <w:topLinePunct w:val="0"/>
        <w:autoSpaceDE/>
        <w:autoSpaceDN/>
        <w:bidi w:val="0"/>
        <w:adjustRightInd/>
        <w:snapToGrid/>
        <w:textAlignment w:val="auto"/>
        <w:rPr>
          <w:sz w:val="24"/>
          <w:szCs w:val="24"/>
        </w:rPr>
      </w:pPr>
      <w:r>
        <w:rPr>
          <w:rFonts w:hint="eastAsia"/>
          <w:sz w:val="24"/>
          <w:szCs w:val="24"/>
        </w:rPr>
        <w:t>技术保障</w:t>
      </w:r>
    </w:p>
    <w:p>
      <w:pPr>
        <w:pageBreakBefore w:val="0"/>
        <w:widowControl w:val="0"/>
        <w:kinsoku/>
        <w:wordWrap/>
        <w:overflowPunct/>
        <w:topLinePunct w:val="0"/>
        <w:autoSpaceDE/>
        <w:autoSpaceDN/>
        <w:bidi w:val="0"/>
        <w:adjustRightInd/>
        <w:snapToGrid/>
        <w:ind w:firstLine="560"/>
        <w:textAlignment w:val="auto"/>
        <w:rPr>
          <w:sz w:val="24"/>
          <w:szCs w:val="24"/>
        </w:rPr>
      </w:pPr>
      <w:r>
        <w:rPr>
          <w:rFonts w:hint="eastAsia"/>
          <w:sz w:val="24"/>
          <w:szCs w:val="24"/>
        </w:rPr>
        <w:t>充分利用现有的技术人才资源和技术设备设施资源，提供在应急状态下的技术支持。在应急响应状态时，请求当地气象部门为应急救援决策和响应行动提供所需要的气象资料和气象技术支持。</w:t>
      </w:r>
    </w:p>
    <w:p>
      <w:pPr>
        <w:pageBreakBefore w:val="0"/>
        <w:widowControl w:val="0"/>
        <w:kinsoku/>
        <w:wordWrap/>
        <w:overflowPunct/>
        <w:topLinePunct w:val="0"/>
        <w:autoSpaceDE/>
        <w:autoSpaceDN/>
        <w:bidi w:val="0"/>
        <w:adjustRightInd/>
        <w:snapToGrid/>
        <w:ind w:firstLine="560"/>
        <w:textAlignment w:val="auto"/>
        <w:rPr>
          <w:sz w:val="24"/>
          <w:szCs w:val="24"/>
        </w:rPr>
        <w:sectPr>
          <w:pgSz w:w="11906" w:h="16838"/>
          <w:pgMar w:top="1440" w:right="1276" w:bottom="1440" w:left="1134" w:header="851" w:footer="992" w:gutter="0"/>
          <w:pgNumType w:fmt="decimal"/>
          <w:cols w:space="425" w:num="1"/>
          <w:docGrid w:type="linesAndChars" w:linePitch="381" w:charSpace="0"/>
        </w:sectPr>
      </w:pPr>
    </w:p>
    <w:p>
      <w:pPr>
        <w:pStyle w:val="3"/>
      </w:pPr>
      <w:bookmarkStart w:id="102" w:name="_Toc1404"/>
      <w:r>
        <w:rPr>
          <w:rFonts w:hint="eastAsia"/>
        </w:rPr>
        <w:t>预案管理</w:t>
      </w:r>
      <w:bookmarkEnd w:id="102"/>
    </w:p>
    <w:p>
      <w:pPr>
        <w:pStyle w:val="4"/>
        <w:rPr>
          <w:sz w:val="24"/>
          <w:szCs w:val="24"/>
        </w:rPr>
      </w:pPr>
      <w:bookmarkStart w:id="103" w:name="_Toc6610"/>
      <w:r>
        <w:rPr>
          <w:rFonts w:hint="eastAsia"/>
          <w:sz w:val="24"/>
          <w:szCs w:val="24"/>
        </w:rPr>
        <w:t>培训</w:t>
      </w:r>
      <w:bookmarkEnd w:id="103"/>
    </w:p>
    <w:p>
      <w:pPr>
        <w:ind w:firstLine="560"/>
        <w:rPr>
          <w:sz w:val="24"/>
          <w:szCs w:val="24"/>
        </w:rPr>
      </w:pPr>
      <w:r>
        <w:rPr>
          <w:rFonts w:hint="eastAsia"/>
          <w:sz w:val="24"/>
          <w:szCs w:val="24"/>
        </w:rPr>
        <w:t>对公司员工进行培训，防止突发性环境事件的发生，并能在事件发生后，能以最快的速度发挥最大的效能，有序地实施救援。应急救援培训的目的：</w:t>
      </w:r>
    </w:p>
    <w:p>
      <w:pPr>
        <w:ind w:firstLine="560"/>
        <w:rPr>
          <w:sz w:val="24"/>
          <w:szCs w:val="24"/>
        </w:rPr>
      </w:pPr>
      <w:r>
        <w:rPr>
          <w:sz w:val="24"/>
          <w:szCs w:val="24"/>
        </w:rPr>
        <w:t>1</w:t>
      </w:r>
      <w:r>
        <w:rPr>
          <w:rFonts w:hint="eastAsia"/>
          <w:sz w:val="24"/>
          <w:szCs w:val="24"/>
        </w:rPr>
        <w:t>、提高公司员工的安全意识和对突发事故的思想重视程度。</w:t>
      </w:r>
    </w:p>
    <w:p>
      <w:pPr>
        <w:ind w:firstLine="560"/>
        <w:rPr>
          <w:sz w:val="24"/>
          <w:szCs w:val="24"/>
        </w:rPr>
      </w:pPr>
      <w:r>
        <w:rPr>
          <w:rFonts w:hint="eastAsia"/>
          <w:sz w:val="24"/>
          <w:szCs w:val="24"/>
        </w:rPr>
        <w:t>2、提高公司特殊岗位和参与应急响应人员的岗位操作水平和应急技能。</w:t>
      </w:r>
    </w:p>
    <w:p>
      <w:pPr>
        <w:ind w:firstLine="560"/>
        <w:rPr>
          <w:sz w:val="24"/>
          <w:szCs w:val="24"/>
        </w:rPr>
      </w:pPr>
      <w:r>
        <w:rPr>
          <w:rFonts w:hint="eastAsia"/>
          <w:sz w:val="24"/>
          <w:szCs w:val="24"/>
        </w:rPr>
        <w:t>3、了解并掌握原辅料及各类危险废弃物的特性和危害。</w:t>
      </w:r>
    </w:p>
    <w:p>
      <w:pPr>
        <w:ind w:firstLine="560"/>
        <w:rPr>
          <w:sz w:val="24"/>
          <w:szCs w:val="24"/>
        </w:rPr>
      </w:pPr>
      <w:r>
        <w:rPr>
          <w:rFonts w:hint="eastAsia"/>
          <w:sz w:val="24"/>
          <w:szCs w:val="24"/>
        </w:rPr>
        <w:t>4、提高对企业危险目标、潜在风险的预防、控制能力和水平。</w:t>
      </w:r>
    </w:p>
    <w:p>
      <w:pPr>
        <w:ind w:firstLine="560"/>
        <w:rPr>
          <w:sz w:val="24"/>
          <w:szCs w:val="24"/>
        </w:rPr>
      </w:pPr>
      <w:r>
        <w:rPr>
          <w:rFonts w:hint="eastAsia"/>
          <w:sz w:val="24"/>
          <w:szCs w:val="24"/>
        </w:rPr>
        <w:t>5、熟悉理解“事故应急预案”的内容和要求，正确作出应急响应。</w:t>
      </w:r>
    </w:p>
    <w:p>
      <w:pPr>
        <w:pStyle w:val="5"/>
        <w:rPr>
          <w:sz w:val="24"/>
          <w:szCs w:val="24"/>
        </w:rPr>
      </w:pPr>
      <w:r>
        <w:rPr>
          <w:rFonts w:hint="eastAsia"/>
          <w:sz w:val="24"/>
          <w:szCs w:val="24"/>
        </w:rPr>
        <w:t>培训组织</w:t>
      </w:r>
    </w:p>
    <w:p>
      <w:pPr>
        <w:ind w:firstLine="560"/>
        <w:rPr>
          <w:sz w:val="24"/>
          <w:szCs w:val="24"/>
        </w:rPr>
      </w:pPr>
      <w:r>
        <w:rPr>
          <w:rFonts w:hint="eastAsia"/>
          <w:sz w:val="24"/>
          <w:szCs w:val="24"/>
        </w:rPr>
        <w:t>培训的实施：</w:t>
      </w:r>
    </w:p>
    <w:p>
      <w:pPr>
        <w:ind w:firstLine="560"/>
        <w:rPr>
          <w:sz w:val="24"/>
          <w:szCs w:val="24"/>
        </w:rPr>
      </w:pPr>
      <w:r>
        <w:rPr>
          <w:rFonts w:hint="eastAsia"/>
          <w:sz w:val="24"/>
          <w:szCs w:val="24"/>
        </w:rPr>
        <w:t>1、全体员工分别按培训计划参加培训；</w:t>
      </w:r>
    </w:p>
    <w:p>
      <w:pPr>
        <w:ind w:firstLine="560"/>
        <w:rPr>
          <w:sz w:val="24"/>
          <w:szCs w:val="24"/>
        </w:rPr>
      </w:pPr>
      <w:r>
        <w:rPr>
          <w:rFonts w:hint="eastAsia"/>
          <w:sz w:val="24"/>
          <w:szCs w:val="24"/>
        </w:rPr>
        <w:t>2、师资以专兼职结合，内请外聘解决；</w:t>
      </w:r>
    </w:p>
    <w:p>
      <w:pPr>
        <w:ind w:firstLine="560"/>
        <w:rPr>
          <w:sz w:val="24"/>
          <w:szCs w:val="24"/>
        </w:rPr>
      </w:pPr>
      <w:r>
        <w:rPr>
          <w:rFonts w:hint="eastAsia"/>
          <w:sz w:val="24"/>
          <w:szCs w:val="24"/>
        </w:rPr>
        <w:t>3、培训过程中，应急办公室负责检查培训进度和培训质量；</w:t>
      </w:r>
    </w:p>
    <w:p>
      <w:pPr>
        <w:ind w:firstLine="560"/>
        <w:rPr>
          <w:sz w:val="24"/>
          <w:szCs w:val="24"/>
        </w:rPr>
      </w:pPr>
      <w:r>
        <w:rPr>
          <w:rFonts w:hint="eastAsia"/>
          <w:sz w:val="24"/>
          <w:szCs w:val="24"/>
        </w:rPr>
        <w:t>4、各类培训做好培训记录，培训考试试卷由应急办公室保存；</w:t>
      </w:r>
    </w:p>
    <w:p>
      <w:pPr>
        <w:ind w:firstLine="560"/>
        <w:rPr>
          <w:sz w:val="24"/>
          <w:szCs w:val="24"/>
        </w:rPr>
      </w:pPr>
      <w:r>
        <w:rPr>
          <w:rFonts w:hint="eastAsia"/>
          <w:sz w:val="24"/>
          <w:szCs w:val="24"/>
        </w:rPr>
        <w:t>5、特殊工种参加法定的持证上岗培训。</w:t>
      </w:r>
    </w:p>
    <w:p>
      <w:pPr>
        <w:pStyle w:val="5"/>
        <w:rPr>
          <w:sz w:val="24"/>
          <w:szCs w:val="24"/>
        </w:rPr>
      </w:pPr>
      <w:r>
        <w:rPr>
          <w:rFonts w:hint="eastAsia"/>
          <w:sz w:val="24"/>
          <w:szCs w:val="24"/>
        </w:rPr>
        <w:t>培训内容和对象</w:t>
      </w:r>
    </w:p>
    <w:p>
      <w:pPr>
        <w:ind w:firstLine="560"/>
        <w:rPr>
          <w:sz w:val="24"/>
          <w:szCs w:val="24"/>
        </w:rPr>
      </w:pPr>
      <w:r>
        <w:rPr>
          <w:rFonts w:hint="eastAsia"/>
          <w:sz w:val="24"/>
          <w:szCs w:val="24"/>
        </w:rPr>
        <w:t>根据受培训人员的不同情况，选择不同侧重点，制定切实可行的培训计划，确定培训内容。培训内容详见</w:t>
      </w:r>
      <w:r>
        <w:rPr>
          <w:sz w:val="24"/>
          <w:szCs w:val="24"/>
        </w:rPr>
        <w:fldChar w:fldCharType="begin"/>
      </w:r>
      <w:r>
        <w:rPr>
          <w:sz w:val="24"/>
          <w:szCs w:val="24"/>
        </w:rPr>
        <w:instrText xml:space="preserve"> </w:instrText>
      </w:r>
      <w:r>
        <w:rPr>
          <w:rFonts w:hint="eastAsia"/>
          <w:sz w:val="24"/>
          <w:szCs w:val="24"/>
        </w:rPr>
        <w:instrText xml:space="preserve">REF _Ref527061444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1</w:t>
      </w:r>
      <w:r>
        <w:rPr>
          <w:rFonts w:hint="eastAsia"/>
          <w:sz w:val="24"/>
          <w:szCs w:val="24"/>
          <w:lang w:val="en-US" w:eastAsia="zh-CN"/>
        </w:rPr>
        <w:t>1</w:t>
      </w:r>
      <w:r>
        <w:rPr>
          <w:sz w:val="24"/>
          <w:szCs w:val="24"/>
        </w:rPr>
        <w:noBreakHyphen/>
      </w:r>
      <w:r>
        <w:rPr>
          <w:sz w:val="24"/>
          <w:szCs w:val="24"/>
        </w:rPr>
        <w:t>1</w:t>
      </w:r>
      <w:r>
        <w:rPr>
          <w:sz w:val="24"/>
          <w:szCs w:val="24"/>
        </w:rPr>
        <w:fldChar w:fldCharType="end"/>
      </w:r>
      <w:r>
        <w:rPr>
          <w:rFonts w:hint="eastAsia"/>
          <w:sz w:val="24"/>
          <w:szCs w:val="24"/>
        </w:rPr>
        <w:t>。</w:t>
      </w:r>
    </w:p>
    <w:p>
      <w:pPr>
        <w:widowControl/>
        <w:spacing w:line="240" w:lineRule="auto"/>
        <w:ind w:firstLine="0" w:firstLineChars="0"/>
        <w:jc w:val="left"/>
        <w:rPr>
          <w:sz w:val="24"/>
          <w:szCs w:val="24"/>
        </w:rPr>
      </w:pPr>
      <w:r>
        <w:rPr>
          <w:sz w:val="24"/>
          <w:szCs w:val="24"/>
        </w:rPr>
        <w:br w:type="page"/>
      </w:r>
    </w:p>
    <w:p>
      <w:pPr>
        <w:pStyle w:val="7"/>
        <w:keepNext/>
      </w:pPr>
      <w:bookmarkStart w:id="104" w:name="_Ref527061444"/>
      <w:r>
        <w:rPr>
          <w:rFonts w:hint="eastAsia"/>
        </w:rPr>
        <w:t xml:space="preserve">表 </w:t>
      </w:r>
      <w:r>
        <w:fldChar w:fldCharType="begin"/>
      </w:r>
      <w:r>
        <w:instrText xml:space="preserve"> </w:instrText>
      </w:r>
      <w:r>
        <w:rPr>
          <w:rFonts w:hint="eastAsia"/>
        </w:rPr>
        <w:instrText xml:space="preserve">STYLEREF 1 \s</w:instrText>
      </w:r>
      <w:r>
        <w:instrText xml:space="preserve"> </w:instrText>
      </w:r>
      <w:r>
        <w:fldChar w:fldCharType="separate"/>
      </w:r>
      <w:r>
        <w:t>1</w:t>
      </w:r>
      <w:r>
        <w:rPr>
          <w:rFonts w:hint="eastAsia"/>
          <w:lang w:val="en-US" w:eastAsia="zh-CN"/>
        </w:rPr>
        <w:t>1</w:t>
      </w:r>
      <w:r>
        <w:fldChar w:fldCharType="end"/>
      </w:r>
      <w:r>
        <w:noBreakHyphen/>
      </w:r>
      <w:r>
        <w:fldChar w:fldCharType="begin"/>
      </w:r>
      <w:r>
        <w:instrText xml:space="preserve"> </w:instrText>
      </w:r>
      <w:r>
        <w:rPr>
          <w:rFonts w:hint="eastAsia"/>
        </w:rPr>
        <w:instrText xml:space="preserve">SEQ 表 \* ARABIC \s 1</w:instrText>
      </w:r>
      <w:r>
        <w:instrText xml:space="preserve"> </w:instrText>
      </w:r>
      <w:r>
        <w:fldChar w:fldCharType="separate"/>
      </w:r>
      <w:r>
        <w:t>1</w:t>
      </w:r>
      <w:r>
        <w:fldChar w:fldCharType="end"/>
      </w:r>
      <w:bookmarkEnd w:id="104"/>
      <w:r>
        <w:rPr>
          <w:rFonts w:hint="eastAsia"/>
        </w:rPr>
        <w:t>培训内容和培训对象</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9"/>
        <w:gridCol w:w="2776"/>
        <w:gridCol w:w="6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05" w:name="_Toc430850354"/>
            <w:bookmarkStart w:id="106" w:name="_Toc430925964"/>
            <w:r>
              <w:rPr>
                <w:rFonts w:cs="Times New Roman"/>
                <w:sz w:val="21"/>
                <w:szCs w:val="21"/>
              </w:rPr>
              <w:t>序号</w:t>
            </w:r>
            <w:bookmarkEnd w:id="105"/>
            <w:bookmarkEnd w:id="106"/>
          </w:p>
        </w:tc>
        <w:tc>
          <w:tcPr>
            <w:tcW w:w="1429" w:type="pct"/>
            <w:shd w:val="clear" w:color="auto" w:fill="auto"/>
            <w:vAlign w:val="center"/>
          </w:tcPr>
          <w:p>
            <w:pPr>
              <w:spacing w:line="240" w:lineRule="auto"/>
              <w:ind w:firstLine="0" w:firstLineChars="0"/>
              <w:jc w:val="center"/>
              <w:rPr>
                <w:rFonts w:cs="Times New Roman"/>
                <w:sz w:val="21"/>
                <w:szCs w:val="21"/>
              </w:rPr>
            </w:pPr>
            <w:bookmarkStart w:id="107" w:name="_Toc430925965"/>
            <w:bookmarkStart w:id="108" w:name="_Toc430850355"/>
            <w:r>
              <w:rPr>
                <w:rFonts w:cs="Times New Roman"/>
                <w:sz w:val="21"/>
                <w:szCs w:val="21"/>
              </w:rPr>
              <w:t>培训内容</w:t>
            </w:r>
            <w:bookmarkEnd w:id="107"/>
            <w:bookmarkEnd w:id="108"/>
          </w:p>
        </w:tc>
        <w:tc>
          <w:tcPr>
            <w:tcW w:w="3139" w:type="pct"/>
            <w:shd w:val="clear" w:color="auto" w:fill="auto"/>
            <w:vAlign w:val="center"/>
          </w:tcPr>
          <w:p>
            <w:pPr>
              <w:spacing w:line="240" w:lineRule="auto"/>
              <w:ind w:firstLine="0" w:firstLineChars="0"/>
              <w:jc w:val="center"/>
              <w:rPr>
                <w:rFonts w:cs="Times New Roman"/>
                <w:sz w:val="21"/>
                <w:szCs w:val="21"/>
              </w:rPr>
            </w:pPr>
            <w:bookmarkStart w:id="109" w:name="_Toc430925966"/>
            <w:bookmarkStart w:id="110" w:name="_Toc430850356"/>
            <w:r>
              <w:rPr>
                <w:rFonts w:cs="Times New Roman"/>
                <w:sz w:val="21"/>
                <w:szCs w:val="21"/>
              </w:rPr>
              <w:t>接受培训对象</w:t>
            </w:r>
            <w:bookmarkEnd w:id="109"/>
            <w:bookmarkEnd w:id="11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11" w:name="_Toc430925967"/>
            <w:bookmarkStart w:id="112" w:name="_Toc430850357"/>
            <w:r>
              <w:rPr>
                <w:rFonts w:cs="Times New Roman"/>
                <w:sz w:val="21"/>
                <w:szCs w:val="21"/>
              </w:rPr>
              <w:t>1</w:t>
            </w:r>
            <w:bookmarkEnd w:id="111"/>
            <w:bookmarkEnd w:id="112"/>
          </w:p>
        </w:tc>
        <w:tc>
          <w:tcPr>
            <w:tcW w:w="1429" w:type="pct"/>
            <w:shd w:val="clear" w:color="auto" w:fill="auto"/>
            <w:vAlign w:val="center"/>
          </w:tcPr>
          <w:p>
            <w:pPr>
              <w:spacing w:line="240" w:lineRule="auto"/>
              <w:ind w:firstLine="0" w:firstLineChars="0"/>
              <w:jc w:val="center"/>
              <w:rPr>
                <w:rFonts w:cs="Times New Roman"/>
                <w:sz w:val="21"/>
                <w:szCs w:val="21"/>
              </w:rPr>
            </w:pPr>
            <w:bookmarkStart w:id="113" w:name="_Toc430925968"/>
            <w:bookmarkStart w:id="114" w:name="_Toc430850358"/>
            <w:r>
              <w:rPr>
                <w:rFonts w:cs="Times New Roman"/>
                <w:sz w:val="21"/>
                <w:szCs w:val="21"/>
              </w:rPr>
              <w:t>事故应急救援预案</w:t>
            </w:r>
            <w:bookmarkEnd w:id="113"/>
            <w:bookmarkEnd w:id="114"/>
          </w:p>
        </w:tc>
        <w:tc>
          <w:tcPr>
            <w:tcW w:w="3139" w:type="pct"/>
            <w:shd w:val="clear" w:color="auto" w:fill="auto"/>
            <w:vAlign w:val="center"/>
          </w:tcPr>
          <w:p>
            <w:pPr>
              <w:spacing w:line="240" w:lineRule="auto"/>
              <w:ind w:firstLine="0" w:firstLineChars="0"/>
              <w:jc w:val="center"/>
              <w:rPr>
                <w:rFonts w:cs="Times New Roman"/>
                <w:sz w:val="21"/>
                <w:szCs w:val="21"/>
              </w:rPr>
            </w:pPr>
            <w:bookmarkStart w:id="115" w:name="_Toc430850359"/>
            <w:bookmarkStart w:id="116" w:name="_Toc430925969"/>
            <w:r>
              <w:rPr>
                <w:rFonts w:cs="Times New Roman"/>
                <w:sz w:val="21"/>
                <w:szCs w:val="21"/>
              </w:rPr>
              <w:t>企业员工</w:t>
            </w:r>
            <w:bookmarkEnd w:id="115"/>
            <w:bookmarkEnd w:id="11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17" w:name="_Toc430925970"/>
            <w:bookmarkStart w:id="118" w:name="_Toc430850360"/>
            <w:r>
              <w:rPr>
                <w:rFonts w:cs="Times New Roman"/>
                <w:sz w:val="21"/>
                <w:szCs w:val="21"/>
              </w:rPr>
              <w:t>2</w:t>
            </w:r>
            <w:bookmarkEnd w:id="117"/>
            <w:bookmarkEnd w:id="118"/>
          </w:p>
        </w:tc>
        <w:tc>
          <w:tcPr>
            <w:tcW w:w="1429" w:type="pct"/>
            <w:shd w:val="clear" w:color="auto" w:fill="auto"/>
            <w:vAlign w:val="center"/>
          </w:tcPr>
          <w:p>
            <w:pPr>
              <w:spacing w:line="240" w:lineRule="auto"/>
              <w:ind w:firstLine="0" w:firstLineChars="0"/>
              <w:jc w:val="center"/>
              <w:rPr>
                <w:rFonts w:cs="Times New Roman"/>
                <w:sz w:val="21"/>
                <w:szCs w:val="21"/>
              </w:rPr>
            </w:pPr>
            <w:bookmarkStart w:id="119" w:name="_Toc430925971"/>
            <w:bookmarkStart w:id="120" w:name="_Toc430850361"/>
            <w:r>
              <w:rPr>
                <w:rFonts w:cs="Times New Roman"/>
                <w:sz w:val="21"/>
                <w:szCs w:val="21"/>
              </w:rPr>
              <w:t>应急知识宣传资料</w:t>
            </w:r>
            <w:bookmarkEnd w:id="119"/>
            <w:bookmarkEnd w:id="120"/>
          </w:p>
        </w:tc>
        <w:tc>
          <w:tcPr>
            <w:tcW w:w="3139" w:type="pct"/>
            <w:shd w:val="clear" w:color="auto" w:fill="auto"/>
            <w:vAlign w:val="center"/>
          </w:tcPr>
          <w:p>
            <w:pPr>
              <w:spacing w:line="240" w:lineRule="auto"/>
              <w:ind w:firstLine="0" w:firstLineChars="0"/>
              <w:jc w:val="center"/>
              <w:rPr>
                <w:rFonts w:cs="Times New Roman"/>
                <w:sz w:val="21"/>
                <w:szCs w:val="21"/>
              </w:rPr>
            </w:pPr>
            <w:bookmarkStart w:id="121" w:name="_Toc430850362"/>
            <w:bookmarkStart w:id="122" w:name="_Toc430925972"/>
            <w:r>
              <w:rPr>
                <w:rFonts w:cs="Times New Roman"/>
                <w:sz w:val="21"/>
                <w:szCs w:val="21"/>
              </w:rPr>
              <w:t>企业员工、外部公众</w:t>
            </w:r>
            <w:bookmarkEnd w:id="121"/>
            <w:bookmarkEnd w:id="12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23" w:name="_Toc430925973"/>
            <w:bookmarkStart w:id="124" w:name="_Toc430850363"/>
            <w:r>
              <w:rPr>
                <w:rFonts w:cs="Times New Roman"/>
                <w:sz w:val="21"/>
                <w:szCs w:val="21"/>
              </w:rPr>
              <w:t>3</w:t>
            </w:r>
            <w:bookmarkEnd w:id="123"/>
            <w:bookmarkEnd w:id="124"/>
          </w:p>
        </w:tc>
        <w:tc>
          <w:tcPr>
            <w:tcW w:w="1429" w:type="pct"/>
            <w:shd w:val="clear" w:color="auto" w:fill="auto"/>
            <w:vAlign w:val="center"/>
          </w:tcPr>
          <w:p>
            <w:pPr>
              <w:spacing w:line="240" w:lineRule="auto"/>
              <w:ind w:firstLine="0" w:firstLineChars="0"/>
              <w:jc w:val="center"/>
              <w:rPr>
                <w:rFonts w:cs="Times New Roman"/>
                <w:sz w:val="21"/>
                <w:szCs w:val="21"/>
              </w:rPr>
            </w:pPr>
            <w:bookmarkStart w:id="125" w:name="_Toc430850364"/>
            <w:bookmarkStart w:id="126" w:name="_Toc430925974"/>
            <w:r>
              <w:rPr>
                <w:rFonts w:cs="Times New Roman"/>
                <w:sz w:val="21"/>
                <w:szCs w:val="21"/>
              </w:rPr>
              <w:t>危险废物特性</w:t>
            </w:r>
            <w:bookmarkEnd w:id="125"/>
            <w:bookmarkEnd w:id="126"/>
          </w:p>
        </w:tc>
        <w:tc>
          <w:tcPr>
            <w:tcW w:w="3139" w:type="pct"/>
            <w:shd w:val="clear" w:color="auto" w:fill="auto"/>
            <w:vAlign w:val="center"/>
          </w:tcPr>
          <w:p>
            <w:pPr>
              <w:spacing w:line="240" w:lineRule="auto"/>
              <w:ind w:firstLine="0" w:firstLineChars="0"/>
              <w:jc w:val="center"/>
              <w:rPr>
                <w:rFonts w:cs="Times New Roman"/>
                <w:sz w:val="21"/>
                <w:szCs w:val="21"/>
              </w:rPr>
            </w:pPr>
            <w:bookmarkStart w:id="127" w:name="_Toc430925975"/>
            <w:bookmarkStart w:id="128" w:name="_Toc430850365"/>
            <w:r>
              <w:rPr>
                <w:rFonts w:cs="Times New Roman"/>
                <w:sz w:val="21"/>
                <w:szCs w:val="21"/>
              </w:rPr>
              <w:t>企业主要岗位入员、应急参与人员</w:t>
            </w:r>
            <w:bookmarkEnd w:id="127"/>
            <w:bookmarkEnd w:id="12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29" w:name="_Toc430925976"/>
            <w:bookmarkStart w:id="130" w:name="_Toc430850366"/>
            <w:r>
              <w:rPr>
                <w:rFonts w:cs="Times New Roman"/>
                <w:sz w:val="21"/>
                <w:szCs w:val="21"/>
              </w:rPr>
              <w:t>4</w:t>
            </w:r>
            <w:bookmarkEnd w:id="129"/>
            <w:bookmarkEnd w:id="130"/>
          </w:p>
        </w:tc>
        <w:tc>
          <w:tcPr>
            <w:tcW w:w="1429" w:type="pct"/>
            <w:shd w:val="clear" w:color="auto" w:fill="auto"/>
            <w:vAlign w:val="center"/>
          </w:tcPr>
          <w:p>
            <w:pPr>
              <w:spacing w:line="240" w:lineRule="auto"/>
              <w:ind w:firstLine="0" w:firstLineChars="0"/>
              <w:jc w:val="center"/>
              <w:rPr>
                <w:rFonts w:cs="Times New Roman"/>
                <w:sz w:val="21"/>
                <w:szCs w:val="21"/>
              </w:rPr>
            </w:pPr>
            <w:bookmarkStart w:id="131" w:name="_Toc430850367"/>
            <w:bookmarkStart w:id="132" w:name="_Toc430925977"/>
            <w:r>
              <w:rPr>
                <w:rFonts w:cs="Times New Roman"/>
                <w:sz w:val="21"/>
                <w:szCs w:val="21"/>
              </w:rPr>
              <w:t>突发事故危害性</w:t>
            </w:r>
            <w:bookmarkEnd w:id="131"/>
            <w:bookmarkEnd w:id="132"/>
          </w:p>
        </w:tc>
        <w:tc>
          <w:tcPr>
            <w:tcW w:w="3139" w:type="pct"/>
            <w:shd w:val="clear" w:color="auto" w:fill="auto"/>
            <w:vAlign w:val="center"/>
          </w:tcPr>
          <w:p>
            <w:pPr>
              <w:spacing w:line="240" w:lineRule="auto"/>
              <w:ind w:firstLine="0" w:firstLineChars="0"/>
              <w:jc w:val="center"/>
              <w:rPr>
                <w:rFonts w:cs="Times New Roman"/>
                <w:sz w:val="21"/>
                <w:szCs w:val="21"/>
              </w:rPr>
            </w:pPr>
            <w:bookmarkStart w:id="133" w:name="_Toc430925978"/>
            <w:bookmarkStart w:id="134" w:name="_Toc430850368"/>
            <w:r>
              <w:rPr>
                <w:rFonts w:cs="Times New Roman"/>
                <w:sz w:val="21"/>
                <w:szCs w:val="21"/>
              </w:rPr>
              <w:t>企业员工、外部公众</w:t>
            </w:r>
            <w:bookmarkEnd w:id="133"/>
            <w:bookmarkEnd w:id="13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35" w:name="_Toc430925979"/>
            <w:bookmarkStart w:id="136" w:name="_Toc430850369"/>
            <w:r>
              <w:rPr>
                <w:rFonts w:cs="Times New Roman"/>
                <w:sz w:val="21"/>
                <w:szCs w:val="21"/>
              </w:rPr>
              <w:t>5</w:t>
            </w:r>
            <w:bookmarkEnd w:id="135"/>
            <w:bookmarkEnd w:id="136"/>
          </w:p>
        </w:tc>
        <w:tc>
          <w:tcPr>
            <w:tcW w:w="1429" w:type="pct"/>
            <w:shd w:val="clear" w:color="auto" w:fill="auto"/>
            <w:vAlign w:val="center"/>
          </w:tcPr>
          <w:p>
            <w:pPr>
              <w:spacing w:line="240" w:lineRule="auto"/>
              <w:ind w:firstLine="0" w:firstLineChars="0"/>
              <w:jc w:val="center"/>
              <w:rPr>
                <w:rFonts w:cs="Times New Roman"/>
                <w:sz w:val="21"/>
                <w:szCs w:val="21"/>
              </w:rPr>
            </w:pPr>
            <w:bookmarkStart w:id="137" w:name="_Toc430925980"/>
            <w:bookmarkStart w:id="138" w:name="_Toc430850370"/>
            <w:r>
              <w:rPr>
                <w:rFonts w:cs="Times New Roman"/>
                <w:sz w:val="21"/>
                <w:szCs w:val="21"/>
              </w:rPr>
              <w:t>应急演练知识培训</w:t>
            </w:r>
            <w:bookmarkEnd w:id="137"/>
            <w:bookmarkEnd w:id="138"/>
          </w:p>
        </w:tc>
        <w:tc>
          <w:tcPr>
            <w:tcW w:w="3139" w:type="pct"/>
            <w:shd w:val="clear" w:color="auto" w:fill="auto"/>
            <w:vAlign w:val="center"/>
          </w:tcPr>
          <w:p>
            <w:pPr>
              <w:spacing w:line="240" w:lineRule="auto"/>
              <w:ind w:firstLine="0" w:firstLineChars="0"/>
              <w:jc w:val="center"/>
              <w:rPr>
                <w:rFonts w:cs="Times New Roman"/>
                <w:sz w:val="21"/>
                <w:szCs w:val="21"/>
              </w:rPr>
            </w:pPr>
            <w:bookmarkStart w:id="139" w:name="_Toc430925981"/>
            <w:bookmarkStart w:id="140" w:name="_Toc430850371"/>
            <w:r>
              <w:rPr>
                <w:rFonts w:cs="Times New Roman"/>
                <w:sz w:val="21"/>
                <w:szCs w:val="21"/>
              </w:rPr>
              <w:t>应急响应人员及领导</w:t>
            </w:r>
            <w:bookmarkEnd w:id="139"/>
            <w:bookmarkEnd w:id="14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41" w:name="_Toc430850372"/>
            <w:bookmarkStart w:id="142" w:name="_Toc430925982"/>
            <w:r>
              <w:rPr>
                <w:rFonts w:cs="Times New Roman"/>
                <w:sz w:val="21"/>
                <w:szCs w:val="21"/>
              </w:rPr>
              <w:t>6</w:t>
            </w:r>
            <w:bookmarkEnd w:id="141"/>
            <w:bookmarkEnd w:id="142"/>
          </w:p>
        </w:tc>
        <w:tc>
          <w:tcPr>
            <w:tcW w:w="1429" w:type="pct"/>
            <w:shd w:val="clear" w:color="auto" w:fill="auto"/>
            <w:vAlign w:val="center"/>
          </w:tcPr>
          <w:p>
            <w:pPr>
              <w:tabs>
                <w:tab w:val="left" w:pos="614"/>
              </w:tabs>
              <w:spacing w:line="240" w:lineRule="auto"/>
              <w:ind w:firstLine="0" w:firstLineChars="0"/>
              <w:jc w:val="center"/>
              <w:rPr>
                <w:rFonts w:cs="Times New Roman"/>
                <w:sz w:val="21"/>
                <w:szCs w:val="21"/>
              </w:rPr>
            </w:pPr>
            <w:bookmarkStart w:id="143" w:name="_Toc430925983"/>
            <w:bookmarkStart w:id="144" w:name="_Toc430850373"/>
            <w:r>
              <w:rPr>
                <w:rFonts w:cs="Times New Roman"/>
                <w:sz w:val="21"/>
                <w:szCs w:val="21"/>
              </w:rPr>
              <w:t>事故报警程序</w:t>
            </w:r>
            <w:bookmarkEnd w:id="143"/>
            <w:bookmarkEnd w:id="144"/>
          </w:p>
        </w:tc>
        <w:tc>
          <w:tcPr>
            <w:tcW w:w="3139" w:type="pct"/>
            <w:shd w:val="clear" w:color="auto" w:fill="auto"/>
            <w:vAlign w:val="center"/>
          </w:tcPr>
          <w:p>
            <w:pPr>
              <w:spacing w:line="240" w:lineRule="auto"/>
              <w:ind w:firstLine="0" w:firstLineChars="0"/>
              <w:jc w:val="center"/>
              <w:rPr>
                <w:rFonts w:cs="Times New Roman"/>
                <w:sz w:val="21"/>
                <w:szCs w:val="21"/>
              </w:rPr>
            </w:pPr>
            <w:bookmarkStart w:id="145" w:name="_Toc430925984"/>
            <w:bookmarkStart w:id="146" w:name="_Toc430850374"/>
            <w:r>
              <w:rPr>
                <w:rFonts w:cs="Times New Roman"/>
                <w:sz w:val="21"/>
                <w:szCs w:val="21"/>
              </w:rPr>
              <w:t>企业员工</w:t>
            </w:r>
            <w:bookmarkEnd w:id="145"/>
            <w:bookmarkEnd w:id="14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47" w:name="_Toc430850375"/>
            <w:bookmarkStart w:id="148" w:name="_Toc430925985"/>
            <w:r>
              <w:rPr>
                <w:rFonts w:cs="Times New Roman"/>
                <w:sz w:val="21"/>
                <w:szCs w:val="21"/>
              </w:rPr>
              <w:t>7</w:t>
            </w:r>
            <w:bookmarkEnd w:id="147"/>
            <w:bookmarkEnd w:id="148"/>
          </w:p>
        </w:tc>
        <w:tc>
          <w:tcPr>
            <w:tcW w:w="1429" w:type="pct"/>
            <w:shd w:val="clear" w:color="auto" w:fill="auto"/>
            <w:vAlign w:val="center"/>
          </w:tcPr>
          <w:p>
            <w:pPr>
              <w:spacing w:line="240" w:lineRule="auto"/>
              <w:ind w:firstLine="0" w:firstLineChars="0"/>
              <w:jc w:val="center"/>
              <w:rPr>
                <w:rFonts w:cs="Times New Roman"/>
                <w:sz w:val="21"/>
                <w:szCs w:val="21"/>
              </w:rPr>
            </w:pPr>
            <w:bookmarkStart w:id="149" w:name="_Toc430925986"/>
            <w:bookmarkStart w:id="150" w:name="_Toc430850376"/>
            <w:r>
              <w:rPr>
                <w:rFonts w:cs="Times New Roman"/>
                <w:sz w:val="21"/>
                <w:szCs w:val="21"/>
              </w:rPr>
              <w:t>消防、初期灭火知识</w:t>
            </w:r>
            <w:bookmarkEnd w:id="149"/>
            <w:bookmarkEnd w:id="150"/>
          </w:p>
        </w:tc>
        <w:tc>
          <w:tcPr>
            <w:tcW w:w="3139" w:type="pct"/>
            <w:shd w:val="clear" w:color="auto" w:fill="auto"/>
            <w:vAlign w:val="center"/>
          </w:tcPr>
          <w:p>
            <w:pPr>
              <w:spacing w:line="240" w:lineRule="auto"/>
              <w:ind w:firstLine="0" w:firstLineChars="0"/>
              <w:jc w:val="center"/>
              <w:rPr>
                <w:rFonts w:cs="Times New Roman"/>
                <w:sz w:val="21"/>
                <w:szCs w:val="21"/>
              </w:rPr>
            </w:pPr>
            <w:bookmarkStart w:id="151" w:name="_Toc430850377"/>
            <w:bookmarkStart w:id="152" w:name="_Toc430925987"/>
            <w:r>
              <w:rPr>
                <w:rFonts w:cs="Times New Roman"/>
                <w:sz w:val="21"/>
                <w:szCs w:val="21"/>
              </w:rPr>
              <w:t>环境、安全工作人员，主要危险源场所人员</w:t>
            </w:r>
            <w:bookmarkEnd w:id="151"/>
            <w:bookmarkEnd w:id="15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53" w:name="_Toc430925988"/>
            <w:bookmarkStart w:id="154" w:name="_Toc430850378"/>
            <w:r>
              <w:rPr>
                <w:rFonts w:cs="Times New Roman"/>
                <w:sz w:val="21"/>
                <w:szCs w:val="21"/>
              </w:rPr>
              <w:t>8</w:t>
            </w:r>
            <w:bookmarkEnd w:id="153"/>
            <w:bookmarkEnd w:id="154"/>
          </w:p>
        </w:tc>
        <w:tc>
          <w:tcPr>
            <w:tcW w:w="1429" w:type="pct"/>
            <w:shd w:val="clear" w:color="auto" w:fill="auto"/>
            <w:vAlign w:val="center"/>
          </w:tcPr>
          <w:p>
            <w:pPr>
              <w:spacing w:line="240" w:lineRule="auto"/>
              <w:ind w:firstLine="0" w:firstLineChars="0"/>
              <w:jc w:val="center"/>
              <w:rPr>
                <w:rFonts w:cs="Times New Roman"/>
                <w:sz w:val="21"/>
                <w:szCs w:val="21"/>
              </w:rPr>
            </w:pPr>
            <w:bookmarkStart w:id="155" w:name="_Toc430850379"/>
            <w:bookmarkStart w:id="156" w:name="_Toc430925989"/>
            <w:r>
              <w:rPr>
                <w:rFonts w:cs="Times New Roman"/>
                <w:sz w:val="21"/>
                <w:szCs w:val="21"/>
              </w:rPr>
              <w:t>抢救抢修知识</w:t>
            </w:r>
            <w:bookmarkEnd w:id="155"/>
            <w:bookmarkEnd w:id="156"/>
          </w:p>
        </w:tc>
        <w:tc>
          <w:tcPr>
            <w:tcW w:w="3139" w:type="pct"/>
            <w:shd w:val="clear" w:color="auto" w:fill="auto"/>
            <w:vAlign w:val="center"/>
          </w:tcPr>
          <w:p>
            <w:pPr>
              <w:spacing w:line="240" w:lineRule="auto"/>
              <w:ind w:firstLine="0" w:firstLineChars="0"/>
              <w:jc w:val="center"/>
              <w:rPr>
                <w:rFonts w:cs="Times New Roman"/>
                <w:sz w:val="21"/>
                <w:szCs w:val="21"/>
              </w:rPr>
            </w:pPr>
            <w:bookmarkStart w:id="157" w:name="_Toc430850380"/>
            <w:bookmarkStart w:id="158" w:name="_Toc430925990"/>
            <w:r>
              <w:rPr>
                <w:rFonts w:cs="Times New Roman"/>
                <w:sz w:val="21"/>
                <w:szCs w:val="21"/>
              </w:rPr>
              <w:t>消防与抢险救灾专业人员，主要危险源场所人员</w:t>
            </w:r>
            <w:bookmarkEnd w:id="157"/>
            <w:bookmarkEnd w:id="15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59" w:name="_Toc430850381"/>
            <w:bookmarkStart w:id="160" w:name="_Toc430925991"/>
            <w:r>
              <w:rPr>
                <w:rFonts w:cs="Times New Roman"/>
                <w:sz w:val="21"/>
                <w:szCs w:val="21"/>
              </w:rPr>
              <w:t>9</w:t>
            </w:r>
            <w:bookmarkEnd w:id="159"/>
            <w:bookmarkEnd w:id="160"/>
          </w:p>
        </w:tc>
        <w:tc>
          <w:tcPr>
            <w:tcW w:w="1429" w:type="pct"/>
            <w:shd w:val="clear" w:color="auto" w:fill="auto"/>
            <w:vAlign w:val="center"/>
          </w:tcPr>
          <w:p>
            <w:pPr>
              <w:spacing w:line="240" w:lineRule="auto"/>
              <w:ind w:firstLine="0" w:firstLineChars="0"/>
              <w:jc w:val="center"/>
              <w:rPr>
                <w:rFonts w:cs="Times New Roman"/>
                <w:sz w:val="21"/>
                <w:szCs w:val="21"/>
              </w:rPr>
            </w:pPr>
            <w:bookmarkStart w:id="161" w:name="_Toc430925992"/>
            <w:bookmarkStart w:id="162" w:name="_Toc430850382"/>
            <w:r>
              <w:rPr>
                <w:rFonts w:cs="Times New Roman"/>
                <w:sz w:val="21"/>
                <w:szCs w:val="21"/>
              </w:rPr>
              <w:t>现场人员救援</w:t>
            </w:r>
            <w:bookmarkEnd w:id="161"/>
            <w:bookmarkEnd w:id="162"/>
          </w:p>
        </w:tc>
        <w:tc>
          <w:tcPr>
            <w:tcW w:w="3139" w:type="pct"/>
            <w:shd w:val="clear" w:color="auto" w:fill="auto"/>
            <w:vAlign w:val="center"/>
          </w:tcPr>
          <w:p>
            <w:pPr>
              <w:spacing w:line="240" w:lineRule="auto"/>
              <w:ind w:firstLine="0" w:firstLineChars="0"/>
              <w:jc w:val="center"/>
              <w:rPr>
                <w:rFonts w:cs="Times New Roman"/>
                <w:sz w:val="21"/>
                <w:szCs w:val="21"/>
              </w:rPr>
            </w:pPr>
            <w:bookmarkStart w:id="163" w:name="_Toc430925993"/>
            <w:bookmarkStart w:id="164" w:name="_Toc430850383"/>
            <w:r>
              <w:rPr>
                <w:rFonts w:cs="Times New Roman"/>
                <w:sz w:val="21"/>
                <w:szCs w:val="21"/>
              </w:rPr>
              <w:t>消防与抢险救灾专业人员，主要危险源场所人员</w:t>
            </w:r>
            <w:bookmarkEnd w:id="163"/>
            <w:bookmarkEnd w:id="16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65" w:name="_Toc430925994"/>
            <w:bookmarkStart w:id="166" w:name="_Toc430850384"/>
            <w:r>
              <w:rPr>
                <w:rFonts w:cs="Times New Roman"/>
                <w:sz w:val="21"/>
                <w:szCs w:val="21"/>
              </w:rPr>
              <w:t>10</w:t>
            </w:r>
            <w:bookmarkEnd w:id="165"/>
            <w:bookmarkEnd w:id="166"/>
          </w:p>
        </w:tc>
        <w:tc>
          <w:tcPr>
            <w:tcW w:w="1429" w:type="pct"/>
            <w:shd w:val="clear" w:color="auto" w:fill="auto"/>
            <w:vAlign w:val="center"/>
          </w:tcPr>
          <w:p>
            <w:pPr>
              <w:spacing w:line="240" w:lineRule="auto"/>
              <w:ind w:firstLine="0" w:firstLineChars="0"/>
              <w:jc w:val="center"/>
              <w:rPr>
                <w:rFonts w:cs="Times New Roman"/>
                <w:sz w:val="21"/>
                <w:szCs w:val="21"/>
              </w:rPr>
            </w:pPr>
            <w:bookmarkStart w:id="167" w:name="_Toc430850385"/>
            <w:bookmarkStart w:id="168" w:name="_Toc430925995"/>
            <w:r>
              <w:rPr>
                <w:rFonts w:cs="Times New Roman"/>
                <w:sz w:val="21"/>
                <w:szCs w:val="21"/>
              </w:rPr>
              <w:t>受伤人员临时急救</w:t>
            </w:r>
            <w:bookmarkEnd w:id="167"/>
            <w:bookmarkEnd w:id="168"/>
          </w:p>
        </w:tc>
        <w:tc>
          <w:tcPr>
            <w:tcW w:w="3139" w:type="pct"/>
            <w:shd w:val="clear" w:color="auto" w:fill="auto"/>
            <w:vAlign w:val="center"/>
          </w:tcPr>
          <w:p>
            <w:pPr>
              <w:spacing w:line="240" w:lineRule="auto"/>
              <w:ind w:firstLine="0" w:firstLineChars="0"/>
              <w:jc w:val="center"/>
              <w:rPr>
                <w:rFonts w:cs="Times New Roman"/>
                <w:sz w:val="21"/>
                <w:szCs w:val="21"/>
              </w:rPr>
            </w:pPr>
            <w:bookmarkStart w:id="169" w:name="_Toc430850386"/>
            <w:bookmarkStart w:id="170" w:name="_Toc430925996"/>
            <w:r>
              <w:rPr>
                <w:rFonts w:cs="Times New Roman"/>
                <w:sz w:val="21"/>
                <w:szCs w:val="21"/>
              </w:rPr>
              <w:t>主要危险源场所人员，医疗救治专业人员</w:t>
            </w:r>
            <w:bookmarkEnd w:id="169"/>
            <w:bookmarkEnd w:id="17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71" w:name="_Toc430850387"/>
            <w:bookmarkStart w:id="172" w:name="_Toc430925997"/>
            <w:r>
              <w:rPr>
                <w:rFonts w:cs="Times New Roman"/>
                <w:sz w:val="21"/>
                <w:szCs w:val="21"/>
              </w:rPr>
              <w:t>11</w:t>
            </w:r>
            <w:bookmarkEnd w:id="171"/>
            <w:bookmarkEnd w:id="172"/>
          </w:p>
        </w:tc>
        <w:tc>
          <w:tcPr>
            <w:tcW w:w="1429" w:type="pct"/>
            <w:shd w:val="clear" w:color="auto" w:fill="auto"/>
            <w:vAlign w:val="center"/>
          </w:tcPr>
          <w:p>
            <w:pPr>
              <w:spacing w:line="240" w:lineRule="auto"/>
              <w:ind w:firstLine="0" w:firstLineChars="0"/>
              <w:jc w:val="center"/>
              <w:rPr>
                <w:rFonts w:cs="Times New Roman"/>
                <w:sz w:val="21"/>
                <w:szCs w:val="21"/>
              </w:rPr>
            </w:pPr>
            <w:bookmarkStart w:id="173" w:name="_Toc430925998"/>
            <w:bookmarkStart w:id="174" w:name="_Toc430850388"/>
            <w:r>
              <w:rPr>
                <w:rFonts w:cs="Times New Roman"/>
                <w:sz w:val="21"/>
                <w:szCs w:val="21"/>
              </w:rPr>
              <w:t>现场环境监测</w:t>
            </w:r>
            <w:bookmarkEnd w:id="173"/>
            <w:bookmarkEnd w:id="174"/>
          </w:p>
        </w:tc>
        <w:tc>
          <w:tcPr>
            <w:tcW w:w="3139" w:type="pct"/>
            <w:shd w:val="clear" w:color="auto" w:fill="auto"/>
            <w:vAlign w:val="center"/>
          </w:tcPr>
          <w:p>
            <w:pPr>
              <w:spacing w:line="240" w:lineRule="auto"/>
              <w:ind w:firstLine="0" w:firstLineChars="0"/>
              <w:jc w:val="center"/>
              <w:rPr>
                <w:rFonts w:cs="Times New Roman"/>
                <w:sz w:val="21"/>
                <w:szCs w:val="21"/>
              </w:rPr>
            </w:pPr>
            <w:bookmarkStart w:id="175" w:name="_Toc430925999"/>
            <w:bookmarkStart w:id="176" w:name="_Toc430850389"/>
            <w:r>
              <w:rPr>
                <w:rFonts w:cs="Times New Roman"/>
                <w:sz w:val="21"/>
                <w:szCs w:val="21"/>
              </w:rPr>
              <w:t>环保工作人员</w:t>
            </w:r>
            <w:bookmarkEnd w:id="175"/>
            <w:bookmarkEnd w:id="17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77" w:name="_Toc430926000"/>
            <w:bookmarkStart w:id="178" w:name="_Toc430850390"/>
            <w:r>
              <w:rPr>
                <w:rFonts w:cs="Times New Roman"/>
                <w:sz w:val="21"/>
                <w:szCs w:val="21"/>
              </w:rPr>
              <w:t>12</w:t>
            </w:r>
            <w:bookmarkEnd w:id="177"/>
            <w:bookmarkEnd w:id="178"/>
          </w:p>
        </w:tc>
        <w:tc>
          <w:tcPr>
            <w:tcW w:w="1429" w:type="pct"/>
            <w:shd w:val="clear" w:color="auto" w:fill="auto"/>
            <w:vAlign w:val="center"/>
          </w:tcPr>
          <w:p>
            <w:pPr>
              <w:spacing w:line="240" w:lineRule="auto"/>
              <w:ind w:firstLine="0" w:firstLineChars="0"/>
              <w:jc w:val="center"/>
              <w:rPr>
                <w:rFonts w:cs="Times New Roman"/>
                <w:sz w:val="21"/>
                <w:szCs w:val="21"/>
              </w:rPr>
            </w:pPr>
            <w:bookmarkStart w:id="179" w:name="_Toc430926001"/>
            <w:bookmarkStart w:id="180" w:name="_Toc430850391"/>
            <w:r>
              <w:rPr>
                <w:rFonts w:cs="Times New Roman"/>
                <w:sz w:val="21"/>
                <w:szCs w:val="21"/>
              </w:rPr>
              <w:t>安全专业培训</w:t>
            </w:r>
            <w:bookmarkEnd w:id="179"/>
            <w:bookmarkEnd w:id="180"/>
          </w:p>
        </w:tc>
        <w:tc>
          <w:tcPr>
            <w:tcW w:w="3139" w:type="pct"/>
            <w:shd w:val="clear" w:color="auto" w:fill="auto"/>
            <w:vAlign w:val="center"/>
          </w:tcPr>
          <w:p>
            <w:pPr>
              <w:spacing w:line="240" w:lineRule="auto"/>
              <w:ind w:firstLine="0" w:firstLineChars="0"/>
              <w:jc w:val="center"/>
              <w:rPr>
                <w:rFonts w:cs="Times New Roman"/>
                <w:sz w:val="21"/>
                <w:szCs w:val="21"/>
              </w:rPr>
            </w:pPr>
            <w:bookmarkStart w:id="181" w:name="_Toc430850392"/>
            <w:bookmarkStart w:id="182" w:name="_Toc430926002"/>
            <w:r>
              <w:rPr>
                <w:rFonts w:cs="Times New Roman"/>
                <w:sz w:val="21"/>
                <w:szCs w:val="21"/>
              </w:rPr>
              <w:t>安全环保科人员</w:t>
            </w:r>
            <w:bookmarkEnd w:id="181"/>
            <w:bookmarkEnd w:id="18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32" w:type="pct"/>
            <w:shd w:val="clear" w:color="auto" w:fill="auto"/>
            <w:vAlign w:val="center"/>
          </w:tcPr>
          <w:p>
            <w:pPr>
              <w:spacing w:line="240" w:lineRule="auto"/>
              <w:ind w:firstLine="0" w:firstLineChars="0"/>
              <w:jc w:val="center"/>
              <w:rPr>
                <w:rFonts w:cs="Times New Roman"/>
                <w:sz w:val="21"/>
                <w:szCs w:val="21"/>
              </w:rPr>
            </w:pPr>
            <w:bookmarkStart w:id="183" w:name="_Toc430850393"/>
            <w:bookmarkStart w:id="184" w:name="_Toc430926003"/>
            <w:r>
              <w:rPr>
                <w:rFonts w:cs="Times New Roman"/>
                <w:sz w:val="21"/>
                <w:szCs w:val="21"/>
              </w:rPr>
              <w:t>13</w:t>
            </w:r>
            <w:bookmarkEnd w:id="183"/>
            <w:bookmarkEnd w:id="184"/>
          </w:p>
        </w:tc>
        <w:tc>
          <w:tcPr>
            <w:tcW w:w="1429" w:type="pct"/>
            <w:shd w:val="clear" w:color="auto" w:fill="auto"/>
            <w:vAlign w:val="center"/>
          </w:tcPr>
          <w:p>
            <w:pPr>
              <w:spacing w:line="240" w:lineRule="auto"/>
              <w:ind w:firstLine="0" w:firstLineChars="0"/>
              <w:jc w:val="center"/>
              <w:rPr>
                <w:rFonts w:cs="Times New Roman"/>
                <w:sz w:val="21"/>
                <w:szCs w:val="21"/>
              </w:rPr>
            </w:pPr>
            <w:bookmarkStart w:id="185" w:name="_Toc430926004"/>
            <w:bookmarkStart w:id="186" w:name="_Toc430850394"/>
            <w:r>
              <w:rPr>
                <w:rFonts w:cs="Times New Roman"/>
                <w:sz w:val="21"/>
                <w:szCs w:val="21"/>
              </w:rPr>
              <w:t>事故现场逃生自救</w:t>
            </w:r>
            <w:bookmarkEnd w:id="185"/>
            <w:bookmarkEnd w:id="186"/>
          </w:p>
        </w:tc>
        <w:tc>
          <w:tcPr>
            <w:tcW w:w="3139" w:type="pct"/>
            <w:shd w:val="clear" w:color="auto" w:fill="auto"/>
            <w:vAlign w:val="center"/>
          </w:tcPr>
          <w:p>
            <w:pPr>
              <w:spacing w:line="240" w:lineRule="auto"/>
              <w:ind w:firstLine="0" w:firstLineChars="0"/>
              <w:jc w:val="center"/>
              <w:rPr>
                <w:rFonts w:cs="Times New Roman"/>
                <w:sz w:val="21"/>
                <w:szCs w:val="21"/>
              </w:rPr>
            </w:pPr>
            <w:bookmarkStart w:id="187" w:name="_Toc430926005"/>
            <w:bookmarkStart w:id="188" w:name="_Toc430850395"/>
            <w:r>
              <w:rPr>
                <w:rFonts w:cs="Times New Roman"/>
                <w:sz w:val="21"/>
                <w:szCs w:val="21"/>
              </w:rPr>
              <w:t>危险源现场作业人员</w:t>
            </w:r>
            <w:bookmarkEnd w:id="187"/>
            <w:bookmarkEnd w:id="188"/>
          </w:p>
        </w:tc>
      </w:tr>
    </w:tbl>
    <w:p>
      <w:pPr>
        <w:pageBreakBefore w:val="0"/>
        <w:widowControl w:val="0"/>
        <w:kinsoku/>
        <w:wordWrap/>
        <w:overflowPunct/>
        <w:topLinePunct w:val="0"/>
        <w:autoSpaceDE/>
        <w:autoSpaceDN/>
        <w:bidi w:val="0"/>
        <w:adjustRightInd/>
        <w:snapToGrid/>
        <w:spacing w:line="336" w:lineRule="auto"/>
        <w:ind w:firstLine="562"/>
        <w:textAlignment w:val="auto"/>
        <w:rPr>
          <w:b/>
          <w:sz w:val="24"/>
          <w:szCs w:val="24"/>
        </w:rPr>
      </w:pPr>
      <w:r>
        <w:rPr>
          <w:rFonts w:hint="eastAsia"/>
          <w:b/>
          <w:sz w:val="24"/>
          <w:szCs w:val="24"/>
        </w:rPr>
        <w:t>1、自吸过滤式防毒面具（半面罩）的使用方法</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使用前必须弄清作业环境中的毒物质、浓度和空气中氧含量；检查各部件是否完好，导气管有无堵塞或破损，金属部件有无生锈、变形、橡胶有否老化。螺纹接头有无生锈、变形、连接是否紧密；检查部件和结合部的气密性。</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（2）撕开过滤件封口处的封条，将过滤件的顶部与底部密封盖去掉</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（3）将过滤件接口垂直对准面具上的过滤件接口，拧紧后稍微回转以避免因旋拧过紧而导致脱扣，并检查安装是否合格。</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（4）将连接好的面罩挂于胸前，把面罩头套的调节带放至最大限度。</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（5）戴上面具，双手抓住面具头套调节带同时向两侧拉紧，直至完全罩住面部并有硅胶反折边与面部完全贴合的感觉后即可，根据舒适性和密封性选择适当的松紧度。</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（6）全面罩防毒面具简易气密测试：带好面罩后用手掌堵住滤毒罐进气口，然后用力吸气，面罩会因气压关系向内挤压往面部紧贴，则表明面罩已经佩戴气密，不会漏气。</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（7）深呼吸测试通气是否顺畅。待防护设备佩戴完整检查无误后，方可进入符合使用条件的污染区作业。</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（8）使用后应清洗，消毒。在清洗和消毒时，应使用干净的布，蘸中性的家用皂液清洁，还应注意环境温度，不可使橡胶等部件受温度影响而发生质变受损；</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（9）禁止使用汽油、含氯的除油液体（如三氯乙烯）、有机溶剂或研磨型清洗剂清理清洗长管和面罩；</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（10）应专人使用和保管。</w:t>
      </w:r>
    </w:p>
    <w:p>
      <w:pPr>
        <w:pageBreakBefore w:val="0"/>
        <w:widowControl w:val="0"/>
        <w:kinsoku/>
        <w:wordWrap/>
        <w:overflowPunct/>
        <w:topLinePunct w:val="0"/>
        <w:autoSpaceDE/>
        <w:autoSpaceDN/>
        <w:bidi w:val="0"/>
        <w:adjustRightInd/>
        <w:snapToGrid/>
        <w:spacing w:line="336" w:lineRule="auto"/>
        <w:ind w:firstLine="562"/>
        <w:textAlignment w:val="auto"/>
        <w:rPr>
          <w:b/>
          <w:sz w:val="24"/>
          <w:szCs w:val="24"/>
        </w:rPr>
      </w:pPr>
      <w:r>
        <w:rPr>
          <w:rFonts w:hint="eastAsia"/>
          <w:b/>
          <w:sz w:val="24"/>
          <w:szCs w:val="24"/>
        </w:rPr>
        <w:t>2、正压式呼吸器的使用方法</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（1）佩戴时，先将快速接头断开(以防在佩戴时损坏全面罩)，然后将背托在人体背部(空气瓶开关在下方)，根据身材调节好肩带、腰带并系紧，以合身、牢靠、舒适为宜。</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（2）把全面罩上的长系带套在脖子上，使用前全面罩置于胸前，以便随</w:t>
      </w:r>
      <w:r>
        <w:rPr>
          <w:rFonts w:hint="eastAsia"/>
          <w:sz w:val="24"/>
          <w:szCs w:val="24"/>
          <w:lang w:eastAsia="zh-CN"/>
        </w:rPr>
        <w:t>时</w:t>
      </w:r>
      <w:r>
        <w:rPr>
          <w:rFonts w:hint="eastAsia"/>
          <w:sz w:val="24"/>
          <w:szCs w:val="24"/>
        </w:rPr>
        <w:t>佩戴，然后将快速接头接好。</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（3）将供给阀的转换开关置于关闭位置，打开空气瓶开关。</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4）戴好全面罩(可不用系带)进行2~3次深呼吸，应感觉舒畅。屏气或呼气时，供给阀应停止供气，无“咝咝”的响声。用手按压供给阀的杠杆，检查其开启或关闭是否灵活。一切正常时，将全面罩系带收紧，收紧程度以既要保证气密又感觉舒适、无明显的压痛为宜。</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（5）撤离现场到达安全</w:t>
      </w:r>
      <w:r>
        <w:rPr>
          <w:rFonts w:hint="eastAsia"/>
          <w:sz w:val="24"/>
          <w:szCs w:val="24"/>
          <w:lang w:eastAsia="zh-CN"/>
        </w:rPr>
        <w:t>场</w:t>
      </w:r>
      <w:r>
        <w:rPr>
          <w:rFonts w:hint="eastAsia"/>
          <w:sz w:val="24"/>
          <w:szCs w:val="24"/>
        </w:rPr>
        <w:t>所后，将全面罩系带卡子松开，摘下全面罩。</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（6）关闭气瓶开关，打开供给阀，拔开快速接头，从身上卸下呼吸器。</w:t>
      </w:r>
    </w:p>
    <w:p>
      <w:pPr>
        <w:pageBreakBefore w:val="0"/>
        <w:widowControl w:val="0"/>
        <w:kinsoku/>
        <w:wordWrap/>
        <w:overflowPunct/>
        <w:topLinePunct w:val="0"/>
        <w:autoSpaceDE/>
        <w:autoSpaceDN/>
        <w:bidi w:val="0"/>
        <w:adjustRightInd/>
        <w:snapToGrid/>
        <w:spacing w:line="336" w:lineRule="auto"/>
        <w:ind w:firstLine="562"/>
        <w:textAlignment w:val="auto"/>
        <w:rPr>
          <w:b/>
          <w:sz w:val="24"/>
          <w:szCs w:val="24"/>
        </w:rPr>
      </w:pPr>
      <w:r>
        <w:rPr>
          <w:rFonts w:hint="eastAsia"/>
          <w:b/>
          <w:sz w:val="24"/>
          <w:szCs w:val="24"/>
        </w:rPr>
        <w:t>3、灭火器的使用方法</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将灭火器提到起火地点附近，站在火场的上风头，</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（1）拔下保险销；</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（2）一手握紧喷管；</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（3）另一手捏紧压把；</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（4）喷嘴对准火焰根部扫射。</w:t>
      </w:r>
    </w:p>
    <w:p>
      <w:pPr>
        <w:pageBreakBefore w:val="0"/>
        <w:widowControl w:val="0"/>
        <w:kinsoku/>
        <w:wordWrap/>
        <w:overflowPunct/>
        <w:topLinePunct w:val="0"/>
        <w:autoSpaceDE/>
        <w:autoSpaceDN/>
        <w:bidi w:val="0"/>
        <w:adjustRightInd/>
        <w:snapToGrid/>
        <w:spacing w:line="336" w:lineRule="auto"/>
        <w:ind w:firstLine="562"/>
        <w:textAlignment w:val="auto"/>
        <w:rPr>
          <w:b/>
          <w:sz w:val="24"/>
          <w:szCs w:val="24"/>
        </w:rPr>
      </w:pPr>
      <w:r>
        <w:rPr>
          <w:rFonts w:hint="eastAsia"/>
          <w:b/>
          <w:sz w:val="24"/>
          <w:szCs w:val="24"/>
        </w:rPr>
        <w:t>4、事件发生后知何开展自救和互救</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（1）必须确保在做好个人防护的前提下，才能进入事件现场；</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（2）必须要两人以上同时进入事件现场。</w:t>
      </w:r>
    </w:p>
    <w:p>
      <w:pPr>
        <w:pageBreakBefore w:val="0"/>
        <w:widowControl w:val="0"/>
        <w:kinsoku/>
        <w:wordWrap/>
        <w:overflowPunct/>
        <w:topLinePunct w:val="0"/>
        <w:autoSpaceDE/>
        <w:autoSpaceDN/>
        <w:bidi w:val="0"/>
        <w:adjustRightInd/>
        <w:snapToGrid/>
        <w:spacing w:line="336" w:lineRule="auto"/>
        <w:ind w:firstLine="562"/>
        <w:textAlignment w:val="auto"/>
        <w:rPr>
          <w:b/>
          <w:sz w:val="24"/>
          <w:szCs w:val="24"/>
        </w:rPr>
      </w:pPr>
      <w:r>
        <w:rPr>
          <w:rFonts w:hint="eastAsia"/>
          <w:b/>
          <w:sz w:val="24"/>
          <w:szCs w:val="24"/>
        </w:rPr>
        <w:t>5、事件发生后的撤离和疏散方法</w:t>
      </w:r>
    </w:p>
    <w:p>
      <w:pPr>
        <w:pageBreakBefore w:val="0"/>
        <w:widowControl w:val="0"/>
        <w:kinsoku/>
        <w:wordWrap/>
        <w:overflowPunct/>
        <w:topLinePunct w:val="0"/>
        <w:autoSpaceDE/>
        <w:autoSpaceDN/>
        <w:bidi w:val="0"/>
        <w:adjustRightInd/>
        <w:snapToGrid/>
        <w:spacing w:line="336" w:lineRule="auto"/>
        <w:ind w:firstLine="560"/>
        <w:textAlignment w:val="auto"/>
        <w:rPr>
          <w:color w:val="000000" w:themeColor="text1"/>
          <w:sz w:val="24"/>
          <w:szCs w:val="24"/>
        </w:rPr>
      </w:pPr>
      <w:r>
        <w:rPr>
          <w:rFonts w:hint="eastAsia"/>
          <w:sz w:val="24"/>
          <w:szCs w:val="24"/>
        </w:rPr>
        <w:t>事件发生后除了应急救援人员外，</w:t>
      </w:r>
      <w:r>
        <w:rPr>
          <w:rFonts w:hint="eastAsia"/>
          <w:color w:val="000000" w:themeColor="text1"/>
          <w:sz w:val="24"/>
          <w:szCs w:val="24"/>
        </w:rPr>
        <w:t>其余人员应按照紧急疏散线路示意图，向公司门口进行疏散，详见附图</w:t>
      </w:r>
      <w:r>
        <w:rPr>
          <w:rFonts w:hint="eastAsia"/>
          <w:color w:val="000000" w:themeColor="text1"/>
          <w:sz w:val="24"/>
          <w:szCs w:val="24"/>
          <w:lang w:val="en-US" w:eastAsia="zh-CN"/>
        </w:rPr>
        <w:t>8</w:t>
      </w:r>
      <w:r>
        <w:rPr>
          <w:rFonts w:hint="eastAsia"/>
          <w:color w:val="000000" w:themeColor="text1"/>
          <w:sz w:val="24"/>
          <w:szCs w:val="24"/>
        </w:rPr>
        <w:t>。</w:t>
      </w:r>
    </w:p>
    <w:p>
      <w:pPr>
        <w:pageBreakBefore w:val="0"/>
        <w:widowControl w:val="0"/>
        <w:kinsoku/>
        <w:wordWrap/>
        <w:overflowPunct/>
        <w:topLinePunct w:val="0"/>
        <w:autoSpaceDE/>
        <w:autoSpaceDN/>
        <w:bidi w:val="0"/>
        <w:adjustRightInd/>
        <w:snapToGrid/>
        <w:spacing w:line="336" w:lineRule="auto"/>
        <w:ind w:firstLine="562"/>
        <w:textAlignment w:val="auto"/>
        <w:rPr>
          <w:b/>
          <w:sz w:val="24"/>
          <w:szCs w:val="24"/>
        </w:rPr>
      </w:pPr>
      <w:r>
        <w:rPr>
          <w:rFonts w:hint="eastAsia"/>
          <w:b/>
          <w:sz w:val="24"/>
          <w:szCs w:val="24"/>
          <w:lang w:val="en-US" w:eastAsia="zh-CN"/>
        </w:rPr>
        <w:t>6</w:t>
      </w:r>
      <w:r>
        <w:rPr>
          <w:rFonts w:hint="eastAsia"/>
          <w:b/>
          <w:sz w:val="24"/>
          <w:szCs w:val="24"/>
        </w:rPr>
        <w:t>、人员急救</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a．人工呼吸</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首先确认呼吸道是否通畅；</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（1）以耳靠近病人的鼻和口，以听或感觉是否有气流（也可观察棉花或纸条）。</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（2）观察病人的胸廓是否有起伏，判断呼吸是否停止。</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（3）然后清除呼吸道内的异物或分泌物，利用托下颌或将头部后仰可消除舌后缀引起的气道梗阻。</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（4）再进行口对口人工呼吸法：抢救者用手捏住患者的鼻孔，以每分钟16-20次的速度向患者口中吹气，也可进行心脏按压法。</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b．按压术</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针对心跳骤停者，方法：患者平躺在硬地上或木板床上，抢救者用双手挤压患者胸骨下端略靠左方，每分钟挤压60-70次，挤压时不要用力过猛，防肋骨骨折，心跳恢复的可靠指征是颈动脉或股动脉搏动恢复，血压复升，听诊有心音。</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c．现场外伤止血方法</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外伤止血方法有肢体抬高法和止血带止血法。肢体抬高法：抬起并保持出血的肢体高于胸部。一般用于四肢远端的出血，一般不单独用；止血带止血法：四肢大动脉的出血可用一米长的橡皮带或手帕、领带、长袜、丝巾等折叠成带状，宽度5厘米以上。先将伤肢抬高，然后将代用止血带缠绕在伤口近心端（先垫好衬垫）并用力勒紧至伤口无血，打结或用笔杆、筷子等插入其中，一提、二缚、三固定。每隔一小时（寒冷季节半小时）松开1-2分钟，以防肢体坏死。</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一般情况下出血分类分为以下几种情况：</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外出血：血液从皮肤向体外流出。</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内出血：血液从破裂的血管流入组织，脏器或体腔内。</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静脉出血：颜色暗红，流出缓慢，呈持续性。</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动脉出血：颜色鲜红，血流急，呈喷泉状或一汩汩涌出。</w:t>
      </w:r>
    </w:p>
    <w:p>
      <w:pPr>
        <w:pStyle w:val="5"/>
        <w:pageBreakBefore w:val="0"/>
        <w:widowControl w:val="0"/>
        <w:kinsoku/>
        <w:wordWrap/>
        <w:overflowPunct/>
        <w:topLinePunct w:val="0"/>
        <w:autoSpaceDE/>
        <w:autoSpaceDN/>
        <w:bidi w:val="0"/>
        <w:adjustRightInd/>
        <w:snapToGrid/>
        <w:spacing w:line="336" w:lineRule="auto"/>
        <w:textAlignment w:val="auto"/>
        <w:rPr>
          <w:sz w:val="24"/>
          <w:szCs w:val="24"/>
        </w:rPr>
      </w:pPr>
      <w:r>
        <w:rPr>
          <w:rFonts w:hint="eastAsia"/>
          <w:sz w:val="24"/>
          <w:szCs w:val="24"/>
        </w:rPr>
        <w:t>培训要求</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应急培训的基本要求：</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1、每位应急人员应有坚强的意志和作风，健康的体能，临场处置各种突变事故的能力，有自救和互救的能力。</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sz w:val="24"/>
          <w:szCs w:val="24"/>
        </w:rPr>
        <w:t>2</w:t>
      </w:r>
      <w:r>
        <w:rPr>
          <w:rFonts w:hint="eastAsia"/>
          <w:sz w:val="24"/>
          <w:szCs w:val="24"/>
        </w:rPr>
        <w:t>、正确使用各种防护设施、通讯装备。</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3、熟练使用各种救护器材、工具，明确自己的救援任务。</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4、预案涉及人员明确各自的职责和应急应对能力。</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5、外部公众的培训，根据疏散、个体防护等需要进行。需要时向周边群众进行宣传，使事故波及到区域的外部公众都能对危险废弃物事故应急救援的基本程序、采取的措施等内容有全面了解。</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6、培训频次：公司应急办公室每年向公司申请专项资金、聘请或抽调专业人员开展两次对应急救援人员根据专业分工不同进行危险废弃物火灾或泄漏事故的专业性培训，重点掌握危险废弃物物理化学性质、扑救处置方法和注意事项，不断提高应急救援队伍的整体素质和救援专业水平。</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7、应急办公室应对培训的计划、内容、方式、考核等予以记录归档。</w:t>
      </w:r>
    </w:p>
    <w:p>
      <w:pPr>
        <w:pStyle w:val="5"/>
        <w:pageBreakBefore w:val="0"/>
        <w:widowControl w:val="0"/>
        <w:kinsoku/>
        <w:wordWrap/>
        <w:overflowPunct/>
        <w:topLinePunct w:val="0"/>
        <w:autoSpaceDE/>
        <w:autoSpaceDN/>
        <w:bidi w:val="0"/>
        <w:adjustRightInd/>
        <w:snapToGrid/>
        <w:spacing w:line="336" w:lineRule="auto"/>
        <w:textAlignment w:val="auto"/>
        <w:rPr>
          <w:sz w:val="24"/>
          <w:szCs w:val="24"/>
        </w:rPr>
      </w:pPr>
      <w:r>
        <w:rPr>
          <w:rFonts w:hint="eastAsia"/>
          <w:sz w:val="24"/>
          <w:szCs w:val="24"/>
        </w:rPr>
        <w:t>培训考核</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应急培训结束后，公司应急办公室对参与培训的人员进行考核。考核结果由公司应急救援办公室备案。</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lang w:eastAsia="zh-CN"/>
        </w:rPr>
        <w:t>考</w:t>
      </w:r>
      <w:r>
        <w:rPr>
          <w:rFonts w:hint="eastAsia"/>
          <w:sz w:val="24"/>
          <w:szCs w:val="24"/>
        </w:rPr>
        <w:t>核对象：主要是公司管理人员、生产人员。</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考核方法：采取试卷问答、现场提问、实际操作演练三种相结合的方式进行考核。</w:t>
      </w:r>
    </w:p>
    <w:p>
      <w:pPr>
        <w:pageBreakBefore w:val="0"/>
        <w:widowControl w:val="0"/>
        <w:kinsoku/>
        <w:wordWrap/>
        <w:overflowPunct/>
        <w:topLinePunct w:val="0"/>
        <w:autoSpaceDE/>
        <w:autoSpaceDN/>
        <w:bidi w:val="0"/>
        <w:adjustRightInd/>
        <w:snapToGrid/>
        <w:spacing w:line="336" w:lineRule="auto"/>
        <w:ind w:firstLine="560"/>
        <w:textAlignment w:val="auto"/>
        <w:rPr>
          <w:color w:val="000000" w:themeColor="text1"/>
          <w:sz w:val="24"/>
          <w:szCs w:val="24"/>
        </w:rPr>
      </w:pPr>
      <w:r>
        <w:rPr>
          <w:rFonts w:hint="eastAsia"/>
          <w:sz w:val="24"/>
          <w:szCs w:val="24"/>
        </w:rPr>
        <w:t>考核结果：考核结束后，由公司应急救援办公室将考核结果予以公布，对考核不合格的人员进行再培训。应急救援人员培训考核不合格的，由应急救援办公室在公司范围内进行通报批</w:t>
      </w:r>
      <w:r>
        <w:rPr>
          <w:rFonts w:hint="eastAsia"/>
          <w:color w:val="000000" w:themeColor="text1"/>
          <w:sz w:val="24"/>
          <w:szCs w:val="24"/>
        </w:rPr>
        <w:t>评。</w:t>
      </w:r>
    </w:p>
    <w:p>
      <w:pPr>
        <w:pStyle w:val="4"/>
        <w:pageBreakBefore w:val="0"/>
        <w:widowControl w:val="0"/>
        <w:kinsoku/>
        <w:wordWrap/>
        <w:overflowPunct/>
        <w:topLinePunct w:val="0"/>
        <w:autoSpaceDE/>
        <w:autoSpaceDN/>
        <w:bidi w:val="0"/>
        <w:adjustRightInd/>
        <w:snapToGrid/>
        <w:spacing w:line="336" w:lineRule="auto"/>
        <w:textAlignment w:val="auto"/>
        <w:rPr>
          <w:sz w:val="24"/>
          <w:szCs w:val="24"/>
        </w:rPr>
      </w:pPr>
      <w:bookmarkStart w:id="189" w:name="_Toc14513"/>
      <w:r>
        <w:rPr>
          <w:rFonts w:hint="eastAsia"/>
          <w:sz w:val="24"/>
          <w:szCs w:val="24"/>
        </w:rPr>
        <w:t>演练</w:t>
      </w:r>
      <w:bookmarkEnd w:id="189"/>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通过预案演练来考察应急预案的完善性和可操作性，考察应急设备设施性能的可靠性，考察和锻炼应急人员的应急能力，培养应急指挥人员对事故预警的判断能力和公司员工的自救能力。</w:t>
      </w:r>
    </w:p>
    <w:p>
      <w:pPr>
        <w:pStyle w:val="5"/>
        <w:pageBreakBefore w:val="0"/>
        <w:widowControl w:val="0"/>
        <w:kinsoku/>
        <w:wordWrap/>
        <w:overflowPunct/>
        <w:topLinePunct w:val="0"/>
        <w:autoSpaceDE/>
        <w:autoSpaceDN/>
        <w:bidi w:val="0"/>
        <w:adjustRightInd/>
        <w:snapToGrid/>
        <w:spacing w:line="336" w:lineRule="auto"/>
        <w:textAlignment w:val="auto"/>
        <w:rPr>
          <w:sz w:val="24"/>
          <w:szCs w:val="24"/>
        </w:rPr>
      </w:pPr>
      <w:r>
        <w:rPr>
          <w:rFonts w:hint="eastAsia"/>
          <w:sz w:val="24"/>
          <w:szCs w:val="24"/>
        </w:rPr>
        <w:t>应急演练的组织</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1、应急演练分为部门、公司级演练和配合政府部门演练三级；</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2、部门级的演练由部门负责人（现场指挥）组织进行，公司安全、环保、技术及相关部门派员观摩指导；</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3、公司级演练由公司应急指挥小组组织进行，各相关部门参加；</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4、与政府有关部门的联合演练，由政府有关部门组织进行，公司应急领导小组成员参加，相关部门人员参加配合。</w:t>
      </w:r>
    </w:p>
    <w:p>
      <w:pPr>
        <w:pStyle w:val="5"/>
        <w:pageBreakBefore w:val="0"/>
        <w:widowControl w:val="0"/>
        <w:kinsoku/>
        <w:wordWrap/>
        <w:overflowPunct/>
        <w:topLinePunct w:val="0"/>
        <w:autoSpaceDE/>
        <w:autoSpaceDN/>
        <w:bidi w:val="0"/>
        <w:adjustRightInd/>
        <w:snapToGrid/>
        <w:spacing w:line="336" w:lineRule="auto"/>
        <w:textAlignment w:val="auto"/>
        <w:rPr>
          <w:sz w:val="24"/>
          <w:szCs w:val="24"/>
        </w:rPr>
      </w:pPr>
      <w:r>
        <w:rPr>
          <w:rFonts w:hint="eastAsia"/>
          <w:sz w:val="24"/>
          <w:szCs w:val="24"/>
        </w:rPr>
        <w:t>应急演练的准备</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1、演练应制订演练方案，按演练级别报应急指挥负责人审批；</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2、演练前应落实所需的各种器材装备与物资、交通车辆、防护器材的准备，以确保演练顺利进行；</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3、演练前应通知周边社区、企业人员，必要时与新闻媒体沟通，以避免造成不必要的影响。</w:t>
      </w:r>
    </w:p>
    <w:p>
      <w:pPr>
        <w:pStyle w:val="5"/>
        <w:pageBreakBefore w:val="0"/>
        <w:widowControl w:val="0"/>
        <w:kinsoku/>
        <w:wordWrap/>
        <w:overflowPunct/>
        <w:topLinePunct w:val="0"/>
        <w:autoSpaceDE/>
        <w:autoSpaceDN/>
        <w:bidi w:val="0"/>
        <w:adjustRightInd/>
        <w:snapToGrid/>
        <w:spacing w:line="336" w:lineRule="auto"/>
        <w:textAlignment w:val="auto"/>
        <w:rPr>
          <w:sz w:val="24"/>
          <w:szCs w:val="24"/>
        </w:rPr>
      </w:pPr>
      <w:r>
        <w:rPr>
          <w:rFonts w:hint="eastAsia"/>
          <w:sz w:val="24"/>
          <w:szCs w:val="24"/>
        </w:rPr>
        <w:t>应急演练的方式、范围和频次</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应急演练的方式：根据实际情况，可采用桌面推演，模拟演练、仿真演练等方式。</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演练的范围：根据演练的方式，本着节俭、实用的原则，确定演练的范围，可根据需要进行全面演练、也可针对重点进行局部演练。</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演练频次：每年公司组织一次应急预案演练。</w:t>
      </w:r>
    </w:p>
    <w:p>
      <w:pPr>
        <w:pStyle w:val="5"/>
        <w:pageBreakBefore w:val="0"/>
        <w:widowControl w:val="0"/>
        <w:kinsoku/>
        <w:wordWrap/>
        <w:overflowPunct/>
        <w:topLinePunct w:val="0"/>
        <w:autoSpaceDE/>
        <w:autoSpaceDN/>
        <w:bidi w:val="0"/>
        <w:adjustRightInd/>
        <w:snapToGrid/>
        <w:spacing w:line="336" w:lineRule="auto"/>
        <w:textAlignment w:val="auto"/>
        <w:rPr>
          <w:sz w:val="24"/>
          <w:szCs w:val="24"/>
        </w:rPr>
      </w:pPr>
      <w:r>
        <w:rPr>
          <w:rFonts w:hint="eastAsia"/>
          <w:sz w:val="24"/>
          <w:szCs w:val="24"/>
        </w:rPr>
        <w:t>应急演练的评价和总结</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1、应急演练结束后，应急办公室适时组织本单位专业技术人员进行分析评价，总结经验，分析不足之处，完善应急预案，健全应急保障。</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2、演练应留有相应的演练记录并归档。</w:t>
      </w:r>
    </w:p>
    <w:p>
      <w:pPr>
        <w:pStyle w:val="4"/>
        <w:pageBreakBefore w:val="0"/>
        <w:widowControl w:val="0"/>
        <w:kinsoku/>
        <w:wordWrap/>
        <w:overflowPunct/>
        <w:topLinePunct w:val="0"/>
        <w:autoSpaceDE/>
        <w:autoSpaceDN/>
        <w:bidi w:val="0"/>
        <w:adjustRightInd/>
        <w:snapToGrid/>
        <w:spacing w:line="336" w:lineRule="auto"/>
        <w:textAlignment w:val="auto"/>
        <w:rPr>
          <w:sz w:val="24"/>
          <w:szCs w:val="24"/>
        </w:rPr>
      </w:pPr>
      <w:bookmarkStart w:id="190" w:name="_Toc23264"/>
      <w:r>
        <w:rPr>
          <w:rFonts w:hint="eastAsia"/>
          <w:sz w:val="24"/>
          <w:szCs w:val="24"/>
        </w:rPr>
        <w:t>责任与奖惩</w:t>
      </w:r>
      <w:bookmarkEnd w:id="190"/>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环境突发事故的处理强调“四个不放过”，即必须坚持事故原因分析不清不放过，责任人员未受到严肃处理不放过，事故责任者和群众没有受到教育不放过，没有采取切实可行的防范措施不放过。</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在与应急救援有关工作中有优异表现的部门或个人，按照公司相关规定或经应急指挥中心讨论后，给予一定的奖励。奖励包括物质奖励和精神奖励。</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1、及时发现、报告险情的。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2、对公司的应急救援工作提出合理化建议的。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3、出色完成应急救援工作任务的。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4、有其他特殊贡献的。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影响公司应急救援工作，造成后果加重的部门或个人，按照公司相关规定或应急指挥中心讨论后，给予一定的处罚。处罚包括公司行政处罚、经济处罚和停岗培训等。</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1、瞒报事故和紧急情况的。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2、盗窃、破坏、挪用应急物资装备的。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3、应急救援中不服从命令和指挥，或者在应急响应时临阵脱逃的。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4、不履行应急救援职责的。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5、其他危害应急救援工作的行为。</w:t>
      </w:r>
    </w:p>
    <w:p>
      <w:pPr>
        <w:pStyle w:val="4"/>
        <w:pageBreakBefore w:val="0"/>
        <w:widowControl w:val="0"/>
        <w:kinsoku/>
        <w:wordWrap/>
        <w:overflowPunct/>
        <w:topLinePunct w:val="0"/>
        <w:autoSpaceDE/>
        <w:autoSpaceDN/>
        <w:bidi w:val="0"/>
        <w:adjustRightInd/>
        <w:snapToGrid/>
        <w:spacing w:line="336" w:lineRule="auto"/>
        <w:textAlignment w:val="auto"/>
        <w:rPr>
          <w:sz w:val="24"/>
          <w:szCs w:val="24"/>
        </w:rPr>
      </w:pPr>
      <w:bookmarkStart w:id="191" w:name="_Toc163"/>
      <w:r>
        <w:rPr>
          <w:rFonts w:hint="eastAsia"/>
          <w:sz w:val="24"/>
          <w:szCs w:val="24"/>
        </w:rPr>
        <w:t>评估及修订</w:t>
      </w:r>
      <w:bookmarkEnd w:id="191"/>
    </w:p>
    <w:p>
      <w:pPr>
        <w:pStyle w:val="5"/>
        <w:pageBreakBefore w:val="0"/>
        <w:widowControl w:val="0"/>
        <w:kinsoku/>
        <w:wordWrap/>
        <w:overflowPunct/>
        <w:topLinePunct w:val="0"/>
        <w:autoSpaceDE/>
        <w:autoSpaceDN/>
        <w:bidi w:val="0"/>
        <w:adjustRightInd/>
        <w:snapToGrid/>
        <w:spacing w:line="336" w:lineRule="auto"/>
        <w:textAlignment w:val="auto"/>
        <w:rPr>
          <w:sz w:val="24"/>
          <w:szCs w:val="24"/>
        </w:rPr>
      </w:pPr>
      <w:r>
        <w:rPr>
          <w:rFonts w:hint="eastAsia"/>
          <w:sz w:val="24"/>
          <w:szCs w:val="24"/>
        </w:rPr>
        <w:t>预案的评审</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邀请环保专家组成应急预案评估小组对应急预案草案进行评估。环境应急预案评估小组应当重点评估环境应急预案的实用性、基本要素的完整性、内容格式的规范性、应急保障措施的可行性以及与其他相关预案的衔接性等内容。应急预案编制人员根据评估结果，对应急预案草案进行修改。</w:t>
      </w:r>
    </w:p>
    <w:p>
      <w:pPr>
        <w:pStyle w:val="5"/>
        <w:pageBreakBefore w:val="0"/>
        <w:widowControl w:val="0"/>
        <w:kinsoku/>
        <w:wordWrap/>
        <w:overflowPunct/>
        <w:topLinePunct w:val="0"/>
        <w:autoSpaceDE/>
        <w:autoSpaceDN/>
        <w:bidi w:val="0"/>
        <w:adjustRightInd/>
        <w:snapToGrid/>
        <w:spacing w:line="336" w:lineRule="auto"/>
        <w:textAlignment w:val="auto"/>
        <w:rPr>
          <w:sz w:val="24"/>
          <w:szCs w:val="24"/>
        </w:rPr>
      </w:pPr>
      <w:r>
        <w:rPr>
          <w:rFonts w:hint="eastAsia"/>
          <w:sz w:val="24"/>
          <w:szCs w:val="24"/>
        </w:rPr>
        <w:t>预案的修订</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为适应国家相关法律、法规的调整和部门或应急资源的变化，结合生产过程中发现存在的问题和出现的新情况，每三年对本预案进行一次修订。如有以下情形之一的，应对预案进行及时修订：</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1、应急管理组织指挥体系与职责发生重大变化的；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2、面临的环境风险发生重大变化，需要重新进行环境风险评估的；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3、环境应急监测预警及报告机制、应对流程和措施、应急保障措施发生重大变化的；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sz w:val="24"/>
          <w:szCs w:val="24"/>
        </w:rPr>
        <w:t>4</w:t>
      </w:r>
      <w:r>
        <w:rPr>
          <w:rFonts w:hint="eastAsia"/>
          <w:sz w:val="24"/>
          <w:szCs w:val="24"/>
        </w:rPr>
        <w:t>、重要应急资源发生重大变化的；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5、在突发事件实际应对和应急演练中发现问题，需对环境应急预案做出重大调整的；</w:t>
      </w:r>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6、应急预案与企业实际情况不符合的其他需要修订的情况。</w:t>
      </w:r>
    </w:p>
    <w:p>
      <w:pPr>
        <w:pStyle w:val="4"/>
        <w:pageBreakBefore w:val="0"/>
        <w:widowControl w:val="0"/>
        <w:kinsoku/>
        <w:wordWrap/>
        <w:overflowPunct/>
        <w:topLinePunct w:val="0"/>
        <w:autoSpaceDE/>
        <w:autoSpaceDN/>
        <w:bidi w:val="0"/>
        <w:adjustRightInd/>
        <w:snapToGrid/>
        <w:spacing w:line="336" w:lineRule="auto"/>
        <w:textAlignment w:val="auto"/>
        <w:rPr>
          <w:sz w:val="24"/>
          <w:szCs w:val="24"/>
        </w:rPr>
      </w:pPr>
      <w:bookmarkStart w:id="192" w:name="_Toc4182"/>
      <w:r>
        <w:rPr>
          <w:rFonts w:hint="eastAsia"/>
          <w:sz w:val="24"/>
          <w:szCs w:val="24"/>
        </w:rPr>
        <w:t>备案</w:t>
      </w:r>
      <w:bookmarkEnd w:id="192"/>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本公司编制的环境综合应急预案，应当在本单位主要负责人签署发布之日起</w:t>
      </w:r>
      <w:r>
        <w:rPr>
          <w:rFonts w:hint="eastAsia"/>
          <w:sz w:val="24"/>
          <w:szCs w:val="24"/>
          <w:lang w:val="en-US" w:eastAsia="zh-CN"/>
        </w:rPr>
        <w:t>3</w:t>
      </w:r>
      <w:r>
        <w:rPr>
          <w:rFonts w:hint="eastAsia"/>
          <w:sz w:val="24"/>
          <w:szCs w:val="24"/>
        </w:rPr>
        <w:t>0个工作日内报属地环境保护主管部门备案。</w:t>
      </w:r>
    </w:p>
    <w:p>
      <w:pPr>
        <w:pStyle w:val="4"/>
        <w:pageBreakBefore w:val="0"/>
        <w:widowControl w:val="0"/>
        <w:kinsoku/>
        <w:wordWrap/>
        <w:overflowPunct/>
        <w:topLinePunct w:val="0"/>
        <w:autoSpaceDE/>
        <w:autoSpaceDN/>
        <w:bidi w:val="0"/>
        <w:adjustRightInd/>
        <w:snapToGrid/>
        <w:spacing w:line="336" w:lineRule="auto"/>
        <w:textAlignment w:val="auto"/>
        <w:rPr>
          <w:sz w:val="24"/>
          <w:szCs w:val="24"/>
        </w:rPr>
      </w:pPr>
      <w:bookmarkStart w:id="193" w:name="_Toc11380"/>
      <w:r>
        <w:rPr>
          <w:rFonts w:hint="eastAsia"/>
          <w:sz w:val="24"/>
          <w:szCs w:val="24"/>
        </w:rPr>
        <w:t>签署发布</w:t>
      </w:r>
      <w:bookmarkEnd w:id="193"/>
    </w:p>
    <w:p>
      <w:pPr>
        <w:pageBreakBefore w:val="0"/>
        <w:widowControl w:val="0"/>
        <w:kinsoku/>
        <w:wordWrap/>
        <w:overflowPunct/>
        <w:topLinePunct w:val="0"/>
        <w:autoSpaceDE/>
        <w:autoSpaceDN/>
        <w:bidi w:val="0"/>
        <w:adjustRightInd/>
        <w:snapToGrid/>
        <w:spacing w:line="336" w:lineRule="auto"/>
        <w:ind w:firstLine="560"/>
        <w:textAlignment w:val="auto"/>
        <w:rPr>
          <w:sz w:val="24"/>
          <w:szCs w:val="24"/>
        </w:rPr>
      </w:pPr>
      <w:r>
        <w:rPr>
          <w:rFonts w:hint="eastAsia"/>
          <w:sz w:val="24"/>
          <w:szCs w:val="24"/>
        </w:rPr>
        <w:t>企业针对预案真实性及有效性进行审议，并经评估小组评估，通过后由主要负责人签署负责，并发布实施。</w:t>
      </w:r>
    </w:p>
    <w:p>
      <w:pPr>
        <w:pStyle w:val="4"/>
        <w:rPr>
          <w:sz w:val="24"/>
          <w:szCs w:val="24"/>
        </w:rPr>
      </w:pPr>
      <w:bookmarkStart w:id="194" w:name="_Toc19430"/>
      <w:r>
        <w:rPr>
          <w:rFonts w:hint="eastAsia"/>
          <w:sz w:val="24"/>
          <w:szCs w:val="24"/>
        </w:rPr>
        <w:t>预案实施</w:t>
      </w:r>
      <w:bookmarkEnd w:id="194"/>
    </w:p>
    <w:p>
      <w:pPr>
        <w:ind w:firstLine="560"/>
        <w:rPr>
          <w:sz w:val="24"/>
          <w:szCs w:val="24"/>
        </w:rPr>
      </w:pPr>
      <w:r>
        <w:rPr>
          <w:rFonts w:hint="eastAsia"/>
          <w:sz w:val="24"/>
          <w:szCs w:val="24"/>
        </w:rPr>
        <w:t>本预案自发布之日起</w:t>
      </w:r>
      <w:r>
        <w:rPr>
          <w:rFonts w:hint="eastAsia"/>
          <w:sz w:val="24"/>
          <w:szCs w:val="24"/>
          <w:lang w:eastAsia="zh-CN"/>
        </w:rPr>
        <w:t>三日后</w:t>
      </w:r>
      <w:r>
        <w:rPr>
          <w:rFonts w:hint="eastAsia"/>
          <w:sz w:val="24"/>
          <w:szCs w:val="24"/>
        </w:rPr>
        <w:t>实施。</w:t>
      </w:r>
    </w:p>
    <w:p>
      <w:pPr>
        <w:ind w:firstLine="560"/>
        <w:rPr>
          <w:sz w:val="24"/>
          <w:szCs w:val="24"/>
        </w:rPr>
        <w:sectPr>
          <w:pgSz w:w="11906" w:h="16838"/>
          <w:pgMar w:top="1440" w:right="1276" w:bottom="1440" w:left="1134" w:header="851" w:footer="992" w:gutter="0"/>
          <w:pgNumType w:fmt="decimal"/>
          <w:cols w:space="425" w:num="1"/>
          <w:docGrid w:type="linesAndChars" w:linePitch="381" w:charSpace="0"/>
        </w:sectPr>
      </w:pPr>
    </w:p>
    <w:p>
      <w:pPr>
        <w:pStyle w:val="3"/>
      </w:pPr>
      <w:bookmarkStart w:id="195" w:name="_Toc20957"/>
      <w:r>
        <w:rPr>
          <w:rFonts w:hint="eastAsia"/>
        </w:rPr>
        <w:t>附则</w:t>
      </w:r>
      <w:bookmarkEnd w:id="195"/>
    </w:p>
    <w:p>
      <w:pPr>
        <w:pStyle w:val="4"/>
      </w:pPr>
      <w:bookmarkStart w:id="196" w:name="_Toc5124"/>
      <w:r>
        <w:rPr>
          <w:rFonts w:hint="eastAsia"/>
        </w:rPr>
        <w:t>术语、符号和代号</w:t>
      </w:r>
      <w:bookmarkEnd w:id="196"/>
    </w:p>
    <w:p>
      <w:pPr>
        <w:ind w:firstLine="562"/>
        <w:rPr>
          <w:b/>
        </w:rPr>
      </w:pPr>
      <w:r>
        <w:rPr>
          <w:rFonts w:hint="eastAsia"/>
          <w:b/>
        </w:rPr>
        <w:t>1、突发环境事件</w:t>
      </w:r>
    </w:p>
    <w:p>
      <w:pPr>
        <w:ind w:firstLine="560"/>
      </w:pPr>
      <w:r>
        <w:rPr>
          <w:rFonts w:hint="eastAsia"/>
        </w:rPr>
        <w:t xml:space="preserve">突发环境事件是指因事件或意外性事件等因素，致使环境受到污染或破坏，公众的生命健康和财产受到危害或威胁的紧急情况。  </w:t>
      </w:r>
    </w:p>
    <w:p>
      <w:pPr>
        <w:ind w:firstLine="562"/>
      </w:pPr>
      <w:r>
        <w:rPr>
          <w:rFonts w:hint="eastAsia"/>
          <w:b/>
        </w:rPr>
        <w:t>2、突发环境事件应急预案</w:t>
      </w:r>
    </w:p>
    <w:p>
      <w:pPr>
        <w:ind w:firstLine="560"/>
      </w:pPr>
      <w:r>
        <w:rPr>
          <w:rFonts w:hint="eastAsia"/>
        </w:rPr>
        <w:t>突发环境事件应急预案是指针对可能发生的突发环境事件，为确保迅速、有序、高效地开展应急处置，减少人员伤亡和经济损失而预先制定的计划或方案。</w:t>
      </w:r>
    </w:p>
    <w:p>
      <w:pPr>
        <w:ind w:firstLine="560"/>
      </w:pPr>
      <w:r>
        <w:rPr>
          <w:rFonts w:hint="eastAsia"/>
        </w:rPr>
        <w:t xml:space="preserve">环境风险：环境风险是指突发环境事件对环境（或健康）的危险程度。 </w:t>
      </w:r>
    </w:p>
    <w:p>
      <w:pPr>
        <w:ind w:firstLine="560"/>
      </w:pPr>
      <w:r>
        <w:rPr>
          <w:rFonts w:hint="eastAsia"/>
        </w:rPr>
        <w:t xml:space="preserve">危险源：危险源是指可能导致伤害或疾病、财产损失、环境破坏或这些情况组合的根源或状态。  </w:t>
      </w:r>
    </w:p>
    <w:p>
      <w:pPr>
        <w:ind w:firstLine="560"/>
      </w:pPr>
      <w:r>
        <w:rPr>
          <w:rFonts w:hint="eastAsia"/>
        </w:rPr>
        <w:t xml:space="preserve">环境敏感点：环境敏感点，参照《建设项目环境影响评价分类管理名录》中“环境敏感区”定义。  </w:t>
      </w:r>
    </w:p>
    <w:p>
      <w:pPr>
        <w:ind w:firstLine="560"/>
      </w:pPr>
      <w:r>
        <w:rPr>
          <w:rFonts w:hint="eastAsia"/>
        </w:rPr>
        <w:t>应急演练：应急演练，是指为检验应急预案的有效性、应急准备的完善性、应急响应能力的适应性和应急人员的协同性而进行的一种模拟应急响应的实践活动。</w:t>
      </w:r>
    </w:p>
    <w:p>
      <w:pPr>
        <w:ind w:firstLine="560"/>
      </w:pPr>
    </w:p>
    <w:p>
      <w:pPr>
        <w:ind w:firstLine="560"/>
        <w:sectPr>
          <w:pgSz w:w="11906" w:h="16838"/>
          <w:pgMar w:top="1440" w:right="1276" w:bottom="1440" w:left="1134" w:header="851" w:footer="992" w:gutter="0"/>
          <w:pgNumType w:fmt="decimal"/>
          <w:cols w:space="425" w:num="1"/>
          <w:docGrid w:type="linesAndChars" w:linePitch="381" w:charSpace="0"/>
        </w:sectPr>
      </w:pP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pPr>
      <w:bookmarkStart w:id="197" w:name="_Toc3736"/>
      <w:r>
        <w:rPr>
          <w:rFonts w:hint="eastAsia"/>
        </w:rPr>
        <w:t>附图1企业地理位置图</w:t>
      </w:r>
      <w:bookmarkEnd w:id="197"/>
    </w:p>
    <w:p>
      <w:pPr>
        <w:ind w:firstLine="0" w:firstLineChars="0"/>
        <w:jc w:val="center"/>
        <w:rPr>
          <w:rFonts w:hint="eastAsia" w:eastAsia="宋体"/>
          <w:lang w:eastAsia="zh-CN"/>
        </w:rPr>
      </w:pPr>
      <w:r>
        <w:rPr>
          <w:rFonts w:hint="eastAsia" w:eastAsia="宋体"/>
          <w:lang w:eastAsia="zh-CN"/>
        </w:rPr>
        <w:drawing>
          <wp:inline distT="0" distB="0" distL="114300" distR="114300">
            <wp:extent cx="8854440" cy="5329555"/>
            <wp:effectExtent l="0" t="0" r="3810" b="4445"/>
            <wp:docPr id="7" name="图片 7" descr="2020092010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0200920102214"/>
                    <pic:cNvPicPr>
                      <a:picLocks noChangeAspect="1"/>
                    </pic:cNvPicPr>
                  </pic:nvPicPr>
                  <pic:blipFill>
                    <a:blip r:embed="rId26"/>
                    <a:stretch>
                      <a:fillRect/>
                    </a:stretch>
                  </pic:blipFill>
                  <pic:spPr>
                    <a:xfrm>
                      <a:off x="0" y="0"/>
                      <a:ext cx="8854440" cy="5329555"/>
                    </a:xfrm>
                    <a:prstGeom prst="rect">
                      <a:avLst/>
                    </a:prstGeom>
                  </pic:spPr>
                </pic:pic>
              </a:graphicData>
            </a:graphic>
          </wp:inline>
        </w:drawing>
      </w:r>
    </w:p>
    <w:p>
      <w:pPr>
        <w:ind w:firstLine="560"/>
        <w:sectPr>
          <w:footerReference r:id="rId13" w:type="default"/>
          <w:pgSz w:w="16838" w:h="11906" w:orient="landscape"/>
          <w:pgMar w:top="1134" w:right="1440" w:bottom="1276" w:left="1440" w:header="851" w:footer="992" w:gutter="0"/>
          <w:pgNumType w:fmt="decimal"/>
          <w:cols w:space="425" w:num="1"/>
          <w:docGrid w:type="linesAndChars" w:linePitch="381" w:charSpace="0"/>
        </w:sectPr>
      </w:pP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pPr>
      <w:bookmarkStart w:id="198" w:name="_Toc25654"/>
      <w:r>
        <w:rPr>
          <w:rFonts w:hint="eastAsia"/>
        </w:rPr>
        <w:t>附图2</w:t>
      </w:r>
      <w:r>
        <w:t xml:space="preserve"> </w:t>
      </w:r>
      <w:r>
        <w:rPr>
          <w:rFonts w:hint="eastAsia"/>
        </w:rPr>
        <w:t>厂区平面布置图</w:t>
      </w:r>
      <w:bookmarkEnd w:id="198"/>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9"/>
        <w:rPr>
          <w:rFonts w:hint="eastAsia" w:eastAsia="宋体"/>
          <w:lang w:eastAsia="zh-CN"/>
        </w:rPr>
      </w:pPr>
      <w:r>
        <w:rPr>
          <w:rFonts w:hint="eastAsia" w:eastAsia="宋体"/>
          <w:lang w:eastAsia="zh-CN"/>
        </w:rPr>
        <w:drawing>
          <wp:inline distT="0" distB="0" distL="114300" distR="114300">
            <wp:extent cx="8225155" cy="5180330"/>
            <wp:effectExtent l="15875" t="15875" r="26670" b="23495"/>
            <wp:docPr id="10" name="图片 10" descr="2020092010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0200920103935"/>
                    <pic:cNvPicPr>
                      <a:picLocks noChangeAspect="1"/>
                    </pic:cNvPicPr>
                  </pic:nvPicPr>
                  <pic:blipFill>
                    <a:blip r:embed="rId27"/>
                    <a:srcRect r="766"/>
                    <a:stretch>
                      <a:fillRect/>
                    </a:stretch>
                  </pic:blipFill>
                  <pic:spPr>
                    <a:xfrm>
                      <a:off x="0" y="0"/>
                      <a:ext cx="8225155" cy="5180330"/>
                    </a:xfrm>
                    <a:prstGeom prst="rect">
                      <a:avLst/>
                    </a:prstGeom>
                    <a:ln w="15875">
                      <a:solidFill>
                        <a:schemeClr val="tx1"/>
                      </a:solid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pPr>
      <w:bookmarkStart w:id="199" w:name="_Toc14845"/>
      <w:r>
        <w:rPr>
          <w:rFonts w:hint="eastAsia"/>
        </w:rPr>
        <w:t>附图3</w:t>
      </w:r>
      <w:r>
        <w:t xml:space="preserve"> </w:t>
      </w:r>
      <w:r>
        <w:rPr>
          <w:rFonts w:hint="eastAsia"/>
        </w:rPr>
        <w:t>周边大气环境风险受体分布图</w:t>
      </w:r>
      <w:bookmarkEnd w:id="199"/>
    </w:p>
    <w:p>
      <w:pPr>
        <w:ind w:firstLine="0" w:firstLineChars="0"/>
        <w:jc w:val="center"/>
      </w:pPr>
      <w:r>
        <w:rPr>
          <w:lang w:val="zh-CN"/>
        </w:rPr>
        <w:drawing>
          <wp:anchor distT="0" distB="0" distL="114300" distR="114300" simplePos="0" relativeHeight="2604254208" behindDoc="0" locked="0" layoutInCell="1" allowOverlap="1">
            <wp:simplePos x="0" y="0"/>
            <wp:positionH relativeFrom="column">
              <wp:posOffset>7683500</wp:posOffset>
            </wp:positionH>
            <wp:positionV relativeFrom="paragraph">
              <wp:posOffset>50800</wp:posOffset>
            </wp:positionV>
            <wp:extent cx="545465" cy="899160"/>
            <wp:effectExtent l="9525" t="9525" r="16510" b="24765"/>
            <wp:wrapNone/>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8"/>
                    <a:stretch>
                      <a:fillRect/>
                    </a:stretch>
                  </pic:blipFill>
                  <pic:spPr>
                    <a:xfrm>
                      <a:off x="0" y="0"/>
                      <a:ext cx="545465" cy="899160"/>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hint="eastAsia" w:eastAsia="宋体"/>
          <w:lang w:eastAsia="zh-CN"/>
        </w:rPr>
        <w:drawing>
          <wp:inline distT="0" distB="0" distL="114300" distR="114300">
            <wp:extent cx="7755255" cy="5419090"/>
            <wp:effectExtent l="15875" t="15875" r="20320" b="32385"/>
            <wp:docPr id="2" name="图片 2" descr="2020091614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200916143427"/>
                    <pic:cNvPicPr>
                      <a:picLocks noChangeAspect="1"/>
                    </pic:cNvPicPr>
                  </pic:nvPicPr>
                  <pic:blipFill>
                    <a:blip r:embed="rId29"/>
                    <a:stretch>
                      <a:fillRect/>
                    </a:stretch>
                  </pic:blipFill>
                  <pic:spPr>
                    <a:xfrm>
                      <a:off x="0" y="0"/>
                      <a:ext cx="7755255" cy="5419090"/>
                    </a:xfrm>
                    <a:prstGeom prst="rect">
                      <a:avLst/>
                    </a:prstGeom>
                    <a:ln w="15875">
                      <a:solidFill>
                        <a:schemeClr val="tx1"/>
                      </a:solidFill>
                    </a:ln>
                  </pic:spPr>
                </pic:pic>
              </a:graphicData>
            </a:graphic>
          </wp:inline>
        </w:drawing>
      </w:r>
    </w:p>
    <w:p>
      <w:pPr>
        <w:pStyle w:val="2"/>
        <w:sectPr>
          <w:pgSz w:w="16838" w:h="11906" w:orient="landscape"/>
          <w:pgMar w:top="1134" w:right="1440" w:bottom="1276" w:left="1440" w:header="851" w:footer="992" w:gutter="0"/>
          <w:pgNumType w:fmt="decimal"/>
          <w:cols w:space="425" w:num="1"/>
          <w:docGrid w:type="linesAndChars" w:linePitch="381" w:charSpace="0"/>
        </w:sectPr>
      </w:pP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rPr>
          <w:rFonts w:hint="eastAsia"/>
          <w:kern w:val="0"/>
        </w:rPr>
      </w:pPr>
      <w:bookmarkStart w:id="200" w:name="_Toc177"/>
      <w:r>
        <w:rPr>
          <w:rFonts w:hint="eastAsia"/>
        </w:rPr>
        <w:t>附图4</w:t>
      </w:r>
      <w:r>
        <w:t xml:space="preserve"> </w:t>
      </w:r>
      <w:r>
        <w:rPr>
          <w:rFonts w:hint="eastAsia"/>
          <w:kern w:val="0"/>
        </w:rPr>
        <w:t>周边水环境风险受体分布图</w:t>
      </w:r>
      <w:bookmarkEnd w:id="200"/>
    </w:p>
    <w:p>
      <w:pPr>
        <w:ind w:firstLine="0" w:firstLineChars="0"/>
        <w:rPr>
          <w:rFonts w:hint="eastAsia" w:eastAsia="宋体"/>
          <w:lang w:eastAsia="zh-CN"/>
        </w:rPr>
        <w:sectPr>
          <w:pgSz w:w="16838" w:h="11906" w:orient="landscape"/>
          <w:pgMar w:top="1134" w:right="1440" w:bottom="1276" w:left="1440" w:header="851" w:footer="992" w:gutter="0"/>
          <w:pgNumType w:fmt="decimal"/>
          <w:cols w:space="425" w:num="1"/>
          <w:docGrid w:type="linesAndChars" w:linePitch="381" w:charSpace="0"/>
        </w:sectPr>
      </w:pPr>
      <w:r>
        <w:rPr>
          <w:rFonts w:hint="eastAsia" w:eastAsia="宋体"/>
          <w:lang w:eastAsia="zh-CN"/>
        </w:rPr>
        <w:drawing>
          <wp:inline distT="0" distB="0" distL="114300" distR="114300">
            <wp:extent cx="8559165" cy="4942205"/>
            <wp:effectExtent l="0" t="0" r="13335" b="10795"/>
            <wp:docPr id="16" name="图片 16" descr="2020091716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0200917161855"/>
                    <pic:cNvPicPr>
                      <a:picLocks noChangeAspect="1"/>
                    </pic:cNvPicPr>
                  </pic:nvPicPr>
                  <pic:blipFill>
                    <a:blip r:embed="rId30"/>
                    <a:stretch>
                      <a:fillRect/>
                    </a:stretch>
                  </pic:blipFill>
                  <pic:spPr>
                    <a:xfrm>
                      <a:off x="0" y="0"/>
                      <a:ext cx="8559165" cy="4942205"/>
                    </a:xfrm>
                    <a:prstGeom prst="rect">
                      <a:avLst/>
                    </a:prstGeom>
                    <a:ln w="15875" cmpd="sng">
                      <a:noFill/>
                      <a:prstDash val="solid"/>
                    </a:ln>
                  </pic:spPr>
                </pic:pic>
              </a:graphicData>
            </a:graphic>
          </wp:inline>
        </w:drawing>
      </w:r>
      <w:r>
        <w:rPr>
          <w:sz w:val="28"/>
        </w:rPr>
        <w:pict>
          <v:shape id="_x0000_s2050" o:spid="_x0000_s2050" o:spt="202" type="#_x0000_t202" style="position:absolute;left:0pt;margin-left:407.35pt;margin-top:229.75pt;height:33pt;width:98.25pt;z-index:-1690712064;mso-width-relative:page;mso-height-relative:page;" filled="f" stroked="f" coordsize="21600,21600">
            <v:path/>
            <v:fill on="f" focussize="0,0"/>
            <v:stroke on="f"/>
            <v:imagedata o:title=""/>
            <o:lock v:ext="edit" aspectratio="f"/>
            <v:textbox>
              <w:txbxContent>
                <w:p>
                  <w:pPr>
                    <w:rPr>
                      <w:rFonts w:hint="eastAsia" w:eastAsia="宋体"/>
                      <w:color w:val="FF0000"/>
                      <w:sz w:val="24"/>
                      <w:szCs w:val="24"/>
                      <w:lang w:eastAsia="zh-CN"/>
                    </w:rPr>
                  </w:pPr>
                  <w:r>
                    <w:rPr>
                      <w:rFonts w:hint="eastAsia"/>
                      <w:color w:val="FF0000"/>
                      <w:sz w:val="24"/>
                      <w:szCs w:val="24"/>
                      <w:lang w:eastAsia="zh-CN"/>
                    </w:rPr>
                    <w:t>赣江</w:t>
                  </w:r>
                </w:p>
              </w:txbxContent>
            </v:textbox>
          </v:shape>
        </w:pict>
      </w:r>
      <w:r>
        <w:rPr>
          <w:lang w:val="zh-CN"/>
        </w:rPr>
        <w:drawing>
          <wp:anchor distT="0" distB="0" distL="114300" distR="114300" simplePos="0" relativeHeight="2604214272" behindDoc="0" locked="0" layoutInCell="1" allowOverlap="1">
            <wp:simplePos x="0" y="0"/>
            <wp:positionH relativeFrom="column">
              <wp:posOffset>8329930</wp:posOffset>
            </wp:positionH>
            <wp:positionV relativeFrom="paragraph">
              <wp:posOffset>101600</wp:posOffset>
            </wp:positionV>
            <wp:extent cx="545465" cy="899160"/>
            <wp:effectExtent l="9525" t="9525" r="16510" b="24765"/>
            <wp:wrapNone/>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8"/>
                    <a:stretch>
                      <a:fillRect/>
                    </a:stretch>
                  </pic:blipFill>
                  <pic:spPr>
                    <a:xfrm>
                      <a:off x="0" y="0"/>
                      <a:ext cx="545465" cy="899160"/>
                    </a:xfrm>
                    <a:prstGeom prst="rect">
                      <a:avLst/>
                    </a:prstGeom>
                    <a:noFill/>
                    <a:ln w="9525" cap="flat" cmpd="sng">
                      <a:solidFill>
                        <a:srgbClr val="000000"/>
                      </a:solidFill>
                      <a:prstDash val="solid"/>
                      <a:miter/>
                      <a:headEnd type="none" w="med" len="med"/>
                      <a:tailEnd type="none" w="med" len="med"/>
                    </a:ln>
                  </pic:spPr>
                </pic:pic>
              </a:graphicData>
            </a:graphic>
          </wp:anchor>
        </w:drawing>
      </w: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pPr>
      <w:bookmarkStart w:id="201" w:name="_Toc12456"/>
      <w:r>
        <w:rPr>
          <w:rFonts w:hint="eastAsia"/>
        </w:rPr>
        <w:t>附图5</w:t>
      </w:r>
      <w:r>
        <w:t xml:space="preserve"> </w:t>
      </w:r>
      <w:r>
        <w:rPr>
          <w:rFonts w:hint="eastAsia"/>
        </w:rPr>
        <w:t>周边道路分布图</w:t>
      </w:r>
      <w:bookmarkEnd w:id="201"/>
    </w:p>
    <w:p>
      <w:pPr>
        <w:ind w:firstLine="0" w:firstLineChars="0"/>
        <w:jc w:val="center"/>
        <w:rPr>
          <w:rFonts w:hint="eastAsia" w:eastAsia="宋体"/>
          <w:lang w:eastAsia="zh-CN"/>
        </w:rPr>
      </w:pPr>
      <w:r>
        <w:rPr>
          <w:lang w:val="zh-CN"/>
        </w:rPr>
        <w:drawing>
          <wp:anchor distT="0" distB="0" distL="114300" distR="114300" simplePos="0" relativeHeight="2604214272" behindDoc="0" locked="0" layoutInCell="1" allowOverlap="1">
            <wp:simplePos x="0" y="0"/>
            <wp:positionH relativeFrom="column">
              <wp:posOffset>8301355</wp:posOffset>
            </wp:positionH>
            <wp:positionV relativeFrom="paragraph">
              <wp:posOffset>91440</wp:posOffset>
            </wp:positionV>
            <wp:extent cx="545465" cy="899160"/>
            <wp:effectExtent l="9525" t="9525" r="16510" b="24765"/>
            <wp:wrapNone/>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28"/>
                    <a:stretch>
                      <a:fillRect/>
                    </a:stretch>
                  </pic:blipFill>
                  <pic:spPr>
                    <a:xfrm>
                      <a:off x="0" y="0"/>
                      <a:ext cx="545465" cy="899160"/>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hint="eastAsia" w:eastAsia="宋体"/>
          <w:lang w:eastAsia="zh-CN"/>
        </w:rPr>
        <w:drawing>
          <wp:inline distT="0" distB="0" distL="114300" distR="114300">
            <wp:extent cx="8855075" cy="4780915"/>
            <wp:effectExtent l="0" t="0" r="3175" b="635"/>
            <wp:docPr id="18" name="图片 18" descr="2020091716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20200917162441"/>
                    <pic:cNvPicPr>
                      <a:picLocks noChangeAspect="1"/>
                    </pic:cNvPicPr>
                  </pic:nvPicPr>
                  <pic:blipFill>
                    <a:blip r:embed="rId31"/>
                    <a:stretch>
                      <a:fillRect/>
                    </a:stretch>
                  </pic:blipFill>
                  <pic:spPr>
                    <a:xfrm>
                      <a:off x="0" y="0"/>
                      <a:ext cx="8855075" cy="4780915"/>
                    </a:xfrm>
                    <a:prstGeom prst="rect">
                      <a:avLst/>
                    </a:prstGeom>
                  </pic:spPr>
                </pic:pic>
              </a:graphicData>
            </a:graphic>
          </wp:inline>
        </w:drawing>
      </w:r>
    </w:p>
    <w:p>
      <w:pPr>
        <w:ind w:firstLine="0" w:firstLineChars="0"/>
        <w:sectPr>
          <w:pgSz w:w="16838" w:h="11906" w:orient="landscape"/>
          <w:pgMar w:top="1134" w:right="1440" w:bottom="1276" w:left="1440" w:header="851" w:footer="992" w:gutter="0"/>
          <w:pgNumType w:fmt="decimal"/>
          <w:cols w:space="425" w:num="1"/>
          <w:docGrid w:type="linesAndChars" w:linePitch="381" w:charSpace="0"/>
        </w:sectPr>
      </w:pP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pPr>
      <w:bookmarkStart w:id="202" w:name="_Toc16375"/>
      <w:r>
        <w:rPr>
          <w:rFonts w:hint="eastAsia"/>
        </w:rPr>
        <w:t>附图</w:t>
      </w:r>
      <w:r>
        <w:t xml:space="preserve">6 </w:t>
      </w:r>
      <w:r>
        <w:rPr>
          <w:rFonts w:hint="eastAsia"/>
        </w:rPr>
        <w:t>企业风险单元分布图</w:t>
      </w:r>
      <w:bookmarkEnd w:id="202"/>
    </w:p>
    <w:p>
      <w:pPr>
        <w:ind w:firstLine="0" w:firstLineChars="0"/>
        <w:jc w:val="center"/>
        <w:outlineLvl w:val="9"/>
      </w:pPr>
      <w:r>
        <w:rPr>
          <w:sz w:val="28"/>
        </w:rPr>
        <w:drawing>
          <wp:inline distT="0" distB="0" distL="114300" distR="114300">
            <wp:extent cx="7729855" cy="4820920"/>
            <wp:effectExtent l="15875" t="15875" r="26670" b="20955"/>
            <wp:docPr id="14" name="图片 14" descr="20200920105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0200920105325"/>
                    <pic:cNvPicPr>
                      <a:picLocks noChangeAspect="1"/>
                    </pic:cNvPicPr>
                  </pic:nvPicPr>
                  <pic:blipFill>
                    <a:blip r:embed="rId32"/>
                    <a:stretch>
                      <a:fillRect/>
                    </a:stretch>
                  </pic:blipFill>
                  <pic:spPr>
                    <a:xfrm>
                      <a:off x="0" y="0"/>
                      <a:ext cx="7729855" cy="4820920"/>
                    </a:xfrm>
                    <a:prstGeom prst="rect">
                      <a:avLst/>
                    </a:prstGeom>
                    <a:ln w="15875">
                      <a:solidFill>
                        <a:schemeClr val="tx1"/>
                      </a:solidFill>
                    </a:ln>
                  </pic:spPr>
                </pic:pic>
              </a:graphicData>
            </a:graphic>
          </wp:inline>
        </w:drawing>
      </w:r>
      <w:r>
        <w:rPr>
          <w:sz w:val="28"/>
        </w:rPr>
        <w:pict>
          <v:shape id="_x0000_s2101" o:spid="_x0000_s2101" o:spt="5" type="#_x0000_t5" style="position:absolute;left:0pt;margin-left:457.05pt;margin-top:136.25pt;height:5.95pt;width:5.95pt;z-index:-1690707968;mso-width-relative:page;mso-height-relative:page;" fillcolor="#FF0000" filled="t" stroked="f" coordsize="21600,21600" adj="10800">
            <v:path/>
            <v:fill on="t" color2="#FFFFFF" focussize="0,0"/>
            <v:stroke on="f"/>
            <v:imagedata o:title=""/>
            <o:lock v:ext="edit" aspectratio="f"/>
          </v:shape>
        </w:pict>
      </w:r>
      <w:r>
        <w:rPr>
          <w:sz w:val="28"/>
        </w:rPr>
        <w:pict>
          <v:shape id="_x0000_s2100" o:spid="_x0000_s2100" o:spt="5" type="#_x0000_t5" style="position:absolute;left:0pt;margin-left:487.05pt;margin-top:108.75pt;height:6.65pt;width:5.95pt;z-index:-1690708992;mso-width-relative:page;mso-height-relative:page;" fillcolor="#FF0000" filled="t" stroked="f" coordsize="21600,21600" adj="10800">
            <v:path/>
            <v:fill on="t" color2="#FFFFFF" focussize="0,0"/>
            <v:stroke on="f"/>
            <v:imagedata o:title=""/>
            <o:lock v:ext="edit" aspectratio="f"/>
          </v:shape>
        </w:pict>
      </w:r>
      <w:r>
        <w:rPr>
          <w:sz w:val="28"/>
        </w:rPr>
        <w:pict>
          <v:shape id="_x0000_s2099" o:spid="_x0000_s2099" o:spt="5" type="#_x0000_t5" style="position:absolute;left:0pt;margin-left:470.5pt;margin-top:218.75pt;height:5.95pt;width:5.95pt;z-index:-1690710016;mso-width-relative:page;mso-height-relative:page;" fillcolor="#FF0000" filled="t" stroked="f" coordsize="21600,21600" adj="10800">
            <v:path/>
            <v:fill on="t" color2="#FFFFFF" focussize="0,0"/>
            <v:stroke on="f"/>
            <v:imagedata o:title=""/>
            <o:lock v:ext="edit" aspectratio="f"/>
          </v:shape>
        </w:pict>
      </w:r>
      <w:r>
        <w:rPr>
          <w:sz w:val="28"/>
        </w:rPr>
        <w:pict>
          <v:shape id="_x0000_s2098" o:spid="_x0000_s2098" o:spt="5" type="#_x0000_t5" style="position:absolute;left:0pt;margin-left:185.4pt;margin-top:122.9pt;height:6.7pt;width:5.95pt;z-index:-1690711040;mso-width-relative:page;mso-height-relative:page;" fillcolor="#FF0000" filled="t" stroked="f" coordsize="21600,21600" adj="10800">
            <v:path/>
            <v:fill on="t" color2="#FFFFFF" focussize="0,0"/>
            <v:stroke on="f"/>
            <v:imagedata o:title=""/>
            <o:lock v:ext="edit" aspectratio="f"/>
          </v:shape>
        </w:pict>
      </w:r>
      <w:r>
        <w:rPr>
          <w:sz w:val="28"/>
        </w:rPr>
        <w:pict>
          <v:shape id="_x0000_s2097" o:spid="_x0000_s2097" o:spt="5" type="#_x0000_t5" style="position:absolute;left:0pt;margin-left:402.05pt;margin-top:112.1pt;height:5.95pt;width:5.95pt;z-index:-1690712064;mso-width-relative:page;mso-height-relative:page;" fillcolor="#FF0000" filled="t" stroked="f" coordsize="21600,21600" adj="10800">
            <v:path/>
            <v:fill on="t" color2="#FFFFFF" focussize="0,0"/>
            <v:stroke on="f"/>
            <v:imagedata o:title=""/>
            <o:lock v:ext="edit" aspectratio="f"/>
          </v:shape>
        </w:pict>
      </w:r>
      <w:r>
        <w:rPr>
          <w:sz w:val="28"/>
        </w:rPr>
        <w:pict>
          <v:shape id="_x0000_s2095" o:spid="_x0000_s2095" o:spt="5" type="#_x0000_t5" style="position:absolute;left:0pt;margin-left:336.2pt;margin-top:197.9pt;height:5.95pt;width:5.95pt;z-index:-1690712064;mso-width-relative:page;mso-height-relative:page;" fillcolor="#FF0000" filled="t" stroked="f" coordsize="21600,21600" adj="10800">
            <v:path/>
            <v:fill on="t" color2="#FFFFFF" focussize="0,0"/>
            <v:stroke on="f"/>
            <v:imagedata o:title=""/>
            <o:lock v:ext="edit" aspectratio="f"/>
          </v:shape>
        </w:pict>
      </w:r>
      <w:r>
        <w:rPr>
          <w:sz w:val="28"/>
        </w:rPr>
        <w:pict>
          <v:shape id="_x0000_s2093" o:spid="_x0000_s2093" o:spt="5" type="#_x0000_t5" style="position:absolute;left:0pt;margin-left:265.35pt;margin-top:168.75pt;height:5.95pt;width:5.95pt;z-index:-1690712064;mso-width-relative:page;mso-height-relative:page;" fillcolor="#FF0000" filled="t" stroked="f" coordsize="21600,21600" adj="10800">
            <v:path/>
            <v:fill on="t" color2="#FFFFFF" focussize="0,0"/>
            <v:stroke on="f"/>
            <v:imagedata o:title=""/>
            <o:lock v:ext="edit" aspectratio="f"/>
          </v:shape>
        </w:pict>
      </w:r>
      <w:r>
        <w:rPr>
          <w:sz w:val="28"/>
        </w:rPr>
        <w:pict>
          <v:shape id="_x0000_s2094" o:spid="_x0000_s2094" o:spt="5" type="#_x0000_t5" style="position:absolute;left:0pt;margin-left:280.7pt;margin-top:48.25pt;height:5.95pt;width:5.95pt;z-index:-1690712064;mso-width-relative:page;mso-height-relative:page;" fillcolor="#FF0000" filled="t" stroked="f" coordsize="21600,21600" adj="10800">
            <v:path/>
            <v:fill on="t" color2="#FFFFFF" focussize="0,0"/>
            <v:stroke on="f"/>
            <v:imagedata o:title=""/>
            <o:lock v:ext="edit" aspectratio="f"/>
          </v:shape>
        </w:pict>
      </w:r>
      <w:r>
        <w:rPr>
          <w:sz w:val="28"/>
        </w:rPr>
        <w:pict>
          <v:shape id="_x0000_s2096" o:spid="_x0000_s2096" o:spt="5" type="#_x0000_t5" style="position:absolute;left:0pt;margin-left:348.2pt;margin-top:209.9pt;height:5.95pt;width:5.95pt;z-index:-1690712064;mso-width-relative:page;mso-height-relative:page;" fillcolor="#FF0000" filled="t" stroked="f" coordsize="21600,21600" adj="10800">
            <v:path/>
            <v:fill on="t" color2="#FFFFFF" focussize="0,0"/>
            <v:stroke on="f"/>
            <v:imagedata o:title=""/>
            <o:lock v:ext="edit" aspectratio="f"/>
          </v:shape>
        </w:pict>
      </w:r>
      <w:r>
        <w:rPr>
          <w:sz w:val="28"/>
        </w:rPr>
        <w:pict>
          <v:shape id="_x0000_s2092" o:spid="_x0000_s2092" o:spt="5" type="#_x0000_t5" style="position:absolute;left:0pt;margin-left:268.7pt;margin-top:36.25pt;height:5.95pt;width:5.95pt;z-index:-1690712064;mso-width-relative:page;mso-height-relative:page;" fillcolor="#FF0000" filled="t" stroked="f" coordsize="21600,21600" adj="10800">
            <v:path/>
            <v:fill on="t" color2="#FFFFFF" focussize="0,0"/>
            <v:stroke on="f"/>
            <v:imagedata o:title=""/>
            <o:lock v:ext="edit" aspectratio="f"/>
          </v:shape>
        </w:pict>
      </w:r>
      <w:r>
        <w:rPr>
          <w:sz w:val="28"/>
        </w:rPr>
        <w:pict>
          <v:shape id="_x0000_s2067" o:spid="_x0000_s2067" o:spt="5" type="#_x0000_t5" style="position:absolute;left:0pt;margin-left:409.05pt;margin-top:144.5pt;height:11.25pt;width:6pt;z-index:-1690710016;mso-width-relative:page;mso-height-relative:page;" fillcolor="#FFFF00" filled="t" stroked="t" coordsize="21600,21600" adj="10800">
            <v:path/>
            <v:fill on="t" focussize="0,0"/>
            <v:stroke color="#000000"/>
            <v:imagedata o:title=""/>
            <o:lock v:ext="edit" aspectratio="f"/>
          </v:shape>
        </w:pict>
      </w:r>
      <w:r>
        <w:rPr>
          <w:sz w:val="28"/>
        </w:rPr>
        <w:pict>
          <v:shape id="_x0000_s2066" o:spid="_x0000_s2066" o:spt="5" type="#_x0000_t5" style="position:absolute;left:0pt;margin-left:502.8pt;margin-top:108.5pt;height:7.5pt;width:7.5pt;z-index:-1690711040;mso-width-relative:page;mso-height-relative:page;" fillcolor="#FFFF00" filled="t" stroked="t" coordsize="21600,21600" adj="10800">
            <v:path/>
            <v:fill on="t" focussize="0,0"/>
            <v:stroke color="#000000"/>
            <v:imagedata o:title=""/>
            <o:lock v:ext="edit" aspectratio="f"/>
          </v:shape>
        </w:pict>
      </w:r>
      <w:r>
        <w:rPr>
          <w:sz w:val="28"/>
        </w:rPr>
        <w:pict>
          <v:shape id="_x0000_s2065" o:spid="_x0000_s2065" o:spt="5" type="#_x0000_t5" style="position:absolute;left:0pt;margin-left:433.05pt;margin-top:107pt;height:9pt;width:5.95pt;z-index:-1690712064;mso-width-relative:page;mso-height-relative:page;" fillcolor="#FFFF00" filled="t" stroked="t" coordsize="21600,21600" adj="10800">
            <v:path/>
            <v:fill on="t" focussize="0,0"/>
            <v:stroke color="#000000"/>
            <v:imagedata o:title=""/>
            <o:lock v:ext="edit" aspectratio="f"/>
          </v:shape>
        </w:pict>
      </w:r>
      <w:r>
        <w:rPr>
          <w:sz w:val="28"/>
        </w:rPr>
        <w:pict>
          <v:shape id="_x0000_s2064" o:spid="_x0000_s2064" o:spt="5" type="#_x0000_t5" style="position:absolute;left:0pt;margin-left:438.3pt;margin-top:103.75pt;height:14.25pt;width:13.5pt;z-index:-1690712064;mso-width-relative:page;mso-height-relative:page;" fillcolor="#FFFF00" filled="t" stroked="t" coordsize="21600,21600" adj="10800">
            <v:path/>
            <v:fill on="t" focussize="0,0"/>
            <v:stroke color="#000000"/>
            <v:imagedata o:title=""/>
            <o:lock v:ext="edit" aspectratio="f"/>
          </v:shape>
        </w:pict>
      </w:r>
      <w:r>
        <w:rPr>
          <w:sz w:val="28"/>
        </w:rPr>
        <w:pict>
          <v:shape id="_x0000_s2058" o:spid="_x0000_s2058" o:spt="5" type="#_x0000_t5" style="position:absolute;left:0pt;margin-left:472.05pt;margin-top:223.75pt;height:12.75pt;width:12.7pt;z-index:-1690711040;mso-width-relative:page;mso-height-relative:page;" fillcolor="#FFFF00" filled="t" stroked="t" coordsize="21600,21600" adj="10800">
            <v:path/>
            <v:fill on="t" focussize="0,0"/>
            <v:stroke color="#000000"/>
            <v:imagedata o:title=""/>
            <o:lock v:ext="edit" aspectratio="f"/>
          </v:shape>
        </w:pict>
      </w:r>
      <w:r>
        <w:rPr>
          <w:sz w:val="28"/>
        </w:rPr>
        <w:pict>
          <v:shape id="_x0000_s2057" o:spid="_x0000_s2057" o:spt="5" type="#_x0000_t5" style="position:absolute;left:0pt;margin-left:268.8pt;margin-top:30.25pt;height:14.25pt;width:14.25pt;z-index:-1690712064;mso-width-relative:page;mso-height-relative:page;" fillcolor="#FFFF00" filled="t" stroked="t" coordsize="21600,21600" adj="10800">
            <v:path/>
            <v:fill on="t" focussize="0,0"/>
            <v:stroke color="#000000"/>
            <v:imagedata o:title=""/>
            <o:lock v:ext="edit" aspectratio="f"/>
          </v:shape>
        </w:pict>
      </w:r>
      <w:r>
        <w:rPr>
          <w:sz w:val="28"/>
        </w:rPr>
        <w:pict>
          <v:shape id="_x0000_s2055" o:spid="_x0000_s2055" o:spt="5" type="#_x0000_t5" style="position:absolute;left:0pt;margin-left:333.35pt;margin-top:196pt;height:18.75pt;width:16.45pt;z-index:-1690712064;mso-width-relative:page;mso-height-relative:page;" fillcolor="#FFFF00" filled="t" stroked="t" coordsize="21600,21600" adj="10800">
            <v:path/>
            <v:fill on="t" focussize="0,0"/>
            <v:stroke color="#000000"/>
            <v:imagedata o:title=""/>
            <o:lock v:ext="edit" aspectratio="f"/>
          </v:shape>
        </w:pict>
      </w:r>
      <w:r>
        <w:rPr>
          <w:sz w:val="28"/>
        </w:rPr>
        <w:pict>
          <v:shape id="_x0000_s2054" o:spid="_x0000_s2054" o:spt="5" type="#_x0000_t5" style="position:absolute;left:0pt;margin-left:337.05pt;margin-top:193.75pt;height:12.75pt;width:10.5pt;z-index:-1690712064;mso-width-relative:page;mso-height-relative:page;" fillcolor="#FFFF00" filled="t" stroked="t" coordsize="21600,21600" adj="10800">
            <v:path/>
            <v:fill on="t" focussize="0,0"/>
            <v:stroke color="#000000"/>
            <v:imagedata o:title=""/>
            <o:lock v:ext="edit" aspectratio="f"/>
          </v:shape>
        </w:pict>
      </w:r>
      <w:r>
        <w:rPr>
          <w:sz w:val="28"/>
        </w:rPr>
        <w:pict>
          <v:shape id="_x0000_s2053" o:spid="_x0000_s2053" o:spt="5" type="#_x0000_t5" style="position:absolute;left:0pt;margin-left:193.05pt;margin-top:105.25pt;height:12.75pt;width:10.5pt;z-index:-1690712064;mso-width-relative:page;mso-height-relative:page;" fillcolor="#FFFF00" filled="t" stroked="t" coordsize="21600,21600" adj="10800">
            <v:path/>
            <v:fill on="t" focussize="0,0"/>
            <v:stroke color="#000000"/>
            <v:imagedata o:title=""/>
            <o:lock v:ext="edit" aspectratio="f"/>
          </v:shape>
        </w:pict>
      </w:r>
      <w:r>
        <w:rPr>
          <w:sz w:val="28"/>
        </w:rPr>
        <w:pict>
          <v:shape id="_x0000_s2051" o:spid="_x0000_s2051" o:spt="5" type="#_x0000_t5" style="position:absolute;left:0pt;margin-left:453.3pt;margin-top:137.5pt;height:14.25pt;width:13.5pt;z-index:-1690712064;mso-width-relative:page;mso-height-relative:page;" fillcolor="#FFFF00" filled="t" stroked="t" coordsize="21600,21600" adj="10800">
            <v:path/>
            <v:fill on="t" focussize="0,0"/>
            <v:stroke color="#000000"/>
            <v:imagedata o:title=""/>
            <o:lock v:ext="edit" aspectratio="f"/>
          </v:shape>
        </w:pict>
      </w:r>
      <w:r>
        <w:rPr>
          <w:sz w:val="28"/>
        </w:rPr>
        <w:pict>
          <v:shape id="_x0000_s2052" o:spid="_x0000_s2052" o:spt="5" type="#_x0000_t5" style="position:absolute;left:0pt;margin-left:465.3pt;margin-top:149.5pt;height:14.25pt;width:13.5pt;z-index:-1690712064;mso-width-relative:page;mso-height-relative:page;" fillcolor="#FFFF00" filled="t" stroked="t" coordsize="21600,21600" adj="10800">
            <v:path/>
            <v:fill on="t" focussize="0,0"/>
            <v:stroke color="#000000"/>
            <v:imagedata o:title=""/>
            <o:lock v:ext="edit" aspectratio="f"/>
          </v:shape>
        </w:pict>
      </w:r>
    </w:p>
    <w:p>
      <w:pPr>
        <w:pStyle w:val="2"/>
        <w:sectPr>
          <w:pgSz w:w="16783" w:h="11850" w:orient="landscape"/>
          <w:pgMar w:top="1134" w:right="1440" w:bottom="1276" w:left="1440" w:header="851" w:footer="992" w:gutter="0"/>
          <w:pgNumType w:fmt="decimal"/>
          <w:cols w:space="425" w:num="1"/>
          <w:docGrid w:type="linesAndChars" w:linePitch="381" w:charSpace="0"/>
        </w:sectPr>
      </w:pP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rPr>
          <w:rFonts w:hint="eastAsia"/>
        </w:rPr>
      </w:pPr>
      <w:bookmarkStart w:id="203" w:name="_Toc29216"/>
      <w:r>
        <w:rPr>
          <w:rFonts w:hint="eastAsia"/>
        </w:rPr>
        <w:t>附图</w:t>
      </w:r>
      <w:r>
        <w:t xml:space="preserve">7 </w:t>
      </w:r>
      <w:r>
        <w:rPr>
          <w:rFonts w:hint="eastAsia"/>
        </w:rPr>
        <w:t>企业雨</w:t>
      </w:r>
      <w:r>
        <w:rPr>
          <w:rFonts w:hint="eastAsia"/>
          <w:lang w:eastAsia="zh-CN"/>
        </w:rPr>
        <w:t>水</w:t>
      </w:r>
      <w:r>
        <w:rPr>
          <w:rFonts w:hint="eastAsia"/>
        </w:rPr>
        <w:t>管网分布</w:t>
      </w:r>
      <w:r>
        <w:rPr>
          <w:rFonts w:hint="eastAsia"/>
          <w:lang w:eastAsia="zh-CN"/>
        </w:rPr>
        <w:t>及应急物资分布</w:t>
      </w:r>
      <w:r>
        <w:rPr>
          <w:rFonts w:hint="eastAsia"/>
        </w:rPr>
        <w:t>图</w:t>
      </w:r>
      <w:bookmarkEnd w:id="203"/>
    </w:p>
    <w:p>
      <w:pPr>
        <w:keepNext w:val="0"/>
        <w:keepLines w:val="0"/>
        <w:pageBreakBefore w:val="0"/>
        <w:widowControl w:val="0"/>
        <w:tabs>
          <w:tab w:val="left" w:pos="6160"/>
        </w:tabs>
        <w:kinsoku/>
        <w:wordWrap/>
        <w:overflowPunct/>
        <w:topLinePunct w:val="0"/>
        <w:autoSpaceDE/>
        <w:autoSpaceDN/>
        <w:bidi w:val="0"/>
        <w:adjustRightInd/>
        <w:snapToGrid/>
        <w:ind w:firstLine="0" w:firstLineChars="0"/>
        <w:textAlignment w:val="auto"/>
        <w:outlineLvl w:val="9"/>
        <w:rPr>
          <w:rFonts w:hint="eastAsia"/>
        </w:rPr>
      </w:pPr>
      <w:r>
        <w:rPr>
          <w:rFonts w:hint="eastAsia"/>
        </w:rPr>
        <w:drawing>
          <wp:inline distT="0" distB="0" distL="114300" distR="114300">
            <wp:extent cx="8191500" cy="5251450"/>
            <wp:effectExtent l="0" t="0" r="0" b="6350"/>
            <wp:docPr id="20" name="图片 20" descr="20200920110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0200920110408"/>
                    <pic:cNvPicPr>
                      <a:picLocks noChangeAspect="1"/>
                    </pic:cNvPicPr>
                  </pic:nvPicPr>
                  <pic:blipFill>
                    <a:blip r:embed="rId33"/>
                    <a:stretch>
                      <a:fillRect/>
                    </a:stretch>
                  </pic:blipFill>
                  <pic:spPr>
                    <a:xfrm>
                      <a:off x="0" y="0"/>
                      <a:ext cx="8191500" cy="5251450"/>
                    </a:xfrm>
                    <a:prstGeom prst="rect">
                      <a:avLst/>
                    </a:prstGeom>
                  </pic:spPr>
                </pic:pic>
              </a:graphicData>
            </a:graphic>
          </wp:inline>
        </w:drawing>
      </w:r>
    </w:p>
    <w:p>
      <w:pPr>
        <w:keepNext w:val="0"/>
        <w:keepLines w:val="0"/>
        <w:pageBreakBefore w:val="0"/>
        <w:widowControl w:val="0"/>
        <w:tabs>
          <w:tab w:val="left" w:pos="6160"/>
        </w:tabs>
        <w:kinsoku/>
        <w:wordWrap/>
        <w:overflowPunct/>
        <w:topLinePunct w:val="0"/>
        <w:autoSpaceDE/>
        <w:autoSpaceDN/>
        <w:bidi w:val="0"/>
        <w:adjustRightInd/>
        <w:snapToGrid/>
        <w:ind w:firstLine="0" w:firstLineChars="0"/>
        <w:textAlignment w:val="auto"/>
        <w:outlineLvl w:val="0"/>
        <w:rPr>
          <w:rFonts w:hint="eastAsia"/>
        </w:rPr>
      </w:pPr>
      <w:bookmarkStart w:id="204" w:name="_Toc16982"/>
      <w:r>
        <w:rPr>
          <w:rFonts w:hint="eastAsia"/>
        </w:rPr>
        <w:t>附图</w:t>
      </w:r>
      <w:r>
        <w:rPr>
          <w:rFonts w:hint="eastAsia"/>
          <w:lang w:val="en-US" w:eastAsia="zh-CN"/>
        </w:rPr>
        <w:t>8</w:t>
      </w:r>
      <w:r>
        <w:t xml:space="preserve"> </w:t>
      </w:r>
      <w:r>
        <w:rPr>
          <w:rFonts w:hint="eastAsia"/>
        </w:rPr>
        <w:t>公司应急疏散路线图</w:t>
      </w:r>
      <w:bookmarkEnd w:id="204"/>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outlineLvl w:val="9"/>
      </w:pPr>
      <w:r>
        <w:rPr>
          <w:rFonts w:hint="eastAsia" w:eastAsia="宋体"/>
          <w:lang w:eastAsia="zh-CN"/>
        </w:rPr>
        <w:drawing>
          <wp:inline distT="0" distB="0" distL="114300" distR="114300">
            <wp:extent cx="7992745" cy="4970780"/>
            <wp:effectExtent l="12700" t="12700" r="14605" b="26670"/>
            <wp:docPr id="21" name="图片 21" descr="20200920110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0200920110846"/>
                    <pic:cNvPicPr>
                      <a:picLocks noChangeAspect="1"/>
                    </pic:cNvPicPr>
                  </pic:nvPicPr>
                  <pic:blipFill>
                    <a:blip r:embed="rId34"/>
                    <a:srcRect t="251"/>
                    <a:stretch>
                      <a:fillRect/>
                    </a:stretch>
                  </pic:blipFill>
                  <pic:spPr>
                    <a:xfrm>
                      <a:off x="0" y="0"/>
                      <a:ext cx="7992745" cy="4970780"/>
                    </a:xfrm>
                    <a:prstGeom prst="rect">
                      <a:avLst/>
                    </a:prstGeom>
                    <a:ln w="12700">
                      <a:solidFill>
                        <a:schemeClr val="tx1"/>
                      </a:solidFill>
                    </a:ln>
                  </pic:spPr>
                </pic:pic>
              </a:graphicData>
            </a:graphic>
          </wp:inline>
        </w:drawing>
      </w:r>
      <w:r>
        <w:rPr>
          <w:sz w:val="28"/>
        </w:rPr>
        <w:pict>
          <v:line id="_x0000_s2114" o:spid="_x0000_s2114" o:spt="20" style="position:absolute;left:0pt;flip:y;margin-left:268.85pt;margin-top:260.35pt;height:45.85pt;width:0.05pt;z-index:-1690710016;mso-width-relative:page;mso-height-relative:page;" fillcolor="#FFFFFF" filled="t" stroked="t" coordsize="21600,21600">
            <v:path arrowok="t"/>
            <v:fill on="t" color2="#FFFFFF" focussize="0,0"/>
            <v:stroke color="#000000" endarrow="open"/>
            <v:imagedata o:title=""/>
            <o:lock v:ext="edit" aspectratio="f"/>
          </v:line>
        </w:pict>
      </w:r>
      <w:r>
        <w:rPr>
          <w:sz w:val="28"/>
        </w:rPr>
        <w:pict>
          <v:line id="_x0000_s2113" o:spid="_x0000_s2113" o:spt="20" style="position:absolute;left:0pt;flip:x;margin-left:278pt;margin-top:330.35pt;height:0.05pt;width:85.85pt;z-index:-1690711040;mso-width-relative:page;mso-height-relative:page;" fillcolor="#FFFFFF" filled="t" stroked="t" coordsize="21600,21600">
            <v:path arrowok="t"/>
            <v:fill on="t" color2="#FFFFFF" focussize="0,0"/>
            <v:stroke color="#000000" endarrow="open"/>
            <v:imagedata o:title=""/>
            <o:lock v:ext="edit" aspectratio="f"/>
          </v:line>
        </w:pict>
      </w:r>
      <w:r>
        <w:rPr>
          <w:sz w:val="28"/>
        </w:rPr>
        <w:pict>
          <v:line id="_x0000_s2112" o:spid="_x0000_s2112" o:spt="20" style="position:absolute;left:0pt;flip:x;margin-left:94.65pt;margin-top:138.7pt;height:0.05pt;width:270.85pt;z-index:-1690712064;mso-width-relative:page;mso-height-relative:page;" fillcolor="#FFFFFF" filled="t" stroked="t" coordsize="21600,21600">
            <v:path arrowok="t"/>
            <v:fill on="t" color2="#FFFFFF" focussize="0,0"/>
            <v:stroke color="#000000" endarrow="open"/>
            <v:imagedata o:title=""/>
            <o:lock v:ext="edit" aspectratio="f"/>
          </v:line>
        </w:pict>
      </w:r>
      <w:r>
        <w:rPr>
          <w:sz w:val="28"/>
        </w:rPr>
        <w:pict>
          <v:shape id="_x0000_s2091" o:spid="_x0000_s2091" o:spt="202" type="#_x0000_t202" style="position:absolute;left:0pt;margin-left:573.75pt;margin-top:341.5pt;height:34.45pt;width:70.5pt;z-index:-1690700800;mso-width-relative:page;mso-height-relative:page;" fillcolor="#FFFFFF" filled="t" stroked="f" coordsize="21600,21600">
            <v:path/>
            <v:fill on="t" focussize="0,0"/>
            <v:stroke on="f"/>
            <v:imagedata o:title=""/>
            <o:lock v:ext="edit" aspectratio="f"/>
            <v:textbox>
              <w:txbxContent>
                <w:p>
                  <w:pPr>
                    <w:ind w:left="0" w:leftChars="0" w:firstLine="0" w:firstLineChars="0"/>
                    <w:jc w:val="left"/>
                    <w:rPr>
                      <w:rFonts w:hint="eastAsia" w:eastAsia="宋体"/>
                      <w:sz w:val="24"/>
                      <w:szCs w:val="24"/>
                      <w:lang w:eastAsia="zh-CN"/>
                    </w:rPr>
                  </w:pPr>
                  <w:r>
                    <w:rPr>
                      <w:rFonts w:hint="eastAsia"/>
                      <w:sz w:val="24"/>
                      <w:szCs w:val="24"/>
                      <w:lang w:eastAsia="zh-CN"/>
                    </w:rPr>
                    <w:t>疏散路线</w:t>
                  </w:r>
                </w:p>
              </w:txbxContent>
            </v:textbox>
          </v:shape>
        </w:pict>
      </w:r>
      <w:r>
        <w:rPr>
          <w:sz w:val="28"/>
        </w:rPr>
        <w:pict>
          <v:line id="_x0000_s2090" o:spid="_x0000_s2090" o:spt="20" style="position:absolute;left:0pt;margin-left:540.05pt;margin-top:361pt;height:0.05pt;width:33.75pt;z-index:-1690701824;mso-width-relative:page;mso-height-relative:page;" filled="f" stroked="t" coordsize="21600,21600">
            <v:path arrowok="t"/>
            <v:fill on="f" focussize="0,0"/>
            <v:stroke color="#000000" endarrow="open"/>
            <v:imagedata o:title=""/>
            <o:lock v:ext="edit" aspectratio="f"/>
          </v:line>
        </w:pict>
      </w:r>
      <w:r>
        <w:rPr>
          <w:sz w:val="28"/>
        </w:rPr>
        <w:pict>
          <v:line id="_x0000_s2088" o:spid="_x0000_s2088" o:spt="20" style="position:absolute;left:0pt;flip:x;margin-left:312.05pt;margin-top:330.25pt;height:0.05pt;width:40.5pt;z-index:-1690703872;mso-width-relative:page;mso-height-relative:page;" filled="f" stroked="t" coordsize="21600,21600">
            <v:path arrowok="t"/>
            <v:fill on="f" focussize="0,0"/>
            <v:stroke color="#000000" endarrow="open"/>
            <v:imagedata o:title=""/>
            <o:lock v:ext="edit" aspectratio="f"/>
          </v:line>
        </w:pict>
      </w:r>
      <w:r>
        <w:rPr>
          <w:sz w:val="28"/>
        </w:rPr>
        <w:pict>
          <v:line id="_x0000_s2087" o:spid="_x0000_s2087" o:spt="20" style="position:absolute;left:0pt;flip:x;margin-left:364.55pt;margin-top:319.75pt;height:11.25pt;width:0.75pt;z-index:-1690704896;mso-width-relative:page;mso-height-relative:page;" filled="f" stroked="t" coordsize="21600,21600">
            <v:path arrowok="t"/>
            <v:fill on="f" focussize="0,0"/>
            <v:stroke color="#000000" endarrow="open"/>
            <v:imagedata o:title=""/>
            <o:lock v:ext="edit" aspectratio="f"/>
          </v:line>
        </w:pict>
      </w:r>
      <w:r>
        <w:rPr>
          <w:sz w:val="28"/>
        </w:rPr>
        <w:pict>
          <v:line id="_x0000_s2086" o:spid="_x0000_s2086" o:spt="20" style="position:absolute;left:0pt;flip:y;margin-left:449.3pt;margin-top:188.5pt;height:45pt;width:0.05pt;z-index:-1690705920;mso-width-relative:page;mso-height-relative:page;" filled="f" stroked="t" coordsize="21600,21600">
            <v:path arrowok="t"/>
            <v:fill on="f" focussize="0,0"/>
            <v:stroke color="#000000" endarrow="open"/>
            <v:imagedata o:title=""/>
            <o:lock v:ext="edit" aspectratio="f"/>
          </v:line>
        </w:pict>
      </w:r>
      <w:r>
        <w:rPr>
          <w:sz w:val="28"/>
        </w:rPr>
        <w:pict>
          <v:line id="_x0000_s2084" o:spid="_x0000_s2084" o:spt="20" style="position:absolute;left:0pt;flip:x;margin-left:121.55pt;margin-top:140.5pt;height:0.05pt;width:48pt;z-index:-1690707968;mso-width-relative:page;mso-height-relative:page;" filled="f" stroked="t" coordsize="21600,21600">
            <v:path arrowok="t"/>
            <v:fill on="f" focussize="0,0"/>
            <v:stroke color="#000000" endarrow="open"/>
            <v:imagedata o:title=""/>
            <o:lock v:ext="edit" aspectratio="f"/>
          </v:line>
        </w:pict>
      </w:r>
      <w:r>
        <w:rPr>
          <w:sz w:val="28"/>
        </w:rPr>
        <w:pict>
          <v:line id="_x0000_s2083" o:spid="_x0000_s2083" o:spt="20" style="position:absolute;left:0pt;flip:x;margin-left:195.8pt;margin-top:139pt;height:0.05pt;width:26.25pt;z-index:-1690708992;mso-width-relative:page;mso-height-relative:page;" filled="f" stroked="t" coordsize="21600,21600">
            <v:path arrowok="t"/>
            <v:fill on="f" focussize="0,0"/>
            <v:stroke color="#000000" endarrow="open"/>
            <v:imagedata o:title=""/>
            <o:lock v:ext="edit" aspectratio="f"/>
          </v:line>
        </w:pict>
      </w:r>
      <w:r>
        <w:rPr>
          <w:sz w:val="28"/>
        </w:rPr>
        <w:pict>
          <v:line id="_x0000_s2082" o:spid="_x0000_s2082" o:spt="20" style="position:absolute;left:0pt;flip:x;margin-left:252.8pt;margin-top:138.25pt;height:0.05pt;width:39.75pt;z-index:-1690710016;mso-width-relative:page;mso-height-relative:page;" filled="f" stroked="t" coordsize="21600,21600">
            <v:path arrowok="t"/>
            <v:fill on="f" focussize="0,0"/>
            <v:stroke color="#000000" endarrow="open"/>
            <v:imagedata o:title=""/>
            <o:lock v:ext="edit" aspectratio="f"/>
          </v:line>
        </w:pict>
      </w:r>
      <w:r>
        <w:rPr>
          <w:sz w:val="28"/>
        </w:rPr>
        <w:pict>
          <v:line id="_x0000_s2081" o:spid="_x0000_s2081" o:spt="20" style="position:absolute;left:0pt;flip:x;margin-left:338.3pt;margin-top:128.5pt;height:0.05pt;width:36.75pt;z-index:-1690711040;mso-width-relative:page;mso-height-relative:page;" filled="f" stroked="t" coordsize="21600,21600">
            <v:path arrowok="t"/>
            <v:fill on="f" focussize="0,0"/>
            <v:stroke color="#000000" endarrow="open"/>
            <v:imagedata o:title=""/>
            <o:lock v:ext="edit" aspectratio="f"/>
          </v:line>
        </w:pict>
      </w:r>
      <w:r>
        <w:rPr>
          <w:sz w:val="28"/>
        </w:rPr>
        <w:pict>
          <v:line id="_x0000_s2080" o:spid="_x0000_s2080" o:spt="20" style="position:absolute;left:0pt;flip:y;margin-left:300.8pt;margin-top:177.25pt;height:47.25pt;width:0.05pt;z-index:-1690712064;mso-width-relative:page;mso-height-relative:page;" filled="f" stroked="t" coordsize="21600,21600">
            <v:path arrowok="t"/>
            <v:fill on="f" focussize="0,0"/>
            <v:stroke color="#000000" endarrow="open"/>
            <v:imagedata o:title=""/>
            <o:lock v:ext="edit" aspectratio="f"/>
          </v:line>
        </w:pict>
      </w:r>
      <w:r>
        <w:rPr>
          <w:sz w:val="28"/>
        </w:rPr>
        <w:pict>
          <v:line id="_x0000_s2079" o:spid="_x0000_s2079" o:spt="20" style="position:absolute;left:0pt;flip:y;margin-left:304.55pt;margin-top:192.25pt;height:36pt;width:0.05pt;z-index:-1690712064;mso-width-relative:page;mso-height-relative:page;" filled="f" stroked="t" coordsize="21600,21600">
            <v:path arrowok="t"/>
            <v:fill on="f" focussize="0,0"/>
            <v:stroke color="#000000" endarrow="open"/>
            <v:imagedata o:title=""/>
            <o:lock v:ext="edit" aspectratio="f"/>
          </v:line>
        </w:pict>
      </w:r>
      <w:r>
        <w:rPr>
          <w:sz w:val="28"/>
        </w:rPr>
        <w:pict>
          <v:line id="_x0000_s2078" o:spid="_x0000_s2078" o:spt="20" style="position:absolute;left:0pt;flip:y;margin-left:310.55pt;margin-top:280pt;height:36pt;width:0.05pt;z-index:-1690712064;mso-width-relative:page;mso-height-relative:page;" filled="f" stroked="t" coordsize="21600,21600">
            <v:path arrowok="t"/>
            <v:fill on="f" focussize="0,0"/>
            <v:stroke color="#000000" endarrow="open"/>
            <v:imagedata o:title=""/>
            <o:lock v:ext="edit" aspectratio="f"/>
          </v:line>
        </w:pict>
      </w:r>
      <w:r>
        <w:rPr>
          <w:sz w:val="28"/>
        </w:rPr>
        <w:pict>
          <v:line id="_x0000_s2077" o:spid="_x0000_s2077" o:spt="20" style="position:absolute;left:0pt;margin-left:194.3pt;margin-top:248.55pt;height:13.5pt;width:51.8pt;z-index:-1690712064;mso-width-relative:page;mso-height-relative:page;" filled="f" stroked="t" coordsize="21600,21600">
            <v:path arrowok="t"/>
            <v:fill on="f" focussize="0,0"/>
            <v:stroke color="#000000" endarrow="open"/>
            <v:imagedata o:title=""/>
            <o:lock v:ext="edit" aspectratio="f"/>
          </v:line>
        </w:pict>
      </w:r>
      <w:r>
        <w:rPr>
          <w:sz w:val="28"/>
        </w:rPr>
        <w:pict>
          <v:line id="_x0000_s2076" o:spid="_x0000_s2076" o:spt="20" style="position:absolute;left:0pt;flip:y;margin-left:308.3pt;margin-top:238.05pt;height:51pt;width:0.05pt;z-index:-1690712064;mso-width-relative:page;mso-height-relative:page;" filled="f" stroked="t" coordsize="21600,21600">
            <v:path arrowok="t"/>
            <v:fill on="f" focussize="0,0"/>
            <v:stroke color="#000000" endarrow="open"/>
            <v:imagedata o:title=""/>
            <o:lock v:ext="edit" aspectratio="f"/>
          </v:line>
        </w:pict>
      </w:r>
      <w:r>
        <w:rPr>
          <w:sz w:val="28"/>
        </w:rPr>
        <w:pict>
          <v:line id="_x0000_s2075" o:spid="_x0000_s2075" o:spt="20" style="position:absolute;left:0pt;flip:y;margin-left:182.3pt;margin-top:185.55pt;height:51pt;width:0.05pt;z-index:-1690712064;mso-width-relative:page;mso-height-relative:page;" filled="f" stroked="t" coordsize="21600,21600">
            <v:path arrowok="t"/>
            <v:fill on="f" focussize="0,0"/>
            <v:stroke color="#000000" endarrow="open"/>
            <v:imagedata o:title=""/>
            <o:lock v:ext="edit" aspectratio="f"/>
          </v:line>
        </w:pict>
      </w:r>
    </w:p>
    <w:p>
      <w:pPr>
        <w:pStyle w:val="2"/>
        <w:rPr>
          <w:rFonts w:hint="eastAsia" w:eastAsia="宋体"/>
          <w:lang w:eastAsia="zh-CN"/>
        </w:rPr>
      </w:pPr>
    </w:p>
    <w:p>
      <w:pPr>
        <w:pStyle w:val="2"/>
        <w:rPr>
          <w:rFonts w:hint="eastAsia" w:eastAsia="宋体"/>
          <w:lang w:eastAsia="zh-CN"/>
        </w:rPr>
        <w:sectPr>
          <w:footerReference r:id="rId14" w:type="default"/>
          <w:pgSz w:w="16838" w:h="11906" w:orient="landscape"/>
          <w:pgMar w:top="1134" w:right="1440" w:bottom="1276" w:left="1440" w:header="851" w:footer="992" w:gutter="0"/>
          <w:pgNumType w:fmt="decimal"/>
          <w:cols w:space="425" w:num="1"/>
          <w:docGrid w:type="linesAndChars" w:linePitch="381" w:charSpace="0"/>
        </w:sectPr>
      </w:pP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rPr>
          <w:rFonts w:hint="eastAsia" w:eastAsia="宋体"/>
          <w:lang w:eastAsia="zh-CN"/>
        </w:rPr>
      </w:pPr>
      <w:bookmarkStart w:id="205" w:name="_Toc18641"/>
      <w:r>
        <w:rPr>
          <w:rFonts w:hint="eastAsia"/>
        </w:rPr>
        <w:t>附件1</w:t>
      </w:r>
      <w:r>
        <w:t xml:space="preserve"> </w:t>
      </w:r>
      <w:r>
        <w:rPr>
          <w:rFonts w:hint="eastAsia"/>
          <w:lang w:eastAsia="zh-CN"/>
        </w:rPr>
        <w:t>南昌慧华高科混凝土有限公司环评批复</w:t>
      </w:r>
      <w:bookmarkEnd w:id="205"/>
    </w:p>
    <w:p>
      <w:pPr>
        <w:ind w:firstLine="0" w:firstLineChars="0"/>
        <w:rPr>
          <w:rFonts w:hint="eastAsia" w:eastAsia="宋体"/>
          <w:lang w:eastAsia="zh-CN"/>
        </w:rPr>
      </w:pPr>
      <w:r>
        <w:rPr>
          <w:rFonts w:hint="eastAsia" w:eastAsia="宋体"/>
          <w:lang w:eastAsia="zh-CN"/>
        </w:rPr>
        <w:drawing>
          <wp:inline distT="0" distB="0" distL="114300" distR="114300">
            <wp:extent cx="6028055" cy="8143875"/>
            <wp:effectExtent l="0" t="0" r="10795" b="9525"/>
            <wp:docPr id="38" name="图片 38" descr="a1cc9c4908eb35fee842519feb82d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a1cc9c4908eb35fee842519feb82d86"/>
                    <pic:cNvPicPr>
                      <a:picLocks noChangeAspect="1"/>
                    </pic:cNvPicPr>
                  </pic:nvPicPr>
                  <pic:blipFill>
                    <a:blip r:embed="rId35"/>
                    <a:stretch>
                      <a:fillRect/>
                    </a:stretch>
                  </pic:blipFill>
                  <pic:spPr>
                    <a:xfrm>
                      <a:off x="0" y="0"/>
                      <a:ext cx="6028055" cy="8143875"/>
                    </a:xfrm>
                    <a:prstGeom prst="rect">
                      <a:avLst/>
                    </a:prstGeom>
                  </pic:spPr>
                </pic:pic>
              </a:graphicData>
            </a:graphic>
          </wp:inline>
        </w:drawing>
      </w:r>
    </w:p>
    <w:p>
      <w:pPr>
        <w:ind w:firstLine="0" w:firstLineChars="0"/>
      </w:pPr>
    </w:p>
    <w:p>
      <w:pPr>
        <w:ind w:firstLine="0" w:firstLineChars="0"/>
        <w:rPr>
          <w:rFonts w:hint="eastAsia" w:eastAsia="宋体"/>
          <w:lang w:eastAsia="zh-CN"/>
        </w:rPr>
        <w:sectPr>
          <w:pgSz w:w="11906" w:h="16838"/>
          <w:pgMar w:top="1440" w:right="1276" w:bottom="1440" w:left="1134" w:header="851" w:footer="992" w:gutter="0"/>
          <w:pgNumType w:fmt="decimal"/>
          <w:cols w:space="425" w:num="1"/>
          <w:docGrid w:type="linesAndChars" w:linePitch="381" w:charSpace="0"/>
        </w:sectPr>
      </w:pPr>
      <w:r>
        <w:rPr>
          <w:rFonts w:hint="eastAsia" w:eastAsia="宋体"/>
          <w:lang w:eastAsia="zh-CN"/>
        </w:rPr>
        <w:drawing>
          <wp:inline distT="0" distB="0" distL="114300" distR="114300">
            <wp:extent cx="6028055" cy="7456805"/>
            <wp:effectExtent l="0" t="0" r="10795" b="10795"/>
            <wp:docPr id="39" name="图片 39" descr="807ca9f037efd76278c842ebfd9b5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807ca9f037efd76278c842ebfd9b5f1"/>
                    <pic:cNvPicPr>
                      <a:picLocks noChangeAspect="1"/>
                    </pic:cNvPicPr>
                  </pic:nvPicPr>
                  <pic:blipFill>
                    <a:blip r:embed="rId36"/>
                    <a:stretch>
                      <a:fillRect/>
                    </a:stretch>
                  </pic:blipFill>
                  <pic:spPr>
                    <a:xfrm>
                      <a:off x="0" y="0"/>
                      <a:ext cx="6028055" cy="745680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rPr>
          <w:rFonts w:hint="default" w:eastAsia="宋体"/>
          <w:lang w:val="en-US" w:eastAsia="zh-CN"/>
        </w:rPr>
      </w:pPr>
      <w:bookmarkStart w:id="206" w:name="_Toc3706"/>
      <w:r>
        <w:rPr>
          <w:rFonts w:hint="eastAsia"/>
        </w:rPr>
        <w:t>附件</w:t>
      </w:r>
      <w:r>
        <w:rPr>
          <w:rFonts w:hint="eastAsia"/>
          <w:lang w:val="en-US" w:eastAsia="zh-CN"/>
        </w:rPr>
        <w:t>2</w:t>
      </w:r>
      <w:r>
        <w:t xml:space="preserve"> </w:t>
      </w:r>
      <w:r>
        <w:rPr>
          <w:rFonts w:hint="eastAsia"/>
          <w:lang w:eastAsia="zh-CN"/>
        </w:rPr>
        <w:t>关于南昌慧华高科混凝土搅拌站项目竣工环境保护验收意见的函</w:t>
      </w:r>
      <w:bookmarkEnd w:id="206"/>
    </w:p>
    <w:p>
      <w:pPr>
        <w:pStyle w:val="2"/>
        <w:rPr>
          <w:rFonts w:hint="eastAsia"/>
          <w:lang w:eastAsia="zh-CN"/>
        </w:rPr>
      </w:pPr>
      <w:r>
        <w:rPr>
          <w:rFonts w:hint="eastAsia"/>
          <w:lang w:eastAsia="zh-CN"/>
        </w:rPr>
        <w:drawing>
          <wp:inline distT="0" distB="0" distL="114300" distR="114300">
            <wp:extent cx="6028055" cy="7733665"/>
            <wp:effectExtent l="0" t="0" r="10795" b="635"/>
            <wp:docPr id="40" name="图片 40" descr="40ddef3e750e5b90b29b07c3b157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40ddef3e750e5b90b29b07c3b157539"/>
                    <pic:cNvPicPr>
                      <a:picLocks noChangeAspect="1"/>
                    </pic:cNvPicPr>
                  </pic:nvPicPr>
                  <pic:blipFill>
                    <a:blip r:embed="rId37"/>
                    <a:srcRect t="10376"/>
                    <a:stretch>
                      <a:fillRect/>
                    </a:stretch>
                  </pic:blipFill>
                  <pic:spPr>
                    <a:xfrm>
                      <a:off x="0" y="0"/>
                      <a:ext cx="6028055" cy="7733665"/>
                    </a:xfrm>
                    <a:prstGeom prst="rect">
                      <a:avLst/>
                    </a:prstGeom>
                  </pic:spPr>
                </pic:pic>
              </a:graphicData>
            </a:graphic>
          </wp:inline>
        </w:drawing>
      </w:r>
      <w:r>
        <w:rPr>
          <w:rFonts w:hint="eastAsia"/>
          <w:lang w:eastAsia="zh-CN"/>
        </w:rPr>
        <w:drawing>
          <wp:inline distT="0" distB="0" distL="114300" distR="114300">
            <wp:extent cx="6028055" cy="8450580"/>
            <wp:effectExtent l="0" t="0" r="10795" b="7620"/>
            <wp:docPr id="41" name="图片 41" descr="4aa9e4799530473717ae8c50a518d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4aa9e4799530473717ae8c50a518d57"/>
                    <pic:cNvPicPr>
                      <a:picLocks noChangeAspect="1"/>
                    </pic:cNvPicPr>
                  </pic:nvPicPr>
                  <pic:blipFill>
                    <a:blip r:embed="rId38"/>
                    <a:stretch>
                      <a:fillRect/>
                    </a:stretch>
                  </pic:blipFill>
                  <pic:spPr>
                    <a:xfrm>
                      <a:off x="0" y="0"/>
                      <a:ext cx="6028055" cy="8450580"/>
                    </a:xfrm>
                    <a:prstGeom prst="rect">
                      <a:avLst/>
                    </a:prstGeom>
                  </pic:spPr>
                </pic:pic>
              </a:graphicData>
            </a:graphic>
          </wp:inline>
        </w:drawing>
      </w:r>
    </w:p>
    <w:p>
      <w:pPr>
        <w:pStyle w:val="2"/>
        <w:rPr>
          <w:rFonts w:hint="eastAsia"/>
          <w:lang w:eastAsia="zh-CN"/>
        </w:rPr>
        <w:sectPr>
          <w:pgSz w:w="11906" w:h="16838"/>
          <w:pgMar w:top="1440" w:right="1276" w:bottom="1440" w:left="1134" w:header="851" w:footer="992" w:gutter="0"/>
          <w:pgNumType w:fmt="decimal"/>
          <w:cols w:space="425" w:num="1"/>
          <w:docGrid w:type="linesAndChars" w:linePitch="381" w:charSpace="0"/>
        </w:sectPr>
      </w:pP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rPr>
          <w:rFonts w:hint="eastAsia"/>
        </w:rPr>
      </w:pPr>
      <w:bookmarkStart w:id="207" w:name="_Toc14050"/>
      <w:r>
        <w:rPr>
          <w:rFonts w:hint="eastAsia"/>
        </w:rPr>
        <w:t>附件</w:t>
      </w:r>
      <w:r>
        <w:rPr>
          <w:rFonts w:hint="eastAsia"/>
          <w:lang w:val="en-US" w:eastAsia="zh-CN"/>
        </w:rPr>
        <w:t>3</w:t>
      </w:r>
      <w:r>
        <w:t xml:space="preserve"> </w:t>
      </w:r>
      <w:r>
        <w:rPr>
          <w:rFonts w:hint="eastAsia"/>
        </w:rPr>
        <w:t>公司内部应急处置人员联系电话</w:t>
      </w:r>
      <w:bookmarkEnd w:id="207"/>
    </w:p>
    <w:tbl>
      <w:tblPr>
        <w:tblStyle w:val="16"/>
        <w:tblW w:w="4997" w:type="pct"/>
        <w:tblInd w:w="0" w:type="dxa"/>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1947"/>
        <w:gridCol w:w="2524"/>
        <w:gridCol w:w="1344"/>
        <w:gridCol w:w="1940"/>
        <w:gridCol w:w="1951"/>
      </w:tblGrid>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40" w:hRule="atLeast"/>
        </w:trPr>
        <w:tc>
          <w:tcPr>
            <w:tcW w:w="1003" w:type="pct"/>
            <w:noWrap w:val="0"/>
            <w:vAlign w:val="center"/>
          </w:tcPr>
          <w:p>
            <w:pPr>
              <w:widowControl w:val="0"/>
              <w:spacing w:line="260" w:lineRule="exact"/>
              <w:ind w:left="0" w:leftChars="0" w:firstLine="0" w:firstLineChars="0"/>
              <w:jc w:val="both"/>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组织结构名称</w:t>
            </w:r>
          </w:p>
        </w:tc>
        <w:tc>
          <w:tcPr>
            <w:tcW w:w="1300" w:type="pct"/>
            <w:noWrap w:val="0"/>
            <w:vAlign w:val="center"/>
          </w:tcPr>
          <w:p>
            <w:pPr>
              <w:widowControl w:val="0"/>
              <w:spacing w:line="260" w:lineRule="exact"/>
              <w:ind w:left="0" w:leftChars="0" w:firstLine="0" w:firstLineChars="0"/>
              <w:jc w:val="both"/>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应急小组职务</w:t>
            </w:r>
          </w:p>
        </w:tc>
        <w:tc>
          <w:tcPr>
            <w:tcW w:w="692" w:type="pct"/>
            <w:noWrap w:val="0"/>
            <w:vAlign w:val="center"/>
          </w:tcPr>
          <w:p>
            <w:pPr>
              <w:widowControl w:val="0"/>
              <w:spacing w:line="260" w:lineRule="exact"/>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姓名</w:t>
            </w:r>
          </w:p>
        </w:tc>
        <w:tc>
          <w:tcPr>
            <w:tcW w:w="999" w:type="pct"/>
            <w:noWrap w:val="0"/>
            <w:vAlign w:val="center"/>
          </w:tcPr>
          <w:p>
            <w:pPr>
              <w:widowControl w:val="0"/>
              <w:spacing w:line="260" w:lineRule="exact"/>
              <w:ind w:left="0" w:leftChars="0" w:firstLine="0" w:firstLineChars="0"/>
              <w:jc w:val="both"/>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移动电话</w:t>
            </w:r>
          </w:p>
        </w:tc>
        <w:tc>
          <w:tcPr>
            <w:tcW w:w="1003" w:type="pct"/>
            <w:noWrap w:val="0"/>
            <w:vAlign w:val="center"/>
          </w:tcPr>
          <w:p>
            <w:pPr>
              <w:widowControl w:val="0"/>
              <w:spacing w:line="260" w:lineRule="exact"/>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职务</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87" w:hRule="atLeast"/>
        </w:trPr>
        <w:tc>
          <w:tcPr>
            <w:tcW w:w="1003" w:type="pct"/>
            <w:vMerge w:val="restart"/>
            <w:noWrap w:val="0"/>
            <w:vAlign w:val="center"/>
          </w:tcPr>
          <w:p>
            <w:pPr>
              <w:widowControl w:val="0"/>
              <w:spacing w:line="260" w:lineRule="exact"/>
              <w:ind w:left="0" w:leftChars="0" w:firstLine="0" w:firstLineChars="0"/>
              <w:jc w:val="both"/>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应急指挥中心</w:t>
            </w:r>
          </w:p>
        </w:tc>
        <w:tc>
          <w:tcPr>
            <w:tcW w:w="1300" w:type="pct"/>
            <w:noWrap w:val="0"/>
            <w:vAlign w:val="center"/>
          </w:tcPr>
          <w:p>
            <w:pPr>
              <w:widowControl w:val="0"/>
              <w:spacing w:line="360" w:lineRule="auto"/>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总指挥</w:t>
            </w:r>
          </w:p>
        </w:tc>
        <w:tc>
          <w:tcPr>
            <w:tcW w:w="69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bCs/>
                <w:color w:val="000000"/>
                <w:kern w:val="2"/>
                <w:sz w:val="24"/>
                <w:szCs w:val="24"/>
                <w:lang w:val="en-US" w:eastAsia="zh-CN" w:bidi="ar-SA"/>
              </w:rPr>
              <w:t>周剑文</w:t>
            </w:r>
          </w:p>
        </w:tc>
        <w:tc>
          <w:tcPr>
            <w:tcW w:w="999" w:type="pct"/>
            <w:noWrap w:val="0"/>
            <w:vAlign w:val="center"/>
          </w:tcPr>
          <w:p>
            <w:pPr>
              <w:widowControl w:val="0"/>
              <w:spacing w:line="360" w:lineRule="auto"/>
              <w:ind w:left="0" w:leftChars="0" w:firstLine="0" w:firstLineChars="0"/>
              <w:jc w:val="both"/>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13907089796</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总经理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0" w:hRule="atLeast"/>
        </w:trPr>
        <w:tc>
          <w:tcPr>
            <w:tcW w:w="1003" w:type="pct"/>
            <w:vMerge w:val="continue"/>
            <w:noWrap w:val="0"/>
            <w:vAlign w:val="center"/>
          </w:tcPr>
          <w:p>
            <w:pPr>
              <w:widowControl w:val="0"/>
              <w:spacing w:line="260" w:lineRule="exact"/>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360" w:lineRule="auto"/>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副总指挥</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胡文斌</w:t>
            </w:r>
          </w:p>
        </w:tc>
        <w:tc>
          <w:tcPr>
            <w:tcW w:w="999" w:type="pct"/>
            <w:noWrap w:val="0"/>
            <w:vAlign w:val="center"/>
          </w:tcPr>
          <w:p>
            <w:pPr>
              <w:widowControl w:val="0"/>
              <w:spacing w:line="360" w:lineRule="auto"/>
              <w:ind w:left="0" w:leftChars="0" w:firstLine="0" w:firstLineChars="0"/>
              <w:jc w:val="both"/>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15970629327</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副总经理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680" w:hRule="atLeast"/>
        </w:trPr>
        <w:tc>
          <w:tcPr>
            <w:tcW w:w="1003" w:type="pct"/>
            <w:vMerge w:val="continue"/>
            <w:noWrap w:val="0"/>
            <w:vAlign w:val="center"/>
          </w:tcPr>
          <w:p>
            <w:pPr>
              <w:widowControl w:val="0"/>
              <w:spacing w:line="260" w:lineRule="exact"/>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应急办公室主任</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陈 勇</w:t>
            </w:r>
          </w:p>
        </w:tc>
        <w:tc>
          <w:tcPr>
            <w:tcW w:w="999" w:type="pct"/>
            <w:noWrap w:val="0"/>
            <w:vAlign w:val="center"/>
          </w:tcPr>
          <w:p>
            <w:pPr>
              <w:widowControl w:val="0"/>
              <w:spacing w:line="360" w:lineRule="auto"/>
              <w:ind w:left="0" w:leftChars="0" w:firstLine="0" w:firstLineChars="0"/>
              <w:jc w:val="both"/>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13979112577</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安全环保部经理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75" w:hRule="atLeast"/>
        </w:trPr>
        <w:tc>
          <w:tcPr>
            <w:tcW w:w="1003" w:type="pct"/>
            <w:vMerge w:val="restart"/>
            <w:noWrap w:val="0"/>
            <w:vAlign w:val="center"/>
          </w:tcPr>
          <w:p>
            <w:pPr>
              <w:widowControl w:val="0"/>
              <w:spacing w:line="260" w:lineRule="exact"/>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现场指挥</w:t>
            </w: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总指挥</w:t>
            </w:r>
          </w:p>
        </w:tc>
        <w:tc>
          <w:tcPr>
            <w:tcW w:w="69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bCs/>
                <w:color w:val="000000"/>
                <w:kern w:val="2"/>
                <w:sz w:val="24"/>
                <w:szCs w:val="24"/>
                <w:lang w:val="en-US" w:eastAsia="zh-CN" w:bidi="ar-SA"/>
              </w:rPr>
              <w:t>周剑文</w:t>
            </w:r>
          </w:p>
        </w:tc>
        <w:tc>
          <w:tcPr>
            <w:tcW w:w="999" w:type="pct"/>
            <w:noWrap w:val="0"/>
            <w:vAlign w:val="center"/>
          </w:tcPr>
          <w:p>
            <w:pPr>
              <w:widowControl w:val="0"/>
              <w:spacing w:line="360" w:lineRule="auto"/>
              <w:ind w:left="0" w:leftChars="0" w:firstLine="0" w:firstLineChars="0"/>
              <w:jc w:val="both"/>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13907089796</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总经理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75" w:hRule="atLeast"/>
        </w:trPr>
        <w:tc>
          <w:tcPr>
            <w:tcW w:w="1003" w:type="pct"/>
            <w:vMerge w:val="continue"/>
            <w:noWrap w:val="0"/>
            <w:vAlign w:val="center"/>
          </w:tcPr>
          <w:p>
            <w:pPr>
              <w:widowControl w:val="0"/>
              <w:spacing w:line="260" w:lineRule="exact"/>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副总指挥</w:t>
            </w:r>
          </w:p>
        </w:tc>
        <w:tc>
          <w:tcPr>
            <w:tcW w:w="69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胡文斌</w:t>
            </w:r>
          </w:p>
        </w:tc>
        <w:tc>
          <w:tcPr>
            <w:tcW w:w="999" w:type="pct"/>
            <w:noWrap w:val="0"/>
            <w:vAlign w:val="center"/>
          </w:tcPr>
          <w:p>
            <w:pPr>
              <w:widowControl w:val="0"/>
              <w:spacing w:line="360" w:lineRule="auto"/>
              <w:ind w:left="0" w:leftChars="0" w:firstLine="0" w:firstLineChars="0"/>
              <w:jc w:val="both"/>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15970629327</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副总经理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512" w:hRule="atLeast"/>
        </w:trPr>
        <w:tc>
          <w:tcPr>
            <w:tcW w:w="1003"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现场处置组</w:t>
            </w: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组长</w:t>
            </w:r>
          </w:p>
        </w:tc>
        <w:tc>
          <w:tcPr>
            <w:tcW w:w="692"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陈勇</w:t>
            </w:r>
          </w:p>
        </w:tc>
        <w:tc>
          <w:tcPr>
            <w:tcW w:w="999" w:type="pct"/>
            <w:noWrap w:val="0"/>
            <w:vAlign w:val="center"/>
          </w:tcPr>
          <w:p>
            <w:pPr>
              <w:widowControl w:val="0"/>
              <w:spacing w:line="360" w:lineRule="auto"/>
              <w:ind w:left="0" w:leftChars="0" w:firstLine="0" w:firstLineChars="0"/>
              <w:jc w:val="both"/>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13979112577</w:t>
            </w:r>
          </w:p>
        </w:tc>
        <w:tc>
          <w:tcPr>
            <w:tcW w:w="1003"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安全环保部经理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0" w:hRule="atLeast"/>
        </w:trPr>
        <w:tc>
          <w:tcPr>
            <w:tcW w:w="1003"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组员</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张金梁</w:t>
            </w:r>
          </w:p>
        </w:tc>
        <w:tc>
          <w:tcPr>
            <w:tcW w:w="999"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13697002406</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电工</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525" w:hRule="atLeast"/>
        </w:trPr>
        <w:tc>
          <w:tcPr>
            <w:tcW w:w="1003"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应急医疗组</w:t>
            </w: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组长</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应雪霞</w:t>
            </w:r>
          </w:p>
        </w:tc>
        <w:tc>
          <w:tcPr>
            <w:tcW w:w="999"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18720534326</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行政主管</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513" w:hRule="atLeast"/>
        </w:trPr>
        <w:tc>
          <w:tcPr>
            <w:tcW w:w="1003"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组员</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涂林影</w:t>
            </w:r>
          </w:p>
        </w:tc>
        <w:tc>
          <w:tcPr>
            <w:tcW w:w="999"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15727578729</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行政人员</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87" w:hRule="atLeast"/>
        </w:trPr>
        <w:tc>
          <w:tcPr>
            <w:tcW w:w="1003"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信息通讯组</w:t>
            </w:r>
          </w:p>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组长</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叶明明</w:t>
            </w:r>
          </w:p>
        </w:tc>
        <w:tc>
          <w:tcPr>
            <w:tcW w:w="999"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13870086073</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销售经理</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87" w:hRule="atLeast"/>
        </w:trPr>
        <w:tc>
          <w:tcPr>
            <w:tcW w:w="1003"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组员</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夏丽梅</w:t>
            </w:r>
          </w:p>
        </w:tc>
        <w:tc>
          <w:tcPr>
            <w:tcW w:w="999"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13979163979</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风控员</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513" w:hRule="atLeast"/>
        </w:trPr>
        <w:tc>
          <w:tcPr>
            <w:tcW w:w="1003"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应急监测组</w:t>
            </w:r>
          </w:p>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组长</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杨武</w:t>
            </w:r>
          </w:p>
        </w:tc>
        <w:tc>
          <w:tcPr>
            <w:tcW w:w="999"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13677913605</w:t>
            </w:r>
          </w:p>
        </w:tc>
        <w:tc>
          <w:tcPr>
            <w:tcW w:w="1003"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实验室主任</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60" w:hRule="atLeast"/>
        </w:trPr>
        <w:tc>
          <w:tcPr>
            <w:tcW w:w="1003"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组员</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徐俊</w:t>
            </w:r>
          </w:p>
        </w:tc>
        <w:tc>
          <w:tcPr>
            <w:tcW w:w="999"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13767046282</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资料员</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8" w:hRule="atLeast"/>
        </w:trPr>
        <w:tc>
          <w:tcPr>
            <w:tcW w:w="1003"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后勤保障组</w:t>
            </w:r>
          </w:p>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组长</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刘芳</w:t>
            </w:r>
          </w:p>
        </w:tc>
        <w:tc>
          <w:tcPr>
            <w:tcW w:w="999"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13507081220</w:t>
            </w:r>
          </w:p>
        </w:tc>
        <w:tc>
          <w:tcPr>
            <w:tcW w:w="1003" w:type="pct"/>
            <w:noWrap w:val="0"/>
            <w:vAlign w:val="center"/>
          </w:tcPr>
          <w:p>
            <w:pPr>
              <w:widowControl w:val="0"/>
              <w:spacing w:line="360" w:lineRule="auto"/>
              <w:ind w:left="0" w:leftChars="0" w:firstLine="0" w:firstLineChars="0"/>
              <w:jc w:val="both"/>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供应负责人</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500" w:hRule="atLeast"/>
        </w:trPr>
        <w:tc>
          <w:tcPr>
            <w:tcW w:w="1003" w:type="pct"/>
            <w:vMerge w:val="continue"/>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组员</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陈荣华</w:t>
            </w:r>
          </w:p>
        </w:tc>
        <w:tc>
          <w:tcPr>
            <w:tcW w:w="999"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13755855272</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统计</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62" w:hRule="atLeast"/>
        </w:trPr>
        <w:tc>
          <w:tcPr>
            <w:tcW w:w="1003" w:type="pct"/>
            <w:vMerge w:val="restart"/>
            <w:noWrap w:val="0"/>
            <w:vAlign w:val="center"/>
          </w:tcPr>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安全保卫组</w:t>
            </w:r>
          </w:p>
          <w:p>
            <w:pPr>
              <w:widowControl w:val="0"/>
              <w:spacing w:line="260" w:lineRule="exact"/>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组长</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夏友谊</w:t>
            </w:r>
          </w:p>
        </w:tc>
        <w:tc>
          <w:tcPr>
            <w:tcW w:w="999" w:type="pct"/>
            <w:noWrap w:val="0"/>
            <w:vAlign w:val="center"/>
          </w:tcPr>
          <w:p>
            <w:pPr>
              <w:widowControl w:val="0"/>
              <w:spacing w:line="360" w:lineRule="auto"/>
              <w:ind w:left="0" w:leftChars="0" w:firstLine="0" w:firstLineChars="0"/>
              <w:jc w:val="center"/>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13755697638</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生产主管</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450" w:hRule="atLeast"/>
        </w:trPr>
        <w:tc>
          <w:tcPr>
            <w:tcW w:w="1003" w:type="pct"/>
            <w:vMerge w:val="continue"/>
            <w:noWrap w:val="0"/>
            <w:vAlign w:val="center"/>
          </w:tcPr>
          <w:p>
            <w:pPr>
              <w:widowControl w:val="0"/>
              <w:spacing w:line="260" w:lineRule="exact"/>
              <w:jc w:val="center"/>
              <w:rPr>
                <w:rFonts w:ascii="Times New Roman" w:hAnsi="Times New Roman" w:eastAsia="宋体" w:cs="Times New Roman"/>
                <w:smallCaps/>
                <w:color w:val="000000"/>
                <w:kern w:val="2"/>
                <w:sz w:val="24"/>
                <w:szCs w:val="24"/>
                <w:highlight w:val="none"/>
                <w:lang w:val="en-US" w:eastAsia="zh-CN" w:bidi="ar-SA"/>
              </w:rPr>
            </w:pPr>
          </w:p>
        </w:tc>
        <w:tc>
          <w:tcPr>
            <w:tcW w:w="1300"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kern w:val="2"/>
                <w:sz w:val="24"/>
                <w:szCs w:val="24"/>
                <w:highlight w:val="none"/>
                <w:lang w:val="en-US" w:eastAsia="zh-CN" w:bidi="ar-SA"/>
              </w:rPr>
              <w:t>组员</w:t>
            </w:r>
          </w:p>
        </w:tc>
        <w:tc>
          <w:tcPr>
            <w:tcW w:w="692" w:type="pct"/>
            <w:noWrap w:val="0"/>
            <w:vAlign w:val="center"/>
          </w:tcPr>
          <w:p>
            <w:pPr>
              <w:widowControl w:val="0"/>
              <w:spacing w:line="360" w:lineRule="auto"/>
              <w:ind w:left="0" w:leftChars="0" w:firstLine="0" w:firstLineChars="0"/>
              <w:jc w:val="center"/>
              <w:rPr>
                <w:rFonts w:hint="eastAsia"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熊忠信</w:t>
            </w:r>
          </w:p>
        </w:tc>
        <w:tc>
          <w:tcPr>
            <w:tcW w:w="999" w:type="pct"/>
            <w:noWrap w:val="0"/>
            <w:vAlign w:val="center"/>
          </w:tcPr>
          <w:p>
            <w:pPr>
              <w:widowControl w:val="0"/>
              <w:spacing w:line="360" w:lineRule="auto"/>
              <w:ind w:left="0" w:leftChars="0" w:firstLine="0" w:firstLineChars="0"/>
              <w:jc w:val="both"/>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13627097137</w:t>
            </w:r>
          </w:p>
        </w:tc>
        <w:tc>
          <w:tcPr>
            <w:tcW w:w="1003" w:type="pct"/>
            <w:noWrap w:val="0"/>
            <w:vAlign w:val="center"/>
          </w:tcPr>
          <w:p>
            <w:pPr>
              <w:widowControl w:val="0"/>
              <w:spacing w:line="360" w:lineRule="auto"/>
              <w:ind w:left="0" w:leftChars="0" w:firstLine="0" w:firstLineChars="0"/>
              <w:jc w:val="center"/>
              <w:rPr>
                <w:rFonts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调度</w:t>
            </w:r>
          </w:p>
        </w:tc>
      </w:tr>
      <w:tr>
        <w:tblPrEx>
          <w:tblBorders>
            <w:top w:val="single" w:color="000000" w:sz="12" w:space="0"/>
            <w:left w:val="none" w:color="auto" w:sz="0" w:space="0"/>
            <w:bottom w:val="single" w:color="auto" w:sz="4"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620" w:hRule="atLeast"/>
        </w:trPr>
        <w:tc>
          <w:tcPr>
            <w:tcW w:w="1003" w:type="pct"/>
            <w:noWrap w:val="0"/>
            <w:vAlign w:val="center"/>
          </w:tcPr>
          <w:p>
            <w:pPr>
              <w:widowControl w:val="0"/>
              <w:spacing w:line="260" w:lineRule="exact"/>
              <w:jc w:val="center"/>
              <w:rPr>
                <w:rFonts w:ascii="Times New Roman" w:hAnsi="Times New Roman" w:eastAsia="宋体" w:cs="Times New Roman"/>
                <w:smallCaps/>
                <w:color w:val="000000"/>
                <w:kern w:val="2"/>
                <w:sz w:val="24"/>
                <w:szCs w:val="24"/>
                <w:highlight w:val="none"/>
                <w:lang w:val="en-US" w:eastAsia="zh-CN" w:bidi="ar-SA"/>
              </w:rPr>
            </w:pPr>
            <w:r>
              <w:rPr>
                <w:rFonts w:ascii="Times New Roman" w:hAnsi="Times New Roman" w:eastAsia="宋体" w:cs="Times New Roman"/>
                <w:smallCaps/>
                <w:color w:val="000000"/>
                <w:kern w:val="2"/>
                <w:sz w:val="24"/>
                <w:szCs w:val="24"/>
                <w:highlight w:val="none"/>
                <w:lang w:val="en-US" w:eastAsia="zh-CN" w:bidi="ar-SA"/>
              </w:rPr>
              <w:t>24小时值班电话</w:t>
            </w:r>
          </w:p>
        </w:tc>
        <w:tc>
          <w:tcPr>
            <w:tcW w:w="3996" w:type="pct"/>
            <w:gridSpan w:val="4"/>
            <w:noWrap w:val="0"/>
            <w:vAlign w:val="center"/>
          </w:tcPr>
          <w:p>
            <w:pPr>
              <w:widowControl w:val="0"/>
              <w:spacing w:line="260" w:lineRule="exact"/>
              <w:jc w:val="center"/>
              <w:rPr>
                <w:rFonts w:hint="default" w:ascii="Times New Roman" w:hAnsi="Times New Roman" w:eastAsia="宋体" w:cs="Times New Roman"/>
                <w:smallCaps/>
                <w:color w:val="000000"/>
                <w:kern w:val="2"/>
                <w:sz w:val="24"/>
                <w:szCs w:val="24"/>
                <w:highlight w:val="none"/>
                <w:lang w:val="en-US" w:eastAsia="zh-CN" w:bidi="ar-SA"/>
              </w:rPr>
            </w:pPr>
            <w:r>
              <w:rPr>
                <w:rFonts w:hint="eastAsia" w:ascii="Times New Roman" w:hAnsi="Times New Roman" w:eastAsia="宋体" w:cs="Times New Roman"/>
                <w:smallCaps/>
                <w:color w:val="000000"/>
                <w:kern w:val="2"/>
                <w:sz w:val="24"/>
                <w:szCs w:val="24"/>
                <w:highlight w:val="none"/>
                <w:lang w:val="en-US" w:eastAsia="zh-CN" w:bidi="ar-SA"/>
              </w:rPr>
              <w:t>15970629327、0791-83821516</w:t>
            </w:r>
          </w:p>
        </w:tc>
      </w:tr>
    </w:tbl>
    <w:p>
      <w:pPr>
        <w:pStyle w:val="2"/>
      </w:pPr>
    </w:p>
    <w:p>
      <w:pPr>
        <w:ind w:firstLine="0" w:firstLineChars="0"/>
      </w:pPr>
    </w:p>
    <w:p>
      <w:pPr>
        <w:pStyle w:val="2"/>
        <w:sectPr>
          <w:pgSz w:w="11906" w:h="16838"/>
          <w:pgMar w:top="1440" w:right="1276" w:bottom="1440" w:left="1134" w:header="851" w:footer="992" w:gutter="0"/>
          <w:pgNumType w:fmt="decimal"/>
          <w:cols w:space="425" w:num="1"/>
          <w:docGrid w:type="linesAndChars" w:linePitch="381" w:charSpace="0"/>
        </w:sectPr>
      </w:pP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pPr>
      <w:bookmarkStart w:id="208" w:name="_Toc879"/>
      <w:r>
        <w:rPr>
          <w:rFonts w:hint="eastAsia"/>
        </w:rPr>
        <w:t>附件</w:t>
      </w:r>
      <w:r>
        <w:rPr>
          <w:rFonts w:hint="eastAsia"/>
          <w:lang w:val="en-US" w:eastAsia="zh-CN"/>
        </w:rPr>
        <w:t>4</w:t>
      </w:r>
      <w:r>
        <w:t xml:space="preserve"> </w:t>
      </w:r>
      <w:r>
        <w:rPr>
          <w:rFonts w:hint="eastAsia"/>
        </w:rPr>
        <w:t>公司外部应急处置人员</w:t>
      </w:r>
      <w:r>
        <w:rPr>
          <w:rFonts w:hint="eastAsia"/>
          <w:lang w:eastAsia="zh-CN"/>
        </w:rPr>
        <w:t>及周边区域单位</w:t>
      </w:r>
      <w:r>
        <w:rPr>
          <w:rFonts w:hint="eastAsia"/>
        </w:rPr>
        <w:t>联系电话</w:t>
      </w:r>
      <w:bookmarkEnd w:id="208"/>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7"/>
        <w:gridCol w:w="3480"/>
        <w:gridCol w:w="36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序号</w:t>
            </w:r>
          </w:p>
        </w:tc>
        <w:tc>
          <w:tcPr>
            <w:tcW w:w="3480" w:type="dxa"/>
            <w:noWrap w:val="0"/>
            <w:vAlign w:val="center"/>
          </w:tcPr>
          <w:p>
            <w:pPr>
              <w:widowControl w:val="0"/>
              <w:spacing w:line="360" w:lineRule="auto"/>
              <w:ind w:left="0" w:leftChars="0" w:firstLine="0" w:firstLineChars="0"/>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所在部门</w:t>
            </w:r>
          </w:p>
        </w:tc>
        <w:tc>
          <w:tcPr>
            <w:tcW w:w="3675"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值班电话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w:t>
            </w:r>
          </w:p>
        </w:tc>
        <w:tc>
          <w:tcPr>
            <w:tcW w:w="3480" w:type="dxa"/>
            <w:noWrap w:val="0"/>
            <w:vAlign w:val="center"/>
          </w:tcPr>
          <w:p>
            <w:pPr>
              <w:widowControl w:val="0"/>
              <w:spacing w:line="360" w:lineRule="auto"/>
              <w:ind w:left="0" w:leftChars="0" w:firstLine="0" w:firstLineChars="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公安</w:t>
            </w:r>
          </w:p>
        </w:tc>
        <w:tc>
          <w:tcPr>
            <w:tcW w:w="3675"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2</w:t>
            </w:r>
          </w:p>
        </w:tc>
        <w:tc>
          <w:tcPr>
            <w:tcW w:w="3480" w:type="dxa"/>
            <w:noWrap w:val="0"/>
            <w:vAlign w:val="center"/>
          </w:tcPr>
          <w:p>
            <w:pPr>
              <w:widowControl w:val="0"/>
              <w:spacing w:line="360" w:lineRule="auto"/>
              <w:ind w:left="0" w:leftChars="0" w:firstLine="0" w:firstLineChars="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急救</w:t>
            </w:r>
          </w:p>
        </w:tc>
        <w:tc>
          <w:tcPr>
            <w:tcW w:w="3675"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3</w:t>
            </w:r>
          </w:p>
        </w:tc>
        <w:tc>
          <w:tcPr>
            <w:tcW w:w="3480" w:type="dxa"/>
            <w:noWrap w:val="0"/>
            <w:vAlign w:val="center"/>
          </w:tcPr>
          <w:p>
            <w:pPr>
              <w:widowControl w:val="0"/>
              <w:spacing w:line="360" w:lineRule="auto"/>
              <w:ind w:left="0" w:leftChars="0" w:firstLine="0" w:firstLineChars="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火警</w:t>
            </w:r>
          </w:p>
        </w:tc>
        <w:tc>
          <w:tcPr>
            <w:tcW w:w="3675"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4</w:t>
            </w:r>
          </w:p>
        </w:tc>
        <w:tc>
          <w:tcPr>
            <w:tcW w:w="3480" w:type="dxa"/>
            <w:noWrap w:val="0"/>
            <w:vAlign w:val="center"/>
          </w:tcPr>
          <w:p>
            <w:pPr>
              <w:widowControl w:val="0"/>
              <w:spacing w:line="360" w:lineRule="auto"/>
              <w:ind w:left="0" w:leftChars="0" w:firstLine="0" w:firstLineChars="0"/>
              <w:jc w:val="left"/>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南昌市生态环境局昌北分局</w:t>
            </w:r>
          </w:p>
        </w:tc>
        <w:tc>
          <w:tcPr>
            <w:tcW w:w="3675"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ascii="Times New Roman" w:hAnsi="Times New Roman"/>
                <w:sz w:val="24"/>
                <w:szCs w:val="24"/>
              </w:rPr>
              <w:t>079</w:t>
            </w:r>
            <w:r>
              <w:rPr>
                <w:rFonts w:hint="eastAsia" w:ascii="Times New Roman" w:hAnsi="Times New Roman"/>
                <w:sz w:val="24"/>
                <w:szCs w:val="24"/>
                <w:lang w:val="en-US" w:eastAsia="zh-CN"/>
              </w:rPr>
              <w:t>1</w:t>
            </w:r>
            <w:r>
              <w:rPr>
                <w:rFonts w:ascii="Times New Roman" w:hAnsi="Times New Roman"/>
                <w:sz w:val="24"/>
                <w:szCs w:val="24"/>
              </w:rPr>
              <w:t>-</w:t>
            </w:r>
            <w:r>
              <w:rPr>
                <w:rFonts w:hint="eastAsia" w:ascii="Times New Roman" w:hAnsi="Times New Roman"/>
                <w:sz w:val="24"/>
                <w:szCs w:val="24"/>
                <w:lang w:val="en-US" w:eastAsia="zh-CN"/>
              </w:rPr>
              <w:t>83805600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5</w:t>
            </w:r>
          </w:p>
        </w:tc>
        <w:tc>
          <w:tcPr>
            <w:tcW w:w="3480" w:type="dxa"/>
            <w:noWrap w:val="0"/>
            <w:vAlign w:val="center"/>
          </w:tcPr>
          <w:p>
            <w:pPr>
              <w:widowControl w:val="0"/>
              <w:spacing w:line="360" w:lineRule="auto"/>
              <w:ind w:left="0" w:leftChars="0" w:firstLine="0" w:firstLineChars="0"/>
              <w:jc w:val="both"/>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南昌市应急管理局</w:t>
            </w:r>
          </w:p>
        </w:tc>
        <w:tc>
          <w:tcPr>
            <w:tcW w:w="3675"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0791-83986158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7</w:t>
            </w:r>
          </w:p>
        </w:tc>
        <w:tc>
          <w:tcPr>
            <w:tcW w:w="3480" w:type="dxa"/>
            <w:noWrap w:val="0"/>
            <w:vAlign w:val="center"/>
          </w:tcPr>
          <w:p>
            <w:pPr>
              <w:widowControl w:val="0"/>
              <w:spacing w:line="360" w:lineRule="auto"/>
              <w:ind w:left="0" w:leftChars="0" w:firstLine="0" w:firstLineChars="0"/>
              <w:jc w:val="both"/>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南昌市公安局</w:t>
            </w:r>
          </w:p>
        </w:tc>
        <w:tc>
          <w:tcPr>
            <w:tcW w:w="3675"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0791-5215472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8</w:t>
            </w:r>
          </w:p>
        </w:tc>
        <w:tc>
          <w:tcPr>
            <w:tcW w:w="3480" w:type="dxa"/>
            <w:noWrap w:val="0"/>
            <w:vAlign w:val="center"/>
          </w:tcPr>
          <w:p>
            <w:pPr>
              <w:widowControl w:val="0"/>
              <w:spacing w:line="360" w:lineRule="auto"/>
              <w:ind w:left="0" w:leftChars="0" w:firstLine="0" w:firstLineChars="0"/>
              <w:jc w:val="both"/>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南昌市自然资源局</w:t>
            </w:r>
          </w:p>
        </w:tc>
        <w:tc>
          <w:tcPr>
            <w:tcW w:w="3675"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0791-83986657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9</w:t>
            </w:r>
          </w:p>
        </w:tc>
        <w:tc>
          <w:tcPr>
            <w:tcW w:w="3480" w:type="dxa"/>
            <w:noWrap w:val="0"/>
            <w:vAlign w:val="center"/>
          </w:tcPr>
          <w:p>
            <w:pPr>
              <w:widowControl w:val="0"/>
              <w:spacing w:line="360" w:lineRule="auto"/>
              <w:ind w:left="0" w:leftChars="0" w:firstLine="0" w:firstLineChars="0"/>
              <w:jc w:val="both"/>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南昌市气象局</w:t>
            </w:r>
          </w:p>
        </w:tc>
        <w:tc>
          <w:tcPr>
            <w:tcW w:w="3675"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0791-86224159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10</w:t>
            </w:r>
          </w:p>
        </w:tc>
        <w:tc>
          <w:tcPr>
            <w:tcW w:w="3480" w:type="dxa"/>
            <w:noWrap w:val="0"/>
            <w:vAlign w:val="center"/>
          </w:tcPr>
          <w:p>
            <w:pPr>
              <w:widowControl w:val="0"/>
              <w:spacing w:line="360" w:lineRule="auto"/>
              <w:ind w:left="0" w:leftChars="0" w:firstLine="0" w:firstLineChars="0"/>
              <w:jc w:val="both"/>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南昌市应急救援支队</w:t>
            </w:r>
          </w:p>
        </w:tc>
        <w:tc>
          <w:tcPr>
            <w:tcW w:w="3675"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0791-88446703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12</w:t>
            </w:r>
          </w:p>
        </w:tc>
        <w:tc>
          <w:tcPr>
            <w:tcW w:w="3480" w:type="dxa"/>
            <w:noWrap w:val="0"/>
            <w:vAlign w:val="center"/>
          </w:tcPr>
          <w:p>
            <w:pPr>
              <w:widowControl w:val="0"/>
              <w:spacing w:line="360" w:lineRule="auto"/>
              <w:ind w:left="0" w:leftChars="0" w:firstLine="0" w:firstLineChars="0"/>
              <w:jc w:val="both"/>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南昌市市场监管局</w:t>
            </w:r>
          </w:p>
        </w:tc>
        <w:tc>
          <w:tcPr>
            <w:tcW w:w="3675"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0791-88560129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14</w:t>
            </w:r>
          </w:p>
        </w:tc>
        <w:tc>
          <w:tcPr>
            <w:tcW w:w="3480" w:type="dxa"/>
            <w:noWrap w:val="0"/>
            <w:vAlign w:val="center"/>
          </w:tcPr>
          <w:p>
            <w:pPr>
              <w:widowControl w:val="0"/>
              <w:spacing w:line="360" w:lineRule="auto"/>
              <w:ind w:left="0" w:leftChars="0" w:firstLine="0" w:firstLineChars="0"/>
              <w:jc w:val="both"/>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南昌市疾病预防控制中心</w:t>
            </w:r>
          </w:p>
        </w:tc>
        <w:tc>
          <w:tcPr>
            <w:tcW w:w="3675"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0791-86363837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15</w:t>
            </w:r>
          </w:p>
        </w:tc>
        <w:tc>
          <w:tcPr>
            <w:tcW w:w="3480" w:type="dxa"/>
            <w:noWrap w:val="0"/>
            <w:vAlign w:val="center"/>
          </w:tcPr>
          <w:p>
            <w:pPr>
              <w:widowControl w:val="0"/>
              <w:spacing w:line="360" w:lineRule="auto"/>
              <w:ind w:left="0" w:leftChars="0" w:firstLine="0" w:firstLineChars="0"/>
              <w:jc w:val="both"/>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昌北供电局</w:t>
            </w:r>
          </w:p>
        </w:tc>
        <w:tc>
          <w:tcPr>
            <w:tcW w:w="3675" w:type="dxa"/>
            <w:noWrap w:val="0"/>
            <w:vAlign w:val="center"/>
          </w:tcPr>
          <w:p>
            <w:pPr>
              <w:widowControl w:val="0"/>
              <w:spacing w:line="360" w:lineRule="auto"/>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0791-87336062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7"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17</w:t>
            </w:r>
          </w:p>
        </w:tc>
        <w:tc>
          <w:tcPr>
            <w:tcW w:w="3480" w:type="dxa"/>
            <w:noWrap w:val="0"/>
            <w:vAlign w:val="center"/>
          </w:tcPr>
          <w:p>
            <w:pPr>
              <w:widowControl w:val="0"/>
              <w:spacing w:line="360" w:lineRule="auto"/>
              <w:ind w:left="0" w:leftChars="0" w:firstLine="0" w:firstLineChars="0"/>
              <w:jc w:val="both"/>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国家化学事故应急咨询专线</w:t>
            </w:r>
          </w:p>
        </w:tc>
        <w:tc>
          <w:tcPr>
            <w:tcW w:w="3675" w:type="dxa"/>
            <w:noWrap w:val="0"/>
            <w:vAlign w:val="center"/>
          </w:tcPr>
          <w:p>
            <w:pPr>
              <w:widowControl w:val="0"/>
              <w:spacing w:line="360" w:lineRule="auto"/>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053-83889090</w:t>
            </w:r>
          </w:p>
        </w:tc>
      </w:tr>
    </w:tbl>
    <w:p>
      <w:pPr>
        <w:pStyle w:val="2"/>
      </w:pPr>
    </w:p>
    <w:p>
      <w:pPr>
        <w:pStyle w:val="2"/>
        <w:sectPr>
          <w:pgSz w:w="11906" w:h="16838"/>
          <w:pgMar w:top="1440" w:right="1276" w:bottom="1440" w:left="1134" w:header="851" w:footer="992" w:gutter="0"/>
          <w:pgNumType w:fmt="decimal"/>
          <w:cols w:space="425" w:num="1"/>
          <w:docGrid w:type="linesAndChars" w:linePitch="381" w:charSpace="0"/>
        </w:sectPr>
      </w:pP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rPr>
          <w:rFonts w:hint="eastAsia" w:eastAsia="宋体"/>
          <w:lang w:eastAsia="zh-CN"/>
        </w:rPr>
      </w:pPr>
      <w:bookmarkStart w:id="209" w:name="_Toc30380"/>
      <w:r>
        <w:rPr>
          <w:rFonts w:hint="eastAsia"/>
        </w:rPr>
        <w:t>附件</w:t>
      </w:r>
      <w:r>
        <w:rPr>
          <w:rFonts w:hint="eastAsia" w:cs="Times New Roman"/>
          <w:lang w:val="en-US" w:eastAsia="zh-CN"/>
        </w:rPr>
        <w:t>5</w:t>
      </w:r>
      <w:r>
        <w:rPr>
          <w:rFonts w:cs="Times New Roman"/>
        </w:rPr>
        <w:t xml:space="preserve"> </w:t>
      </w:r>
      <w:r>
        <w:rPr>
          <w:rFonts w:hint="eastAsia"/>
        </w:rPr>
        <w:t>公司突发环境事件信息通告</w:t>
      </w:r>
      <w:r>
        <w:rPr>
          <w:rFonts w:hint="eastAsia"/>
          <w:lang w:eastAsia="zh-CN"/>
        </w:rPr>
        <w:t>标准化</w:t>
      </w:r>
      <w:r>
        <w:rPr>
          <w:rFonts w:hint="eastAsia"/>
        </w:rPr>
        <w:t>表</w:t>
      </w:r>
      <w:r>
        <w:rPr>
          <w:rFonts w:hint="eastAsia"/>
          <w:lang w:eastAsia="zh-CN"/>
        </w:rPr>
        <w:t>格</w:t>
      </w:r>
      <w:bookmarkEnd w:id="209"/>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8"/>
        <w:gridCol w:w="1432"/>
        <w:gridCol w:w="1934"/>
        <w:gridCol w:w="1159"/>
        <w:gridCol w:w="1484"/>
        <w:gridCol w:w="16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662" w:type="dxa"/>
            <w:gridSpan w:val="6"/>
            <w:tcBorders>
              <w:top w:val="single" w:color="auto" w:sz="4" w:space="0"/>
              <w:left w:val="single" w:color="auto" w:sz="4" w:space="0"/>
              <w:bottom w:val="single" w:color="auto" w:sz="4" w:space="0"/>
              <w:right w:val="single" w:color="auto" w:sz="4" w:space="0"/>
            </w:tcBorders>
            <w:vAlign w:val="center"/>
          </w:tcPr>
          <w:p>
            <w:pPr>
              <w:ind w:firstLine="480"/>
              <w:jc w:val="center"/>
              <w:rPr>
                <w:sz w:val="24"/>
              </w:rPr>
            </w:pPr>
            <w:r>
              <w:rPr>
                <w:rFonts w:hint="eastAsia"/>
                <w:sz w:val="24"/>
                <w:lang w:eastAsia="zh-CN"/>
              </w:rPr>
              <w:t>南昌慧华高科混凝土有限公司</w:t>
            </w:r>
            <w:r>
              <w:rPr>
                <w:rFonts w:hint="eastAsia"/>
                <w:sz w:val="24"/>
              </w:rPr>
              <w:t>突发环境事件信息通告表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r>
              <w:rPr>
                <w:rFonts w:hint="eastAsia"/>
                <w:sz w:val="24"/>
              </w:rPr>
              <w:t>时间</w:t>
            </w:r>
          </w:p>
        </w:tc>
        <w:tc>
          <w:tcPr>
            <w:tcW w:w="143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p>
        </w:tc>
        <w:tc>
          <w:tcPr>
            <w:tcW w:w="1934"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r>
              <w:rPr>
                <w:rFonts w:hint="eastAsia"/>
                <w:sz w:val="24"/>
              </w:rPr>
              <w:t>污染物名称</w:t>
            </w:r>
          </w:p>
        </w:tc>
        <w:tc>
          <w:tcPr>
            <w:tcW w:w="115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p>
        </w:tc>
        <w:tc>
          <w:tcPr>
            <w:tcW w:w="1484"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r>
              <w:rPr>
                <w:rFonts w:hint="eastAsia"/>
                <w:sz w:val="24"/>
              </w:rPr>
              <w:t>污染类型</w:t>
            </w:r>
          </w:p>
        </w:tc>
        <w:tc>
          <w:tcPr>
            <w:tcW w:w="1695"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r>
              <w:rPr>
                <w:rFonts w:hint="eastAsia"/>
                <w:sz w:val="24"/>
              </w:rPr>
              <w:t>危险等级</w:t>
            </w:r>
          </w:p>
        </w:tc>
        <w:tc>
          <w:tcPr>
            <w:tcW w:w="143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p>
        </w:tc>
        <w:tc>
          <w:tcPr>
            <w:tcW w:w="1934"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r>
              <w:rPr>
                <w:rFonts w:hint="eastAsia"/>
                <w:sz w:val="24"/>
              </w:rPr>
              <w:t>人员伤亡情况</w:t>
            </w:r>
          </w:p>
        </w:tc>
        <w:tc>
          <w:tcPr>
            <w:tcW w:w="4338" w:type="dxa"/>
            <w:gridSpan w:val="3"/>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r>
              <w:rPr>
                <w:rFonts w:hint="eastAsia"/>
                <w:sz w:val="24"/>
              </w:rPr>
              <w:t>受影响范围</w:t>
            </w:r>
          </w:p>
        </w:tc>
        <w:tc>
          <w:tcPr>
            <w:tcW w:w="7704" w:type="dxa"/>
            <w:gridSpan w:val="5"/>
            <w:tcBorders>
              <w:top w:val="single" w:color="auto" w:sz="4" w:space="0"/>
              <w:left w:val="single" w:color="auto" w:sz="4" w:space="0"/>
              <w:bottom w:val="single" w:color="auto" w:sz="4" w:space="0"/>
              <w:right w:val="single" w:color="auto" w:sz="4" w:space="0"/>
            </w:tcBorders>
            <w:vAlign w:val="center"/>
          </w:tcPr>
          <w:p>
            <w:pPr>
              <w:ind w:firstLine="480"/>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662" w:type="dxa"/>
            <w:gridSpan w:val="6"/>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left"/>
              <w:rPr>
                <w:sz w:val="24"/>
              </w:rPr>
            </w:pPr>
            <w:r>
              <w:rPr>
                <w:rFonts w:hint="eastAsia"/>
                <w:sz w:val="24"/>
              </w:rPr>
              <w:t>事件过程及善后措施</w:t>
            </w:r>
          </w:p>
          <w:p>
            <w:pPr>
              <w:ind w:firstLine="480"/>
              <w:jc w:val="center"/>
              <w:rPr>
                <w:sz w:val="24"/>
              </w:rPr>
            </w:pPr>
          </w:p>
          <w:p>
            <w:pPr>
              <w:ind w:firstLine="480"/>
              <w:jc w:val="center"/>
              <w:rPr>
                <w:sz w:val="24"/>
              </w:rPr>
            </w:pPr>
          </w:p>
          <w:p>
            <w:pPr>
              <w:ind w:firstLine="480"/>
              <w:jc w:val="center"/>
              <w:rPr>
                <w:sz w:val="24"/>
              </w:rPr>
            </w:pPr>
          </w:p>
          <w:p>
            <w:pPr>
              <w:ind w:firstLine="480"/>
              <w:jc w:val="center"/>
              <w:rPr>
                <w:sz w:val="24"/>
              </w:rPr>
            </w:pPr>
          </w:p>
          <w:p>
            <w:pPr>
              <w:ind w:firstLine="480"/>
              <w:jc w:val="center"/>
              <w:rPr>
                <w:sz w:val="24"/>
              </w:rPr>
            </w:pPr>
          </w:p>
          <w:p>
            <w:pPr>
              <w:ind w:firstLine="480"/>
              <w:jc w:val="center"/>
              <w:rPr>
                <w:sz w:val="24"/>
              </w:rPr>
            </w:pPr>
          </w:p>
          <w:p>
            <w:pPr>
              <w:ind w:firstLine="480"/>
              <w:jc w:val="center"/>
              <w:rPr>
                <w:sz w:val="24"/>
              </w:rPr>
            </w:pPr>
          </w:p>
          <w:p>
            <w:pPr>
              <w:ind w:firstLine="480"/>
              <w:jc w:val="center"/>
              <w:rPr>
                <w:sz w:val="24"/>
              </w:rPr>
            </w:pPr>
          </w:p>
          <w:p>
            <w:pPr>
              <w:ind w:firstLine="5292" w:firstLineChars="2205"/>
              <w:jc w:val="center"/>
              <w:rPr>
                <w:sz w:val="24"/>
              </w:rPr>
            </w:pPr>
          </w:p>
          <w:p>
            <w:pPr>
              <w:ind w:firstLine="5292" w:firstLineChars="2205"/>
              <w:jc w:val="center"/>
              <w:rPr>
                <w:sz w:val="24"/>
              </w:rPr>
            </w:pPr>
          </w:p>
          <w:p>
            <w:pPr>
              <w:ind w:firstLine="5292" w:firstLineChars="2205"/>
              <w:jc w:val="center"/>
              <w:rPr>
                <w:sz w:val="24"/>
              </w:rPr>
            </w:pPr>
          </w:p>
          <w:p>
            <w:pPr>
              <w:ind w:firstLine="5292" w:firstLineChars="2205"/>
              <w:jc w:val="center"/>
              <w:rPr>
                <w:sz w:val="24"/>
              </w:rPr>
            </w:pPr>
          </w:p>
          <w:p>
            <w:pPr>
              <w:ind w:firstLine="5292" w:firstLineChars="2205"/>
              <w:jc w:val="center"/>
              <w:rPr>
                <w:sz w:val="24"/>
              </w:rPr>
            </w:pPr>
          </w:p>
          <w:p>
            <w:pPr>
              <w:ind w:firstLine="5292" w:firstLineChars="2205"/>
              <w:jc w:val="center"/>
              <w:rPr>
                <w:sz w:val="24"/>
              </w:rPr>
            </w:pPr>
          </w:p>
          <w:p>
            <w:pPr>
              <w:ind w:firstLine="5292" w:firstLineChars="2205"/>
              <w:jc w:val="center"/>
              <w:rPr>
                <w:sz w:val="24"/>
              </w:rPr>
            </w:pPr>
          </w:p>
          <w:p>
            <w:pPr>
              <w:ind w:firstLine="5292" w:firstLineChars="2205"/>
              <w:jc w:val="center"/>
              <w:rPr>
                <w:sz w:val="24"/>
              </w:rPr>
            </w:pPr>
            <w:r>
              <w:rPr>
                <w:rFonts w:hint="eastAsia"/>
                <w:sz w:val="24"/>
              </w:rPr>
              <w:t>单位签章</w:t>
            </w:r>
          </w:p>
          <w:p>
            <w:pPr>
              <w:ind w:firstLine="5292" w:firstLineChars="2205"/>
              <w:jc w:val="center"/>
              <w:rPr>
                <w:sz w:val="24"/>
              </w:rPr>
            </w:pPr>
            <w:r>
              <w:rPr>
                <w:rFonts w:hint="eastAsia"/>
                <w:sz w:val="24"/>
              </w:rPr>
              <w:t>年</w:t>
            </w:r>
            <w:r>
              <w:rPr>
                <w:sz w:val="24"/>
              </w:rPr>
              <w:t xml:space="preserve"> </w:t>
            </w:r>
            <w:r>
              <w:rPr>
                <w:rFonts w:hint="eastAsia"/>
                <w:sz w:val="24"/>
              </w:rPr>
              <w:t>月</w:t>
            </w:r>
            <w:r>
              <w:rPr>
                <w:sz w:val="24"/>
              </w:rPr>
              <w:t xml:space="preserve"> </w:t>
            </w:r>
            <w:r>
              <w:rPr>
                <w:rFonts w:hint="eastAsia"/>
                <w:sz w:val="24"/>
              </w:rPr>
              <w:t>日</w:t>
            </w:r>
          </w:p>
        </w:tc>
      </w:tr>
    </w:tbl>
    <w:p>
      <w:pPr>
        <w:ind w:firstLine="0" w:firstLineChars="0"/>
      </w:pPr>
    </w:p>
    <w:p>
      <w:pPr>
        <w:pStyle w:val="2"/>
      </w:pPr>
    </w:p>
    <w:p>
      <w:pPr>
        <w:ind w:firstLine="31680"/>
        <w:jc w:val="center"/>
        <w:rPr>
          <w:snapToGrid w:val="0"/>
        </w:rPr>
      </w:pPr>
      <w:r>
        <w:rPr>
          <w:rFonts w:hint="eastAsia" w:cs="宋体"/>
          <w:snapToGrid w:val="0"/>
        </w:rPr>
        <w:t>公司突发环境事故报告表</w:t>
      </w:r>
      <w:r>
        <w:rPr>
          <w:snapToGrid w:val="0"/>
        </w:rPr>
        <w:t>(</w:t>
      </w:r>
      <w:r>
        <w:rPr>
          <w:rFonts w:hint="eastAsia" w:cs="宋体"/>
          <w:snapToGrid w:val="0"/>
        </w:rPr>
        <w:t>初报</w:t>
      </w:r>
      <w:r>
        <w:rPr>
          <w:snapToGrid w:val="0"/>
        </w:rPr>
        <w:t>)</w:t>
      </w:r>
    </w:p>
    <w:tbl>
      <w:tblPr>
        <w:tblStyle w:val="16"/>
        <w:tblW w:w="9639" w:type="dxa"/>
        <w:jc w:val="center"/>
        <w:tblLayout w:type="fixed"/>
        <w:tblCellMar>
          <w:top w:w="0" w:type="dxa"/>
          <w:left w:w="0" w:type="dxa"/>
          <w:bottom w:w="0" w:type="dxa"/>
          <w:right w:w="0" w:type="dxa"/>
        </w:tblCellMar>
      </w:tblPr>
      <w:tblGrid>
        <w:gridCol w:w="2128"/>
        <w:gridCol w:w="913"/>
        <w:gridCol w:w="1851"/>
        <w:gridCol w:w="1087"/>
        <w:gridCol w:w="281"/>
        <w:gridCol w:w="635"/>
        <w:gridCol w:w="1264"/>
        <w:gridCol w:w="1480"/>
      </w:tblGrid>
      <w:tr>
        <w:tblPrEx>
          <w:tblCellMar>
            <w:top w:w="0" w:type="dxa"/>
            <w:left w:w="0" w:type="dxa"/>
            <w:bottom w:w="0" w:type="dxa"/>
            <w:right w:w="0" w:type="dxa"/>
          </w:tblCellMar>
        </w:tblPrEx>
        <w:trPr>
          <w:trHeight w:val="454" w:hRule="atLeast"/>
          <w:jc w:val="center"/>
        </w:trPr>
        <w:tc>
          <w:tcPr>
            <w:tcW w:w="2128" w:type="dxa"/>
            <w:vMerge w:val="restart"/>
            <w:tcBorders>
              <w:top w:val="single" w:color="000000" w:sz="6" w:space="0"/>
              <w:left w:val="single" w:color="000000" w:sz="4" w:space="0"/>
              <w:right w:val="single" w:color="000000" w:sz="4" w:space="0"/>
            </w:tcBorders>
            <w:noWrap w:val="0"/>
            <w:vAlign w:val="center"/>
          </w:tcPr>
          <w:p>
            <w:pPr>
              <w:pStyle w:val="43"/>
              <w:rPr>
                <w:kern w:val="0"/>
              </w:rPr>
            </w:pPr>
            <w:r>
              <w:rPr>
                <w:rFonts w:hint="eastAsia" w:cs="宋体"/>
                <w:kern w:val="0"/>
              </w:rPr>
              <w:t>报告方式</w:t>
            </w:r>
          </w:p>
        </w:tc>
        <w:tc>
          <w:tcPr>
            <w:tcW w:w="913"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kern w:val="0"/>
              </w:rPr>
              <w:t>1</w:t>
            </w:r>
          </w:p>
        </w:tc>
        <w:tc>
          <w:tcPr>
            <w:tcW w:w="1851"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电话报告</w:t>
            </w:r>
          </w:p>
        </w:tc>
        <w:tc>
          <w:tcPr>
            <w:tcW w:w="1368" w:type="dxa"/>
            <w:gridSpan w:val="2"/>
            <w:vMerge w:val="restart"/>
            <w:tcBorders>
              <w:top w:val="single" w:color="000000" w:sz="6" w:space="0"/>
              <w:left w:val="single" w:color="000000" w:sz="4" w:space="0"/>
              <w:right w:val="single" w:color="000000" w:sz="4" w:space="0"/>
            </w:tcBorders>
            <w:noWrap w:val="0"/>
            <w:vAlign w:val="center"/>
          </w:tcPr>
          <w:p>
            <w:pPr>
              <w:pStyle w:val="43"/>
              <w:rPr>
                <w:kern w:val="0"/>
              </w:rPr>
            </w:pPr>
            <w:r>
              <w:rPr>
                <w:rFonts w:hint="eastAsia" w:cs="宋体"/>
                <w:kern w:val="0"/>
              </w:rPr>
              <w:t>报告人</w:t>
            </w:r>
          </w:p>
        </w:tc>
        <w:tc>
          <w:tcPr>
            <w:tcW w:w="1899"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内部</w:t>
            </w:r>
          </w:p>
        </w:tc>
        <w:tc>
          <w:tcPr>
            <w:tcW w:w="1480"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vMerge w:val="continue"/>
            <w:tcBorders>
              <w:left w:val="single" w:color="000000" w:sz="4" w:space="0"/>
              <w:bottom w:val="single" w:color="000000" w:sz="6" w:space="0"/>
              <w:right w:val="single" w:color="000000" w:sz="4" w:space="0"/>
            </w:tcBorders>
            <w:noWrap w:val="0"/>
            <w:vAlign w:val="center"/>
          </w:tcPr>
          <w:p>
            <w:pPr>
              <w:ind w:firstLine="31680"/>
            </w:pPr>
          </w:p>
        </w:tc>
        <w:tc>
          <w:tcPr>
            <w:tcW w:w="913"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kern w:val="0"/>
              </w:rPr>
              <w:t>2</w:t>
            </w:r>
          </w:p>
        </w:tc>
        <w:tc>
          <w:tcPr>
            <w:tcW w:w="1851"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书面报告</w:t>
            </w:r>
          </w:p>
        </w:tc>
        <w:tc>
          <w:tcPr>
            <w:tcW w:w="1368" w:type="dxa"/>
            <w:gridSpan w:val="2"/>
            <w:vMerge w:val="continue"/>
            <w:tcBorders>
              <w:left w:val="single" w:color="000000" w:sz="4" w:space="0"/>
              <w:bottom w:val="single" w:color="000000" w:sz="6" w:space="0"/>
              <w:right w:val="single" w:color="000000" w:sz="4" w:space="0"/>
            </w:tcBorders>
            <w:noWrap w:val="0"/>
            <w:vAlign w:val="center"/>
          </w:tcPr>
          <w:p>
            <w:pPr>
              <w:ind w:firstLine="31680"/>
            </w:pPr>
          </w:p>
        </w:tc>
        <w:tc>
          <w:tcPr>
            <w:tcW w:w="1899"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外部</w:t>
            </w:r>
          </w:p>
        </w:tc>
        <w:tc>
          <w:tcPr>
            <w:tcW w:w="1480"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报告时间</w:t>
            </w:r>
          </w:p>
        </w:tc>
        <w:tc>
          <w:tcPr>
            <w:tcW w:w="7511" w:type="dxa"/>
            <w:gridSpan w:val="7"/>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年月日</w:t>
            </w:r>
            <w:r>
              <w:rPr>
                <w:kern w:val="0"/>
              </w:rPr>
              <w:tab/>
            </w:r>
            <w:r>
              <w:rPr>
                <w:rFonts w:hint="eastAsia" w:cs="宋体"/>
                <w:kern w:val="0"/>
              </w:rPr>
              <w:t>时分</w:t>
            </w:r>
          </w:p>
        </w:tc>
      </w:tr>
      <w:tr>
        <w:tblPrEx>
          <w:tblCellMar>
            <w:top w:w="0" w:type="dxa"/>
            <w:left w:w="0" w:type="dxa"/>
            <w:bottom w:w="0" w:type="dxa"/>
            <w:right w:w="0" w:type="dxa"/>
          </w:tblCellMar>
        </w:tblPrEx>
        <w:trPr>
          <w:trHeight w:val="454" w:hRule="atLeast"/>
          <w:jc w:val="center"/>
        </w:trPr>
        <w:tc>
          <w:tcPr>
            <w:tcW w:w="2128" w:type="dxa"/>
            <w:vMerge w:val="restart"/>
            <w:tcBorders>
              <w:top w:val="single" w:color="000000" w:sz="6" w:space="0"/>
              <w:left w:val="single" w:color="000000" w:sz="4" w:space="0"/>
              <w:right w:val="single" w:color="000000" w:sz="4" w:space="0"/>
            </w:tcBorders>
            <w:noWrap w:val="0"/>
            <w:vAlign w:val="center"/>
          </w:tcPr>
          <w:p>
            <w:pPr>
              <w:pStyle w:val="43"/>
              <w:rPr>
                <w:kern w:val="0"/>
              </w:rPr>
            </w:pPr>
            <w:r>
              <w:rPr>
                <w:rFonts w:hint="eastAsia" w:cs="宋体"/>
                <w:kern w:val="0"/>
              </w:rPr>
              <w:t>报告顺序</w:t>
            </w:r>
          </w:p>
        </w:tc>
        <w:tc>
          <w:tcPr>
            <w:tcW w:w="913"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kern w:val="0"/>
              </w:rPr>
              <w:t>1</w:t>
            </w:r>
          </w:p>
        </w:tc>
        <w:tc>
          <w:tcPr>
            <w:tcW w:w="2938"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公司应急指挥中心</w:t>
            </w:r>
          </w:p>
        </w:tc>
        <w:tc>
          <w:tcPr>
            <w:tcW w:w="916"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c>
          <w:tcPr>
            <w:tcW w:w="2744"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当班调度通知相关部门</w:t>
            </w:r>
          </w:p>
        </w:tc>
      </w:tr>
      <w:tr>
        <w:tblPrEx>
          <w:tblCellMar>
            <w:top w:w="0" w:type="dxa"/>
            <w:left w:w="0" w:type="dxa"/>
            <w:bottom w:w="0" w:type="dxa"/>
            <w:right w:w="0" w:type="dxa"/>
          </w:tblCellMar>
        </w:tblPrEx>
        <w:trPr>
          <w:trHeight w:val="454" w:hRule="atLeast"/>
          <w:jc w:val="center"/>
        </w:trPr>
        <w:tc>
          <w:tcPr>
            <w:tcW w:w="2128" w:type="dxa"/>
            <w:vMerge w:val="continue"/>
            <w:tcBorders>
              <w:left w:val="single" w:color="000000" w:sz="4" w:space="0"/>
              <w:right w:val="single" w:color="000000" w:sz="4" w:space="0"/>
            </w:tcBorders>
            <w:noWrap w:val="0"/>
            <w:vAlign w:val="center"/>
          </w:tcPr>
          <w:p>
            <w:pPr>
              <w:ind w:firstLine="31680"/>
            </w:pPr>
          </w:p>
        </w:tc>
        <w:tc>
          <w:tcPr>
            <w:tcW w:w="913"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kern w:val="0"/>
              </w:rPr>
              <w:t>2</w:t>
            </w:r>
          </w:p>
        </w:tc>
        <w:tc>
          <w:tcPr>
            <w:tcW w:w="2938"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rFonts w:hint="eastAsia" w:eastAsia="宋体"/>
                <w:kern w:val="0"/>
                <w:lang w:eastAsia="zh-CN"/>
              </w:rPr>
            </w:pPr>
            <w:r>
              <w:rPr>
                <w:rFonts w:hint="eastAsia" w:cs="宋体"/>
                <w:kern w:val="0"/>
                <w:lang w:eastAsia="zh-CN"/>
              </w:rPr>
              <w:t>南昌市生态环境</w:t>
            </w:r>
            <w:r>
              <w:rPr>
                <w:rFonts w:hint="eastAsia" w:cs="宋体"/>
                <w:kern w:val="0"/>
              </w:rPr>
              <w:t>局</w:t>
            </w:r>
            <w:r>
              <w:rPr>
                <w:rFonts w:hint="eastAsia" w:cs="宋体"/>
                <w:kern w:val="0"/>
                <w:lang w:eastAsia="zh-CN"/>
              </w:rPr>
              <w:t>昌北分局</w:t>
            </w:r>
          </w:p>
        </w:tc>
        <w:tc>
          <w:tcPr>
            <w:tcW w:w="916"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c>
          <w:tcPr>
            <w:tcW w:w="2744"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据事件级别逐级上报</w:t>
            </w:r>
          </w:p>
        </w:tc>
      </w:tr>
      <w:tr>
        <w:tblPrEx>
          <w:tblCellMar>
            <w:top w:w="0" w:type="dxa"/>
            <w:left w:w="0" w:type="dxa"/>
            <w:bottom w:w="0" w:type="dxa"/>
            <w:right w:w="0" w:type="dxa"/>
          </w:tblCellMar>
        </w:tblPrEx>
        <w:trPr>
          <w:trHeight w:val="454" w:hRule="atLeast"/>
          <w:jc w:val="center"/>
        </w:trPr>
        <w:tc>
          <w:tcPr>
            <w:tcW w:w="2128" w:type="dxa"/>
            <w:vMerge w:val="continue"/>
            <w:tcBorders>
              <w:left w:val="single" w:color="000000" w:sz="4" w:space="0"/>
              <w:right w:val="single" w:color="000000" w:sz="4" w:space="0"/>
            </w:tcBorders>
            <w:noWrap w:val="0"/>
            <w:vAlign w:val="center"/>
          </w:tcPr>
          <w:p>
            <w:pPr>
              <w:ind w:firstLine="31680"/>
            </w:pPr>
          </w:p>
        </w:tc>
        <w:tc>
          <w:tcPr>
            <w:tcW w:w="913"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kern w:val="0"/>
              </w:rPr>
              <w:t>3</w:t>
            </w:r>
          </w:p>
        </w:tc>
        <w:tc>
          <w:tcPr>
            <w:tcW w:w="2938"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lang w:eastAsia="zh-CN"/>
              </w:rPr>
              <w:t>经开区</w:t>
            </w:r>
            <w:r>
              <w:rPr>
                <w:rFonts w:hint="eastAsia" w:cs="宋体"/>
                <w:kern w:val="0"/>
              </w:rPr>
              <w:t>应急办</w:t>
            </w:r>
          </w:p>
        </w:tc>
        <w:tc>
          <w:tcPr>
            <w:tcW w:w="916"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c>
          <w:tcPr>
            <w:tcW w:w="2744"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据事件级别逐级上报</w:t>
            </w:r>
          </w:p>
        </w:tc>
      </w:tr>
      <w:tr>
        <w:tblPrEx>
          <w:tblCellMar>
            <w:top w:w="0" w:type="dxa"/>
            <w:left w:w="0" w:type="dxa"/>
            <w:bottom w:w="0" w:type="dxa"/>
            <w:right w:w="0" w:type="dxa"/>
          </w:tblCellMar>
        </w:tblPrEx>
        <w:trPr>
          <w:trHeight w:val="454" w:hRule="atLeast"/>
          <w:jc w:val="center"/>
        </w:trPr>
        <w:tc>
          <w:tcPr>
            <w:tcW w:w="2128" w:type="dxa"/>
            <w:vMerge w:val="continue"/>
            <w:tcBorders>
              <w:left w:val="single" w:color="000000" w:sz="4" w:space="0"/>
              <w:right w:val="single" w:color="000000" w:sz="4" w:space="0"/>
            </w:tcBorders>
            <w:noWrap w:val="0"/>
            <w:vAlign w:val="center"/>
          </w:tcPr>
          <w:p>
            <w:pPr>
              <w:ind w:firstLine="31680"/>
            </w:pPr>
          </w:p>
        </w:tc>
        <w:tc>
          <w:tcPr>
            <w:tcW w:w="913"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kern w:val="0"/>
              </w:rPr>
              <w:t>4</w:t>
            </w:r>
          </w:p>
        </w:tc>
        <w:tc>
          <w:tcPr>
            <w:tcW w:w="2938"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lang w:eastAsia="zh-CN"/>
              </w:rPr>
              <w:t>经开区</w:t>
            </w:r>
            <w:r>
              <w:rPr>
                <w:rFonts w:hint="eastAsia" w:cs="宋体"/>
              </w:rPr>
              <w:t>消防大队</w:t>
            </w:r>
          </w:p>
        </w:tc>
        <w:tc>
          <w:tcPr>
            <w:tcW w:w="916"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c>
          <w:tcPr>
            <w:tcW w:w="2744"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据事件级别逐级上报</w:t>
            </w: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单位名称</w:t>
            </w:r>
          </w:p>
        </w:tc>
        <w:tc>
          <w:tcPr>
            <w:tcW w:w="7511" w:type="dxa"/>
            <w:gridSpan w:val="7"/>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地址</w:t>
            </w:r>
          </w:p>
        </w:tc>
        <w:tc>
          <w:tcPr>
            <w:tcW w:w="7511" w:type="dxa"/>
            <w:gridSpan w:val="7"/>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省市</w:t>
            </w:r>
            <w:r>
              <w:rPr>
                <w:kern w:val="0"/>
              </w:rPr>
              <w:tab/>
            </w:r>
            <w:r>
              <w:rPr>
                <w:rFonts w:hint="eastAsia" w:cs="宋体"/>
                <w:kern w:val="0"/>
              </w:rPr>
              <w:t>区</w:t>
            </w:r>
            <w:r>
              <w:rPr>
                <w:kern w:val="0"/>
              </w:rPr>
              <w:tab/>
            </w:r>
            <w:r>
              <w:rPr>
                <w:rFonts w:hint="eastAsia" w:cs="宋体"/>
                <w:kern w:val="0"/>
              </w:rPr>
              <w:t>街道</w:t>
            </w:r>
            <w:r>
              <w:rPr>
                <w:kern w:val="0"/>
              </w:rPr>
              <w:t>(</w:t>
            </w:r>
            <w:r>
              <w:rPr>
                <w:rFonts w:hint="eastAsia" w:cs="宋体"/>
                <w:kern w:val="0"/>
              </w:rPr>
              <w:t>乡、镇</w:t>
            </w:r>
            <w:r>
              <w:rPr>
                <w:kern w:val="0"/>
              </w:rPr>
              <w:t>)</w:t>
            </w:r>
            <w:r>
              <w:rPr>
                <w:kern w:val="0"/>
              </w:rPr>
              <w:tab/>
            </w:r>
            <w:r>
              <w:rPr>
                <w:rFonts w:hint="eastAsia" w:cs="宋体"/>
                <w:kern w:val="0"/>
              </w:rPr>
              <w:t>路号</w:t>
            </w: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法人代表</w:t>
            </w:r>
          </w:p>
        </w:tc>
        <w:tc>
          <w:tcPr>
            <w:tcW w:w="2764"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c>
          <w:tcPr>
            <w:tcW w:w="2003" w:type="dxa"/>
            <w:gridSpan w:val="3"/>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联系电话</w:t>
            </w:r>
          </w:p>
        </w:tc>
        <w:tc>
          <w:tcPr>
            <w:tcW w:w="2744"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传真</w:t>
            </w:r>
          </w:p>
        </w:tc>
        <w:tc>
          <w:tcPr>
            <w:tcW w:w="2764"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c>
          <w:tcPr>
            <w:tcW w:w="2003" w:type="dxa"/>
            <w:gridSpan w:val="3"/>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kern w:val="0"/>
              </w:rPr>
              <w:t>Email</w:t>
            </w:r>
          </w:p>
        </w:tc>
        <w:tc>
          <w:tcPr>
            <w:tcW w:w="2744"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发生位置</w:t>
            </w:r>
          </w:p>
        </w:tc>
        <w:tc>
          <w:tcPr>
            <w:tcW w:w="2764"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c>
          <w:tcPr>
            <w:tcW w:w="2003" w:type="dxa"/>
            <w:gridSpan w:val="3"/>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设备设施名称</w:t>
            </w:r>
          </w:p>
        </w:tc>
        <w:tc>
          <w:tcPr>
            <w:tcW w:w="2744" w:type="dxa"/>
            <w:gridSpan w:val="2"/>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物料名称</w:t>
            </w:r>
          </w:p>
        </w:tc>
        <w:tc>
          <w:tcPr>
            <w:tcW w:w="7511" w:type="dxa"/>
            <w:gridSpan w:val="7"/>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类型</w:t>
            </w:r>
          </w:p>
        </w:tc>
        <w:tc>
          <w:tcPr>
            <w:tcW w:w="7511" w:type="dxa"/>
            <w:gridSpan w:val="7"/>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kern w:val="0"/>
              </w:rPr>
              <w:t>□</w:t>
            </w:r>
            <w:r>
              <w:rPr>
                <w:rFonts w:hint="eastAsia" w:cs="宋体"/>
                <w:kern w:val="0"/>
              </w:rPr>
              <w:t>火灾</w:t>
            </w:r>
            <w:r>
              <w:rPr>
                <w:kern w:val="0"/>
              </w:rPr>
              <w:tab/>
            </w:r>
            <w:r>
              <w:rPr>
                <w:kern w:val="0"/>
              </w:rPr>
              <w:t>□</w:t>
            </w:r>
            <w:r>
              <w:rPr>
                <w:rFonts w:hint="eastAsia" w:cs="宋体"/>
                <w:kern w:val="0"/>
              </w:rPr>
              <w:t>泄漏</w:t>
            </w:r>
            <w:r>
              <w:rPr>
                <w:kern w:val="0"/>
              </w:rPr>
              <w:tab/>
            </w:r>
            <w:r>
              <w:rPr>
                <w:kern w:val="0"/>
              </w:rPr>
              <w:t>□</w:t>
            </w:r>
            <w:r>
              <w:rPr>
                <w:rFonts w:hint="eastAsia" w:cs="宋体"/>
                <w:kern w:val="0"/>
              </w:rPr>
              <w:t>爆炸</w:t>
            </w:r>
            <w:r>
              <w:rPr>
                <w:kern w:val="0"/>
              </w:rPr>
              <w:tab/>
            </w:r>
            <w:r>
              <w:rPr>
                <w:kern w:val="0"/>
              </w:rPr>
              <w:t>□</w:t>
            </w:r>
            <w:r>
              <w:rPr>
                <w:rFonts w:hint="eastAsia" w:cs="宋体"/>
                <w:kern w:val="0"/>
              </w:rPr>
              <w:t>其它</w:t>
            </w: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污染物名称</w:t>
            </w:r>
          </w:p>
        </w:tc>
        <w:tc>
          <w:tcPr>
            <w:tcW w:w="4132" w:type="dxa"/>
            <w:gridSpan w:val="4"/>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数量</w:t>
            </w:r>
          </w:p>
        </w:tc>
        <w:tc>
          <w:tcPr>
            <w:tcW w:w="3379" w:type="dxa"/>
            <w:gridSpan w:val="3"/>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排放去向</w:t>
            </w: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c>
          <w:tcPr>
            <w:tcW w:w="4132" w:type="dxa"/>
            <w:gridSpan w:val="4"/>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c>
          <w:tcPr>
            <w:tcW w:w="3379" w:type="dxa"/>
            <w:gridSpan w:val="3"/>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c>
          <w:tcPr>
            <w:tcW w:w="4132" w:type="dxa"/>
            <w:gridSpan w:val="4"/>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c>
          <w:tcPr>
            <w:tcW w:w="3379" w:type="dxa"/>
            <w:gridSpan w:val="3"/>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已污染的范围</w:t>
            </w:r>
          </w:p>
        </w:tc>
        <w:tc>
          <w:tcPr>
            <w:tcW w:w="7511" w:type="dxa"/>
            <w:gridSpan w:val="7"/>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可能受影响区域</w:t>
            </w:r>
          </w:p>
        </w:tc>
        <w:tc>
          <w:tcPr>
            <w:tcW w:w="7511" w:type="dxa"/>
            <w:gridSpan w:val="7"/>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潜在的危害程度转</w:t>
            </w:r>
          </w:p>
          <w:p>
            <w:pPr>
              <w:pStyle w:val="43"/>
              <w:rPr>
                <w:kern w:val="0"/>
              </w:rPr>
            </w:pPr>
            <w:r>
              <w:rPr>
                <w:rFonts w:hint="eastAsia" w:cs="宋体"/>
                <w:kern w:val="0"/>
              </w:rPr>
              <w:t>化方式趋向</w:t>
            </w:r>
          </w:p>
        </w:tc>
        <w:tc>
          <w:tcPr>
            <w:tcW w:w="7511" w:type="dxa"/>
            <w:gridSpan w:val="7"/>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已采取的应急措施</w:t>
            </w:r>
          </w:p>
        </w:tc>
        <w:tc>
          <w:tcPr>
            <w:tcW w:w="7511" w:type="dxa"/>
            <w:gridSpan w:val="7"/>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r>
              <w:rPr>
                <w:rFonts w:hint="eastAsia" w:cs="宋体"/>
                <w:kern w:val="0"/>
              </w:rPr>
              <w:t>建议采取措施</w:t>
            </w:r>
          </w:p>
        </w:tc>
        <w:tc>
          <w:tcPr>
            <w:tcW w:w="7511" w:type="dxa"/>
            <w:gridSpan w:val="7"/>
            <w:tcBorders>
              <w:top w:val="single" w:color="000000" w:sz="6" w:space="0"/>
              <w:left w:val="single" w:color="000000" w:sz="4" w:space="0"/>
              <w:bottom w:val="single" w:color="000000" w:sz="6" w:space="0"/>
              <w:right w:val="single" w:color="000000" w:sz="4" w:space="0"/>
            </w:tcBorders>
            <w:noWrap w:val="0"/>
            <w:vAlign w:val="center"/>
          </w:tcPr>
          <w:p>
            <w:pPr>
              <w:pStyle w:val="43"/>
              <w:rPr>
                <w:kern w:val="0"/>
              </w:rPr>
            </w:pPr>
          </w:p>
        </w:tc>
      </w:tr>
      <w:tr>
        <w:tblPrEx>
          <w:tblCellMar>
            <w:top w:w="0" w:type="dxa"/>
            <w:left w:w="0" w:type="dxa"/>
            <w:bottom w:w="0" w:type="dxa"/>
            <w:right w:w="0" w:type="dxa"/>
          </w:tblCellMar>
        </w:tblPrEx>
        <w:trPr>
          <w:trHeight w:val="454" w:hRule="atLeast"/>
          <w:jc w:val="center"/>
        </w:trPr>
        <w:tc>
          <w:tcPr>
            <w:tcW w:w="2128" w:type="dxa"/>
            <w:tcBorders>
              <w:top w:val="single" w:color="000000" w:sz="6" w:space="0"/>
              <w:left w:val="single" w:color="000000" w:sz="4" w:space="0"/>
              <w:bottom w:val="single" w:color="000000" w:sz="4" w:space="0"/>
              <w:right w:val="single" w:color="000000" w:sz="4" w:space="0"/>
            </w:tcBorders>
            <w:noWrap w:val="0"/>
            <w:vAlign w:val="center"/>
          </w:tcPr>
          <w:p>
            <w:pPr>
              <w:pStyle w:val="43"/>
              <w:rPr>
                <w:kern w:val="0"/>
              </w:rPr>
            </w:pPr>
            <w:r>
              <w:rPr>
                <w:rFonts w:hint="eastAsia" w:cs="宋体"/>
                <w:kern w:val="0"/>
              </w:rPr>
              <w:t>直接人员伤亡和财</w:t>
            </w:r>
          </w:p>
          <w:p>
            <w:pPr>
              <w:pStyle w:val="43"/>
              <w:rPr>
                <w:kern w:val="0"/>
              </w:rPr>
            </w:pPr>
            <w:r>
              <w:rPr>
                <w:rFonts w:hint="eastAsia" w:cs="宋体"/>
                <w:kern w:val="0"/>
              </w:rPr>
              <w:t>产经济损失</w:t>
            </w:r>
          </w:p>
        </w:tc>
        <w:tc>
          <w:tcPr>
            <w:tcW w:w="7511" w:type="dxa"/>
            <w:gridSpan w:val="7"/>
            <w:tcBorders>
              <w:top w:val="single" w:color="000000" w:sz="6" w:space="0"/>
              <w:left w:val="single" w:color="000000" w:sz="4" w:space="0"/>
              <w:bottom w:val="single" w:color="000000" w:sz="4" w:space="0"/>
              <w:right w:val="single" w:color="000000" w:sz="4" w:space="0"/>
            </w:tcBorders>
            <w:noWrap w:val="0"/>
            <w:vAlign w:val="center"/>
          </w:tcPr>
          <w:p>
            <w:pPr>
              <w:pStyle w:val="43"/>
              <w:rPr>
                <w:kern w:val="0"/>
              </w:rPr>
            </w:pPr>
          </w:p>
        </w:tc>
      </w:tr>
    </w:tbl>
    <w:p>
      <w:pPr>
        <w:ind w:firstLine="31680"/>
        <w:rPr>
          <w:snapToGrid w:val="0"/>
        </w:rPr>
        <w:sectPr>
          <w:pgSz w:w="11906" w:h="16838"/>
          <w:pgMar w:top="1134" w:right="1134" w:bottom="1134" w:left="1134" w:header="851" w:footer="992" w:gutter="0"/>
          <w:pgBorders>
            <w:top w:val="none" w:sz="0" w:space="0"/>
            <w:left w:val="none" w:sz="0" w:space="0"/>
            <w:bottom w:val="none" w:sz="0" w:space="0"/>
            <w:right w:val="none" w:sz="0" w:space="0"/>
          </w:pgBorders>
          <w:pgNumType w:fmt="decimalFullWidth"/>
          <w:cols w:space="720" w:num="1"/>
          <w:docGrid w:type="lines" w:linePitch="381" w:charSpace="0"/>
        </w:sectPr>
      </w:pPr>
    </w:p>
    <w:p>
      <w:pPr>
        <w:ind w:firstLine="31680"/>
        <w:rPr>
          <w:snapToGrid w:val="0"/>
        </w:rPr>
      </w:pPr>
    </w:p>
    <w:p>
      <w:pPr>
        <w:ind w:firstLine="31680"/>
        <w:jc w:val="center"/>
        <w:rPr>
          <w:snapToGrid w:val="0"/>
        </w:rPr>
      </w:pPr>
      <w:r>
        <w:rPr>
          <w:rFonts w:hint="eastAsia" w:cs="宋体"/>
          <w:snapToGrid w:val="0"/>
        </w:rPr>
        <w:t>公司突发环境事件报告表</w:t>
      </w:r>
      <w:r>
        <w:rPr>
          <w:snapToGrid w:val="0"/>
        </w:rPr>
        <w:t>(</w:t>
      </w:r>
      <w:r>
        <w:rPr>
          <w:rFonts w:hint="eastAsia" w:cs="宋体"/>
          <w:snapToGrid w:val="0"/>
        </w:rPr>
        <w:t>处理结果报告</w:t>
      </w:r>
      <w:r>
        <w:rPr>
          <w:snapToGrid w:val="0"/>
        </w:rPr>
        <w:t>)</w:t>
      </w:r>
    </w:p>
    <w:tbl>
      <w:tblPr>
        <w:tblStyle w:val="16"/>
        <w:tblW w:w="9639" w:type="dxa"/>
        <w:jc w:val="center"/>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Layout w:type="fixed"/>
        <w:tblCellMar>
          <w:top w:w="0" w:type="dxa"/>
          <w:left w:w="0" w:type="dxa"/>
          <w:bottom w:w="0" w:type="dxa"/>
          <w:right w:w="0" w:type="dxa"/>
        </w:tblCellMar>
      </w:tblPr>
      <w:tblGrid>
        <w:gridCol w:w="238"/>
        <w:gridCol w:w="1825"/>
        <w:gridCol w:w="533"/>
        <w:gridCol w:w="847"/>
        <w:gridCol w:w="1852"/>
        <w:gridCol w:w="1411"/>
        <w:gridCol w:w="2933"/>
      </w:tblGrid>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tcBorders>
              <w:tl2br w:val="nil"/>
              <w:tr2bl w:val="nil"/>
            </w:tcBorders>
            <w:noWrap w:val="0"/>
            <w:vAlign w:val="center"/>
          </w:tcPr>
          <w:p>
            <w:pPr>
              <w:pStyle w:val="43"/>
              <w:rPr>
                <w:kern w:val="0"/>
              </w:rPr>
            </w:pPr>
            <w:r>
              <w:rPr>
                <w:rFonts w:hint="eastAsia" w:cs="宋体"/>
                <w:kern w:val="0"/>
              </w:rPr>
              <w:t>报告方式</w:t>
            </w:r>
          </w:p>
        </w:tc>
        <w:tc>
          <w:tcPr>
            <w:tcW w:w="3232" w:type="dxa"/>
            <w:gridSpan w:val="3"/>
            <w:tcBorders>
              <w:tl2br w:val="nil"/>
              <w:tr2bl w:val="nil"/>
            </w:tcBorders>
            <w:noWrap w:val="0"/>
            <w:vAlign w:val="center"/>
          </w:tcPr>
          <w:p>
            <w:pPr>
              <w:pStyle w:val="43"/>
              <w:rPr>
                <w:kern w:val="0"/>
              </w:rPr>
            </w:pPr>
            <w:r>
              <w:rPr>
                <w:rFonts w:hint="eastAsia" w:cs="宋体"/>
                <w:kern w:val="0"/>
              </w:rPr>
              <w:t>电话报告或网络报告</w:t>
            </w:r>
          </w:p>
        </w:tc>
        <w:tc>
          <w:tcPr>
            <w:tcW w:w="1411" w:type="dxa"/>
            <w:tcBorders>
              <w:tl2br w:val="nil"/>
              <w:tr2bl w:val="nil"/>
            </w:tcBorders>
            <w:noWrap w:val="0"/>
            <w:vAlign w:val="center"/>
          </w:tcPr>
          <w:p>
            <w:pPr>
              <w:pStyle w:val="43"/>
              <w:rPr>
                <w:kern w:val="0"/>
              </w:rPr>
            </w:pPr>
            <w:r>
              <w:rPr>
                <w:rFonts w:hint="eastAsia" w:cs="宋体"/>
                <w:kern w:val="0"/>
              </w:rPr>
              <w:t>报告人</w:t>
            </w:r>
          </w:p>
        </w:tc>
        <w:tc>
          <w:tcPr>
            <w:tcW w:w="2933" w:type="dxa"/>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tcBorders>
              <w:tl2br w:val="nil"/>
              <w:tr2bl w:val="nil"/>
            </w:tcBorders>
            <w:noWrap w:val="0"/>
            <w:vAlign w:val="center"/>
          </w:tcPr>
          <w:p>
            <w:pPr>
              <w:pStyle w:val="43"/>
              <w:rPr>
                <w:kern w:val="0"/>
              </w:rPr>
            </w:pPr>
            <w:r>
              <w:rPr>
                <w:rFonts w:hint="eastAsia" w:cs="宋体"/>
                <w:kern w:val="0"/>
              </w:rPr>
              <w:t>报告时间</w:t>
            </w:r>
          </w:p>
        </w:tc>
        <w:tc>
          <w:tcPr>
            <w:tcW w:w="1380" w:type="dxa"/>
            <w:gridSpan w:val="2"/>
            <w:tcBorders>
              <w:tl2br w:val="nil"/>
              <w:tr2bl w:val="nil"/>
            </w:tcBorders>
            <w:noWrap w:val="0"/>
            <w:vAlign w:val="center"/>
          </w:tcPr>
          <w:p>
            <w:pPr>
              <w:pStyle w:val="43"/>
              <w:rPr>
                <w:kern w:val="0"/>
              </w:rPr>
            </w:pPr>
            <w:r>
              <w:rPr>
                <w:rFonts w:hint="eastAsia" w:cs="宋体"/>
                <w:kern w:val="0"/>
              </w:rPr>
              <w:t>年</w:t>
            </w:r>
          </w:p>
        </w:tc>
        <w:tc>
          <w:tcPr>
            <w:tcW w:w="1852" w:type="dxa"/>
            <w:tcBorders>
              <w:tl2br w:val="nil"/>
              <w:tr2bl w:val="nil"/>
            </w:tcBorders>
            <w:noWrap w:val="0"/>
            <w:vAlign w:val="center"/>
          </w:tcPr>
          <w:p>
            <w:pPr>
              <w:pStyle w:val="43"/>
              <w:rPr>
                <w:kern w:val="0"/>
              </w:rPr>
            </w:pPr>
            <w:r>
              <w:rPr>
                <w:rFonts w:hint="eastAsia" w:cs="宋体"/>
                <w:kern w:val="0"/>
              </w:rPr>
              <w:t>月</w:t>
            </w:r>
          </w:p>
        </w:tc>
        <w:tc>
          <w:tcPr>
            <w:tcW w:w="4344" w:type="dxa"/>
            <w:gridSpan w:val="2"/>
            <w:tcBorders>
              <w:tl2br w:val="nil"/>
              <w:tr2bl w:val="nil"/>
            </w:tcBorders>
            <w:noWrap w:val="0"/>
            <w:vAlign w:val="center"/>
          </w:tcPr>
          <w:p>
            <w:pPr>
              <w:pStyle w:val="43"/>
              <w:rPr>
                <w:kern w:val="0"/>
              </w:rPr>
            </w:pPr>
            <w:r>
              <w:rPr>
                <w:rFonts w:hint="eastAsia" w:cs="宋体"/>
                <w:kern w:val="0"/>
              </w:rPr>
              <w:t>日</w:t>
            </w:r>
            <w:r>
              <w:rPr>
                <w:kern w:val="0"/>
              </w:rPr>
              <w:tab/>
            </w:r>
            <w:r>
              <w:rPr>
                <w:rFonts w:hint="eastAsia" w:cs="宋体"/>
                <w:kern w:val="0"/>
              </w:rPr>
              <w:t>时</w:t>
            </w:r>
            <w:r>
              <w:rPr>
                <w:kern w:val="0"/>
              </w:rPr>
              <w:tab/>
            </w:r>
            <w:r>
              <w:rPr>
                <w:rFonts w:hint="eastAsia" w:cs="宋体"/>
                <w:kern w:val="0"/>
              </w:rPr>
              <w:t>分</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vMerge w:val="restart"/>
            <w:tcBorders>
              <w:tl2br w:val="nil"/>
              <w:tr2bl w:val="nil"/>
            </w:tcBorders>
            <w:noWrap w:val="0"/>
            <w:vAlign w:val="center"/>
          </w:tcPr>
          <w:p>
            <w:pPr>
              <w:pStyle w:val="43"/>
              <w:rPr>
                <w:kern w:val="0"/>
              </w:rPr>
            </w:pPr>
            <w:r>
              <w:rPr>
                <w:rFonts w:hint="eastAsia" w:cs="宋体"/>
                <w:kern w:val="0"/>
              </w:rPr>
              <w:t>报告顺序</w:t>
            </w:r>
          </w:p>
        </w:tc>
        <w:tc>
          <w:tcPr>
            <w:tcW w:w="533" w:type="dxa"/>
            <w:tcBorders>
              <w:tl2br w:val="nil"/>
              <w:tr2bl w:val="nil"/>
            </w:tcBorders>
            <w:noWrap w:val="0"/>
            <w:vAlign w:val="center"/>
          </w:tcPr>
          <w:p>
            <w:pPr>
              <w:pStyle w:val="43"/>
              <w:rPr>
                <w:kern w:val="0"/>
              </w:rPr>
            </w:pPr>
            <w:r>
              <w:rPr>
                <w:kern w:val="0"/>
              </w:rPr>
              <w:t>1</w:t>
            </w:r>
          </w:p>
        </w:tc>
        <w:tc>
          <w:tcPr>
            <w:tcW w:w="2699" w:type="dxa"/>
            <w:gridSpan w:val="2"/>
            <w:tcBorders>
              <w:tl2br w:val="nil"/>
              <w:tr2bl w:val="nil"/>
            </w:tcBorders>
            <w:noWrap w:val="0"/>
            <w:vAlign w:val="center"/>
          </w:tcPr>
          <w:p>
            <w:pPr>
              <w:pStyle w:val="43"/>
              <w:rPr>
                <w:kern w:val="0"/>
              </w:rPr>
            </w:pPr>
            <w:r>
              <w:rPr>
                <w:rFonts w:hint="eastAsia" w:cs="宋体"/>
                <w:kern w:val="0"/>
              </w:rPr>
              <w:t>公司应急指挥中心</w:t>
            </w:r>
          </w:p>
        </w:tc>
        <w:tc>
          <w:tcPr>
            <w:tcW w:w="1411" w:type="dxa"/>
            <w:tcBorders>
              <w:tl2br w:val="nil"/>
              <w:tr2bl w:val="nil"/>
            </w:tcBorders>
            <w:noWrap w:val="0"/>
            <w:vAlign w:val="center"/>
          </w:tcPr>
          <w:p>
            <w:pPr>
              <w:pStyle w:val="43"/>
              <w:rPr>
                <w:kern w:val="0"/>
              </w:rPr>
            </w:pPr>
          </w:p>
        </w:tc>
        <w:tc>
          <w:tcPr>
            <w:tcW w:w="2933" w:type="dxa"/>
            <w:tcBorders>
              <w:tl2br w:val="nil"/>
              <w:tr2bl w:val="nil"/>
            </w:tcBorders>
            <w:noWrap w:val="0"/>
            <w:vAlign w:val="center"/>
          </w:tcPr>
          <w:p>
            <w:pPr>
              <w:pStyle w:val="43"/>
              <w:rPr>
                <w:kern w:val="0"/>
              </w:rPr>
            </w:pPr>
            <w:r>
              <w:rPr>
                <w:rFonts w:hint="eastAsia" w:cs="宋体"/>
                <w:kern w:val="0"/>
              </w:rPr>
              <w:t>当班调度通知相关部门</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vMerge w:val="continue"/>
            <w:tcBorders>
              <w:tl2br w:val="nil"/>
              <w:tr2bl w:val="nil"/>
            </w:tcBorders>
            <w:noWrap w:val="0"/>
            <w:vAlign w:val="center"/>
          </w:tcPr>
          <w:p>
            <w:pPr>
              <w:ind w:firstLine="31680"/>
            </w:pPr>
          </w:p>
        </w:tc>
        <w:tc>
          <w:tcPr>
            <w:tcW w:w="533" w:type="dxa"/>
            <w:tcBorders>
              <w:tl2br w:val="nil"/>
              <w:tr2bl w:val="nil"/>
            </w:tcBorders>
            <w:noWrap w:val="0"/>
            <w:vAlign w:val="center"/>
          </w:tcPr>
          <w:p>
            <w:pPr>
              <w:pStyle w:val="43"/>
              <w:rPr>
                <w:kern w:val="0"/>
              </w:rPr>
            </w:pPr>
            <w:r>
              <w:rPr>
                <w:kern w:val="0"/>
              </w:rPr>
              <w:t>2</w:t>
            </w:r>
          </w:p>
        </w:tc>
        <w:tc>
          <w:tcPr>
            <w:tcW w:w="2699" w:type="dxa"/>
            <w:gridSpan w:val="2"/>
            <w:tcBorders>
              <w:tl2br w:val="nil"/>
              <w:tr2bl w:val="nil"/>
            </w:tcBorders>
            <w:noWrap w:val="0"/>
            <w:vAlign w:val="center"/>
          </w:tcPr>
          <w:p>
            <w:pPr>
              <w:pStyle w:val="43"/>
              <w:rPr>
                <w:rFonts w:hint="eastAsia" w:eastAsia="宋体"/>
                <w:kern w:val="0"/>
                <w:lang w:eastAsia="zh-CN"/>
              </w:rPr>
            </w:pPr>
            <w:r>
              <w:rPr>
                <w:rFonts w:hint="eastAsia" w:cs="宋体"/>
                <w:kern w:val="0"/>
                <w:lang w:eastAsia="zh-CN"/>
              </w:rPr>
              <w:t>南昌市生态环境</w:t>
            </w:r>
            <w:r>
              <w:rPr>
                <w:rFonts w:hint="eastAsia" w:cs="宋体"/>
                <w:kern w:val="0"/>
              </w:rPr>
              <w:t>局</w:t>
            </w:r>
            <w:r>
              <w:rPr>
                <w:rFonts w:hint="eastAsia" w:cs="宋体"/>
                <w:kern w:val="0"/>
                <w:lang w:eastAsia="zh-CN"/>
              </w:rPr>
              <w:t>昌北分局</w:t>
            </w:r>
          </w:p>
        </w:tc>
        <w:tc>
          <w:tcPr>
            <w:tcW w:w="1411" w:type="dxa"/>
            <w:tcBorders>
              <w:tl2br w:val="nil"/>
              <w:tr2bl w:val="nil"/>
            </w:tcBorders>
            <w:noWrap w:val="0"/>
            <w:vAlign w:val="center"/>
          </w:tcPr>
          <w:p>
            <w:pPr>
              <w:pStyle w:val="43"/>
              <w:rPr>
                <w:kern w:val="0"/>
              </w:rPr>
            </w:pPr>
          </w:p>
        </w:tc>
        <w:tc>
          <w:tcPr>
            <w:tcW w:w="2933" w:type="dxa"/>
            <w:tcBorders>
              <w:tl2br w:val="nil"/>
              <w:tr2bl w:val="nil"/>
            </w:tcBorders>
            <w:noWrap w:val="0"/>
            <w:vAlign w:val="center"/>
          </w:tcPr>
          <w:p>
            <w:pPr>
              <w:pStyle w:val="43"/>
              <w:rPr>
                <w:kern w:val="0"/>
              </w:rPr>
            </w:pPr>
            <w:r>
              <w:rPr>
                <w:rFonts w:hint="eastAsia" w:cs="宋体"/>
                <w:kern w:val="0"/>
              </w:rPr>
              <w:t>据事件级别逐级上报</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vMerge w:val="continue"/>
            <w:tcBorders>
              <w:tl2br w:val="nil"/>
              <w:tr2bl w:val="nil"/>
            </w:tcBorders>
            <w:noWrap w:val="0"/>
            <w:vAlign w:val="center"/>
          </w:tcPr>
          <w:p>
            <w:pPr>
              <w:ind w:firstLine="31680"/>
            </w:pPr>
          </w:p>
        </w:tc>
        <w:tc>
          <w:tcPr>
            <w:tcW w:w="533" w:type="dxa"/>
            <w:tcBorders>
              <w:tl2br w:val="nil"/>
              <w:tr2bl w:val="nil"/>
            </w:tcBorders>
            <w:noWrap w:val="0"/>
            <w:vAlign w:val="center"/>
          </w:tcPr>
          <w:p>
            <w:pPr>
              <w:pStyle w:val="43"/>
              <w:rPr>
                <w:kern w:val="0"/>
              </w:rPr>
            </w:pPr>
            <w:r>
              <w:rPr>
                <w:kern w:val="0"/>
              </w:rPr>
              <w:t>3</w:t>
            </w:r>
          </w:p>
        </w:tc>
        <w:tc>
          <w:tcPr>
            <w:tcW w:w="2699" w:type="dxa"/>
            <w:gridSpan w:val="2"/>
            <w:tcBorders>
              <w:tl2br w:val="nil"/>
              <w:tr2bl w:val="nil"/>
            </w:tcBorders>
            <w:noWrap w:val="0"/>
            <w:vAlign w:val="center"/>
          </w:tcPr>
          <w:p>
            <w:pPr>
              <w:pStyle w:val="43"/>
              <w:rPr>
                <w:kern w:val="0"/>
              </w:rPr>
            </w:pPr>
            <w:r>
              <w:rPr>
                <w:rFonts w:hint="eastAsia" w:cs="宋体"/>
                <w:kern w:val="0"/>
                <w:lang w:eastAsia="zh-CN"/>
              </w:rPr>
              <w:t>南昌市经开区应急</w:t>
            </w:r>
            <w:r>
              <w:rPr>
                <w:rFonts w:hint="eastAsia" w:cs="宋体"/>
                <w:kern w:val="0"/>
              </w:rPr>
              <w:t>局</w:t>
            </w:r>
          </w:p>
        </w:tc>
        <w:tc>
          <w:tcPr>
            <w:tcW w:w="1411" w:type="dxa"/>
            <w:tcBorders>
              <w:tl2br w:val="nil"/>
              <w:tr2bl w:val="nil"/>
            </w:tcBorders>
            <w:noWrap w:val="0"/>
            <w:vAlign w:val="center"/>
          </w:tcPr>
          <w:p>
            <w:pPr>
              <w:pStyle w:val="43"/>
              <w:rPr>
                <w:kern w:val="0"/>
              </w:rPr>
            </w:pPr>
          </w:p>
        </w:tc>
        <w:tc>
          <w:tcPr>
            <w:tcW w:w="2933" w:type="dxa"/>
            <w:tcBorders>
              <w:tl2br w:val="nil"/>
              <w:tr2bl w:val="nil"/>
            </w:tcBorders>
            <w:noWrap w:val="0"/>
            <w:vAlign w:val="center"/>
          </w:tcPr>
          <w:p>
            <w:pPr>
              <w:pStyle w:val="43"/>
              <w:rPr>
                <w:kern w:val="0"/>
              </w:rPr>
            </w:pPr>
            <w:r>
              <w:rPr>
                <w:rFonts w:hint="eastAsia" w:cs="宋体"/>
                <w:kern w:val="0"/>
              </w:rPr>
              <w:t>据事件级别逐级上报</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vMerge w:val="continue"/>
            <w:tcBorders>
              <w:tl2br w:val="nil"/>
              <w:tr2bl w:val="nil"/>
            </w:tcBorders>
            <w:noWrap w:val="0"/>
            <w:vAlign w:val="center"/>
          </w:tcPr>
          <w:p>
            <w:pPr>
              <w:ind w:firstLine="31680"/>
            </w:pPr>
          </w:p>
        </w:tc>
        <w:tc>
          <w:tcPr>
            <w:tcW w:w="533" w:type="dxa"/>
            <w:tcBorders>
              <w:tl2br w:val="nil"/>
              <w:tr2bl w:val="nil"/>
            </w:tcBorders>
            <w:noWrap w:val="0"/>
            <w:vAlign w:val="center"/>
          </w:tcPr>
          <w:p>
            <w:pPr>
              <w:pStyle w:val="43"/>
              <w:rPr>
                <w:kern w:val="0"/>
              </w:rPr>
            </w:pPr>
            <w:r>
              <w:rPr>
                <w:kern w:val="0"/>
              </w:rPr>
              <w:t>4</w:t>
            </w:r>
          </w:p>
        </w:tc>
        <w:tc>
          <w:tcPr>
            <w:tcW w:w="2699" w:type="dxa"/>
            <w:gridSpan w:val="2"/>
            <w:tcBorders>
              <w:tl2br w:val="nil"/>
              <w:tr2bl w:val="nil"/>
            </w:tcBorders>
            <w:noWrap w:val="0"/>
            <w:vAlign w:val="center"/>
          </w:tcPr>
          <w:p>
            <w:pPr>
              <w:pStyle w:val="43"/>
              <w:rPr>
                <w:kern w:val="0"/>
              </w:rPr>
            </w:pPr>
            <w:r>
              <w:rPr>
                <w:rFonts w:hint="eastAsia" w:cs="宋体"/>
                <w:kern w:val="0"/>
                <w:lang w:eastAsia="zh-CN"/>
              </w:rPr>
              <w:t>南昌市经开区</w:t>
            </w:r>
            <w:r>
              <w:rPr>
                <w:rFonts w:hint="eastAsia" w:cs="宋体"/>
              </w:rPr>
              <w:t>消防大队</w:t>
            </w:r>
          </w:p>
        </w:tc>
        <w:tc>
          <w:tcPr>
            <w:tcW w:w="1411" w:type="dxa"/>
            <w:tcBorders>
              <w:tl2br w:val="nil"/>
              <w:tr2bl w:val="nil"/>
            </w:tcBorders>
            <w:noWrap w:val="0"/>
            <w:vAlign w:val="center"/>
          </w:tcPr>
          <w:p>
            <w:pPr>
              <w:pStyle w:val="43"/>
              <w:rPr>
                <w:kern w:val="0"/>
              </w:rPr>
            </w:pPr>
          </w:p>
        </w:tc>
        <w:tc>
          <w:tcPr>
            <w:tcW w:w="2933" w:type="dxa"/>
            <w:tcBorders>
              <w:tl2br w:val="nil"/>
              <w:tr2bl w:val="nil"/>
            </w:tcBorders>
            <w:noWrap w:val="0"/>
            <w:vAlign w:val="center"/>
          </w:tcPr>
          <w:p>
            <w:pPr>
              <w:pStyle w:val="43"/>
              <w:rPr>
                <w:kern w:val="0"/>
              </w:rPr>
            </w:pPr>
            <w:r>
              <w:rPr>
                <w:rFonts w:hint="eastAsia" w:cs="宋体"/>
                <w:kern w:val="0"/>
              </w:rPr>
              <w:t>据事件级别逐级上报</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tcBorders>
              <w:tl2br w:val="nil"/>
              <w:tr2bl w:val="nil"/>
            </w:tcBorders>
            <w:noWrap w:val="0"/>
            <w:vAlign w:val="center"/>
          </w:tcPr>
          <w:p>
            <w:pPr>
              <w:pStyle w:val="43"/>
              <w:rPr>
                <w:kern w:val="0"/>
              </w:rPr>
            </w:pPr>
            <w:r>
              <w:rPr>
                <w:rFonts w:hint="eastAsia" w:cs="宋体"/>
                <w:kern w:val="0"/>
              </w:rPr>
              <w:t>单位名称</w:t>
            </w:r>
          </w:p>
        </w:tc>
        <w:tc>
          <w:tcPr>
            <w:tcW w:w="7576" w:type="dxa"/>
            <w:gridSpan w:val="5"/>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tcBorders>
              <w:tl2br w:val="nil"/>
              <w:tr2bl w:val="nil"/>
            </w:tcBorders>
            <w:noWrap w:val="0"/>
            <w:vAlign w:val="center"/>
          </w:tcPr>
          <w:p>
            <w:pPr>
              <w:pStyle w:val="43"/>
              <w:rPr>
                <w:kern w:val="0"/>
              </w:rPr>
            </w:pPr>
            <w:r>
              <w:rPr>
                <w:rFonts w:hint="eastAsia" w:cs="宋体"/>
                <w:kern w:val="0"/>
              </w:rPr>
              <w:t>地址</w:t>
            </w:r>
          </w:p>
        </w:tc>
        <w:tc>
          <w:tcPr>
            <w:tcW w:w="1380" w:type="dxa"/>
            <w:gridSpan w:val="2"/>
            <w:tcBorders>
              <w:tl2br w:val="nil"/>
              <w:tr2bl w:val="nil"/>
            </w:tcBorders>
            <w:noWrap w:val="0"/>
            <w:vAlign w:val="center"/>
          </w:tcPr>
          <w:p>
            <w:pPr>
              <w:pStyle w:val="43"/>
              <w:rPr>
                <w:kern w:val="0"/>
              </w:rPr>
            </w:pPr>
            <w:r>
              <w:rPr>
                <w:rFonts w:hint="eastAsia" w:cs="宋体"/>
                <w:kern w:val="0"/>
              </w:rPr>
              <w:t>省</w:t>
            </w:r>
          </w:p>
        </w:tc>
        <w:tc>
          <w:tcPr>
            <w:tcW w:w="1852" w:type="dxa"/>
            <w:tcBorders>
              <w:tl2br w:val="nil"/>
              <w:tr2bl w:val="nil"/>
            </w:tcBorders>
            <w:noWrap w:val="0"/>
            <w:vAlign w:val="center"/>
          </w:tcPr>
          <w:p>
            <w:pPr>
              <w:pStyle w:val="43"/>
              <w:rPr>
                <w:kern w:val="0"/>
              </w:rPr>
            </w:pPr>
            <w:r>
              <w:rPr>
                <w:rFonts w:hint="eastAsia" w:cs="宋体"/>
                <w:kern w:val="0"/>
              </w:rPr>
              <w:t>市</w:t>
            </w:r>
            <w:r>
              <w:rPr>
                <w:kern w:val="0"/>
              </w:rPr>
              <w:tab/>
            </w:r>
            <w:r>
              <w:rPr>
                <w:rFonts w:hint="eastAsia" w:cs="宋体"/>
                <w:kern w:val="0"/>
              </w:rPr>
              <w:t>区</w:t>
            </w:r>
          </w:p>
        </w:tc>
        <w:tc>
          <w:tcPr>
            <w:tcW w:w="4344" w:type="dxa"/>
            <w:gridSpan w:val="2"/>
            <w:tcBorders>
              <w:tl2br w:val="nil"/>
              <w:tr2bl w:val="nil"/>
            </w:tcBorders>
            <w:noWrap w:val="0"/>
            <w:vAlign w:val="center"/>
          </w:tcPr>
          <w:p>
            <w:pPr>
              <w:pStyle w:val="43"/>
              <w:rPr>
                <w:kern w:val="0"/>
              </w:rPr>
            </w:pPr>
            <w:r>
              <w:rPr>
                <w:rFonts w:hint="eastAsia" w:cs="宋体"/>
                <w:kern w:val="0"/>
              </w:rPr>
              <w:t>街道</w:t>
            </w:r>
            <w:r>
              <w:rPr>
                <w:kern w:val="0"/>
              </w:rPr>
              <w:t>(</w:t>
            </w:r>
            <w:r>
              <w:rPr>
                <w:rFonts w:hint="eastAsia" w:cs="宋体"/>
                <w:kern w:val="0"/>
              </w:rPr>
              <w:t>乡、镇</w:t>
            </w:r>
            <w:r>
              <w:rPr>
                <w:kern w:val="0"/>
              </w:rPr>
              <w:t>)</w:t>
            </w:r>
            <w:r>
              <w:rPr>
                <w:kern w:val="0"/>
              </w:rPr>
              <w:tab/>
            </w:r>
            <w:r>
              <w:rPr>
                <w:rFonts w:hint="eastAsia" w:cs="宋体"/>
                <w:kern w:val="0"/>
              </w:rPr>
              <w:t>路</w:t>
            </w:r>
            <w:r>
              <w:rPr>
                <w:kern w:val="0"/>
              </w:rPr>
              <w:tab/>
            </w:r>
            <w:r>
              <w:rPr>
                <w:rFonts w:hint="eastAsia" w:cs="宋体"/>
                <w:kern w:val="0"/>
              </w:rPr>
              <w:t>号</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tcBorders>
              <w:tl2br w:val="nil"/>
              <w:tr2bl w:val="nil"/>
            </w:tcBorders>
            <w:noWrap w:val="0"/>
            <w:vAlign w:val="center"/>
          </w:tcPr>
          <w:p>
            <w:pPr>
              <w:pStyle w:val="43"/>
              <w:rPr>
                <w:kern w:val="0"/>
              </w:rPr>
            </w:pPr>
            <w:r>
              <w:rPr>
                <w:rFonts w:hint="eastAsia" w:cs="宋体"/>
                <w:kern w:val="0"/>
              </w:rPr>
              <w:t>法人代表</w:t>
            </w:r>
          </w:p>
        </w:tc>
        <w:tc>
          <w:tcPr>
            <w:tcW w:w="3232" w:type="dxa"/>
            <w:gridSpan w:val="3"/>
            <w:tcBorders>
              <w:tl2br w:val="nil"/>
              <w:tr2bl w:val="nil"/>
            </w:tcBorders>
            <w:noWrap w:val="0"/>
            <w:vAlign w:val="center"/>
          </w:tcPr>
          <w:p>
            <w:pPr>
              <w:pStyle w:val="43"/>
              <w:rPr>
                <w:kern w:val="0"/>
              </w:rPr>
            </w:pPr>
          </w:p>
        </w:tc>
        <w:tc>
          <w:tcPr>
            <w:tcW w:w="1411" w:type="dxa"/>
            <w:tcBorders>
              <w:tl2br w:val="nil"/>
              <w:tr2bl w:val="nil"/>
            </w:tcBorders>
            <w:noWrap w:val="0"/>
            <w:vAlign w:val="center"/>
          </w:tcPr>
          <w:p>
            <w:pPr>
              <w:pStyle w:val="43"/>
              <w:rPr>
                <w:kern w:val="0"/>
              </w:rPr>
            </w:pPr>
            <w:r>
              <w:rPr>
                <w:rFonts w:hint="eastAsia" w:cs="宋体"/>
                <w:kern w:val="0"/>
              </w:rPr>
              <w:t>联系电话</w:t>
            </w:r>
          </w:p>
        </w:tc>
        <w:tc>
          <w:tcPr>
            <w:tcW w:w="2933" w:type="dxa"/>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tcBorders>
              <w:tl2br w:val="nil"/>
              <w:tr2bl w:val="nil"/>
            </w:tcBorders>
            <w:noWrap w:val="0"/>
            <w:vAlign w:val="center"/>
          </w:tcPr>
          <w:p>
            <w:pPr>
              <w:pStyle w:val="43"/>
              <w:rPr>
                <w:kern w:val="0"/>
              </w:rPr>
            </w:pPr>
            <w:r>
              <w:rPr>
                <w:rFonts w:hint="eastAsia" w:cs="宋体"/>
                <w:kern w:val="0"/>
              </w:rPr>
              <w:t>传真</w:t>
            </w:r>
          </w:p>
        </w:tc>
        <w:tc>
          <w:tcPr>
            <w:tcW w:w="3232" w:type="dxa"/>
            <w:gridSpan w:val="3"/>
            <w:tcBorders>
              <w:tl2br w:val="nil"/>
              <w:tr2bl w:val="nil"/>
            </w:tcBorders>
            <w:noWrap w:val="0"/>
            <w:vAlign w:val="center"/>
          </w:tcPr>
          <w:p>
            <w:pPr>
              <w:pStyle w:val="43"/>
              <w:rPr>
                <w:kern w:val="0"/>
              </w:rPr>
            </w:pPr>
          </w:p>
        </w:tc>
        <w:tc>
          <w:tcPr>
            <w:tcW w:w="1411" w:type="dxa"/>
            <w:tcBorders>
              <w:tl2br w:val="nil"/>
              <w:tr2bl w:val="nil"/>
            </w:tcBorders>
            <w:noWrap w:val="0"/>
            <w:vAlign w:val="center"/>
          </w:tcPr>
          <w:p>
            <w:pPr>
              <w:pStyle w:val="43"/>
              <w:rPr>
                <w:kern w:val="0"/>
              </w:rPr>
            </w:pPr>
            <w:r>
              <w:rPr>
                <w:kern w:val="0"/>
              </w:rPr>
              <w:t>Email</w:t>
            </w:r>
          </w:p>
        </w:tc>
        <w:tc>
          <w:tcPr>
            <w:tcW w:w="2933" w:type="dxa"/>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tcBorders>
              <w:tl2br w:val="nil"/>
              <w:tr2bl w:val="nil"/>
            </w:tcBorders>
            <w:noWrap w:val="0"/>
            <w:vAlign w:val="center"/>
          </w:tcPr>
          <w:p>
            <w:pPr>
              <w:pStyle w:val="43"/>
              <w:rPr>
                <w:kern w:val="0"/>
              </w:rPr>
            </w:pPr>
            <w:r>
              <w:rPr>
                <w:rFonts w:hint="eastAsia" w:cs="宋体"/>
                <w:kern w:val="0"/>
              </w:rPr>
              <w:t>发生位置</w:t>
            </w:r>
          </w:p>
        </w:tc>
        <w:tc>
          <w:tcPr>
            <w:tcW w:w="3232" w:type="dxa"/>
            <w:gridSpan w:val="3"/>
            <w:tcBorders>
              <w:tl2br w:val="nil"/>
              <w:tr2bl w:val="nil"/>
            </w:tcBorders>
            <w:noWrap w:val="0"/>
            <w:vAlign w:val="center"/>
          </w:tcPr>
          <w:p>
            <w:pPr>
              <w:pStyle w:val="43"/>
              <w:rPr>
                <w:kern w:val="0"/>
              </w:rPr>
            </w:pPr>
          </w:p>
        </w:tc>
        <w:tc>
          <w:tcPr>
            <w:tcW w:w="1411" w:type="dxa"/>
            <w:tcBorders>
              <w:tl2br w:val="nil"/>
              <w:tr2bl w:val="nil"/>
            </w:tcBorders>
            <w:noWrap w:val="0"/>
            <w:vAlign w:val="center"/>
          </w:tcPr>
          <w:p>
            <w:pPr>
              <w:pStyle w:val="43"/>
              <w:rPr>
                <w:kern w:val="0"/>
              </w:rPr>
            </w:pPr>
            <w:r>
              <w:rPr>
                <w:rFonts w:hint="eastAsia" w:cs="宋体"/>
                <w:kern w:val="0"/>
              </w:rPr>
              <w:t>设备设施名称</w:t>
            </w:r>
          </w:p>
        </w:tc>
        <w:tc>
          <w:tcPr>
            <w:tcW w:w="2933" w:type="dxa"/>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tcBorders>
              <w:tl2br w:val="nil"/>
              <w:tr2bl w:val="nil"/>
            </w:tcBorders>
            <w:noWrap w:val="0"/>
            <w:vAlign w:val="center"/>
          </w:tcPr>
          <w:p>
            <w:pPr>
              <w:pStyle w:val="43"/>
              <w:rPr>
                <w:kern w:val="0"/>
              </w:rPr>
            </w:pPr>
            <w:r>
              <w:rPr>
                <w:rFonts w:hint="eastAsia" w:cs="宋体"/>
                <w:kern w:val="0"/>
              </w:rPr>
              <w:t>物料名称</w:t>
            </w:r>
          </w:p>
        </w:tc>
        <w:tc>
          <w:tcPr>
            <w:tcW w:w="7576" w:type="dxa"/>
            <w:gridSpan w:val="5"/>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tcBorders>
              <w:tl2br w:val="nil"/>
              <w:tr2bl w:val="nil"/>
            </w:tcBorders>
            <w:noWrap w:val="0"/>
            <w:vAlign w:val="center"/>
          </w:tcPr>
          <w:p>
            <w:pPr>
              <w:pStyle w:val="43"/>
              <w:rPr>
                <w:kern w:val="0"/>
              </w:rPr>
            </w:pPr>
            <w:r>
              <w:rPr>
                <w:rFonts w:hint="eastAsia" w:cs="宋体"/>
                <w:kern w:val="0"/>
              </w:rPr>
              <w:t>类型</w:t>
            </w:r>
          </w:p>
        </w:tc>
        <w:tc>
          <w:tcPr>
            <w:tcW w:w="1380" w:type="dxa"/>
            <w:gridSpan w:val="2"/>
            <w:tcBorders>
              <w:tl2br w:val="nil"/>
              <w:tr2bl w:val="nil"/>
            </w:tcBorders>
            <w:noWrap w:val="0"/>
            <w:vAlign w:val="center"/>
          </w:tcPr>
          <w:p>
            <w:pPr>
              <w:pStyle w:val="43"/>
              <w:rPr>
                <w:kern w:val="0"/>
              </w:rPr>
            </w:pPr>
            <w:r>
              <w:rPr>
                <w:kern w:val="0"/>
              </w:rPr>
              <w:t>□</w:t>
            </w:r>
            <w:r>
              <w:rPr>
                <w:rFonts w:hint="eastAsia" w:cs="宋体"/>
                <w:kern w:val="0"/>
              </w:rPr>
              <w:t>火灾</w:t>
            </w:r>
          </w:p>
        </w:tc>
        <w:tc>
          <w:tcPr>
            <w:tcW w:w="1852" w:type="dxa"/>
            <w:tcBorders>
              <w:tl2br w:val="nil"/>
              <w:tr2bl w:val="nil"/>
            </w:tcBorders>
            <w:noWrap w:val="0"/>
            <w:vAlign w:val="center"/>
          </w:tcPr>
          <w:p>
            <w:pPr>
              <w:pStyle w:val="43"/>
              <w:rPr>
                <w:kern w:val="0"/>
              </w:rPr>
            </w:pPr>
            <w:r>
              <w:rPr>
                <w:kern w:val="0"/>
              </w:rPr>
              <w:t>□</w:t>
            </w:r>
            <w:r>
              <w:rPr>
                <w:rFonts w:hint="eastAsia" w:cs="宋体"/>
                <w:kern w:val="0"/>
              </w:rPr>
              <w:t>泄漏</w:t>
            </w:r>
          </w:p>
        </w:tc>
        <w:tc>
          <w:tcPr>
            <w:tcW w:w="4344" w:type="dxa"/>
            <w:gridSpan w:val="2"/>
            <w:tcBorders>
              <w:tl2br w:val="nil"/>
              <w:tr2bl w:val="nil"/>
            </w:tcBorders>
            <w:noWrap w:val="0"/>
            <w:vAlign w:val="center"/>
          </w:tcPr>
          <w:p>
            <w:pPr>
              <w:pStyle w:val="43"/>
              <w:rPr>
                <w:kern w:val="0"/>
              </w:rPr>
            </w:pPr>
            <w:r>
              <w:rPr>
                <w:kern w:val="0"/>
              </w:rPr>
              <w:t>□</w:t>
            </w:r>
            <w:r>
              <w:rPr>
                <w:rFonts w:hint="eastAsia" w:cs="宋体"/>
                <w:kern w:val="0"/>
              </w:rPr>
              <w:t>爆炸</w:t>
            </w:r>
            <w:r>
              <w:rPr>
                <w:kern w:val="0"/>
              </w:rPr>
              <w:t xml:space="preserve">    □</w:t>
            </w:r>
            <w:r>
              <w:rPr>
                <w:rFonts w:hint="eastAsia" w:cs="宋体"/>
                <w:kern w:val="0"/>
              </w:rPr>
              <w:t>其它</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tcBorders>
              <w:tl2br w:val="nil"/>
              <w:tr2bl w:val="nil"/>
            </w:tcBorders>
            <w:noWrap w:val="0"/>
            <w:vAlign w:val="center"/>
          </w:tcPr>
          <w:p>
            <w:pPr>
              <w:pStyle w:val="43"/>
              <w:rPr>
                <w:kern w:val="0"/>
              </w:rPr>
            </w:pPr>
            <w:r>
              <w:rPr>
                <w:rFonts w:hint="eastAsia" w:cs="宋体"/>
                <w:kern w:val="0"/>
              </w:rPr>
              <w:t>污染物名称</w:t>
            </w:r>
          </w:p>
        </w:tc>
        <w:tc>
          <w:tcPr>
            <w:tcW w:w="4643" w:type="dxa"/>
            <w:gridSpan w:val="4"/>
            <w:tcBorders>
              <w:tl2br w:val="nil"/>
              <w:tr2bl w:val="nil"/>
            </w:tcBorders>
            <w:noWrap w:val="0"/>
            <w:vAlign w:val="center"/>
          </w:tcPr>
          <w:p>
            <w:pPr>
              <w:pStyle w:val="43"/>
              <w:rPr>
                <w:kern w:val="0"/>
              </w:rPr>
            </w:pPr>
            <w:r>
              <w:rPr>
                <w:rFonts w:hint="eastAsia" w:cs="宋体"/>
                <w:kern w:val="0"/>
              </w:rPr>
              <w:t>数量</w:t>
            </w:r>
          </w:p>
        </w:tc>
        <w:tc>
          <w:tcPr>
            <w:tcW w:w="2933" w:type="dxa"/>
            <w:tcBorders>
              <w:tl2br w:val="nil"/>
              <w:tr2bl w:val="nil"/>
            </w:tcBorders>
            <w:noWrap w:val="0"/>
            <w:vAlign w:val="center"/>
          </w:tcPr>
          <w:p>
            <w:pPr>
              <w:pStyle w:val="43"/>
              <w:rPr>
                <w:kern w:val="0"/>
              </w:rPr>
            </w:pPr>
            <w:r>
              <w:rPr>
                <w:rFonts w:hint="eastAsia" w:cs="宋体"/>
                <w:kern w:val="0"/>
              </w:rPr>
              <w:t>排放去向</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tcBorders>
              <w:tl2br w:val="nil"/>
              <w:tr2bl w:val="nil"/>
            </w:tcBorders>
            <w:noWrap w:val="0"/>
            <w:vAlign w:val="center"/>
          </w:tcPr>
          <w:p>
            <w:pPr>
              <w:pStyle w:val="43"/>
              <w:rPr>
                <w:kern w:val="0"/>
              </w:rPr>
            </w:pPr>
          </w:p>
        </w:tc>
        <w:tc>
          <w:tcPr>
            <w:tcW w:w="4643" w:type="dxa"/>
            <w:gridSpan w:val="4"/>
            <w:tcBorders>
              <w:tl2br w:val="nil"/>
              <w:tr2bl w:val="nil"/>
            </w:tcBorders>
            <w:noWrap w:val="0"/>
            <w:vAlign w:val="center"/>
          </w:tcPr>
          <w:p>
            <w:pPr>
              <w:pStyle w:val="43"/>
              <w:rPr>
                <w:kern w:val="0"/>
              </w:rPr>
            </w:pPr>
          </w:p>
        </w:tc>
        <w:tc>
          <w:tcPr>
            <w:tcW w:w="2933" w:type="dxa"/>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063" w:type="dxa"/>
            <w:gridSpan w:val="2"/>
            <w:tcBorders>
              <w:tl2br w:val="nil"/>
              <w:tr2bl w:val="nil"/>
            </w:tcBorders>
            <w:noWrap w:val="0"/>
            <w:vAlign w:val="center"/>
          </w:tcPr>
          <w:p>
            <w:pPr>
              <w:pStyle w:val="43"/>
              <w:rPr>
                <w:kern w:val="0"/>
              </w:rPr>
            </w:pPr>
            <w:r>
              <w:rPr>
                <w:rFonts w:hint="eastAsia" w:cs="宋体"/>
                <w:kern w:val="0"/>
              </w:rPr>
              <w:t>报告正文：</w:t>
            </w:r>
          </w:p>
        </w:tc>
        <w:tc>
          <w:tcPr>
            <w:tcW w:w="1380" w:type="dxa"/>
            <w:gridSpan w:val="2"/>
            <w:tcBorders>
              <w:tl2br w:val="nil"/>
              <w:tr2bl w:val="nil"/>
            </w:tcBorders>
            <w:noWrap w:val="0"/>
            <w:vAlign w:val="center"/>
          </w:tcPr>
          <w:p>
            <w:pPr>
              <w:pStyle w:val="43"/>
              <w:rPr>
                <w:kern w:val="0"/>
              </w:rPr>
            </w:pPr>
          </w:p>
        </w:tc>
        <w:tc>
          <w:tcPr>
            <w:tcW w:w="1852" w:type="dxa"/>
            <w:tcBorders>
              <w:tl2br w:val="nil"/>
              <w:tr2bl w:val="nil"/>
            </w:tcBorders>
            <w:noWrap w:val="0"/>
            <w:vAlign w:val="center"/>
          </w:tcPr>
          <w:p>
            <w:pPr>
              <w:pStyle w:val="43"/>
              <w:rPr>
                <w:kern w:val="0"/>
              </w:rPr>
            </w:pPr>
          </w:p>
        </w:tc>
        <w:tc>
          <w:tcPr>
            <w:tcW w:w="4344" w:type="dxa"/>
            <w:gridSpan w:val="2"/>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295" w:type="dxa"/>
            <w:gridSpan w:val="5"/>
            <w:tcBorders>
              <w:tl2br w:val="nil"/>
              <w:tr2bl w:val="nil"/>
            </w:tcBorders>
            <w:noWrap w:val="0"/>
            <w:vAlign w:val="center"/>
          </w:tcPr>
          <w:p>
            <w:pPr>
              <w:pStyle w:val="43"/>
              <w:rPr>
                <w:kern w:val="0"/>
              </w:rPr>
            </w:pPr>
            <w:r>
              <w:rPr>
                <w:rFonts w:hint="eastAsia" w:cs="宋体"/>
                <w:kern w:val="0"/>
              </w:rPr>
              <w:t>处理事件的措施、过程和结果：</w:t>
            </w:r>
          </w:p>
        </w:tc>
        <w:tc>
          <w:tcPr>
            <w:tcW w:w="4344" w:type="dxa"/>
            <w:gridSpan w:val="2"/>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443" w:type="dxa"/>
            <w:gridSpan w:val="4"/>
            <w:tcBorders>
              <w:tl2br w:val="nil"/>
              <w:tr2bl w:val="nil"/>
            </w:tcBorders>
            <w:noWrap w:val="0"/>
            <w:vAlign w:val="center"/>
          </w:tcPr>
          <w:p>
            <w:pPr>
              <w:pStyle w:val="43"/>
              <w:rPr>
                <w:kern w:val="0"/>
              </w:rPr>
            </w:pPr>
          </w:p>
          <w:p>
            <w:pPr>
              <w:pStyle w:val="43"/>
              <w:rPr>
                <w:kern w:val="0"/>
              </w:rPr>
            </w:pPr>
            <w:r>
              <w:rPr>
                <w:rFonts w:hint="eastAsia" w:cs="宋体"/>
                <w:kern w:val="0"/>
              </w:rPr>
              <w:t>污染的范围和程度：</w:t>
            </w:r>
          </w:p>
        </w:tc>
        <w:tc>
          <w:tcPr>
            <w:tcW w:w="1852" w:type="dxa"/>
            <w:tcBorders>
              <w:tl2br w:val="nil"/>
              <w:tr2bl w:val="nil"/>
            </w:tcBorders>
            <w:noWrap w:val="0"/>
            <w:vAlign w:val="center"/>
          </w:tcPr>
          <w:p>
            <w:pPr>
              <w:pStyle w:val="43"/>
              <w:rPr>
                <w:kern w:val="0"/>
              </w:rPr>
            </w:pPr>
          </w:p>
        </w:tc>
        <w:tc>
          <w:tcPr>
            <w:tcW w:w="4344" w:type="dxa"/>
            <w:gridSpan w:val="2"/>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295" w:type="dxa"/>
            <w:gridSpan w:val="5"/>
            <w:tcBorders>
              <w:tl2br w:val="nil"/>
              <w:tr2bl w:val="nil"/>
            </w:tcBorders>
            <w:noWrap w:val="0"/>
            <w:vAlign w:val="center"/>
          </w:tcPr>
          <w:p>
            <w:pPr>
              <w:pStyle w:val="43"/>
              <w:rPr>
                <w:kern w:val="0"/>
              </w:rPr>
            </w:pPr>
          </w:p>
          <w:p>
            <w:pPr>
              <w:pStyle w:val="43"/>
              <w:rPr>
                <w:kern w:val="0"/>
              </w:rPr>
            </w:pPr>
            <w:r>
              <w:rPr>
                <w:rFonts w:hint="eastAsia" w:cs="宋体"/>
                <w:kern w:val="0"/>
              </w:rPr>
              <w:t>事件潜在或间接的危害、社会影响：</w:t>
            </w:r>
          </w:p>
        </w:tc>
        <w:tc>
          <w:tcPr>
            <w:tcW w:w="4344" w:type="dxa"/>
            <w:gridSpan w:val="2"/>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443" w:type="dxa"/>
            <w:gridSpan w:val="4"/>
            <w:tcBorders>
              <w:tl2br w:val="nil"/>
              <w:tr2bl w:val="nil"/>
            </w:tcBorders>
            <w:noWrap w:val="0"/>
            <w:vAlign w:val="center"/>
          </w:tcPr>
          <w:p>
            <w:pPr>
              <w:pStyle w:val="43"/>
              <w:rPr>
                <w:kern w:val="0"/>
              </w:rPr>
            </w:pPr>
          </w:p>
          <w:p>
            <w:pPr>
              <w:pStyle w:val="43"/>
              <w:rPr>
                <w:kern w:val="0"/>
              </w:rPr>
            </w:pPr>
            <w:r>
              <w:rPr>
                <w:rFonts w:hint="eastAsia" w:cs="宋体"/>
                <w:kern w:val="0"/>
              </w:rPr>
              <w:t>处理后的遗留问题：</w:t>
            </w:r>
          </w:p>
        </w:tc>
        <w:tc>
          <w:tcPr>
            <w:tcW w:w="1852" w:type="dxa"/>
            <w:tcBorders>
              <w:tl2br w:val="nil"/>
              <w:tr2bl w:val="nil"/>
            </w:tcBorders>
            <w:noWrap w:val="0"/>
            <w:vAlign w:val="center"/>
          </w:tcPr>
          <w:p>
            <w:pPr>
              <w:pStyle w:val="43"/>
              <w:rPr>
                <w:kern w:val="0"/>
              </w:rPr>
            </w:pPr>
          </w:p>
        </w:tc>
        <w:tc>
          <w:tcPr>
            <w:tcW w:w="4344" w:type="dxa"/>
            <w:gridSpan w:val="2"/>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295" w:type="dxa"/>
            <w:gridSpan w:val="5"/>
            <w:tcBorders>
              <w:tl2br w:val="nil"/>
              <w:tr2bl w:val="nil"/>
            </w:tcBorders>
            <w:noWrap w:val="0"/>
            <w:vAlign w:val="center"/>
          </w:tcPr>
          <w:p>
            <w:pPr>
              <w:pStyle w:val="43"/>
              <w:rPr>
                <w:kern w:val="0"/>
              </w:rPr>
            </w:pPr>
          </w:p>
          <w:p>
            <w:pPr>
              <w:pStyle w:val="43"/>
              <w:rPr>
                <w:kern w:val="0"/>
              </w:rPr>
            </w:pPr>
            <w:r>
              <w:rPr>
                <w:rFonts w:hint="eastAsia" w:cs="宋体"/>
                <w:kern w:val="0"/>
              </w:rPr>
              <w:t>参加处理工作的有关部门和工作内容：</w:t>
            </w:r>
          </w:p>
        </w:tc>
        <w:tc>
          <w:tcPr>
            <w:tcW w:w="4344" w:type="dxa"/>
            <w:gridSpan w:val="2"/>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295" w:type="dxa"/>
            <w:gridSpan w:val="5"/>
            <w:tcBorders>
              <w:tl2br w:val="nil"/>
              <w:tr2bl w:val="nil"/>
            </w:tcBorders>
            <w:noWrap w:val="0"/>
            <w:vAlign w:val="center"/>
          </w:tcPr>
          <w:p>
            <w:pPr>
              <w:pStyle w:val="43"/>
              <w:rPr>
                <w:kern w:val="0"/>
              </w:rPr>
            </w:pPr>
          </w:p>
          <w:p>
            <w:pPr>
              <w:pStyle w:val="43"/>
              <w:rPr>
                <w:kern w:val="0"/>
              </w:rPr>
            </w:pPr>
            <w:r>
              <w:rPr>
                <w:rFonts w:hint="eastAsia" w:cs="宋体"/>
                <w:kern w:val="0"/>
              </w:rPr>
              <w:t>有关危害与损失的证明文件等详细情况。</w:t>
            </w:r>
          </w:p>
        </w:tc>
        <w:tc>
          <w:tcPr>
            <w:tcW w:w="4344" w:type="dxa"/>
            <w:gridSpan w:val="2"/>
            <w:tcBorders>
              <w:tl2br w:val="nil"/>
              <w:tr2bl w:val="nil"/>
            </w:tcBorders>
            <w:noWrap w:val="0"/>
            <w:vAlign w:val="center"/>
          </w:tcPr>
          <w:p>
            <w:pPr>
              <w:pStyle w:val="43"/>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250" w:hRule="atLeast"/>
          <w:jc w:val="center"/>
        </w:trPr>
        <w:tc>
          <w:tcPr>
            <w:tcW w:w="238" w:type="dxa"/>
            <w:tcBorders>
              <w:tl2br w:val="nil"/>
              <w:tr2bl w:val="nil"/>
            </w:tcBorders>
            <w:noWrap w:val="0"/>
            <w:vAlign w:val="center"/>
          </w:tcPr>
          <w:p>
            <w:pPr>
              <w:pStyle w:val="43"/>
              <w:rPr>
                <w:kern w:val="0"/>
              </w:rPr>
            </w:pPr>
          </w:p>
        </w:tc>
        <w:tc>
          <w:tcPr>
            <w:tcW w:w="1825" w:type="dxa"/>
            <w:tcBorders>
              <w:tl2br w:val="nil"/>
              <w:tr2bl w:val="nil"/>
            </w:tcBorders>
            <w:noWrap w:val="0"/>
            <w:vAlign w:val="center"/>
          </w:tcPr>
          <w:p>
            <w:pPr>
              <w:pStyle w:val="43"/>
              <w:rPr>
                <w:kern w:val="0"/>
              </w:rPr>
            </w:pPr>
          </w:p>
        </w:tc>
        <w:tc>
          <w:tcPr>
            <w:tcW w:w="1380" w:type="dxa"/>
            <w:gridSpan w:val="2"/>
            <w:tcBorders>
              <w:tl2br w:val="nil"/>
              <w:tr2bl w:val="nil"/>
            </w:tcBorders>
            <w:noWrap w:val="0"/>
            <w:vAlign w:val="center"/>
          </w:tcPr>
          <w:p>
            <w:pPr>
              <w:pStyle w:val="43"/>
              <w:rPr>
                <w:kern w:val="0"/>
              </w:rPr>
            </w:pPr>
          </w:p>
        </w:tc>
        <w:tc>
          <w:tcPr>
            <w:tcW w:w="1852" w:type="dxa"/>
            <w:tcBorders>
              <w:tl2br w:val="nil"/>
              <w:tr2bl w:val="nil"/>
            </w:tcBorders>
            <w:noWrap w:val="0"/>
            <w:vAlign w:val="center"/>
          </w:tcPr>
          <w:p>
            <w:pPr>
              <w:pStyle w:val="43"/>
              <w:rPr>
                <w:kern w:val="0"/>
              </w:rPr>
            </w:pPr>
          </w:p>
        </w:tc>
        <w:tc>
          <w:tcPr>
            <w:tcW w:w="4344" w:type="dxa"/>
            <w:gridSpan w:val="2"/>
            <w:tcBorders>
              <w:tl2br w:val="nil"/>
              <w:tr2bl w:val="nil"/>
            </w:tcBorders>
            <w:noWrap w:val="0"/>
            <w:vAlign w:val="center"/>
          </w:tcPr>
          <w:p>
            <w:pPr>
              <w:pStyle w:val="43"/>
              <w:rPr>
                <w:kern w:val="0"/>
              </w:rPr>
            </w:pPr>
            <w:r>
              <w:rPr>
                <w:rFonts w:hint="eastAsia" w:cs="宋体"/>
                <w:kern w:val="0"/>
              </w:rPr>
              <w:t>（不够可附页）</w:t>
            </w:r>
          </w:p>
        </w:tc>
      </w:tr>
    </w:tbl>
    <w:p>
      <w:pPr>
        <w:ind w:firstLine="0" w:firstLineChars="0"/>
        <w:rPr>
          <w:b/>
          <w:bCs/>
          <w:sz w:val="32"/>
          <w:szCs w:val="32"/>
        </w:rPr>
        <w:sectPr>
          <w:pgSz w:w="11906" w:h="16838"/>
          <w:pgMar w:top="1134" w:right="1134" w:bottom="1134" w:left="1134" w:header="851" w:footer="992" w:gutter="0"/>
          <w:pgBorders>
            <w:top w:val="none" w:sz="0" w:space="0"/>
            <w:left w:val="none" w:sz="0" w:space="0"/>
            <w:bottom w:val="none" w:sz="0" w:space="0"/>
            <w:right w:val="none" w:sz="0" w:space="0"/>
          </w:pgBorders>
          <w:pgNumType w:fmt="decimalFullWidth"/>
          <w:cols w:space="720" w:num="1"/>
          <w:docGrid w:type="lines" w:linePitch="381" w:charSpace="0"/>
        </w:sectPr>
      </w:pPr>
    </w:p>
    <w:p>
      <w:pPr>
        <w:ind w:firstLine="31680"/>
        <w:jc w:val="center"/>
        <w:rPr>
          <w:snapToGrid w:val="0"/>
        </w:rPr>
      </w:pPr>
      <w:r>
        <w:rPr>
          <w:rFonts w:hint="eastAsia" w:cs="宋体"/>
          <w:snapToGrid w:val="0"/>
        </w:rPr>
        <w:t>公司突发环境事件内部信息传报表格</w:t>
      </w:r>
    </w:p>
    <w:tbl>
      <w:tblPr>
        <w:tblStyle w:val="16"/>
        <w:tblpPr w:leftFromText="180" w:rightFromText="180" w:vertAnchor="text" w:horzAnchor="page" w:tblpXSpec="center" w:tblpY="451"/>
        <w:tblOverlap w:val="never"/>
        <w:tblW w:w="0" w:type="auto"/>
        <w:tblInd w:w="0" w:type="dxa"/>
        <w:tblLayout w:type="fixed"/>
        <w:tblCellMar>
          <w:top w:w="0" w:type="dxa"/>
          <w:left w:w="108" w:type="dxa"/>
          <w:bottom w:w="0" w:type="dxa"/>
          <w:right w:w="108" w:type="dxa"/>
        </w:tblCellMar>
      </w:tblPr>
      <w:tblGrid>
        <w:gridCol w:w="1145"/>
        <w:gridCol w:w="1085"/>
        <w:gridCol w:w="1497"/>
        <w:gridCol w:w="1573"/>
        <w:gridCol w:w="229"/>
        <w:gridCol w:w="1879"/>
        <w:gridCol w:w="229"/>
        <w:gridCol w:w="1894"/>
      </w:tblGrid>
      <w:tr>
        <w:tblPrEx>
          <w:tblCellMar>
            <w:top w:w="0" w:type="dxa"/>
            <w:left w:w="108" w:type="dxa"/>
            <w:bottom w:w="0" w:type="dxa"/>
            <w:right w:w="108" w:type="dxa"/>
          </w:tblCellMar>
        </w:tblPrEx>
        <w:trPr>
          <w:cantSplit/>
          <w:trHeight w:val="455" w:hRule="atLeast"/>
        </w:trPr>
        <w:tc>
          <w:tcPr>
            <w:tcW w:w="2230"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r>
              <w:rPr>
                <w:rFonts w:hint="eastAsia" w:cs="宋体"/>
                <w:kern w:val="0"/>
              </w:rPr>
              <w:t>事故发生场所</w:t>
            </w:r>
          </w:p>
        </w:tc>
        <w:tc>
          <w:tcPr>
            <w:tcW w:w="3070"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p>
        </w:tc>
        <w:tc>
          <w:tcPr>
            <w:tcW w:w="2108"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r>
              <w:rPr>
                <w:rFonts w:hint="eastAsia" w:cs="宋体"/>
                <w:kern w:val="0"/>
              </w:rPr>
              <w:t>环境负责人</w:t>
            </w:r>
          </w:p>
        </w:tc>
        <w:tc>
          <w:tcPr>
            <w:tcW w:w="2123"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p>
        </w:tc>
      </w:tr>
      <w:tr>
        <w:tblPrEx>
          <w:tblCellMar>
            <w:top w:w="0" w:type="dxa"/>
            <w:left w:w="108" w:type="dxa"/>
            <w:bottom w:w="0" w:type="dxa"/>
            <w:right w:w="108" w:type="dxa"/>
          </w:tblCellMar>
        </w:tblPrEx>
        <w:trPr>
          <w:cantSplit/>
          <w:trHeight w:val="449" w:hRule="atLeast"/>
        </w:trPr>
        <w:tc>
          <w:tcPr>
            <w:tcW w:w="2230"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r>
              <w:rPr>
                <w:rFonts w:hint="eastAsia" w:cs="宋体"/>
                <w:kern w:val="0"/>
              </w:rPr>
              <w:t>事故责任人</w:t>
            </w:r>
          </w:p>
        </w:tc>
        <w:tc>
          <w:tcPr>
            <w:tcW w:w="3070"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p>
        </w:tc>
        <w:tc>
          <w:tcPr>
            <w:tcW w:w="2108"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r>
              <w:rPr>
                <w:rFonts w:hint="eastAsia" w:cs="宋体"/>
                <w:kern w:val="0"/>
              </w:rPr>
              <w:t>事故发生时间</w:t>
            </w:r>
          </w:p>
        </w:tc>
        <w:tc>
          <w:tcPr>
            <w:tcW w:w="2123"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p>
        </w:tc>
      </w:tr>
      <w:tr>
        <w:tblPrEx>
          <w:tblCellMar>
            <w:top w:w="0" w:type="dxa"/>
            <w:left w:w="108" w:type="dxa"/>
            <w:bottom w:w="0" w:type="dxa"/>
            <w:right w:w="108" w:type="dxa"/>
          </w:tblCellMar>
        </w:tblPrEx>
        <w:trPr>
          <w:cantSplit/>
          <w:trHeight w:val="898" w:hRule="atLeast"/>
        </w:trPr>
        <w:tc>
          <w:tcPr>
            <w:tcW w:w="2230" w:type="dxa"/>
            <w:gridSpan w:val="2"/>
            <w:tcBorders>
              <w:top w:val="single" w:color="auto" w:sz="6" w:space="0"/>
              <w:left w:val="single" w:color="auto" w:sz="6" w:space="0"/>
              <w:bottom w:val="single" w:color="auto" w:sz="6" w:space="0"/>
              <w:right w:val="single" w:color="auto" w:sz="6" w:space="0"/>
            </w:tcBorders>
            <w:noWrap w:val="0"/>
            <w:vAlign w:val="center"/>
          </w:tcPr>
          <w:p>
            <w:pPr>
              <w:pStyle w:val="43"/>
              <w:rPr>
                <w:kern w:val="0"/>
              </w:rPr>
            </w:pPr>
            <w:r>
              <w:rPr>
                <w:rFonts w:hint="eastAsia" w:cs="宋体"/>
                <w:kern w:val="0"/>
              </w:rPr>
              <w:t>是否违反相关法</w:t>
            </w:r>
          </w:p>
          <w:p>
            <w:pPr>
              <w:pStyle w:val="43"/>
            </w:pPr>
            <w:r>
              <w:rPr>
                <w:rFonts w:hint="eastAsia" w:cs="宋体"/>
                <w:kern w:val="0"/>
              </w:rPr>
              <w:t>律法规</w:t>
            </w:r>
          </w:p>
        </w:tc>
        <w:tc>
          <w:tcPr>
            <w:tcW w:w="7301" w:type="dxa"/>
            <w:gridSpan w:val="6"/>
            <w:tcBorders>
              <w:top w:val="single" w:color="auto" w:sz="6" w:space="0"/>
              <w:left w:val="single" w:color="auto" w:sz="6" w:space="0"/>
              <w:bottom w:val="single" w:color="auto" w:sz="6" w:space="0"/>
              <w:right w:val="single" w:color="auto" w:sz="6" w:space="0"/>
            </w:tcBorders>
            <w:noWrap w:val="0"/>
            <w:vAlign w:val="center"/>
          </w:tcPr>
          <w:p>
            <w:pPr>
              <w:pStyle w:val="43"/>
            </w:pPr>
            <w:r>
              <w:rPr>
                <w:rFonts w:hint="eastAsia" w:cs="宋体"/>
                <w:kern w:val="0"/>
              </w:rPr>
              <w:t>是</w:t>
            </w:r>
            <w:r>
              <w:rPr>
                <w:kern w:val="0"/>
              </w:rPr>
              <w:t xml:space="preserve">□    </w:t>
            </w:r>
            <w:r>
              <w:rPr>
                <w:rFonts w:hint="eastAsia" w:cs="宋体"/>
                <w:kern w:val="0"/>
              </w:rPr>
              <w:t>否</w:t>
            </w:r>
            <w:r>
              <w:rPr>
                <w:kern w:val="0"/>
              </w:rPr>
              <w:t>□</w:t>
            </w:r>
          </w:p>
        </w:tc>
      </w:tr>
      <w:tr>
        <w:tblPrEx>
          <w:tblCellMar>
            <w:top w:w="0" w:type="dxa"/>
            <w:left w:w="108" w:type="dxa"/>
            <w:bottom w:w="0" w:type="dxa"/>
            <w:right w:w="108" w:type="dxa"/>
          </w:tblCellMar>
        </w:tblPrEx>
        <w:trPr>
          <w:cantSplit/>
          <w:trHeight w:val="3090" w:hRule="atLeast"/>
        </w:trPr>
        <w:tc>
          <w:tcPr>
            <w:tcW w:w="2230"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r>
              <w:rPr>
                <w:rFonts w:hint="eastAsia" w:cs="宋体"/>
                <w:kern w:val="0"/>
              </w:rPr>
              <w:t>事故发生经过</w:t>
            </w:r>
          </w:p>
        </w:tc>
        <w:tc>
          <w:tcPr>
            <w:tcW w:w="7301" w:type="dxa"/>
            <w:gridSpan w:val="6"/>
            <w:tcBorders>
              <w:top w:val="single" w:color="auto" w:sz="6" w:space="0"/>
              <w:left w:val="single" w:color="auto" w:sz="6" w:space="0"/>
              <w:bottom w:val="single" w:color="auto" w:sz="6" w:space="0"/>
              <w:right w:val="single" w:color="auto" w:sz="6" w:space="0"/>
            </w:tcBorders>
            <w:noWrap w:val="0"/>
            <w:vAlign w:val="center"/>
          </w:tcPr>
          <w:p>
            <w:pPr>
              <w:pStyle w:val="43"/>
              <w:rPr>
                <w:kern w:val="0"/>
              </w:rPr>
            </w:pPr>
          </w:p>
          <w:p>
            <w:pPr>
              <w:pStyle w:val="43"/>
              <w:rPr>
                <w:kern w:val="0"/>
              </w:rPr>
            </w:pPr>
          </w:p>
          <w:p>
            <w:pPr>
              <w:pStyle w:val="43"/>
              <w:rPr>
                <w:kern w:val="0"/>
              </w:rPr>
            </w:pPr>
          </w:p>
          <w:p>
            <w:pPr>
              <w:pStyle w:val="43"/>
              <w:rPr>
                <w:kern w:val="0"/>
              </w:rPr>
            </w:pPr>
          </w:p>
          <w:p>
            <w:pPr>
              <w:pStyle w:val="43"/>
            </w:pPr>
            <w:r>
              <w:rPr>
                <w:rFonts w:hint="eastAsia" w:cs="宋体"/>
                <w:kern w:val="0"/>
              </w:rPr>
              <w:t>签名：日期：</w:t>
            </w:r>
          </w:p>
        </w:tc>
      </w:tr>
      <w:tr>
        <w:tblPrEx>
          <w:tblCellMar>
            <w:top w:w="0" w:type="dxa"/>
            <w:left w:w="108" w:type="dxa"/>
            <w:bottom w:w="0" w:type="dxa"/>
            <w:right w:w="108" w:type="dxa"/>
          </w:tblCellMar>
        </w:tblPrEx>
        <w:trPr>
          <w:cantSplit/>
          <w:trHeight w:val="2679" w:hRule="atLeast"/>
        </w:trPr>
        <w:tc>
          <w:tcPr>
            <w:tcW w:w="2230"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r>
              <w:rPr>
                <w:rFonts w:hint="eastAsia" w:cs="宋体"/>
                <w:kern w:val="0"/>
              </w:rPr>
              <w:t>事故发生原因</w:t>
            </w:r>
          </w:p>
        </w:tc>
        <w:tc>
          <w:tcPr>
            <w:tcW w:w="7301" w:type="dxa"/>
            <w:gridSpan w:val="6"/>
            <w:tcBorders>
              <w:top w:val="single" w:color="auto" w:sz="6" w:space="0"/>
              <w:left w:val="single" w:color="auto" w:sz="6" w:space="0"/>
              <w:bottom w:val="single" w:color="auto" w:sz="6" w:space="0"/>
              <w:right w:val="single" w:color="auto" w:sz="6" w:space="0"/>
            </w:tcBorders>
            <w:noWrap w:val="0"/>
            <w:vAlign w:val="center"/>
          </w:tcPr>
          <w:p>
            <w:pPr>
              <w:pStyle w:val="43"/>
              <w:rPr>
                <w:kern w:val="0"/>
              </w:rPr>
            </w:pPr>
          </w:p>
          <w:p>
            <w:pPr>
              <w:pStyle w:val="43"/>
              <w:rPr>
                <w:kern w:val="0"/>
              </w:rPr>
            </w:pPr>
          </w:p>
          <w:p>
            <w:pPr>
              <w:pStyle w:val="43"/>
              <w:rPr>
                <w:kern w:val="0"/>
              </w:rPr>
            </w:pPr>
          </w:p>
          <w:p>
            <w:pPr>
              <w:pStyle w:val="43"/>
              <w:rPr>
                <w:kern w:val="0"/>
              </w:rPr>
            </w:pPr>
          </w:p>
          <w:p>
            <w:pPr>
              <w:pStyle w:val="43"/>
            </w:pPr>
            <w:r>
              <w:rPr>
                <w:rFonts w:hint="eastAsia" w:cs="宋体"/>
                <w:kern w:val="0"/>
              </w:rPr>
              <w:t>签名：日期：</w:t>
            </w:r>
          </w:p>
        </w:tc>
      </w:tr>
      <w:tr>
        <w:tblPrEx>
          <w:tblCellMar>
            <w:top w:w="0" w:type="dxa"/>
            <w:left w:w="108" w:type="dxa"/>
            <w:bottom w:w="0" w:type="dxa"/>
            <w:right w:w="108" w:type="dxa"/>
          </w:tblCellMar>
        </w:tblPrEx>
        <w:trPr>
          <w:cantSplit/>
          <w:trHeight w:val="2547" w:hRule="atLeast"/>
        </w:trPr>
        <w:tc>
          <w:tcPr>
            <w:tcW w:w="2230"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r>
              <w:rPr>
                <w:rFonts w:hint="eastAsia" w:cs="宋体"/>
                <w:kern w:val="0"/>
              </w:rPr>
              <w:t>解决方法及措施</w:t>
            </w:r>
          </w:p>
        </w:tc>
        <w:tc>
          <w:tcPr>
            <w:tcW w:w="7301" w:type="dxa"/>
            <w:gridSpan w:val="6"/>
            <w:tcBorders>
              <w:top w:val="single" w:color="auto" w:sz="6" w:space="0"/>
              <w:left w:val="single" w:color="auto" w:sz="6" w:space="0"/>
              <w:bottom w:val="single" w:color="auto" w:sz="6" w:space="0"/>
              <w:right w:val="single" w:color="auto" w:sz="6" w:space="0"/>
            </w:tcBorders>
            <w:noWrap w:val="0"/>
            <w:vAlign w:val="center"/>
          </w:tcPr>
          <w:p>
            <w:pPr>
              <w:pStyle w:val="43"/>
              <w:rPr>
                <w:kern w:val="0"/>
              </w:rPr>
            </w:pPr>
          </w:p>
          <w:p>
            <w:pPr>
              <w:pStyle w:val="43"/>
              <w:rPr>
                <w:kern w:val="0"/>
              </w:rPr>
            </w:pPr>
          </w:p>
          <w:p>
            <w:pPr>
              <w:pStyle w:val="43"/>
              <w:rPr>
                <w:kern w:val="0"/>
              </w:rPr>
            </w:pPr>
          </w:p>
          <w:p>
            <w:pPr>
              <w:pStyle w:val="43"/>
              <w:rPr>
                <w:kern w:val="0"/>
              </w:rPr>
            </w:pPr>
          </w:p>
          <w:p>
            <w:pPr>
              <w:pStyle w:val="43"/>
            </w:pPr>
            <w:r>
              <w:rPr>
                <w:rFonts w:hint="eastAsia" w:cs="宋体"/>
                <w:kern w:val="0"/>
              </w:rPr>
              <w:t>签名：日期：</w:t>
            </w:r>
          </w:p>
        </w:tc>
      </w:tr>
      <w:tr>
        <w:tblPrEx>
          <w:tblCellMar>
            <w:top w:w="0" w:type="dxa"/>
            <w:left w:w="108" w:type="dxa"/>
            <w:bottom w:w="0" w:type="dxa"/>
            <w:right w:w="108" w:type="dxa"/>
          </w:tblCellMar>
        </w:tblPrEx>
        <w:trPr>
          <w:cantSplit/>
          <w:trHeight w:val="685" w:hRule="atLeast"/>
        </w:trPr>
        <w:tc>
          <w:tcPr>
            <w:tcW w:w="1145" w:type="dxa"/>
            <w:tcBorders>
              <w:top w:val="single" w:color="auto" w:sz="6" w:space="0"/>
              <w:left w:val="single" w:color="auto" w:sz="6" w:space="0"/>
              <w:bottom w:val="single" w:color="auto" w:sz="6" w:space="0"/>
              <w:right w:val="single" w:color="auto" w:sz="6" w:space="0"/>
            </w:tcBorders>
            <w:noWrap w:val="0"/>
            <w:vAlign w:val="center"/>
          </w:tcPr>
          <w:p>
            <w:pPr>
              <w:pStyle w:val="43"/>
            </w:pPr>
            <w:r>
              <w:rPr>
                <w:rFonts w:hint="eastAsia" w:cs="宋体"/>
                <w:kern w:val="0"/>
              </w:rPr>
              <w:t>评定人</w:t>
            </w:r>
          </w:p>
        </w:tc>
        <w:tc>
          <w:tcPr>
            <w:tcW w:w="1085" w:type="dxa"/>
            <w:tcBorders>
              <w:top w:val="single" w:color="auto" w:sz="6" w:space="0"/>
              <w:left w:val="single" w:color="auto" w:sz="6" w:space="0"/>
              <w:bottom w:val="single" w:color="auto" w:sz="6" w:space="0"/>
              <w:right w:val="single" w:color="auto" w:sz="6" w:space="0"/>
            </w:tcBorders>
            <w:noWrap w:val="0"/>
            <w:vAlign w:val="center"/>
          </w:tcPr>
          <w:p>
            <w:pPr>
              <w:pStyle w:val="43"/>
            </w:pPr>
          </w:p>
        </w:tc>
        <w:tc>
          <w:tcPr>
            <w:tcW w:w="1497" w:type="dxa"/>
            <w:tcBorders>
              <w:top w:val="single" w:color="auto" w:sz="6" w:space="0"/>
              <w:left w:val="single" w:color="auto" w:sz="6" w:space="0"/>
              <w:bottom w:val="single" w:color="auto" w:sz="6" w:space="0"/>
              <w:right w:val="single" w:color="auto" w:sz="6" w:space="0"/>
            </w:tcBorders>
            <w:noWrap w:val="0"/>
            <w:vAlign w:val="center"/>
          </w:tcPr>
          <w:p>
            <w:pPr>
              <w:pStyle w:val="43"/>
            </w:pPr>
            <w:r>
              <w:rPr>
                <w:rFonts w:hint="eastAsia" w:cs="宋体"/>
                <w:kern w:val="0"/>
              </w:rPr>
              <w:t>评定部门</w:t>
            </w:r>
          </w:p>
        </w:tc>
        <w:tc>
          <w:tcPr>
            <w:tcW w:w="1802"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p>
        </w:tc>
        <w:tc>
          <w:tcPr>
            <w:tcW w:w="2108"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r>
              <w:rPr>
                <w:rFonts w:hint="eastAsia" w:cs="宋体"/>
                <w:kern w:val="0"/>
              </w:rPr>
              <w:t>报告日期</w:t>
            </w:r>
          </w:p>
        </w:tc>
        <w:tc>
          <w:tcPr>
            <w:tcW w:w="1894" w:type="dxa"/>
            <w:tcBorders>
              <w:top w:val="single" w:color="auto" w:sz="6" w:space="0"/>
              <w:left w:val="single" w:color="auto" w:sz="6" w:space="0"/>
              <w:bottom w:val="single" w:color="auto" w:sz="6" w:space="0"/>
              <w:right w:val="single" w:color="auto" w:sz="6" w:space="0"/>
            </w:tcBorders>
            <w:noWrap w:val="0"/>
            <w:vAlign w:val="center"/>
          </w:tcPr>
          <w:p>
            <w:pPr>
              <w:pStyle w:val="43"/>
            </w:pPr>
          </w:p>
        </w:tc>
      </w:tr>
      <w:tr>
        <w:tblPrEx>
          <w:tblCellMar>
            <w:top w:w="0" w:type="dxa"/>
            <w:left w:w="108" w:type="dxa"/>
            <w:bottom w:w="0" w:type="dxa"/>
            <w:right w:w="108" w:type="dxa"/>
          </w:tblCellMar>
        </w:tblPrEx>
        <w:trPr>
          <w:cantSplit/>
          <w:trHeight w:val="993" w:hRule="atLeast"/>
        </w:trPr>
        <w:tc>
          <w:tcPr>
            <w:tcW w:w="2230" w:type="dxa"/>
            <w:gridSpan w:val="2"/>
            <w:tcBorders>
              <w:top w:val="single" w:color="auto" w:sz="6" w:space="0"/>
              <w:left w:val="single" w:color="auto" w:sz="6" w:space="0"/>
              <w:bottom w:val="single" w:color="auto" w:sz="6" w:space="0"/>
              <w:right w:val="single" w:color="auto" w:sz="6" w:space="0"/>
            </w:tcBorders>
            <w:noWrap w:val="0"/>
            <w:vAlign w:val="center"/>
          </w:tcPr>
          <w:p>
            <w:pPr>
              <w:pStyle w:val="43"/>
            </w:pPr>
            <w:r>
              <w:rPr>
                <w:rFonts w:hint="eastAsia" w:cs="宋体"/>
                <w:kern w:val="0"/>
              </w:rPr>
              <w:t>管理者代表确认</w:t>
            </w:r>
          </w:p>
        </w:tc>
        <w:tc>
          <w:tcPr>
            <w:tcW w:w="7301" w:type="dxa"/>
            <w:gridSpan w:val="6"/>
            <w:tcBorders>
              <w:top w:val="single" w:color="auto" w:sz="6" w:space="0"/>
              <w:left w:val="single" w:color="auto" w:sz="6" w:space="0"/>
              <w:bottom w:val="single" w:color="auto" w:sz="6" w:space="0"/>
              <w:right w:val="single" w:color="auto" w:sz="6" w:space="0"/>
            </w:tcBorders>
            <w:noWrap w:val="0"/>
            <w:vAlign w:val="center"/>
          </w:tcPr>
          <w:p>
            <w:pPr>
              <w:pStyle w:val="43"/>
            </w:pPr>
          </w:p>
        </w:tc>
      </w:tr>
    </w:tbl>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pPr>
    </w:p>
    <w:p>
      <w:pPr>
        <w:ind w:firstLine="0" w:firstLineChars="0"/>
        <w:rPr>
          <w:b/>
          <w:bCs/>
          <w:sz w:val="32"/>
          <w:szCs w:val="32"/>
        </w:rPr>
        <w:sectPr>
          <w:pgSz w:w="11906" w:h="16838"/>
          <w:pgMar w:top="1134" w:right="851" w:bottom="1134" w:left="567" w:header="851" w:footer="992" w:gutter="0"/>
          <w:pgBorders>
            <w:top w:val="none" w:sz="0" w:space="0"/>
            <w:left w:val="none" w:sz="0" w:space="0"/>
            <w:bottom w:val="none" w:sz="0" w:space="0"/>
            <w:right w:val="none" w:sz="0" w:space="0"/>
          </w:pgBorders>
          <w:pgNumType w:fmt="decimalFullWidth"/>
          <w:cols w:space="720" w:num="1"/>
          <w:docGrid w:type="lines" w:linePitch="381" w:charSpace="0"/>
        </w:sectPr>
      </w:pP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0"/>
        <w:rPr>
          <w:rFonts w:ascii="宋体" w:hAnsi="宋体" w:cs="宋体"/>
        </w:rPr>
      </w:pPr>
      <w:bookmarkStart w:id="210" w:name="_Toc11989"/>
      <w:bookmarkStart w:id="211" w:name="_Toc15498"/>
      <w:bookmarkStart w:id="212" w:name="_Toc413"/>
      <w:bookmarkStart w:id="213" w:name="_Toc2288"/>
      <w:bookmarkStart w:id="214" w:name="_Toc32112"/>
      <w:bookmarkStart w:id="215" w:name="_Toc501126922"/>
      <w:bookmarkStart w:id="216" w:name="_Toc21440"/>
      <w:r>
        <w:rPr>
          <w:rFonts w:hint="eastAsia" w:ascii="宋体" w:hAnsi="宋体" w:cs="宋体"/>
        </w:rPr>
        <w:t>附件</w:t>
      </w:r>
      <w:r>
        <w:rPr>
          <w:rFonts w:hint="eastAsia" w:cs="Times New Roman"/>
          <w:lang w:val="en-US" w:eastAsia="zh-CN"/>
        </w:rPr>
        <w:t>6</w:t>
      </w:r>
      <w:r>
        <w:rPr>
          <w:rFonts w:cs="Times New Roman"/>
        </w:rPr>
        <w:t xml:space="preserve"> </w:t>
      </w:r>
      <w:r>
        <w:rPr>
          <w:rFonts w:hint="eastAsia"/>
          <w:lang w:eastAsia="zh-CN"/>
        </w:rPr>
        <w:t>应急救援演练</w:t>
      </w:r>
      <w:bookmarkEnd w:id="210"/>
      <w:bookmarkEnd w:id="211"/>
      <w:bookmarkEnd w:id="212"/>
      <w:bookmarkEnd w:id="213"/>
      <w:bookmarkEnd w:id="214"/>
      <w:bookmarkEnd w:id="215"/>
      <w:r>
        <w:rPr>
          <w:rFonts w:hint="eastAsia"/>
          <w:lang w:eastAsia="zh-CN"/>
        </w:rPr>
        <w:t>记录</w:t>
      </w:r>
      <w:bookmarkEnd w:id="216"/>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b/>
          <w:color w:val="000000"/>
          <w:sz w:val="36"/>
          <w:szCs w:val="36"/>
        </w:rPr>
      </w:pPr>
      <w:r>
        <w:rPr>
          <w:rFonts w:hint="eastAsia" w:hAnsi="宋体"/>
          <w:b/>
          <w:color w:val="000000"/>
          <w:sz w:val="36"/>
          <w:szCs w:val="36"/>
          <w:lang w:eastAsia="zh-CN"/>
        </w:rPr>
        <w:t>南昌慧华高科混凝土有限公司</w:t>
      </w:r>
      <w:r>
        <w:rPr>
          <w:rFonts w:hAnsi="宋体"/>
          <w:b/>
          <w:color w:val="000000"/>
          <w:sz w:val="36"/>
          <w:szCs w:val="36"/>
        </w:rPr>
        <w:t>（</w:t>
      </w:r>
      <w:r>
        <w:rPr>
          <w:b/>
          <w:color w:val="000000"/>
          <w:sz w:val="36"/>
          <w:szCs w:val="36"/>
        </w:rPr>
        <w:t xml:space="preserve">  </w:t>
      </w:r>
      <w:r>
        <w:rPr>
          <w:rFonts w:hAnsi="宋体"/>
          <w:b/>
          <w:color w:val="000000"/>
          <w:sz w:val="36"/>
          <w:szCs w:val="36"/>
        </w:rPr>
        <w:t>）年度应急救援演练计划</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440"/>
        <w:gridCol w:w="1126"/>
        <w:gridCol w:w="889"/>
        <w:gridCol w:w="2083"/>
        <w:gridCol w:w="1440"/>
        <w:gridCol w:w="1427"/>
        <w:gridCol w:w="15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5" w:hRule="atLeast"/>
          <w:jc w:val="center"/>
        </w:trPr>
        <w:tc>
          <w:tcPr>
            <w:tcW w:w="538" w:type="dxa"/>
            <w:noWrap w:val="0"/>
            <w:vAlign w:val="center"/>
          </w:tcPr>
          <w:p>
            <w:pPr>
              <w:spacing w:line="240" w:lineRule="auto"/>
              <w:ind w:firstLine="0" w:firstLineChars="0"/>
              <w:jc w:val="center"/>
              <w:rPr>
                <w:rFonts w:hint="eastAsia"/>
                <w:sz w:val="24"/>
              </w:rPr>
            </w:pPr>
            <w:r>
              <w:rPr>
                <w:rFonts w:hint="eastAsia"/>
                <w:sz w:val="24"/>
              </w:rPr>
              <w:t>序号</w:t>
            </w:r>
          </w:p>
        </w:tc>
        <w:tc>
          <w:tcPr>
            <w:tcW w:w="1440" w:type="dxa"/>
            <w:noWrap w:val="0"/>
            <w:vAlign w:val="center"/>
          </w:tcPr>
          <w:p>
            <w:pPr>
              <w:spacing w:line="240" w:lineRule="auto"/>
              <w:ind w:firstLine="0" w:firstLineChars="0"/>
              <w:jc w:val="center"/>
              <w:rPr>
                <w:rFonts w:hint="eastAsia"/>
                <w:sz w:val="24"/>
              </w:rPr>
            </w:pPr>
            <w:r>
              <w:rPr>
                <w:rFonts w:hint="eastAsia"/>
                <w:sz w:val="24"/>
              </w:rPr>
              <w:t>应急演练</w:t>
            </w:r>
          </w:p>
          <w:p>
            <w:pPr>
              <w:spacing w:line="240" w:lineRule="auto"/>
              <w:ind w:firstLine="0" w:firstLineChars="0"/>
              <w:jc w:val="center"/>
              <w:rPr>
                <w:rFonts w:hint="eastAsia"/>
                <w:sz w:val="24"/>
              </w:rPr>
            </w:pPr>
            <w:r>
              <w:rPr>
                <w:rFonts w:hint="eastAsia"/>
                <w:sz w:val="24"/>
              </w:rPr>
              <w:t>名称</w:t>
            </w:r>
          </w:p>
        </w:tc>
        <w:tc>
          <w:tcPr>
            <w:tcW w:w="1126" w:type="dxa"/>
            <w:noWrap w:val="0"/>
            <w:vAlign w:val="center"/>
          </w:tcPr>
          <w:p>
            <w:pPr>
              <w:spacing w:line="240" w:lineRule="auto"/>
              <w:ind w:firstLine="0" w:firstLineChars="0"/>
              <w:jc w:val="center"/>
              <w:rPr>
                <w:rFonts w:hint="eastAsia"/>
                <w:sz w:val="24"/>
              </w:rPr>
            </w:pPr>
            <w:r>
              <w:rPr>
                <w:rFonts w:hint="eastAsia"/>
                <w:sz w:val="24"/>
              </w:rPr>
              <w:t>计划演练时间</w:t>
            </w:r>
          </w:p>
        </w:tc>
        <w:tc>
          <w:tcPr>
            <w:tcW w:w="889" w:type="dxa"/>
            <w:noWrap w:val="0"/>
            <w:vAlign w:val="center"/>
          </w:tcPr>
          <w:p>
            <w:pPr>
              <w:spacing w:line="240" w:lineRule="auto"/>
              <w:ind w:firstLine="0" w:firstLineChars="0"/>
              <w:jc w:val="center"/>
              <w:rPr>
                <w:rFonts w:hint="eastAsia"/>
                <w:sz w:val="24"/>
              </w:rPr>
            </w:pPr>
            <w:r>
              <w:rPr>
                <w:rFonts w:hint="eastAsia"/>
                <w:sz w:val="24"/>
              </w:rPr>
              <w:t>演练方式</w:t>
            </w:r>
          </w:p>
        </w:tc>
        <w:tc>
          <w:tcPr>
            <w:tcW w:w="2083" w:type="dxa"/>
            <w:noWrap w:val="0"/>
            <w:vAlign w:val="center"/>
          </w:tcPr>
          <w:p>
            <w:pPr>
              <w:spacing w:line="240" w:lineRule="auto"/>
              <w:ind w:firstLine="0" w:firstLineChars="0"/>
              <w:jc w:val="center"/>
              <w:rPr>
                <w:rFonts w:hint="eastAsia"/>
                <w:sz w:val="24"/>
              </w:rPr>
            </w:pPr>
            <w:r>
              <w:rPr>
                <w:rFonts w:hint="eastAsia"/>
                <w:sz w:val="24"/>
              </w:rPr>
              <w:t>演练目的</w:t>
            </w:r>
          </w:p>
        </w:tc>
        <w:tc>
          <w:tcPr>
            <w:tcW w:w="1440" w:type="dxa"/>
            <w:noWrap w:val="0"/>
            <w:vAlign w:val="center"/>
          </w:tcPr>
          <w:p>
            <w:pPr>
              <w:spacing w:line="240" w:lineRule="auto"/>
              <w:ind w:firstLine="0" w:firstLineChars="0"/>
              <w:jc w:val="center"/>
              <w:rPr>
                <w:rFonts w:hint="eastAsia"/>
                <w:sz w:val="24"/>
              </w:rPr>
            </w:pPr>
            <w:r>
              <w:rPr>
                <w:rFonts w:hint="eastAsia"/>
                <w:sz w:val="24"/>
              </w:rPr>
              <w:t>组织部门</w:t>
            </w:r>
          </w:p>
        </w:tc>
        <w:tc>
          <w:tcPr>
            <w:tcW w:w="1427" w:type="dxa"/>
            <w:noWrap w:val="0"/>
            <w:vAlign w:val="center"/>
          </w:tcPr>
          <w:p>
            <w:pPr>
              <w:spacing w:line="240" w:lineRule="auto"/>
              <w:ind w:firstLine="0" w:firstLineChars="0"/>
              <w:jc w:val="center"/>
              <w:rPr>
                <w:rFonts w:hint="eastAsia"/>
                <w:sz w:val="24"/>
              </w:rPr>
            </w:pPr>
            <w:r>
              <w:rPr>
                <w:rFonts w:hint="eastAsia"/>
                <w:sz w:val="24"/>
              </w:rPr>
              <w:t>配合部门</w:t>
            </w:r>
          </w:p>
        </w:tc>
        <w:tc>
          <w:tcPr>
            <w:tcW w:w="1557" w:type="dxa"/>
            <w:noWrap w:val="0"/>
            <w:vAlign w:val="center"/>
          </w:tcPr>
          <w:p>
            <w:pPr>
              <w:spacing w:line="240" w:lineRule="auto"/>
              <w:ind w:firstLine="0" w:firstLineChars="0"/>
              <w:jc w:val="center"/>
              <w:rPr>
                <w:rFonts w:hint="eastAsia"/>
                <w:sz w:val="24"/>
              </w:rPr>
            </w:pPr>
            <w:r>
              <w:rPr>
                <w:rFonts w:hint="eastAsia"/>
                <w:sz w:val="24"/>
              </w:rPr>
              <w:t>应急物资</w:t>
            </w:r>
          </w:p>
          <w:p>
            <w:pPr>
              <w:spacing w:line="240" w:lineRule="auto"/>
              <w:ind w:firstLine="0" w:firstLineChars="0"/>
              <w:jc w:val="center"/>
              <w:rPr>
                <w:rFonts w:hint="eastAsia"/>
                <w:sz w:val="24"/>
              </w:rPr>
            </w:pPr>
            <w:r>
              <w:rPr>
                <w:rFonts w:hint="eastAsia"/>
                <w:sz w:val="24"/>
              </w:rPr>
              <w:t>准备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538" w:type="dxa"/>
            <w:noWrap w:val="0"/>
            <w:vAlign w:val="center"/>
          </w:tcPr>
          <w:p>
            <w:pPr>
              <w:spacing w:line="240" w:lineRule="auto"/>
              <w:ind w:firstLine="0" w:firstLineChars="0"/>
              <w:jc w:val="center"/>
              <w:rPr>
                <w:rFonts w:hint="eastAsia"/>
                <w:sz w:val="24"/>
              </w:rPr>
            </w:pPr>
            <w:r>
              <w:rPr>
                <w:rFonts w:hint="eastAsia"/>
                <w:sz w:val="24"/>
              </w:rPr>
              <w:t>1</w:t>
            </w:r>
          </w:p>
        </w:tc>
        <w:tc>
          <w:tcPr>
            <w:tcW w:w="1440" w:type="dxa"/>
            <w:noWrap w:val="0"/>
            <w:vAlign w:val="center"/>
          </w:tcPr>
          <w:p>
            <w:pPr>
              <w:spacing w:line="240" w:lineRule="auto"/>
              <w:ind w:firstLine="0" w:firstLineChars="0"/>
              <w:jc w:val="center"/>
              <w:rPr>
                <w:rFonts w:hint="eastAsia"/>
                <w:sz w:val="24"/>
              </w:rPr>
            </w:pPr>
          </w:p>
        </w:tc>
        <w:tc>
          <w:tcPr>
            <w:tcW w:w="1126" w:type="dxa"/>
            <w:noWrap w:val="0"/>
            <w:vAlign w:val="center"/>
          </w:tcPr>
          <w:p>
            <w:pPr>
              <w:spacing w:line="240" w:lineRule="auto"/>
              <w:ind w:firstLine="0" w:firstLineChars="0"/>
              <w:jc w:val="center"/>
              <w:rPr>
                <w:rFonts w:hint="eastAsia"/>
                <w:sz w:val="24"/>
              </w:rPr>
            </w:pPr>
          </w:p>
        </w:tc>
        <w:tc>
          <w:tcPr>
            <w:tcW w:w="889" w:type="dxa"/>
            <w:noWrap w:val="0"/>
            <w:vAlign w:val="center"/>
          </w:tcPr>
          <w:p>
            <w:pPr>
              <w:spacing w:line="240" w:lineRule="auto"/>
              <w:ind w:firstLine="0" w:firstLineChars="0"/>
              <w:jc w:val="center"/>
              <w:rPr>
                <w:rFonts w:hint="eastAsia"/>
                <w:sz w:val="24"/>
              </w:rPr>
            </w:pPr>
          </w:p>
        </w:tc>
        <w:tc>
          <w:tcPr>
            <w:tcW w:w="2083" w:type="dxa"/>
            <w:noWrap w:val="0"/>
            <w:vAlign w:val="center"/>
          </w:tcPr>
          <w:p>
            <w:pPr>
              <w:spacing w:line="240" w:lineRule="auto"/>
              <w:ind w:firstLine="0" w:firstLineChars="0"/>
              <w:jc w:val="center"/>
              <w:rPr>
                <w:rFonts w:hint="eastAsia"/>
                <w:sz w:val="24"/>
              </w:rPr>
            </w:pPr>
          </w:p>
        </w:tc>
        <w:tc>
          <w:tcPr>
            <w:tcW w:w="1440" w:type="dxa"/>
            <w:noWrap w:val="0"/>
            <w:vAlign w:val="center"/>
          </w:tcPr>
          <w:p>
            <w:pPr>
              <w:spacing w:line="240" w:lineRule="auto"/>
              <w:ind w:firstLine="0" w:firstLineChars="0"/>
              <w:jc w:val="center"/>
              <w:rPr>
                <w:rFonts w:hint="eastAsia"/>
                <w:sz w:val="24"/>
              </w:rPr>
            </w:pPr>
          </w:p>
        </w:tc>
        <w:tc>
          <w:tcPr>
            <w:tcW w:w="1427" w:type="dxa"/>
            <w:noWrap w:val="0"/>
            <w:vAlign w:val="center"/>
          </w:tcPr>
          <w:p>
            <w:pPr>
              <w:spacing w:line="240" w:lineRule="auto"/>
              <w:ind w:firstLine="0" w:firstLineChars="0"/>
              <w:jc w:val="center"/>
              <w:rPr>
                <w:rFonts w:hint="eastAsia"/>
                <w:sz w:val="24"/>
              </w:rPr>
            </w:pPr>
          </w:p>
        </w:tc>
        <w:tc>
          <w:tcPr>
            <w:tcW w:w="1557" w:type="dxa"/>
            <w:noWrap w:val="0"/>
            <w:vAlign w:val="center"/>
          </w:tcPr>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538" w:type="dxa"/>
            <w:noWrap w:val="0"/>
            <w:vAlign w:val="center"/>
          </w:tcPr>
          <w:p>
            <w:pPr>
              <w:spacing w:line="240" w:lineRule="auto"/>
              <w:ind w:firstLine="0" w:firstLineChars="0"/>
              <w:jc w:val="center"/>
              <w:rPr>
                <w:rFonts w:hint="eastAsia"/>
                <w:sz w:val="24"/>
              </w:rPr>
            </w:pPr>
            <w:r>
              <w:rPr>
                <w:rFonts w:hint="eastAsia"/>
                <w:sz w:val="24"/>
              </w:rPr>
              <w:t>2</w:t>
            </w:r>
          </w:p>
        </w:tc>
        <w:tc>
          <w:tcPr>
            <w:tcW w:w="1440" w:type="dxa"/>
            <w:noWrap w:val="0"/>
            <w:vAlign w:val="center"/>
          </w:tcPr>
          <w:p>
            <w:pPr>
              <w:spacing w:line="240" w:lineRule="auto"/>
              <w:ind w:firstLine="0" w:firstLineChars="0"/>
              <w:jc w:val="center"/>
              <w:rPr>
                <w:rFonts w:hint="eastAsia"/>
                <w:sz w:val="24"/>
              </w:rPr>
            </w:pPr>
          </w:p>
        </w:tc>
        <w:tc>
          <w:tcPr>
            <w:tcW w:w="1126" w:type="dxa"/>
            <w:noWrap w:val="0"/>
            <w:vAlign w:val="center"/>
          </w:tcPr>
          <w:p>
            <w:pPr>
              <w:spacing w:line="240" w:lineRule="auto"/>
              <w:ind w:firstLine="0" w:firstLineChars="0"/>
              <w:jc w:val="center"/>
              <w:rPr>
                <w:rFonts w:hint="eastAsia"/>
                <w:sz w:val="24"/>
              </w:rPr>
            </w:pPr>
          </w:p>
        </w:tc>
        <w:tc>
          <w:tcPr>
            <w:tcW w:w="889" w:type="dxa"/>
            <w:noWrap w:val="0"/>
            <w:vAlign w:val="center"/>
          </w:tcPr>
          <w:p>
            <w:pPr>
              <w:spacing w:line="240" w:lineRule="auto"/>
              <w:ind w:firstLine="0" w:firstLineChars="0"/>
              <w:jc w:val="center"/>
              <w:rPr>
                <w:rFonts w:hint="eastAsia"/>
                <w:sz w:val="24"/>
              </w:rPr>
            </w:pPr>
          </w:p>
        </w:tc>
        <w:tc>
          <w:tcPr>
            <w:tcW w:w="2083" w:type="dxa"/>
            <w:noWrap w:val="0"/>
            <w:vAlign w:val="center"/>
          </w:tcPr>
          <w:p>
            <w:pPr>
              <w:spacing w:line="240" w:lineRule="auto"/>
              <w:ind w:firstLine="0" w:firstLineChars="0"/>
              <w:jc w:val="center"/>
              <w:rPr>
                <w:rFonts w:hint="eastAsia"/>
                <w:sz w:val="24"/>
              </w:rPr>
            </w:pPr>
          </w:p>
        </w:tc>
        <w:tc>
          <w:tcPr>
            <w:tcW w:w="1440" w:type="dxa"/>
            <w:noWrap w:val="0"/>
            <w:vAlign w:val="center"/>
          </w:tcPr>
          <w:p>
            <w:pPr>
              <w:spacing w:line="240" w:lineRule="auto"/>
              <w:ind w:firstLine="0" w:firstLineChars="0"/>
              <w:jc w:val="center"/>
              <w:rPr>
                <w:rFonts w:hint="eastAsia"/>
                <w:sz w:val="24"/>
              </w:rPr>
            </w:pPr>
          </w:p>
        </w:tc>
        <w:tc>
          <w:tcPr>
            <w:tcW w:w="1427" w:type="dxa"/>
            <w:noWrap w:val="0"/>
            <w:vAlign w:val="center"/>
          </w:tcPr>
          <w:p>
            <w:pPr>
              <w:spacing w:line="240" w:lineRule="auto"/>
              <w:ind w:firstLine="0" w:firstLineChars="0"/>
              <w:jc w:val="center"/>
              <w:rPr>
                <w:rFonts w:hint="eastAsia"/>
                <w:sz w:val="24"/>
              </w:rPr>
            </w:pPr>
          </w:p>
        </w:tc>
        <w:tc>
          <w:tcPr>
            <w:tcW w:w="1557" w:type="dxa"/>
            <w:noWrap w:val="0"/>
            <w:vAlign w:val="center"/>
          </w:tcPr>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538" w:type="dxa"/>
            <w:noWrap w:val="0"/>
            <w:vAlign w:val="center"/>
          </w:tcPr>
          <w:p>
            <w:pPr>
              <w:spacing w:line="240" w:lineRule="auto"/>
              <w:ind w:firstLine="0" w:firstLineChars="0"/>
              <w:jc w:val="center"/>
              <w:rPr>
                <w:rFonts w:hint="eastAsia"/>
                <w:sz w:val="24"/>
              </w:rPr>
            </w:pPr>
            <w:r>
              <w:rPr>
                <w:rFonts w:hint="eastAsia"/>
                <w:sz w:val="24"/>
              </w:rPr>
              <w:t>3</w:t>
            </w:r>
          </w:p>
        </w:tc>
        <w:tc>
          <w:tcPr>
            <w:tcW w:w="1440" w:type="dxa"/>
            <w:noWrap w:val="0"/>
            <w:vAlign w:val="center"/>
          </w:tcPr>
          <w:p>
            <w:pPr>
              <w:spacing w:line="240" w:lineRule="auto"/>
              <w:ind w:firstLine="0" w:firstLineChars="0"/>
              <w:jc w:val="center"/>
              <w:rPr>
                <w:rFonts w:hint="eastAsia"/>
                <w:sz w:val="24"/>
              </w:rPr>
            </w:pPr>
          </w:p>
        </w:tc>
        <w:tc>
          <w:tcPr>
            <w:tcW w:w="1126" w:type="dxa"/>
            <w:noWrap w:val="0"/>
            <w:vAlign w:val="center"/>
          </w:tcPr>
          <w:p>
            <w:pPr>
              <w:spacing w:line="240" w:lineRule="auto"/>
              <w:ind w:firstLine="0" w:firstLineChars="0"/>
              <w:jc w:val="center"/>
              <w:rPr>
                <w:rFonts w:hint="eastAsia"/>
                <w:sz w:val="24"/>
              </w:rPr>
            </w:pPr>
          </w:p>
        </w:tc>
        <w:tc>
          <w:tcPr>
            <w:tcW w:w="889" w:type="dxa"/>
            <w:noWrap w:val="0"/>
            <w:vAlign w:val="center"/>
          </w:tcPr>
          <w:p>
            <w:pPr>
              <w:spacing w:line="240" w:lineRule="auto"/>
              <w:ind w:firstLine="0" w:firstLineChars="0"/>
              <w:jc w:val="center"/>
              <w:rPr>
                <w:rFonts w:hint="eastAsia"/>
                <w:sz w:val="24"/>
              </w:rPr>
            </w:pPr>
          </w:p>
        </w:tc>
        <w:tc>
          <w:tcPr>
            <w:tcW w:w="2083" w:type="dxa"/>
            <w:noWrap w:val="0"/>
            <w:vAlign w:val="center"/>
          </w:tcPr>
          <w:p>
            <w:pPr>
              <w:spacing w:line="240" w:lineRule="auto"/>
              <w:ind w:firstLine="0" w:firstLineChars="0"/>
              <w:jc w:val="center"/>
              <w:rPr>
                <w:rFonts w:hint="eastAsia"/>
                <w:sz w:val="24"/>
              </w:rPr>
            </w:pPr>
          </w:p>
        </w:tc>
        <w:tc>
          <w:tcPr>
            <w:tcW w:w="1440" w:type="dxa"/>
            <w:noWrap w:val="0"/>
            <w:vAlign w:val="center"/>
          </w:tcPr>
          <w:p>
            <w:pPr>
              <w:spacing w:line="240" w:lineRule="auto"/>
              <w:ind w:firstLine="0" w:firstLineChars="0"/>
              <w:jc w:val="center"/>
              <w:rPr>
                <w:rFonts w:hint="eastAsia"/>
                <w:sz w:val="24"/>
              </w:rPr>
            </w:pPr>
          </w:p>
        </w:tc>
        <w:tc>
          <w:tcPr>
            <w:tcW w:w="1427" w:type="dxa"/>
            <w:noWrap w:val="0"/>
            <w:vAlign w:val="center"/>
          </w:tcPr>
          <w:p>
            <w:pPr>
              <w:spacing w:line="240" w:lineRule="auto"/>
              <w:ind w:firstLine="0" w:firstLineChars="0"/>
              <w:jc w:val="center"/>
              <w:rPr>
                <w:rFonts w:hint="eastAsia"/>
                <w:sz w:val="24"/>
              </w:rPr>
            </w:pPr>
          </w:p>
        </w:tc>
        <w:tc>
          <w:tcPr>
            <w:tcW w:w="1557" w:type="dxa"/>
            <w:noWrap w:val="0"/>
            <w:vAlign w:val="center"/>
          </w:tcPr>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538" w:type="dxa"/>
            <w:noWrap w:val="0"/>
            <w:vAlign w:val="center"/>
          </w:tcPr>
          <w:p>
            <w:pPr>
              <w:spacing w:line="240" w:lineRule="auto"/>
              <w:ind w:firstLine="0" w:firstLineChars="0"/>
              <w:jc w:val="center"/>
              <w:rPr>
                <w:rFonts w:hint="eastAsia"/>
                <w:sz w:val="24"/>
              </w:rPr>
            </w:pPr>
            <w:r>
              <w:rPr>
                <w:rFonts w:hint="eastAsia"/>
                <w:sz w:val="24"/>
              </w:rPr>
              <w:t>4</w:t>
            </w:r>
          </w:p>
        </w:tc>
        <w:tc>
          <w:tcPr>
            <w:tcW w:w="1440" w:type="dxa"/>
            <w:noWrap w:val="0"/>
            <w:vAlign w:val="center"/>
          </w:tcPr>
          <w:p>
            <w:pPr>
              <w:spacing w:line="240" w:lineRule="auto"/>
              <w:ind w:firstLine="0" w:firstLineChars="0"/>
              <w:jc w:val="center"/>
              <w:rPr>
                <w:rFonts w:hint="eastAsia"/>
                <w:sz w:val="24"/>
              </w:rPr>
            </w:pPr>
          </w:p>
        </w:tc>
        <w:tc>
          <w:tcPr>
            <w:tcW w:w="1126" w:type="dxa"/>
            <w:noWrap w:val="0"/>
            <w:vAlign w:val="center"/>
          </w:tcPr>
          <w:p>
            <w:pPr>
              <w:spacing w:line="240" w:lineRule="auto"/>
              <w:ind w:firstLine="0" w:firstLineChars="0"/>
              <w:jc w:val="center"/>
              <w:rPr>
                <w:rFonts w:hint="eastAsia"/>
                <w:sz w:val="24"/>
              </w:rPr>
            </w:pPr>
          </w:p>
        </w:tc>
        <w:tc>
          <w:tcPr>
            <w:tcW w:w="889" w:type="dxa"/>
            <w:noWrap w:val="0"/>
            <w:vAlign w:val="center"/>
          </w:tcPr>
          <w:p>
            <w:pPr>
              <w:spacing w:line="240" w:lineRule="auto"/>
              <w:ind w:firstLine="0" w:firstLineChars="0"/>
              <w:jc w:val="center"/>
              <w:rPr>
                <w:rFonts w:hint="eastAsia"/>
                <w:sz w:val="24"/>
              </w:rPr>
            </w:pPr>
          </w:p>
        </w:tc>
        <w:tc>
          <w:tcPr>
            <w:tcW w:w="2083" w:type="dxa"/>
            <w:noWrap w:val="0"/>
            <w:vAlign w:val="center"/>
          </w:tcPr>
          <w:p>
            <w:pPr>
              <w:spacing w:line="240" w:lineRule="auto"/>
              <w:ind w:firstLine="0" w:firstLineChars="0"/>
              <w:jc w:val="center"/>
              <w:rPr>
                <w:rFonts w:hint="eastAsia"/>
                <w:sz w:val="24"/>
              </w:rPr>
            </w:pPr>
          </w:p>
        </w:tc>
        <w:tc>
          <w:tcPr>
            <w:tcW w:w="1440" w:type="dxa"/>
            <w:noWrap w:val="0"/>
            <w:vAlign w:val="center"/>
          </w:tcPr>
          <w:p>
            <w:pPr>
              <w:spacing w:line="240" w:lineRule="auto"/>
              <w:ind w:firstLine="0" w:firstLineChars="0"/>
              <w:jc w:val="center"/>
              <w:rPr>
                <w:rFonts w:hint="eastAsia"/>
                <w:sz w:val="24"/>
              </w:rPr>
            </w:pPr>
          </w:p>
        </w:tc>
        <w:tc>
          <w:tcPr>
            <w:tcW w:w="1427" w:type="dxa"/>
            <w:noWrap w:val="0"/>
            <w:vAlign w:val="center"/>
          </w:tcPr>
          <w:p>
            <w:pPr>
              <w:spacing w:line="240" w:lineRule="auto"/>
              <w:ind w:firstLine="0" w:firstLineChars="0"/>
              <w:jc w:val="center"/>
              <w:rPr>
                <w:rFonts w:hint="eastAsia"/>
                <w:sz w:val="24"/>
              </w:rPr>
            </w:pPr>
          </w:p>
        </w:tc>
        <w:tc>
          <w:tcPr>
            <w:tcW w:w="1557" w:type="dxa"/>
            <w:noWrap w:val="0"/>
            <w:vAlign w:val="center"/>
          </w:tcPr>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538" w:type="dxa"/>
            <w:noWrap w:val="0"/>
            <w:vAlign w:val="center"/>
          </w:tcPr>
          <w:p>
            <w:pPr>
              <w:spacing w:line="240" w:lineRule="auto"/>
              <w:ind w:firstLine="0" w:firstLineChars="0"/>
              <w:jc w:val="center"/>
              <w:rPr>
                <w:rFonts w:hint="eastAsia"/>
                <w:sz w:val="24"/>
              </w:rPr>
            </w:pPr>
            <w:r>
              <w:rPr>
                <w:rFonts w:hint="eastAsia"/>
                <w:sz w:val="24"/>
              </w:rPr>
              <w:t>5</w:t>
            </w:r>
          </w:p>
        </w:tc>
        <w:tc>
          <w:tcPr>
            <w:tcW w:w="1440" w:type="dxa"/>
            <w:noWrap w:val="0"/>
            <w:vAlign w:val="center"/>
          </w:tcPr>
          <w:p>
            <w:pPr>
              <w:spacing w:line="240" w:lineRule="auto"/>
              <w:ind w:firstLine="0" w:firstLineChars="0"/>
              <w:jc w:val="center"/>
              <w:rPr>
                <w:rFonts w:hint="eastAsia"/>
                <w:sz w:val="24"/>
              </w:rPr>
            </w:pPr>
          </w:p>
        </w:tc>
        <w:tc>
          <w:tcPr>
            <w:tcW w:w="1126" w:type="dxa"/>
            <w:noWrap w:val="0"/>
            <w:vAlign w:val="center"/>
          </w:tcPr>
          <w:p>
            <w:pPr>
              <w:spacing w:line="240" w:lineRule="auto"/>
              <w:ind w:firstLine="0" w:firstLineChars="0"/>
              <w:jc w:val="center"/>
              <w:rPr>
                <w:rFonts w:hint="eastAsia"/>
                <w:sz w:val="24"/>
              </w:rPr>
            </w:pPr>
          </w:p>
        </w:tc>
        <w:tc>
          <w:tcPr>
            <w:tcW w:w="889" w:type="dxa"/>
            <w:noWrap w:val="0"/>
            <w:vAlign w:val="center"/>
          </w:tcPr>
          <w:p>
            <w:pPr>
              <w:spacing w:line="240" w:lineRule="auto"/>
              <w:ind w:firstLine="0" w:firstLineChars="0"/>
              <w:jc w:val="center"/>
              <w:rPr>
                <w:rFonts w:hint="eastAsia"/>
                <w:sz w:val="24"/>
              </w:rPr>
            </w:pPr>
          </w:p>
        </w:tc>
        <w:tc>
          <w:tcPr>
            <w:tcW w:w="2083" w:type="dxa"/>
            <w:noWrap w:val="0"/>
            <w:vAlign w:val="center"/>
          </w:tcPr>
          <w:p>
            <w:pPr>
              <w:spacing w:line="240" w:lineRule="auto"/>
              <w:ind w:firstLine="0" w:firstLineChars="0"/>
              <w:jc w:val="center"/>
              <w:rPr>
                <w:rFonts w:hint="eastAsia"/>
                <w:sz w:val="24"/>
              </w:rPr>
            </w:pPr>
          </w:p>
        </w:tc>
        <w:tc>
          <w:tcPr>
            <w:tcW w:w="1440" w:type="dxa"/>
            <w:noWrap w:val="0"/>
            <w:vAlign w:val="center"/>
          </w:tcPr>
          <w:p>
            <w:pPr>
              <w:spacing w:line="240" w:lineRule="auto"/>
              <w:ind w:firstLine="0" w:firstLineChars="0"/>
              <w:jc w:val="center"/>
              <w:rPr>
                <w:rFonts w:hint="eastAsia"/>
                <w:sz w:val="24"/>
              </w:rPr>
            </w:pPr>
          </w:p>
        </w:tc>
        <w:tc>
          <w:tcPr>
            <w:tcW w:w="1427" w:type="dxa"/>
            <w:noWrap w:val="0"/>
            <w:vAlign w:val="center"/>
          </w:tcPr>
          <w:p>
            <w:pPr>
              <w:spacing w:line="240" w:lineRule="auto"/>
              <w:ind w:firstLine="0" w:firstLineChars="0"/>
              <w:jc w:val="center"/>
              <w:rPr>
                <w:rFonts w:hint="eastAsia"/>
                <w:sz w:val="24"/>
              </w:rPr>
            </w:pPr>
          </w:p>
        </w:tc>
        <w:tc>
          <w:tcPr>
            <w:tcW w:w="1557" w:type="dxa"/>
            <w:noWrap w:val="0"/>
            <w:vAlign w:val="center"/>
          </w:tcPr>
          <w:p>
            <w:pPr>
              <w:spacing w:line="240" w:lineRule="auto"/>
              <w:ind w:firstLine="0" w:firstLineChars="0"/>
              <w:jc w:val="center"/>
              <w:rPr>
                <w:rFonts w:hint="eastAsia"/>
                <w:sz w:val="24"/>
              </w:rPr>
            </w:pPr>
          </w:p>
        </w:tc>
      </w:tr>
    </w:tbl>
    <w:p>
      <w:pPr>
        <w:spacing w:line="360" w:lineRule="auto"/>
        <w:rPr>
          <w:color w:val="000000"/>
          <w:sz w:val="28"/>
          <w:szCs w:val="28"/>
        </w:rPr>
      </w:pPr>
      <w:r>
        <w:rPr>
          <w:rFonts w:hAnsi="宋体"/>
          <w:color w:val="000000"/>
          <w:sz w:val="28"/>
          <w:szCs w:val="28"/>
        </w:rPr>
        <w:t>编制：</w:t>
      </w:r>
      <w:r>
        <w:rPr>
          <w:color w:val="000000"/>
          <w:sz w:val="28"/>
          <w:szCs w:val="28"/>
        </w:rPr>
        <w:t xml:space="preserve">                                      </w:t>
      </w:r>
      <w:r>
        <w:rPr>
          <w:rFonts w:hAnsi="宋体"/>
          <w:color w:val="000000"/>
          <w:sz w:val="28"/>
          <w:szCs w:val="28"/>
        </w:rPr>
        <w:t>批准：</w:t>
      </w:r>
      <w:r>
        <w:rPr>
          <w:color w:val="000000"/>
          <w:sz w:val="28"/>
          <w:szCs w:val="28"/>
        </w:rPr>
        <w:t xml:space="preserve"> </w:t>
      </w:r>
    </w:p>
    <w:p>
      <w:pPr>
        <w:spacing w:line="360" w:lineRule="auto"/>
        <w:jc w:val="center"/>
        <w:rPr>
          <w:rFonts w:hAnsi="宋体"/>
          <w:b/>
          <w:color w:val="000000"/>
          <w:sz w:val="36"/>
          <w:szCs w:val="36"/>
        </w:rPr>
      </w:pPr>
    </w:p>
    <w:p>
      <w:pPr>
        <w:spacing w:line="360" w:lineRule="auto"/>
        <w:jc w:val="center"/>
        <w:rPr>
          <w:b/>
          <w:color w:val="000000"/>
          <w:sz w:val="36"/>
          <w:szCs w:val="36"/>
        </w:rPr>
      </w:pPr>
      <w:r>
        <w:rPr>
          <w:rFonts w:hint="eastAsia" w:hAnsi="宋体"/>
          <w:b/>
          <w:color w:val="000000"/>
          <w:sz w:val="36"/>
          <w:szCs w:val="36"/>
          <w:lang w:eastAsia="zh-CN"/>
        </w:rPr>
        <w:t>南昌慧华高科混凝土有限公司</w:t>
      </w:r>
      <w:r>
        <w:rPr>
          <w:rFonts w:hAnsi="宋体"/>
          <w:b/>
          <w:color w:val="000000"/>
          <w:sz w:val="36"/>
          <w:szCs w:val="36"/>
        </w:rPr>
        <w:t>应急救援演练方案</w:t>
      </w:r>
    </w:p>
    <w:p>
      <w:pPr>
        <w:spacing w:line="360" w:lineRule="auto"/>
        <w:ind w:firstLine="560" w:firstLineChars="200"/>
        <w:rPr>
          <w:color w:val="000000"/>
          <w:sz w:val="28"/>
          <w:szCs w:val="28"/>
        </w:rPr>
      </w:pPr>
      <w:r>
        <w:rPr>
          <w:rFonts w:hAnsi="宋体"/>
          <w:color w:val="000000"/>
          <w:sz w:val="28"/>
          <w:szCs w:val="28"/>
        </w:rPr>
        <w:t>演练课目：</w:t>
      </w:r>
      <w:r>
        <w:rPr>
          <w:color w:val="000000"/>
          <w:sz w:val="28"/>
          <w:szCs w:val="28"/>
        </w:rPr>
        <w:t xml:space="preserve">                               </w:t>
      </w:r>
      <w:r>
        <w:rPr>
          <w:rFonts w:hAnsi="宋体"/>
          <w:color w:val="000000"/>
          <w:sz w:val="28"/>
          <w:szCs w:val="28"/>
        </w:rPr>
        <w:t>编号：</w:t>
      </w:r>
      <w:r>
        <w:rPr>
          <w:rFonts w:hint="eastAsia"/>
          <w:color w:val="000000"/>
          <w:sz w:val="28"/>
          <w:szCs w:val="28"/>
          <w:lang w:val="en-US" w:eastAsia="zh-CN"/>
        </w:rPr>
        <w:t xml:space="preserve">  </w:t>
      </w:r>
      <w:r>
        <w:rPr>
          <w:color w:val="000000"/>
          <w:sz w:val="28"/>
          <w:szCs w:val="28"/>
        </w:rPr>
        <w:t xml:space="preserve">     </w:t>
      </w:r>
      <w:r>
        <w:rPr>
          <w:rFonts w:hAnsi="宋体"/>
          <w:color w:val="000000"/>
          <w:sz w:val="28"/>
          <w:szCs w:val="28"/>
        </w:rPr>
        <w:t>号</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
        <w:gridCol w:w="97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9" w:hRule="atLeast"/>
          <w:jc w:val="center"/>
        </w:trPr>
        <w:tc>
          <w:tcPr>
            <w:tcW w:w="496" w:type="dxa"/>
            <w:noWrap w:val="0"/>
            <w:vAlign w:val="center"/>
          </w:tcPr>
          <w:p>
            <w:pPr>
              <w:spacing w:line="240" w:lineRule="auto"/>
              <w:ind w:firstLine="0" w:firstLineChars="0"/>
              <w:jc w:val="center"/>
              <w:rPr>
                <w:rFonts w:hint="eastAsia"/>
                <w:sz w:val="24"/>
              </w:rPr>
            </w:pPr>
            <w:r>
              <w:rPr>
                <w:rFonts w:hint="eastAsia"/>
                <w:sz w:val="24"/>
              </w:rPr>
              <w:t>演练目的</w:t>
            </w:r>
          </w:p>
        </w:tc>
        <w:tc>
          <w:tcPr>
            <w:tcW w:w="9796" w:type="dxa"/>
            <w:noWrap w:val="0"/>
            <w:vAlign w:val="center"/>
          </w:tcPr>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1" w:hRule="atLeast"/>
          <w:jc w:val="center"/>
        </w:trPr>
        <w:tc>
          <w:tcPr>
            <w:tcW w:w="496" w:type="dxa"/>
            <w:noWrap w:val="0"/>
            <w:vAlign w:val="center"/>
          </w:tcPr>
          <w:p>
            <w:pPr>
              <w:spacing w:line="240" w:lineRule="auto"/>
              <w:ind w:firstLine="0" w:firstLineChars="0"/>
              <w:jc w:val="center"/>
              <w:rPr>
                <w:rFonts w:hint="eastAsia"/>
                <w:sz w:val="24"/>
              </w:rPr>
            </w:pPr>
            <w:r>
              <w:rPr>
                <w:rFonts w:hint="eastAsia"/>
                <w:sz w:val="24"/>
              </w:rPr>
              <w:t>演练步骤</w:t>
            </w:r>
          </w:p>
        </w:tc>
        <w:tc>
          <w:tcPr>
            <w:tcW w:w="9796" w:type="dxa"/>
            <w:noWrap w:val="0"/>
            <w:vAlign w:val="center"/>
          </w:tcPr>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5" w:hRule="atLeast"/>
          <w:jc w:val="center"/>
        </w:trPr>
        <w:tc>
          <w:tcPr>
            <w:tcW w:w="496" w:type="dxa"/>
            <w:noWrap w:val="0"/>
            <w:vAlign w:val="center"/>
          </w:tcPr>
          <w:p>
            <w:pPr>
              <w:spacing w:line="240" w:lineRule="auto"/>
              <w:ind w:firstLine="0" w:firstLineChars="0"/>
              <w:jc w:val="center"/>
              <w:rPr>
                <w:rFonts w:hint="eastAsia"/>
                <w:sz w:val="24"/>
              </w:rPr>
            </w:pPr>
            <w:r>
              <w:rPr>
                <w:rFonts w:hint="eastAsia"/>
                <w:sz w:val="24"/>
              </w:rPr>
              <w:t>演练安排</w:t>
            </w:r>
          </w:p>
        </w:tc>
        <w:tc>
          <w:tcPr>
            <w:tcW w:w="9796" w:type="dxa"/>
            <w:noWrap w:val="0"/>
            <w:vAlign w:val="center"/>
          </w:tcPr>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9" w:hRule="atLeast"/>
          <w:jc w:val="center"/>
        </w:trPr>
        <w:tc>
          <w:tcPr>
            <w:tcW w:w="496" w:type="dxa"/>
            <w:noWrap w:val="0"/>
            <w:vAlign w:val="center"/>
          </w:tcPr>
          <w:p>
            <w:pPr>
              <w:spacing w:line="240" w:lineRule="auto"/>
              <w:ind w:firstLine="0" w:firstLineChars="0"/>
              <w:jc w:val="center"/>
              <w:rPr>
                <w:rFonts w:hint="eastAsia"/>
                <w:sz w:val="24"/>
              </w:rPr>
            </w:pPr>
            <w:r>
              <w:rPr>
                <w:rFonts w:hint="eastAsia"/>
                <w:sz w:val="24"/>
              </w:rPr>
              <w:t>组织领导</w:t>
            </w:r>
          </w:p>
        </w:tc>
        <w:tc>
          <w:tcPr>
            <w:tcW w:w="9796" w:type="dxa"/>
            <w:noWrap w:val="0"/>
            <w:vAlign w:val="center"/>
          </w:tcPr>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7" w:hRule="atLeast"/>
          <w:jc w:val="center"/>
        </w:trPr>
        <w:tc>
          <w:tcPr>
            <w:tcW w:w="496" w:type="dxa"/>
            <w:noWrap w:val="0"/>
            <w:vAlign w:val="center"/>
          </w:tcPr>
          <w:p>
            <w:pPr>
              <w:spacing w:line="240" w:lineRule="auto"/>
              <w:ind w:firstLine="0" w:firstLineChars="0"/>
              <w:jc w:val="center"/>
              <w:rPr>
                <w:rFonts w:hint="eastAsia"/>
                <w:sz w:val="24"/>
              </w:rPr>
            </w:pPr>
            <w:r>
              <w:rPr>
                <w:rFonts w:hint="eastAsia"/>
                <w:sz w:val="24"/>
              </w:rPr>
              <w:t>实际演练</w:t>
            </w:r>
          </w:p>
        </w:tc>
        <w:tc>
          <w:tcPr>
            <w:tcW w:w="9796" w:type="dxa"/>
            <w:noWrap w:val="0"/>
            <w:vAlign w:val="center"/>
          </w:tcPr>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496" w:type="dxa"/>
            <w:noWrap w:val="0"/>
            <w:vAlign w:val="center"/>
          </w:tcPr>
          <w:p>
            <w:pPr>
              <w:spacing w:line="240" w:lineRule="auto"/>
              <w:ind w:firstLine="0" w:firstLineChars="0"/>
              <w:jc w:val="center"/>
              <w:rPr>
                <w:rFonts w:hint="eastAsia"/>
                <w:sz w:val="24"/>
              </w:rPr>
            </w:pPr>
            <w:r>
              <w:rPr>
                <w:rFonts w:hint="eastAsia"/>
                <w:sz w:val="24"/>
              </w:rPr>
              <w:t>演练结束</w:t>
            </w:r>
          </w:p>
        </w:tc>
        <w:tc>
          <w:tcPr>
            <w:tcW w:w="9796" w:type="dxa"/>
            <w:noWrap w:val="0"/>
            <w:vAlign w:val="center"/>
          </w:tcPr>
          <w:p>
            <w:pPr>
              <w:spacing w:line="240" w:lineRule="auto"/>
              <w:ind w:firstLine="0" w:firstLineChars="0"/>
              <w:jc w:val="center"/>
              <w:rPr>
                <w:rFonts w:hint="eastAsia"/>
                <w:sz w:val="24"/>
              </w:rPr>
            </w:pPr>
          </w:p>
        </w:tc>
      </w:tr>
    </w:tbl>
    <w:p>
      <w:pPr>
        <w:spacing w:line="360" w:lineRule="auto"/>
        <w:jc w:val="center"/>
        <w:rPr>
          <w:rFonts w:hAnsi="宋体"/>
          <w:b/>
          <w:color w:val="000000"/>
          <w:sz w:val="36"/>
          <w:szCs w:val="36"/>
        </w:rPr>
      </w:pPr>
    </w:p>
    <w:p>
      <w:pPr>
        <w:spacing w:line="360" w:lineRule="auto"/>
        <w:jc w:val="center"/>
        <w:rPr>
          <w:rFonts w:hAnsi="宋体"/>
          <w:b/>
          <w:color w:val="000000"/>
          <w:sz w:val="36"/>
          <w:szCs w:val="36"/>
        </w:rPr>
      </w:pPr>
    </w:p>
    <w:p>
      <w:pPr>
        <w:spacing w:line="360" w:lineRule="auto"/>
        <w:jc w:val="center"/>
        <w:rPr>
          <w:rFonts w:hAnsi="宋体"/>
          <w:b/>
          <w:color w:val="000000"/>
          <w:sz w:val="36"/>
          <w:szCs w:val="36"/>
        </w:rPr>
      </w:pPr>
    </w:p>
    <w:p>
      <w:pPr>
        <w:spacing w:line="360" w:lineRule="auto"/>
        <w:jc w:val="center"/>
        <w:rPr>
          <w:b/>
          <w:color w:val="000000"/>
          <w:sz w:val="36"/>
          <w:szCs w:val="36"/>
        </w:rPr>
      </w:pPr>
      <w:r>
        <w:rPr>
          <w:rFonts w:hint="eastAsia" w:hAnsi="宋体"/>
          <w:b/>
          <w:color w:val="000000"/>
          <w:sz w:val="36"/>
          <w:szCs w:val="36"/>
          <w:lang w:eastAsia="zh-CN"/>
        </w:rPr>
        <w:t>南昌慧华高科混凝土有限公司</w:t>
      </w:r>
      <w:r>
        <w:rPr>
          <w:rFonts w:hAnsi="宋体"/>
          <w:b/>
          <w:color w:val="000000"/>
          <w:sz w:val="36"/>
          <w:szCs w:val="36"/>
        </w:rPr>
        <w:t>应急救援演练记录</w:t>
      </w:r>
    </w:p>
    <w:p>
      <w:pPr>
        <w:spacing w:line="360" w:lineRule="auto"/>
        <w:ind w:firstLine="6840" w:firstLineChars="2850"/>
        <w:rPr>
          <w:color w:val="000000"/>
          <w:sz w:val="24"/>
        </w:rPr>
      </w:pPr>
      <w:r>
        <w:rPr>
          <w:rFonts w:hAnsi="宋体"/>
          <w:color w:val="000000"/>
          <w:sz w:val="24"/>
        </w:rPr>
        <w:t>编号：</w:t>
      </w:r>
      <w:r>
        <w:rPr>
          <w:rFonts w:hint="eastAsia"/>
          <w:color w:val="000000"/>
          <w:sz w:val="24"/>
          <w:lang w:val="en-US" w:eastAsia="zh-CN"/>
        </w:rPr>
        <w:t xml:space="preserve">    </w:t>
      </w:r>
      <w:r>
        <w:rPr>
          <w:color w:val="000000"/>
          <w:sz w:val="24"/>
        </w:rPr>
        <w:t xml:space="preserve">   </w:t>
      </w:r>
      <w:r>
        <w:rPr>
          <w:rFonts w:hAnsi="宋体"/>
          <w:color w:val="000000"/>
          <w:sz w:val="24"/>
        </w:rPr>
        <w:t>号</w:t>
      </w:r>
    </w:p>
    <w:tbl>
      <w:tblPr>
        <w:tblStyle w:val="16"/>
        <w:tblW w:w="10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6"/>
        <w:gridCol w:w="1303"/>
        <w:gridCol w:w="1371"/>
        <w:gridCol w:w="1020"/>
        <w:gridCol w:w="1131"/>
        <w:gridCol w:w="1026"/>
        <w:gridCol w:w="307"/>
        <w:gridCol w:w="38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1759" w:type="dxa"/>
            <w:gridSpan w:val="2"/>
            <w:noWrap w:val="0"/>
            <w:vAlign w:val="center"/>
          </w:tcPr>
          <w:p>
            <w:pPr>
              <w:spacing w:line="240" w:lineRule="auto"/>
              <w:ind w:firstLine="0" w:firstLineChars="0"/>
              <w:jc w:val="center"/>
              <w:rPr>
                <w:rFonts w:hint="eastAsia"/>
                <w:sz w:val="24"/>
              </w:rPr>
            </w:pPr>
            <w:r>
              <w:rPr>
                <w:rFonts w:hint="eastAsia"/>
                <w:sz w:val="24"/>
              </w:rPr>
              <w:t>演练名称</w:t>
            </w:r>
          </w:p>
        </w:tc>
        <w:tc>
          <w:tcPr>
            <w:tcW w:w="3522" w:type="dxa"/>
            <w:gridSpan w:val="3"/>
            <w:noWrap w:val="0"/>
            <w:vAlign w:val="center"/>
          </w:tcPr>
          <w:p>
            <w:pPr>
              <w:spacing w:line="240" w:lineRule="auto"/>
              <w:ind w:firstLine="0" w:firstLineChars="0"/>
              <w:jc w:val="center"/>
              <w:rPr>
                <w:rFonts w:hint="eastAsia"/>
                <w:sz w:val="24"/>
              </w:rPr>
            </w:pPr>
            <w:r>
              <w:rPr>
                <w:rFonts w:hint="eastAsia"/>
                <w:sz w:val="24"/>
              </w:rPr>
              <w:t xml:space="preserve"> </w:t>
            </w:r>
          </w:p>
        </w:tc>
        <w:tc>
          <w:tcPr>
            <w:tcW w:w="1333" w:type="dxa"/>
            <w:gridSpan w:val="2"/>
            <w:noWrap w:val="0"/>
            <w:vAlign w:val="center"/>
          </w:tcPr>
          <w:p>
            <w:pPr>
              <w:spacing w:line="240" w:lineRule="auto"/>
              <w:ind w:firstLine="0" w:firstLineChars="0"/>
              <w:jc w:val="center"/>
              <w:rPr>
                <w:rFonts w:hint="eastAsia"/>
                <w:sz w:val="24"/>
              </w:rPr>
            </w:pPr>
            <w:r>
              <w:rPr>
                <w:rFonts w:hint="eastAsia"/>
                <w:sz w:val="24"/>
              </w:rPr>
              <w:t>演练地点</w:t>
            </w:r>
          </w:p>
        </w:tc>
        <w:tc>
          <w:tcPr>
            <w:tcW w:w="3885" w:type="dxa"/>
            <w:noWrap w:val="0"/>
            <w:vAlign w:val="center"/>
          </w:tcPr>
          <w:p>
            <w:pPr>
              <w:spacing w:line="240" w:lineRule="auto"/>
              <w:ind w:firstLine="0" w:firstLineChars="0"/>
              <w:jc w:val="center"/>
              <w:rPr>
                <w:rFonts w:hint="eastAsia"/>
                <w:sz w:val="24"/>
              </w:rPr>
            </w:pPr>
            <w:r>
              <w:rPr>
                <w:rFonts w:hint="eastAsia"/>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9" w:type="dxa"/>
            <w:gridSpan w:val="2"/>
            <w:noWrap w:val="0"/>
            <w:vAlign w:val="center"/>
          </w:tcPr>
          <w:p>
            <w:pPr>
              <w:spacing w:line="240" w:lineRule="auto"/>
              <w:ind w:firstLine="0" w:firstLineChars="0"/>
              <w:jc w:val="center"/>
              <w:rPr>
                <w:rFonts w:hint="eastAsia"/>
                <w:sz w:val="24"/>
              </w:rPr>
            </w:pPr>
            <w:r>
              <w:rPr>
                <w:rFonts w:hint="eastAsia"/>
                <w:sz w:val="24"/>
              </w:rPr>
              <w:t>组织部门</w:t>
            </w:r>
          </w:p>
        </w:tc>
        <w:tc>
          <w:tcPr>
            <w:tcW w:w="1371" w:type="dxa"/>
            <w:noWrap w:val="0"/>
            <w:vAlign w:val="center"/>
          </w:tcPr>
          <w:p>
            <w:pPr>
              <w:spacing w:line="240" w:lineRule="auto"/>
              <w:ind w:firstLine="0" w:firstLineChars="0"/>
              <w:jc w:val="center"/>
              <w:rPr>
                <w:rFonts w:hint="eastAsia"/>
                <w:sz w:val="24"/>
              </w:rPr>
            </w:pPr>
            <w:r>
              <w:rPr>
                <w:rFonts w:hint="eastAsia"/>
                <w:sz w:val="24"/>
              </w:rPr>
              <w:t xml:space="preserve"> </w:t>
            </w:r>
          </w:p>
        </w:tc>
        <w:tc>
          <w:tcPr>
            <w:tcW w:w="1020" w:type="dxa"/>
            <w:noWrap w:val="0"/>
            <w:vAlign w:val="center"/>
          </w:tcPr>
          <w:p>
            <w:pPr>
              <w:spacing w:line="240" w:lineRule="auto"/>
              <w:ind w:firstLine="0" w:firstLineChars="0"/>
              <w:jc w:val="center"/>
              <w:rPr>
                <w:rFonts w:hint="eastAsia"/>
                <w:sz w:val="24"/>
              </w:rPr>
            </w:pPr>
            <w:r>
              <w:rPr>
                <w:rFonts w:hint="eastAsia"/>
                <w:sz w:val="24"/>
              </w:rPr>
              <w:t>总指挥</w:t>
            </w:r>
          </w:p>
        </w:tc>
        <w:tc>
          <w:tcPr>
            <w:tcW w:w="1131" w:type="dxa"/>
            <w:noWrap w:val="0"/>
            <w:vAlign w:val="center"/>
          </w:tcPr>
          <w:p>
            <w:pPr>
              <w:spacing w:line="240" w:lineRule="auto"/>
              <w:ind w:firstLine="0" w:firstLineChars="0"/>
              <w:jc w:val="center"/>
              <w:rPr>
                <w:rFonts w:hint="eastAsia"/>
                <w:sz w:val="24"/>
              </w:rPr>
            </w:pPr>
          </w:p>
        </w:tc>
        <w:tc>
          <w:tcPr>
            <w:tcW w:w="1333" w:type="dxa"/>
            <w:gridSpan w:val="2"/>
            <w:noWrap w:val="0"/>
            <w:vAlign w:val="center"/>
          </w:tcPr>
          <w:p>
            <w:pPr>
              <w:spacing w:line="240" w:lineRule="auto"/>
              <w:ind w:firstLine="0" w:firstLineChars="0"/>
              <w:jc w:val="center"/>
              <w:rPr>
                <w:rFonts w:hint="eastAsia"/>
                <w:sz w:val="24"/>
              </w:rPr>
            </w:pPr>
            <w:r>
              <w:rPr>
                <w:rFonts w:hint="eastAsia"/>
                <w:sz w:val="24"/>
              </w:rPr>
              <w:t>演练时间</w:t>
            </w:r>
          </w:p>
        </w:tc>
        <w:tc>
          <w:tcPr>
            <w:tcW w:w="3885" w:type="dxa"/>
            <w:noWrap w:val="0"/>
            <w:vAlign w:val="top"/>
          </w:tcPr>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1759" w:type="dxa"/>
            <w:gridSpan w:val="2"/>
            <w:noWrap w:val="0"/>
            <w:vAlign w:val="center"/>
          </w:tcPr>
          <w:p>
            <w:pPr>
              <w:spacing w:line="240" w:lineRule="auto"/>
              <w:ind w:firstLine="0" w:firstLineChars="0"/>
              <w:jc w:val="center"/>
              <w:rPr>
                <w:rFonts w:hint="eastAsia"/>
                <w:sz w:val="24"/>
              </w:rPr>
            </w:pPr>
            <w:r>
              <w:rPr>
                <w:rFonts w:hint="eastAsia"/>
                <w:sz w:val="24"/>
              </w:rPr>
              <w:t>参加部门</w:t>
            </w:r>
          </w:p>
          <w:p>
            <w:pPr>
              <w:spacing w:line="240" w:lineRule="auto"/>
              <w:ind w:firstLine="0" w:firstLineChars="0"/>
              <w:jc w:val="center"/>
              <w:rPr>
                <w:rFonts w:hint="eastAsia"/>
                <w:sz w:val="24"/>
              </w:rPr>
            </w:pPr>
            <w:r>
              <w:rPr>
                <w:rFonts w:hint="eastAsia"/>
                <w:sz w:val="24"/>
              </w:rPr>
              <w:t>和单位</w:t>
            </w:r>
          </w:p>
        </w:tc>
        <w:tc>
          <w:tcPr>
            <w:tcW w:w="8740" w:type="dxa"/>
            <w:gridSpan w:val="6"/>
            <w:noWrap w:val="0"/>
            <w:vAlign w:val="center"/>
          </w:tcPr>
          <w:p>
            <w:pPr>
              <w:spacing w:line="240" w:lineRule="auto"/>
              <w:ind w:firstLine="0" w:firstLineChars="0"/>
              <w:jc w:val="center"/>
              <w:rPr>
                <w:rFonts w:hint="eastAsia"/>
                <w:sz w:val="24"/>
              </w:rPr>
            </w:pPr>
            <w:r>
              <w:rPr>
                <w:rFonts w:hint="eastAsia"/>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atLeast"/>
          <w:jc w:val="center"/>
        </w:trPr>
        <w:tc>
          <w:tcPr>
            <w:tcW w:w="1759" w:type="dxa"/>
            <w:gridSpan w:val="2"/>
            <w:noWrap w:val="0"/>
            <w:vAlign w:val="center"/>
          </w:tcPr>
          <w:p>
            <w:pPr>
              <w:spacing w:line="240" w:lineRule="auto"/>
              <w:ind w:firstLine="0" w:firstLineChars="0"/>
              <w:jc w:val="center"/>
              <w:rPr>
                <w:rFonts w:hint="eastAsia"/>
                <w:sz w:val="24"/>
              </w:rPr>
            </w:pPr>
            <w:r>
              <w:rPr>
                <w:rFonts w:hint="eastAsia"/>
                <w:sz w:val="24"/>
              </w:rPr>
              <w:t>演练类别</w:t>
            </w:r>
          </w:p>
        </w:tc>
        <w:tc>
          <w:tcPr>
            <w:tcW w:w="4548" w:type="dxa"/>
            <w:gridSpan w:val="4"/>
            <w:noWrap w:val="0"/>
            <w:vAlign w:val="top"/>
          </w:tcPr>
          <w:p>
            <w:pPr>
              <w:spacing w:line="240" w:lineRule="auto"/>
              <w:ind w:firstLine="0" w:firstLineChars="0"/>
              <w:jc w:val="both"/>
              <w:rPr>
                <w:rFonts w:hint="eastAsia"/>
                <w:sz w:val="24"/>
              </w:rPr>
            </w:pPr>
            <w:r>
              <w:rPr>
                <w:rFonts w:hint="eastAsia"/>
                <w:sz w:val="24"/>
              </w:rPr>
              <w:t>□实际演练  □桌面演练  □提问讨论式演练    □全部预案  □部分预案</w:t>
            </w:r>
          </w:p>
        </w:tc>
        <w:tc>
          <w:tcPr>
            <w:tcW w:w="4192" w:type="dxa"/>
            <w:gridSpan w:val="2"/>
            <w:noWrap w:val="0"/>
            <w:vAlign w:val="top"/>
          </w:tcPr>
          <w:p>
            <w:pPr>
              <w:spacing w:line="240" w:lineRule="auto"/>
              <w:ind w:firstLine="0" w:firstLineChars="0"/>
              <w:jc w:val="both"/>
              <w:rPr>
                <w:rFonts w:hint="eastAsia"/>
                <w:sz w:val="24"/>
              </w:rPr>
            </w:pPr>
            <w:r>
              <w:rPr>
                <w:rFonts w:hint="eastAsia"/>
                <w:sz w:val="24"/>
              </w:rPr>
              <w:t>实际演练部分：</w:t>
            </w:r>
          </w:p>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1" w:hRule="atLeast"/>
          <w:jc w:val="center"/>
        </w:trPr>
        <w:tc>
          <w:tcPr>
            <w:tcW w:w="1759" w:type="dxa"/>
            <w:gridSpan w:val="2"/>
            <w:noWrap w:val="0"/>
            <w:vAlign w:val="center"/>
          </w:tcPr>
          <w:p>
            <w:pPr>
              <w:spacing w:line="240" w:lineRule="auto"/>
              <w:ind w:firstLine="0" w:firstLineChars="0"/>
              <w:jc w:val="center"/>
              <w:rPr>
                <w:rFonts w:hint="eastAsia"/>
                <w:sz w:val="24"/>
              </w:rPr>
            </w:pPr>
            <w:r>
              <w:rPr>
                <w:rFonts w:hint="eastAsia"/>
                <w:sz w:val="24"/>
              </w:rPr>
              <w:t>物资准备和人员培训情况</w:t>
            </w:r>
          </w:p>
        </w:tc>
        <w:tc>
          <w:tcPr>
            <w:tcW w:w="8740" w:type="dxa"/>
            <w:gridSpan w:val="6"/>
            <w:noWrap w:val="0"/>
            <w:vAlign w:val="top"/>
          </w:tcPr>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1" w:hRule="atLeast"/>
          <w:jc w:val="center"/>
        </w:trPr>
        <w:tc>
          <w:tcPr>
            <w:tcW w:w="1759" w:type="dxa"/>
            <w:gridSpan w:val="2"/>
            <w:noWrap w:val="0"/>
            <w:vAlign w:val="center"/>
          </w:tcPr>
          <w:p>
            <w:pPr>
              <w:spacing w:line="240" w:lineRule="auto"/>
              <w:ind w:firstLine="0" w:firstLineChars="0"/>
              <w:jc w:val="center"/>
              <w:rPr>
                <w:rFonts w:hint="eastAsia"/>
                <w:sz w:val="24"/>
              </w:rPr>
            </w:pPr>
            <w:r>
              <w:rPr>
                <w:rFonts w:hint="eastAsia"/>
                <w:sz w:val="24"/>
              </w:rPr>
              <w:t>演练过程</w:t>
            </w:r>
          </w:p>
          <w:p>
            <w:pPr>
              <w:spacing w:line="240" w:lineRule="auto"/>
              <w:ind w:firstLine="0" w:firstLineChars="0"/>
              <w:jc w:val="center"/>
              <w:rPr>
                <w:rFonts w:hint="eastAsia"/>
                <w:sz w:val="24"/>
              </w:rPr>
            </w:pPr>
            <w:r>
              <w:rPr>
                <w:rFonts w:hint="eastAsia"/>
                <w:sz w:val="24"/>
              </w:rPr>
              <w:t>描述</w:t>
            </w:r>
          </w:p>
        </w:tc>
        <w:tc>
          <w:tcPr>
            <w:tcW w:w="8740" w:type="dxa"/>
            <w:gridSpan w:val="6"/>
            <w:noWrap w:val="0"/>
            <w:vAlign w:val="top"/>
          </w:tcPr>
          <w:p>
            <w:pPr>
              <w:spacing w:line="240" w:lineRule="auto"/>
              <w:ind w:firstLine="0" w:firstLineChars="0"/>
              <w:jc w:val="center"/>
              <w:rPr>
                <w:rFonts w:hint="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5" w:hRule="atLeast"/>
          <w:jc w:val="center"/>
        </w:trPr>
        <w:tc>
          <w:tcPr>
            <w:tcW w:w="1759" w:type="dxa"/>
            <w:gridSpan w:val="2"/>
            <w:noWrap w:val="0"/>
            <w:vAlign w:val="center"/>
          </w:tcPr>
          <w:p>
            <w:pPr>
              <w:spacing w:line="240" w:lineRule="auto"/>
              <w:ind w:firstLine="0" w:firstLineChars="0"/>
              <w:jc w:val="center"/>
              <w:rPr>
                <w:rFonts w:hint="eastAsia"/>
                <w:sz w:val="24"/>
              </w:rPr>
            </w:pPr>
            <w:r>
              <w:rPr>
                <w:rFonts w:hint="eastAsia"/>
                <w:sz w:val="24"/>
              </w:rPr>
              <w:t>预案适宜性充分性评审</w:t>
            </w:r>
          </w:p>
        </w:tc>
        <w:tc>
          <w:tcPr>
            <w:tcW w:w="8740" w:type="dxa"/>
            <w:gridSpan w:val="6"/>
            <w:noWrap w:val="0"/>
            <w:vAlign w:val="center"/>
          </w:tcPr>
          <w:p>
            <w:pPr>
              <w:spacing w:line="240" w:lineRule="auto"/>
              <w:ind w:firstLine="0" w:firstLineChars="0"/>
              <w:jc w:val="both"/>
              <w:rPr>
                <w:rFonts w:hint="eastAsia"/>
                <w:sz w:val="24"/>
              </w:rPr>
            </w:pPr>
            <w:r>
              <w:rPr>
                <w:rFonts w:hint="eastAsia"/>
                <w:sz w:val="24"/>
              </w:rPr>
              <w:t>适宜性：□全部能够执行  □执行过程不够顺利  □明显不适宜</w:t>
            </w:r>
          </w:p>
          <w:p>
            <w:pPr>
              <w:spacing w:line="240" w:lineRule="auto"/>
              <w:ind w:firstLine="0" w:firstLineChars="0"/>
              <w:jc w:val="both"/>
              <w:rPr>
                <w:rFonts w:hint="eastAsia"/>
                <w:sz w:val="24"/>
              </w:rPr>
            </w:pPr>
            <w:r>
              <w:rPr>
                <w:rFonts w:hint="eastAsia"/>
                <w:sz w:val="24"/>
              </w:rPr>
              <w:t>充分性：□完全满足应急要求  □基本满足需要完善  □不充分，必须修改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8" w:hRule="atLeast"/>
          <w:jc w:val="center"/>
        </w:trPr>
        <w:tc>
          <w:tcPr>
            <w:tcW w:w="456" w:type="dxa"/>
            <w:vMerge w:val="restart"/>
            <w:noWrap w:val="0"/>
            <w:vAlign w:val="center"/>
          </w:tcPr>
          <w:p>
            <w:pPr>
              <w:spacing w:line="240" w:lineRule="auto"/>
              <w:ind w:firstLine="0" w:firstLineChars="0"/>
              <w:jc w:val="center"/>
              <w:rPr>
                <w:rFonts w:hint="eastAsia"/>
                <w:sz w:val="24"/>
              </w:rPr>
            </w:pPr>
            <w:r>
              <w:rPr>
                <w:rFonts w:hint="eastAsia"/>
                <w:sz w:val="24"/>
              </w:rPr>
              <w:t>演练效果评审</w:t>
            </w:r>
          </w:p>
        </w:tc>
        <w:tc>
          <w:tcPr>
            <w:tcW w:w="1303" w:type="dxa"/>
            <w:noWrap w:val="0"/>
            <w:vAlign w:val="center"/>
          </w:tcPr>
          <w:p>
            <w:pPr>
              <w:spacing w:line="240" w:lineRule="auto"/>
              <w:ind w:firstLine="0" w:firstLineChars="0"/>
              <w:jc w:val="center"/>
              <w:rPr>
                <w:rFonts w:hint="eastAsia"/>
                <w:sz w:val="24"/>
              </w:rPr>
            </w:pPr>
            <w:r>
              <w:rPr>
                <w:rFonts w:hint="eastAsia"/>
                <w:sz w:val="24"/>
              </w:rPr>
              <w:t>人员到位情况</w:t>
            </w:r>
          </w:p>
        </w:tc>
        <w:tc>
          <w:tcPr>
            <w:tcW w:w="8740" w:type="dxa"/>
            <w:gridSpan w:val="6"/>
            <w:noWrap w:val="0"/>
            <w:vAlign w:val="center"/>
          </w:tcPr>
          <w:p>
            <w:pPr>
              <w:spacing w:line="240" w:lineRule="auto"/>
              <w:ind w:firstLine="0" w:firstLineChars="0"/>
              <w:jc w:val="both"/>
              <w:rPr>
                <w:rFonts w:hint="eastAsia"/>
                <w:sz w:val="24"/>
              </w:rPr>
            </w:pPr>
            <w:r>
              <w:rPr>
                <w:rFonts w:hint="eastAsia"/>
                <w:sz w:val="24"/>
              </w:rPr>
              <w:t>□迅速准确  □基本按时到位  □个别人员不到位  □重点部位人员不到位</w:t>
            </w:r>
          </w:p>
          <w:p>
            <w:pPr>
              <w:spacing w:line="240" w:lineRule="auto"/>
              <w:ind w:firstLine="0" w:firstLineChars="0"/>
              <w:jc w:val="both"/>
              <w:rPr>
                <w:rFonts w:hint="eastAsia"/>
                <w:sz w:val="24"/>
              </w:rPr>
            </w:pPr>
            <w:r>
              <w:rPr>
                <w:rFonts w:hint="eastAsia"/>
                <w:sz w:val="24"/>
              </w:rPr>
              <w:t>□职责明确，操作熟练  □职责明确，操作不够熟练  □职责不明，操作不熟练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jc w:val="center"/>
        </w:trPr>
        <w:tc>
          <w:tcPr>
            <w:tcW w:w="456" w:type="dxa"/>
            <w:vMerge w:val="continue"/>
            <w:noWrap w:val="0"/>
            <w:vAlign w:val="top"/>
          </w:tcPr>
          <w:p>
            <w:pPr>
              <w:spacing w:line="240" w:lineRule="auto"/>
              <w:ind w:firstLine="0" w:firstLineChars="0"/>
              <w:jc w:val="center"/>
              <w:rPr>
                <w:rFonts w:hint="eastAsia"/>
                <w:sz w:val="24"/>
              </w:rPr>
            </w:pPr>
          </w:p>
        </w:tc>
        <w:tc>
          <w:tcPr>
            <w:tcW w:w="1303" w:type="dxa"/>
            <w:noWrap w:val="0"/>
            <w:vAlign w:val="center"/>
          </w:tcPr>
          <w:p>
            <w:pPr>
              <w:spacing w:line="240" w:lineRule="auto"/>
              <w:ind w:firstLine="0" w:firstLineChars="0"/>
              <w:jc w:val="center"/>
              <w:rPr>
                <w:rFonts w:hint="eastAsia"/>
                <w:sz w:val="24"/>
              </w:rPr>
            </w:pPr>
            <w:r>
              <w:rPr>
                <w:rFonts w:hint="eastAsia"/>
                <w:sz w:val="24"/>
              </w:rPr>
              <w:t>物资到位情况</w:t>
            </w:r>
          </w:p>
        </w:tc>
        <w:tc>
          <w:tcPr>
            <w:tcW w:w="8740" w:type="dxa"/>
            <w:gridSpan w:val="6"/>
            <w:noWrap w:val="0"/>
            <w:vAlign w:val="center"/>
          </w:tcPr>
          <w:p>
            <w:pPr>
              <w:spacing w:line="240" w:lineRule="auto"/>
              <w:ind w:firstLine="0" w:firstLineChars="0"/>
              <w:jc w:val="both"/>
              <w:rPr>
                <w:rFonts w:hint="eastAsia"/>
                <w:sz w:val="24"/>
              </w:rPr>
            </w:pPr>
            <w:r>
              <w:rPr>
                <w:rFonts w:hint="eastAsia"/>
                <w:sz w:val="24"/>
              </w:rPr>
              <w:t>现场物资：□现场物资充分，全部有效  □现场准备不充分  □现场物资严重缺乏</w:t>
            </w:r>
          </w:p>
          <w:p>
            <w:pPr>
              <w:spacing w:line="240" w:lineRule="auto"/>
              <w:ind w:firstLine="0" w:firstLineChars="0"/>
              <w:jc w:val="both"/>
              <w:rPr>
                <w:rFonts w:hint="eastAsia"/>
                <w:sz w:val="24"/>
              </w:rPr>
            </w:pPr>
            <w:r>
              <w:rPr>
                <w:rFonts w:hint="eastAsia"/>
                <w:sz w:val="24"/>
              </w:rPr>
              <w:t>个人防护：□全部人员防护到位 □个别人员防护不到位 □大部分人员防护不到位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7" w:hRule="atLeast"/>
          <w:jc w:val="center"/>
        </w:trPr>
        <w:tc>
          <w:tcPr>
            <w:tcW w:w="456" w:type="dxa"/>
            <w:vMerge w:val="continue"/>
            <w:noWrap w:val="0"/>
            <w:vAlign w:val="top"/>
          </w:tcPr>
          <w:p>
            <w:pPr>
              <w:spacing w:line="240" w:lineRule="auto"/>
              <w:ind w:firstLine="0" w:firstLineChars="0"/>
              <w:jc w:val="center"/>
              <w:rPr>
                <w:rFonts w:hint="eastAsia"/>
                <w:sz w:val="24"/>
              </w:rPr>
            </w:pPr>
          </w:p>
        </w:tc>
        <w:tc>
          <w:tcPr>
            <w:tcW w:w="1303" w:type="dxa"/>
            <w:noWrap w:val="0"/>
            <w:vAlign w:val="center"/>
          </w:tcPr>
          <w:p>
            <w:pPr>
              <w:spacing w:line="240" w:lineRule="auto"/>
              <w:ind w:firstLine="0" w:firstLineChars="0"/>
              <w:jc w:val="center"/>
              <w:rPr>
                <w:rFonts w:hint="eastAsia"/>
                <w:sz w:val="24"/>
              </w:rPr>
            </w:pPr>
            <w:r>
              <w:rPr>
                <w:rFonts w:hint="eastAsia"/>
                <w:sz w:val="24"/>
              </w:rPr>
              <w:t>协调组织情况</w:t>
            </w:r>
          </w:p>
        </w:tc>
        <w:tc>
          <w:tcPr>
            <w:tcW w:w="8740" w:type="dxa"/>
            <w:gridSpan w:val="6"/>
            <w:noWrap w:val="0"/>
            <w:vAlign w:val="center"/>
          </w:tcPr>
          <w:p>
            <w:pPr>
              <w:spacing w:line="240" w:lineRule="auto"/>
              <w:ind w:firstLine="0" w:firstLineChars="0"/>
              <w:jc w:val="both"/>
              <w:rPr>
                <w:rFonts w:hint="eastAsia"/>
                <w:sz w:val="24"/>
              </w:rPr>
            </w:pPr>
            <w:r>
              <w:rPr>
                <w:rFonts w:hint="eastAsia"/>
                <w:sz w:val="24"/>
              </w:rPr>
              <w:t>整体组织：□准确、高效  □协调基本顺利，能满足要求  □效率低，有待改进</w:t>
            </w:r>
          </w:p>
          <w:p>
            <w:pPr>
              <w:spacing w:line="240" w:lineRule="auto"/>
              <w:ind w:firstLine="0" w:firstLineChars="0"/>
              <w:jc w:val="both"/>
              <w:rPr>
                <w:rFonts w:hint="eastAsia"/>
                <w:sz w:val="24"/>
              </w:rPr>
            </w:pPr>
            <w:r>
              <w:rPr>
                <w:rFonts w:hint="eastAsia"/>
                <w:sz w:val="24"/>
              </w:rPr>
              <w:t>抢险组分工：□合理、高效  □基本合理，能完成任务  □效率低，没有完成任务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9" w:hRule="atLeast"/>
          <w:jc w:val="center"/>
        </w:trPr>
        <w:tc>
          <w:tcPr>
            <w:tcW w:w="456" w:type="dxa"/>
            <w:vMerge w:val="continue"/>
            <w:noWrap w:val="0"/>
            <w:vAlign w:val="top"/>
          </w:tcPr>
          <w:p>
            <w:pPr>
              <w:spacing w:line="240" w:lineRule="auto"/>
              <w:ind w:firstLine="0" w:firstLineChars="0"/>
              <w:jc w:val="center"/>
              <w:rPr>
                <w:rFonts w:hint="eastAsia"/>
                <w:sz w:val="24"/>
              </w:rPr>
            </w:pPr>
          </w:p>
        </w:tc>
        <w:tc>
          <w:tcPr>
            <w:tcW w:w="1303" w:type="dxa"/>
            <w:noWrap w:val="0"/>
            <w:vAlign w:val="center"/>
          </w:tcPr>
          <w:p>
            <w:pPr>
              <w:spacing w:line="240" w:lineRule="auto"/>
              <w:ind w:firstLine="0" w:firstLineChars="0"/>
              <w:jc w:val="center"/>
              <w:rPr>
                <w:rFonts w:hint="eastAsia"/>
                <w:sz w:val="24"/>
              </w:rPr>
            </w:pPr>
            <w:r>
              <w:rPr>
                <w:rFonts w:hint="eastAsia"/>
                <w:sz w:val="24"/>
              </w:rPr>
              <w:t>实战效果评价</w:t>
            </w:r>
          </w:p>
        </w:tc>
        <w:tc>
          <w:tcPr>
            <w:tcW w:w="8740" w:type="dxa"/>
            <w:gridSpan w:val="6"/>
            <w:noWrap w:val="0"/>
            <w:vAlign w:val="center"/>
          </w:tcPr>
          <w:p>
            <w:pPr>
              <w:spacing w:line="240" w:lineRule="auto"/>
              <w:ind w:firstLine="0" w:firstLineChars="0"/>
              <w:jc w:val="both"/>
              <w:rPr>
                <w:rFonts w:hint="eastAsia"/>
                <w:sz w:val="24"/>
              </w:rPr>
            </w:pPr>
            <w:r>
              <w:rPr>
                <w:rFonts w:hint="eastAsia"/>
                <w:sz w:val="24"/>
              </w:rPr>
              <w:t>□达到预期目标  □基本达到目的，部分环节有待改进  □没有达到目标，须重新演练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9" w:hRule="atLeast"/>
          <w:jc w:val="center"/>
        </w:trPr>
        <w:tc>
          <w:tcPr>
            <w:tcW w:w="456" w:type="dxa"/>
            <w:vMerge w:val="continue"/>
            <w:noWrap w:val="0"/>
            <w:vAlign w:val="top"/>
          </w:tcPr>
          <w:p>
            <w:pPr>
              <w:spacing w:line="240" w:lineRule="auto"/>
              <w:ind w:firstLine="0" w:firstLineChars="0"/>
              <w:jc w:val="center"/>
              <w:rPr>
                <w:rFonts w:hint="eastAsia"/>
                <w:sz w:val="24"/>
              </w:rPr>
            </w:pPr>
          </w:p>
        </w:tc>
        <w:tc>
          <w:tcPr>
            <w:tcW w:w="1303" w:type="dxa"/>
            <w:noWrap w:val="0"/>
            <w:vAlign w:val="center"/>
          </w:tcPr>
          <w:p>
            <w:pPr>
              <w:spacing w:line="240" w:lineRule="auto"/>
              <w:ind w:firstLine="0" w:firstLineChars="0"/>
              <w:jc w:val="center"/>
              <w:rPr>
                <w:rFonts w:hint="eastAsia"/>
                <w:sz w:val="24"/>
              </w:rPr>
            </w:pPr>
            <w:r>
              <w:rPr>
                <w:rFonts w:hint="eastAsia"/>
                <w:sz w:val="24"/>
              </w:rPr>
              <w:t>外部支援部门和协作有效性</w:t>
            </w:r>
          </w:p>
        </w:tc>
        <w:tc>
          <w:tcPr>
            <w:tcW w:w="8740" w:type="dxa"/>
            <w:gridSpan w:val="6"/>
            <w:noWrap w:val="0"/>
            <w:vAlign w:val="center"/>
          </w:tcPr>
          <w:p>
            <w:pPr>
              <w:spacing w:line="240" w:lineRule="auto"/>
              <w:ind w:firstLine="0" w:firstLineChars="0"/>
              <w:jc w:val="both"/>
              <w:rPr>
                <w:rFonts w:hint="eastAsia"/>
                <w:sz w:val="24"/>
              </w:rPr>
            </w:pPr>
            <w:r>
              <w:rPr>
                <w:rFonts w:hint="eastAsia"/>
                <w:sz w:val="24"/>
              </w:rPr>
              <w:t xml:space="preserve">报告上级：                               </w:t>
            </w:r>
            <w:r>
              <w:rPr>
                <w:rFonts w:hint="eastAsia"/>
                <w:sz w:val="24"/>
                <w:lang w:val="en-US" w:eastAsia="zh-CN"/>
              </w:rPr>
              <w:t xml:space="preserve"> </w:t>
            </w:r>
            <w:r>
              <w:rPr>
                <w:rFonts w:hint="eastAsia"/>
                <w:sz w:val="24"/>
              </w:rPr>
              <w:t xml:space="preserve">       □报告及时□联系不上</w:t>
            </w:r>
          </w:p>
          <w:p>
            <w:pPr>
              <w:spacing w:line="240" w:lineRule="auto"/>
              <w:ind w:firstLine="0" w:firstLineChars="0"/>
              <w:jc w:val="both"/>
              <w:rPr>
                <w:rFonts w:hint="eastAsia"/>
                <w:sz w:val="24"/>
              </w:rPr>
            </w:pPr>
            <w:r>
              <w:rPr>
                <w:rFonts w:hint="eastAsia"/>
                <w:sz w:val="24"/>
              </w:rPr>
              <w:t>消防部门：                                        □按要求协作□行动迟缓</w:t>
            </w:r>
          </w:p>
          <w:p>
            <w:pPr>
              <w:spacing w:line="240" w:lineRule="auto"/>
              <w:ind w:firstLine="0" w:firstLineChars="0"/>
              <w:jc w:val="both"/>
              <w:rPr>
                <w:rFonts w:hint="eastAsia"/>
                <w:sz w:val="24"/>
              </w:rPr>
            </w:pPr>
            <w:r>
              <w:rPr>
                <w:rFonts w:hint="eastAsia"/>
                <w:sz w:val="24"/>
              </w:rPr>
              <w:t>医疗救援部门：                                    □按要求协作□行动迟缓</w:t>
            </w:r>
          </w:p>
          <w:p>
            <w:pPr>
              <w:spacing w:line="240" w:lineRule="auto"/>
              <w:ind w:firstLine="0" w:firstLineChars="0"/>
              <w:jc w:val="both"/>
              <w:rPr>
                <w:rFonts w:hint="eastAsia"/>
                <w:sz w:val="24"/>
              </w:rPr>
            </w:pPr>
            <w:r>
              <w:rPr>
                <w:rFonts w:hint="eastAsia"/>
                <w:sz w:val="24"/>
              </w:rPr>
              <w:t>周边政府撤离配合：                               □按要求配合□不配合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6" w:hRule="atLeast"/>
          <w:jc w:val="center"/>
        </w:trPr>
        <w:tc>
          <w:tcPr>
            <w:tcW w:w="1759" w:type="dxa"/>
            <w:gridSpan w:val="2"/>
            <w:noWrap w:val="0"/>
            <w:vAlign w:val="center"/>
          </w:tcPr>
          <w:p>
            <w:pPr>
              <w:spacing w:line="240" w:lineRule="auto"/>
              <w:ind w:firstLine="0" w:firstLineChars="0"/>
              <w:jc w:val="center"/>
              <w:rPr>
                <w:rFonts w:hint="eastAsia"/>
                <w:sz w:val="24"/>
              </w:rPr>
            </w:pPr>
            <w:r>
              <w:rPr>
                <w:rFonts w:hint="eastAsia"/>
                <w:sz w:val="24"/>
              </w:rPr>
              <w:t>存在问题和改进措施</w:t>
            </w:r>
          </w:p>
        </w:tc>
        <w:tc>
          <w:tcPr>
            <w:tcW w:w="8740" w:type="dxa"/>
            <w:gridSpan w:val="6"/>
            <w:noWrap w:val="0"/>
            <w:vAlign w:val="top"/>
          </w:tcPr>
          <w:p>
            <w:pPr>
              <w:spacing w:line="240" w:lineRule="auto"/>
              <w:ind w:firstLine="0" w:firstLineChars="0"/>
              <w:jc w:val="both"/>
              <w:rPr>
                <w:rFonts w:hint="eastAsia"/>
                <w:sz w:val="24"/>
              </w:rPr>
            </w:pPr>
            <w:r>
              <w:rPr>
                <w:rFonts w:hint="eastAsia"/>
                <w:sz w:val="24"/>
              </w:rPr>
              <w:t xml:space="preserve">改进措施： </w:t>
            </w:r>
          </w:p>
        </w:tc>
      </w:tr>
    </w:tbl>
    <w:p>
      <w:pPr>
        <w:spacing w:line="360" w:lineRule="auto"/>
        <w:rPr>
          <w:color w:val="000000"/>
          <w:sz w:val="24"/>
        </w:rPr>
      </w:pPr>
      <w:r>
        <w:rPr>
          <w:rFonts w:hAnsi="宋体"/>
          <w:color w:val="000000"/>
          <w:sz w:val="24"/>
        </w:rPr>
        <w:t>记录人：</w:t>
      </w:r>
      <w:r>
        <w:rPr>
          <w:color w:val="000000"/>
          <w:sz w:val="24"/>
        </w:rPr>
        <w:t xml:space="preserve">                </w:t>
      </w:r>
      <w:r>
        <w:rPr>
          <w:rFonts w:hAnsi="宋体"/>
          <w:color w:val="000000"/>
          <w:sz w:val="24"/>
        </w:rPr>
        <w:t>评审负责人：</w:t>
      </w:r>
      <w:r>
        <w:rPr>
          <w:color w:val="000000"/>
          <w:sz w:val="24"/>
        </w:rPr>
        <w:t xml:space="preserve">              </w:t>
      </w:r>
      <w:r>
        <w:rPr>
          <w:rFonts w:hAnsi="宋体"/>
          <w:color w:val="000000"/>
          <w:sz w:val="24"/>
        </w:rPr>
        <w:t>时间：</w:t>
      </w:r>
      <w:r>
        <w:rPr>
          <w:color w:val="000000"/>
          <w:sz w:val="24"/>
        </w:rPr>
        <w:t xml:space="preserve"> </w:t>
      </w:r>
    </w:p>
    <w:p>
      <w:pPr>
        <w:spacing w:line="240" w:lineRule="auto"/>
        <w:ind w:firstLine="0" w:firstLineChars="0"/>
        <w:outlineLvl w:val="0"/>
        <w:rPr>
          <w:rFonts w:hint="default" w:ascii="宋体" w:hAnsi="宋体" w:eastAsia="宋体" w:cs="Times New Roman"/>
          <w:sz w:val="28"/>
          <w:szCs w:val="28"/>
          <w:lang w:val="en-US" w:eastAsia="zh-CN"/>
        </w:rPr>
      </w:pPr>
      <w:bookmarkStart w:id="217" w:name="_Toc5074"/>
      <w:r>
        <w:rPr>
          <w:rFonts w:hint="eastAsia" w:ascii="宋体" w:hAnsi="宋体" w:cs="Times New Roman"/>
          <w:sz w:val="28"/>
          <w:szCs w:val="28"/>
          <w:lang w:eastAsia="zh-CN"/>
        </w:rPr>
        <w:t>附件</w:t>
      </w:r>
      <w:r>
        <w:rPr>
          <w:rFonts w:hint="eastAsia" w:ascii="宋体" w:hAnsi="宋体" w:cs="Times New Roman"/>
          <w:sz w:val="28"/>
          <w:szCs w:val="28"/>
          <w:lang w:val="en-US" w:eastAsia="zh-CN"/>
        </w:rPr>
        <w:t>7 应急监测合同</w:t>
      </w:r>
      <w:bookmarkEnd w:id="217"/>
    </w:p>
    <w:p>
      <w:pPr>
        <w:spacing w:line="240" w:lineRule="auto"/>
        <w:ind w:firstLine="0" w:firstLineChars="0"/>
        <w:rPr>
          <w:rFonts w:hint="eastAsia" w:ascii="宋体" w:hAnsi="宋体" w:eastAsia="宋体" w:cs="Times New Roman"/>
          <w:b/>
          <w:sz w:val="26"/>
          <w:szCs w:val="20"/>
          <w:lang w:val="en-US" w:eastAsia="zh-CN"/>
        </w:rPr>
      </w:pPr>
      <w:r>
        <w:rPr>
          <w:rFonts w:hint="eastAsia" w:ascii="宋体" w:hAnsi="宋体" w:cs="Times New Roman"/>
          <w:sz w:val="21"/>
          <w:szCs w:val="21"/>
        </w:rPr>
        <w:t>合同编号：</w:t>
      </w:r>
    </w:p>
    <w:p>
      <w:pPr>
        <w:spacing w:line="240" w:lineRule="auto"/>
        <w:ind w:firstLine="0" w:firstLineChars="0"/>
        <w:rPr>
          <w:rFonts w:ascii="宋体" w:hAnsi="宋体" w:cs="Times New Roman"/>
          <w:b/>
          <w:sz w:val="26"/>
          <w:szCs w:val="20"/>
        </w:rPr>
      </w:pPr>
    </w:p>
    <w:p>
      <w:pPr>
        <w:spacing w:line="240" w:lineRule="auto"/>
        <w:ind w:firstLine="0" w:firstLineChars="0"/>
        <w:rPr>
          <w:rFonts w:hint="eastAsia" w:ascii="宋体" w:hAnsi="宋体" w:cs="Times New Roman"/>
          <w:b/>
          <w:sz w:val="26"/>
          <w:szCs w:val="20"/>
        </w:rPr>
      </w:pPr>
    </w:p>
    <w:p>
      <w:pPr>
        <w:spacing w:line="240" w:lineRule="auto"/>
        <w:ind w:firstLine="0" w:firstLineChars="0"/>
        <w:rPr>
          <w:rFonts w:hint="eastAsia" w:ascii="宋体" w:hAnsi="宋体" w:cs="Times New Roman"/>
          <w:b/>
          <w:sz w:val="26"/>
          <w:szCs w:val="20"/>
        </w:rPr>
      </w:pPr>
    </w:p>
    <w:p>
      <w:pPr>
        <w:spacing w:line="240" w:lineRule="auto"/>
        <w:ind w:firstLine="0" w:firstLineChars="0"/>
        <w:rPr>
          <w:rFonts w:hint="eastAsia" w:ascii="宋体" w:hAnsi="宋体" w:cs="Times New Roman"/>
          <w:b/>
          <w:sz w:val="26"/>
          <w:szCs w:val="20"/>
        </w:rPr>
      </w:pPr>
    </w:p>
    <w:p>
      <w:pPr>
        <w:spacing w:line="240" w:lineRule="auto"/>
        <w:ind w:firstLine="0" w:firstLineChars="0"/>
        <w:rPr>
          <w:rFonts w:ascii="宋体" w:hAnsi="宋体" w:cs="Times New Roman"/>
          <w:b/>
          <w:sz w:val="26"/>
          <w:szCs w:val="20"/>
        </w:rPr>
      </w:pPr>
    </w:p>
    <w:p>
      <w:pPr>
        <w:spacing w:line="240" w:lineRule="auto"/>
        <w:ind w:firstLine="0" w:firstLineChars="0"/>
        <w:rPr>
          <w:rFonts w:ascii="宋体" w:hAnsi="宋体" w:cs="Times New Roman"/>
          <w:b/>
          <w:sz w:val="26"/>
          <w:szCs w:val="20"/>
        </w:rPr>
      </w:pPr>
    </w:p>
    <w:p>
      <w:pPr>
        <w:spacing w:line="240" w:lineRule="auto"/>
        <w:ind w:firstLine="0" w:firstLineChars="0"/>
        <w:jc w:val="center"/>
        <w:rPr>
          <w:rFonts w:ascii="宋体" w:hAnsi="宋体" w:cs="Times New Roman"/>
          <w:b/>
          <w:sz w:val="52"/>
          <w:szCs w:val="52"/>
        </w:rPr>
      </w:pPr>
      <w:r>
        <w:rPr>
          <w:rFonts w:hint="eastAsia" w:ascii="宋体" w:hAnsi="宋体" w:cs="Times New Roman"/>
          <w:b/>
          <w:sz w:val="52"/>
          <w:szCs w:val="52"/>
        </w:rPr>
        <w:t>技术服务合同书</w:t>
      </w:r>
    </w:p>
    <w:p>
      <w:pPr>
        <w:spacing w:line="240" w:lineRule="auto"/>
        <w:ind w:firstLine="0" w:firstLineChars="0"/>
        <w:rPr>
          <w:rFonts w:hint="eastAsia" w:ascii="宋体" w:hAnsi="宋体" w:cs="Times New Roman"/>
          <w:sz w:val="21"/>
          <w:szCs w:val="20"/>
        </w:rPr>
      </w:pPr>
    </w:p>
    <w:p>
      <w:pPr>
        <w:spacing w:line="240" w:lineRule="auto"/>
        <w:ind w:firstLine="0" w:firstLineChars="0"/>
        <w:rPr>
          <w:rFonts w:ascii="宋体" w:hAnsi="宋体" w:cs="Times New Roman"/>
          <w:sz w:val="21"/>
          <w:szCs w:val="20"/>
        </w:rPr>
      </w:pPr>
    </w:p>
    <w:p>
      <w:pPr>
        <w:spacing w:line="240" w:lineRule="auto"/>
        <w:ind w:firstLine="0" w:firstLineChars="0"/>
        <w:rPr>
          <w:rFonts w:ascii="宋体" w:hAnsi="宋体" w:cs="Times New Roman"/>
          <w:sz w:val="21"/>
          <w:szCs w:val="20"/>
        </w:rPr>
      </w:pPr>
    </w:p>
    <w:p>
      <w:pPr>
        <w:spacing w:line="240" w:lineRule="auto"/>
        <w:ind w:firstLine="0" w:firstLineChars="0"/>
        <w:rPr>
          <w:rFonts w:ascii="宋体" w:hAnsi="宋体" w:cs="Times New Roman"/>
          <w:sz w:val="21"/>
          <w:szCs w:val="20"/>
        </w:rPr>
      </w:pPr>
    </w:p>
    <w:p>
      <w:pPr>
        <w:spacing w:line="240" w:lineRule="auto"/>
        <w:ind w:firstLine="0" w:firstLineChars="0"/>
        <w:rPr>
          <w:rFonts w:ascii="宋体" w:hAnsi="宋体" w:cs="Times New Roman"/>
          <w:sz w:val="21"/>
          <w:szCs w:val="20"/>
        </w:rPr>
      </w:pPr>
    </w:p>
    <w:p>
      <w:pPr>
        <w:spacing w:line="240" w:lineRule="auto"/>
        <w:ind w:firstLine="0" w:firstLineChars="0"/>
        <w:rPr>
          <w:rFonts w:ascii="宋体" w:hAnsi="宋体" w:cs="Times New Roman"/>
          <w:sz w:val="21"/>
          <w:szCs w:val="20"/>
        </w:rPr>
      </w:pPr>
    </w:p>
    <w:p>
      <w:pPr>
        <w:tabs>
          <w:tab w:val="left" w:pos="5145"/>
        </w:tabs>
        <w:spacing w:line="240" w:lineRule="auto"/>
        <w:ind w:firstLine="0" w:firstLineChars="0"/>
        <w:rPr>
          <w:rFonts w:ascii="宋体" w:hAnsi="宋体" w:cs="Times New Roman"/>
          <w:sz w:val="21"/>
          <w:szCs w:val="20"/>
        </w:rPr>
      </w:pPr>
      <w:r>
        <w:rPr>
          <w:rFonts w:ascii="宋体" w:hAnsi="宋体" w:cs="Times New Roman"/>
          <w:sz w:val="21"/>
          <w:szCs w:val="20"/>
        </w:rPr>
        <w:tab/>
      </w:r>
    </w:p>
    <w:p>
      <w:pPr>
        <w:tabs>
          <w:tab w:val="left" w:pos="5145"/>
        </w:tabs>
        <w:spacing w:line="240" w:lineRule="auto"/>
        <w:ind w:firstLine="0" w:firstLineChars="0"/>
        <w:rPr>
          <w:rFonts w:ascii="宋体" w:hAnsi="宋体" w:cs="Times New Roman"/>
          <w:sz w:val="21"/>
          <w:szCs w:val="20"/>
        </w:rPr>
      </w:pPr>
    </w:p>
    <w:p>
      <w:pPr>
        <w:tabs>
          <w:tab w:val="left" w:pos="5145"/>
        </w:tabs>
        <w:spacing w:line="240" w:lineRule="auto"/>
        <w:ind w:firstLine="0" w:firstLineChars="0"/>
        <w:rPr>
          <w:rFonts w:ascii="宋体" w:hAnsi="宋体" w:cs="Times New Roman"/>
          <w:sz w:val="21"/>
          <w:szCs w:val="20"/>
        </w:rPr>
      </w:pPr>
    </w:p>
    <w:p>
      <w:pPr>
        <w:tabs>
          <w:tab w:val="left" w:pos="5145"/>
        </w:tabs>
        <w:spacing w:line="240" w:lineRule="auto"/>
        <w:ind w:firstLine="0" w:firstLineChars="0"/>
        <w:rPr>
          <w:rFonts w:ascii="宋体" w:hAnsi="宋体" w:cs="Times New Roman"/>
          <w:sz w:val="21"/>
          <w:szCs w:val="20"/>
        </w:rPr>
      </w:pPr>
    </w:p>
    <w:p>
      <w:pPr>
        <w:tabs>
          <w:tab w:val="left" w:pos="5145"/>
        </w:tabs>
        <w:spacing w:line="240" w:lineRule="auto"/>
        <w:ind w:firstLine="0" w:firstLineChars="0"/>
        <w:rPr>
          <w:rFonts w:ascii="宋体" w:hAnsi="宋体" w:cs="Times New Roman"/>
          <w:sz w:val="21"/>
          <w:szCs w:val="20"/>
        </w:rPr>
      </w:pPr>
    </w:p>
    <w:p>
      <w:pPr>
        <w:tabs>
          <w:tab w:val="left" w:pos="5145"/>
        </w:tabs>
        <w:spacing w:line="240" w:lineRule="auto"/>
        <w:ind w:firstLine="0" w:firstLineChars="0"/>
        <w:rPr>
          <w:rFonts w:ascii="宋体" w:hAnsi="宋体" w:cs="Times New Roman"/>
          <w:sz w:val="21"/>
          <w:szCs w:val="20"/>
        </w:rPr>
      </w:pPr>
    </w:p>
    <w:p>
      <w:pPr>
        <w:spacing w:line="240" w:lineRule="auto"/>
        <w:ind w:firstLine="0" w:firstLineChars="0"/>
        <w:rPr>
          <w:rFonts w:ascii="宋体" w:hAnsi="宋体" w:cs="Times New Roman"/>
          <w:sz w:val="21"/>
          <w:szCs w:val="20"/>
        </w:rPr>
      </w:pPr>
    </w:p>
    <w:p>
      <w:pPr>
        <w:spacing w:line="240" w:lineRule="auto"/>
        <w:ind w:firstLine="1100" w:firstLineChars="393"/>
        <w:rPr>
          <w:rFonts w:hint="eastAsia" w:ascii="宋体" w:hAnsi="宋体" w:cs="Times New Roman"/>
          <w:b/>
          <w:sz w:val="28"/>
          <w:szCs w:val="28"/>
          <w:u w:val="single"/>
          <w:lang w:eastAsia="zh-CN"/>
        </w:rPr>
      </w:pPr>
      <w:r>
        <w:rPr>
          <w:rFonts w:hint="eastAsia" w:ascii="宋体" w:hAnsi="宋体" w:cs="Times New Roman"/>
          <w:b/>
          <w:sz w:val="28"/>
          <w:szCs w:val="28"/>
        </w:rPr>
        <w:t>项 目 名 称：</w:t>
      </w:r>
      <w:r>
        <w:rPr>
          <w:rFonts w:hint="eastAsia" w:ascii="宋体" w:hAnsi="宋体" w:cs="Times New Roman"/>
          <w:b/>
          <w:sz w:val="28"/>
          <w:szCs w:val="28"/>
          <w:u w:val="single"/>
          <w:lang w:eastAsia="zh-CN"/>
        </w:rPr>
        <w:t xml:space="preserve"> </w:t>
      </w:r>
      <w:r>
        <w:rPr>
          <w:rFonts w:hint="eastAsia" w:ascii="宋体" w:hAnsi="宋体" w:cs="Times New Roman"/>
          <w:b/>
          <w:sz w:val="28"/>
          <w:szCs w:val="22"/>
          <w:u w:val="single"/>
          <w:lang w:eastAsia="zh-CN"/>
        </w:rPr>
        <w:t xml:space="preserve"> 南昌慧华高科混凝土有限公司应急监测服务</w:t>
      </w:r>
      <w:r>
        <w:rPr>
          <w:rFonts w:hint="eastAsia" w:ascii="宋体" w:hAnsi="宋体" w:cs="Times New Roman"/>
          <w:b/>
          <w:sz w:val="28"/>
          <w:szCs w:val="28"/>
          <w:u w:val="single"/>
          <w:lang w:val="en-US" w:eastAsia="zh-CN"/>
        </w:rPr>
        <w:t xml:space="preserve">                                </w:t>
      </w:r>
      <w:r>
        <w:rPr>
          <w:rFonts w:hint="eastAsia" w:ascii="宋体" w:hAnsi="宋体" w:cs="Times New Roman"/>
          <w:b/>
          <w:sz w:val="28"/>
          <w:szCs w:val="28"/>
          <w:u w:val="single"/>
          <w:lang w:eastAsia="zh-CN"/>
        </w:rPr>
        <w:t xml:space="preserve">   </w:t>
      </w:r>
    </w:p>
    <w:p>
      <w:pPr>
        <w:spacing w:line="240" w:lineRule="auto"/>
        <w:ind w:firstLine="1100" w:firstLineChars="393"/>
        <w:rPr>
          <w:rFonts w:hint="eastAsia" w:ascii="宋体" w:hAnsi="宋体" w:cs="Times New Roman"/>
          <w:b/>
          <w:sz w:val="28"/>
          <w:szCs w:val="28"/>
          <w:u w:val="single"/>
        </w:rPr>
      </w:pPr>
      <w:r>
        <w:rPr>
          <w:rFonts w:hint="eastAsia" w:ascii="宋体" w:hAnsi="宋体" w:cs="Times New Roman"/>
          <w:b/>
          <w:sz w:val="28"/>
          <w:szCs w:val="28"/>
        </w:rPr>
        <w:t>委托单位（甲方）：</w:t>
      </w:r>
      <w:r>
        <w:rPr>
          <w:rFonts w:hint="eastAsia" w:ascii="宋体" w:hAnsi="宋体" w:cs="Times New Roman"/>
          <w:b/>
          <w:sz w:val="28"/>
          <w:szCs w:val="22"/>
          <w:u w:val="single"/>
          <w:lang w:eastAsia="zh-CN"/>
        </w:rPr>
        <w:t xml:space="preserve"> 南昌慧华高科混凝土有限公司</w:t>
      </w:r>
      <w:r>
        <w:rPr>
          <w:rFonts w:hint="eastAsia" w:ascii="宋体" w:hAnsi="宋体" w:cs="Times New Roman"/>
          <w:b/>
          <w:sz w:val="28"/>
          <w:szCs w:val="22"/>
          <w:u w:val="single"/>
          <w:lang w:val="en-US" w:eastAsia="zh-CN"/>
        </w:rPr>
        <w:t xml:space="preserve">     </w:t>
      </w:r>
      <w:r>
        <w:rPr>
          <w:rFonts w:hint="eastAsia" w:ascii="宋体" w:hAnsi="宋体" w:cs="Times New Roman"/>
          <w:b/>
          <w:sz w:val="28"/>
          <w:szCs w:val="28"/>
          <w:u w:val="single"/>
          <w:lang w:val="en-US" w:eastAsia="zh-CN"/>
        </w:rPr>
        <w:t xml:space="preserve">                           </w:t>
      </w:r>
    </w:p>
    <w:p>
      <w:pPr>
        <w:spacing w:line="240" w:lineRule="auto"/>
        <w:ind w:firstLine="1100" w:firstLineChars="393"/>
        <w:jc w:val="left"/>
        <w:rPr>
          <w:rFonts w:hint="eastAsia" w:ascii="宋体" w:hAnsi="宋体" w:cs="Times New Roman"/>
          <w:b/>
          <w:sz w:val="28"/>
          <w:szCs w:val="28"/>
        </w:rPr>
      </w:pPr>
      <w:r>
        <w:rPr>
          <w:rFonts w:hint="eastAsia" w:ascii="宋体" w:hAnsi="宋体" w:cs="Times New Roman"/>
          <w:b/>
          <w:sz w:val="28"/>
          <w:szCs w:val="28"/>
        </w:rPr>
        <w:t>受托单位（乙方）：</w:t>
      </w:r>
      <w:r>
        <w:rPr>
          <w:rFonts w:hint="eastAsia" w:ascii="宋体" w:hAnsi="宋体" w:cs="Times New Roman"/>
          <w:b/>
          <w:sz w:val="28"/>
          <w:szCs w:val="20"/>
          <w:u w:val="single"/>
        </w:rPr>
        <w:t xml:space="preserve"> </w:t>
      </w:r>
      <w:r>
        <w:rPr>
          <w:rFonts w:hint="eastAsia" w:ascii="宋体" w:hAnsi="宋体" w:cs="Times New Roman"/>
          <w:b/>
          <w:sz w:val="28"/>
          <w:szCs w:val="20"/>
          <w:u w:val="single"/>
          <w:lang w:eastAsia="zh-CN"/>
        </w:rPr>
        <w:t>江西华检检测</w:t>
      </w:r>
      <w:r>
        <w:rPr>
          <w:rFonts w:hint="eastAsia" w:ascii="宋体" w:hAnsi="宋体" w:cs="Times New Roman"/>
          <w:b/>
          <w:sz w:val="28"/>
          <w:szCs w:val="20"/>
          <w:u w:val="single"/>
        </w:rPr>
        <w:t>技术有限公司</w:t>
      </w:r>
      <w:r>
        <w:rPr>
          <w:rFonts w:hint="eastAsia" w:ascii="宋体" w:hAnsi="宋体" w:cs="Times New Roman"/>
          <w:b/>
          <w:sz w:val="28"/>
          <w:szCs w:val="28"/>
          <w:u w:val="single"/>
        </w:rPr>
        <w:t xml:space="preserve">      </w:t>
      </w:r>
      <w:r>
        <w:rPr>
          <w:rFonts w:hint="eastAsia" w:ascii="宋体" w:hAnsi="宋体" w:cs="Times New Roman"/>
          <w:b/>
          <w:sz w:val="28"/>
          <w:szCs w:val="28"/>
          <w:u w:val="single"/>
          <w:lang w:val="en-US" w:eastAsia="zh-CN"/>
        </w:rPr>
        <w:t xml:space="preserve"> </w:t>
      </w:r>
      <w:r>
        <w:rPr>
          <w:rFonts w:hint="eastAsia" w:ascii="宋体" w:hAnsi="宋体" w:cs="Times New Roman"/>
          <w:b/>
          <w:sz w:val="28"/>
          <w:szCs w:val="28"/>
          <w:u w:val="single"/>
        </w:rPr>
        <w:t xml:space="preserve">  </w:t>
      </w:r>
    </w:p>
    <w:p>
      <w:pPr>
        <w:spacing w:line="240" w:lineRule="auto"/>
        <w:ind w:firstLine="0" w:firstLineChars="0"/>
        <w:rPr>
          <w:rFonts w:hint="eastAsia" w:ascii="宋体" w:hAnsi="宋体" w:cs="Times New Roman"/>
          <w:b/>
          <w:sz w:val="28"/>
          <w:szCs w:val="28"/>
        </w:rPr>
      </w:pPr>
      <w:r>
        <w:rPr>
          <w:rFonts w:hint="eastAsia" w:ascii="宋体" w:hAnsi="宋体" w:cs="Times New Roman"/>
          <w:b/>
          <w:sz w:val="28"/>
          <w:szCs w:val="28"/>
        </w:rPr>
        <w:t xml:space="preserve">                             </w:t>
      </w:r>
    </w:p>
    <w:p>
      <w:pPr>
        <w:spacing w:line="240" w:lineRule="auto"/>
        <w:ind w:firstLine="0" w:firstLineChars="0"/>
        <w:rPr>
          <w:rFonts w:hint="eastAsia" w:ascii="宋体" w:hAnsi="宋体" w:cs="Times New Roman"/>
          <w:b/>
          <w:sz w:val="28"/>
          <w:szCs w:val="28"/>
        </w:rPr>
      </w:pPr>
    </w:p>
    <w:p>
      <w:pPr>
        <w:spacing w:line="240" w:lineRule="auto"/>
        <w:ind w:firstLine="0" w:firstLineChars="0"/>
        <w:rPr>
          <w:rFonts w:hint="eastAsia" w:ascii="宋体" w:hAnsi="宋体" w:cs="Times New Roman"/>
          <w:b/>
          <w:sz w:val="28"/>
          <w:szCs w:val="28"/>
        </w:rPr>
      </w:pPr>
    </w:p>
    <w:p>
      <w:pPr>
        <w:spacing w:line="240" w:lineRule="auto"/>
        <w:ind w:firstLine="0" w:firstLineChars="0"/>
        <w:jc w:val="center"/>
        <w:rPr>
          <w:rFonts w:hint="eastAsia" w:ascii="宋体" w:hAnsi="宋体" w:cs="Times New Roman"/>
          <w:b/>
          <w:sz w:val="28"/>
          <w:szCs w:val="28"/>
        </w:rPr>
      </w:pPr>
      <w:r>
        <w:rPr>
          <w:rFonts w:hint="eastAsia" w:ascii="宋体" w:hAnsi="宋体" w:cs="Times New Roman"/>
          <w:b/>
          <w:sz w:val="28"/>
          <w:szCs w:val="28"/>
        </w:rPr>
        <w:t>合同签订日期：</w:t>
      </w:r>
      <w:r>
        <w:rPr>
          <w:rFonts w:hint="eastAsia" w:ascii="宋体" w:hAnsi="宋体" w:cs="Times New Roman"/>
          <w:b/>
          <w:sz w:val="28"/>
          <w:szCs w:val="28"/>
          <w:u w:val="single"/>
        </w:rPr>
        <w:t xml:space="preserve"> </w:t>
      </w:r>
      <w:r>
        <w:rPr>
          <w:rFonts w:hint="eastAsia" w:ascii="宋体" w:hAnsi="宋体" w:cs="Times New Roman"/>
          <w:b/>
          <w:sz w:val="28"/>
          <w:szCs w:val="28"/>
          <w:u w:val="single"/>
          <w:lang w:val="en-US" w:eastAsia="zh-CN"/>
        </w:rPr>
        <w:t>2020</w:t>
      </w:r>
      <w:r>
        <w:rPr>
          <w:rFonts w:hint="eastAsia" w:ascii="宋体" w:hAnsi="宋体" w:cs="Times New Roman"/>
          <w:b/>
          <w:sz w:val="28"/>
          <w:szCs w:val="28"/>
        </w:rPr>
        <w:t>年</w:t>
      </w:r>
      <w:r>
        <w:rPr>
          <w:rFonts w:hint="eastAsia" w:ascii="宋体" w:hAnsi="宋体" w:cs="Times New Roman"/>
          <w:b/>
          <w:sz w:val="28"/>
          <w:szCs w:val="28"/>
          <w:u w:val="single"/>
          <w:lang w:val="en-US" w:eastAsia="zh-CN"/>
        </w:rPr>
        <w:t>9</w:t>
      </w:r>
      <w:r>
        <w:rPr>
          <w:rFonts w:hint="eastAsia" w:ascii="宋体" w:hAnsi="宋体" w:cs="Times New Roman"/>
          <w:b/>
          <w:sz w:val="28"/>
          <w:szCs w:val="28"/>
        </w:rPr>
        <w:t>月</w:t>
      </w:r>
      <w:r>
        <w:rPr>
          <w:rFonts w:hint="eastAsia" w:ascii="宋体" w:hAnsi="宋体" w:cs="Times New Roman"/>
          <w:b/>
          <w:sz w:val="28"/>
          <w:szCs w:val="28"/>
          <w:u w:val="single"/>
          <w:lang w:val="en-US" w:eastAsia="zh-CN"/>
        </w:rPr>
        <w:t>1</w:t>
      </w:r>
      <w:r>
        <w:rPr>
          <w:rFonts w:hint="eastAsia" w:ascii="宋体" w:hAnsi="宋体" w:cs="Times New Roman"/>
          <w:b/>
          <w:sz w:val="28"/>
          <w:szCs w:val="28"/>
        </w:rPr>
        <w:t>日</w:t>
      </w:r>
    </w:p>
    <w:p>
      <w:pPr>
        <w:spacing w:line="360" w:lineRule="auto"/>
        <w:ind w:left="1" w:hanging="1" w:firstLineChars="0"/>
        <w:rPr>
          <w:rFonts w:hint="eastAsia" w:ascii="宋体" w:hAnsi="宋体" w:cs="Times New Roman"/>
          <w:sz w:val="24"/>
          <w:szCs w:val="24"/>
        </w:rPr>
      </w:pPr>
    </w:p>
    <w:p>
      <w:pPr>
        <w:adjustRightInd w:val="0"/>
        <w:snapToGrid w:val="0"/>
        <w:spacing w:line="360" w:lineRule="auto"/>
        <w:ind w:left="1" w:hanging="1" w:firstLineChars="0"/>
        <w:rPr>
          <w:rFonts w:hint="eastAsia" w:ascii="宋体" w:hAnsi="宋体" w:cs="Times New Roman"/>
          <w:sz w:val="24"/>
          <w:szCs w:val="24"/>
        </w:rPr>
      </w:pPr>
    </w:p>
    <w:p>
      <w:pPr>
        <w:spacing w:line="240" w:lineRule="auto"/>
        <w:ind w:firstLine="0" w:firstLineChars="0"/>
        <w:jc w:val="center"/>
        <w:rPr>
          <w:rFonts w:hint="eastAsia" w:ascii="宋体" w:hAnsi="宋体" w:cs="Times New Roman"/>
          <w:b/>
          <w:sz w:val="44"/>
          <w:szCs w:val="20"/>
        </w:rPr>
      </w:pPr>
    </w:p>
    <w:p>
      <w:pPr>
        <w:spacing w:line="240" w:lineRule="auto"/>
        <w:ind w:firstLine="0" w:firstLineChars="0"/>
        <w:jc w:val="center"/>
        <w:rPr>
          <w:rFonts w:hint="eastAsia" w:ascii="宋体" w:hAnsi="宋体" w:cs="Times New Roman"/>
          <w:b/>
          <w:sz w:val="44"/>
          <w:szCs w:val="20"/>
        </w:rPr>
      </w:pPr>
      <w:r>
        <w:rPr>
          <w:rFonts w:hint="eastAsia" w:ascii="宋体" w:hAnsi="宋体" w:cs="Times New Roman"/>
          <w:b/>
          <w:sz w:val="44"/>
          <w:szCs w:val="20"/>
        </w:rPr>
        <w:t>合 同 书 签 写 说 明</w:t>
      </w:r>
    </w:p>
    <w:p>
      <w:pPr>
        <w:spacing w:line="240" w:lineRule="auto"/>
        <w:ind w:firstLine="0" w:firstLineChars="0"/>
        <w:jc w:val="center"/>
        <w:rPr>
          <w:rFonts w:hint="eastAsia" w:ascii="宋体" w:hAnsi="宋体" w:cs="Times New Roman"/>
          <w:b/>
          <w:sz w:val="44"/>
          <w:szCs w:val="20"/>
        </w:rPr>
      </w:pPr>
    </w:p>
    <w:p>
      <w:pPr>
        <w:numPr>
          <w:ilvl w:val="0"/>
          <w:numId w:val="17"/>
          <w:numberingChange w:id="0" w:author="微软用户" w:date="2009-05-11T15:03:00Z" w:original="%1:1:0:、"/>
        </w:numPr>
        <w:spacing w:line="240" w:lineRule="auto"/>
        <w:ind w:firstLine="0" w:firstLineChars="0"/>
        <w:rPr>
          <w:rFonts w:hint="eastAsia" w:ascii="宋体" w:hAnsi="宋体" w:cs="Times New Roman"/>
          <w:sz w:val="28"/>
          <w:szCs w:val="28"/>
        </w:rPr>
      </w:pPr>
      <w:r>
        <w:rPr>
          <w:rFonts w:hint="eastAsia" w:ascii="宋体" w:hAnsi="宋体" w:cs="Times New Roman"/>
          <w:sz w:val="28"/>
          <w:szCs w:val="28"/>
        </w:rPr>
        <w:t>本合同用于双方建立相关样品委托检测关系使用，双方应在协商一致平等自愿的基础上认真进行签写。</w:t>
      </w:r>
    </w:p>
    <w:p>
      <w:pPr>
        <w:numPr>
          <w:ilvl w:val="0"/>
          <w:numId w:val="17"/>
          <w:numberingChange w:id="1" w:author="微软用户" w:date="2009-05-11T15:03:00Z" w:original="%1:2:0:、"/>
        </w:numPr>
        <w:spacing w:line="240" w:lineRule="auto"/>
        <w:ind w:firstLine="0" w:firstLineChars="0"/>
        <w:rPr>
          <w:rFonts w:hint="eastAsia" w:ascii="宋体" w:hAnsi="宋体" w:cs="Times New Roman"/>
          <w:sz w:val="28"/>
          <w:szCs w:val="28"/>
        </w:rPr>
      </w:pPr>
      <w:r>
        <w:rPr>
          <w:rFonts w:hint="eastAsia" w:ascii="宋体" w:hAnsi="宋体" w:cs="Times New Roman"/>
          <w:sz w:val="28"/>
          <w:szCs w:val="28"/>
        </w:rPr>
        <w:t>合同首页的项目名称、委托单位、受托单位、签订日期必须核实无误后认真填写，甲乙双方单位名称须与其公章或者合同章一致。</w:t>
      </w:r>
    </w:p>
    <w:p>
      <w:pPr>
        <w:numPr>
          <w:ilvl w:val="0"/>
          <w:numId w:val="17"/>
          <w:numberingChange w:id="2" w:author="微软用户" w:date="2009-05-11T15:03:00Z" w:original="%1:3:0:、"/>
        </w:numPr>
        <w:spacing w:line="240" w:lineRule="auto"/>
        <w:ind w:firstLine="0" w:firstLineChars="0"/>
        <w:rPr>
          <w:rFonts w:hint="eastAsia" w:ascii="宋体" w:hAnsi="宋体" w:cs="Times New Roman"/>
          <w:sz w:val="28"/>
          <w:szCs w:val="28"/>
        </w:rPr>
      </w:pPr>
      <w:r>
        <w:rPr>
          <w:rFonts w:hint="eastAsia" w:ascii="宋体" w:hAnsi="宋体" w:cs="Times New Roman"/>
          <w:sz w:val="28"/>
          <w:szCs w:val="28"/>
        </w:rPr>
        <w:t>合同正文中应准确填写预采集的样品名称及检测项目，如属多个样品或检测项目可以附件的形式附后。</w:t>
      </w:r>
    </w:p>
    <w:p>
      <w:pPr>
        <w:numPr>
          <w:ilvl w:val="0"/>
          <w:numId w:val="17"/>
        </w:numPr>
        <w:spacing w:line="240" w:lineRule="auto"/>
        <w:ind w:left="360" w:hanging="360" w:firstLineChars="0"/>
        <w:rPr>
          <w:rFonts w:hint="eastAsia" w:ascii="宋体" w:hAnsi="宋体" w:cs="Times New Roman"/>
          <w:sz w:val="28"/>
          <w:szCs w:val="28"/>
        </w:rPr>
      </w:pPr>
      <w:r>
        <w:rPr>
          <w:rFonts w:hint="eastAsia" w:ascii="宋体" w:hAnsi="宋体" w:cs="Times New Roman"/>
          <w:sz w:val="28"/>
          <w:szCs w:val="28"/>
          <w:u w:val="single"/>
        </w:rPr>
        <w:t>附件一：报价单</w:t>
      </w:r>
      <w:r>
        <w:rPr>
          <w:rFonts w:hint="eastAsia" w:ascii="宋体" w:hAnsi="宋体" w:cs="Times New Roman"/>
          <w:sz w:val="28"/>
          <w:szCs w:val="28"/>
        </w:rPr>
        <w:t>中应写明检测内容及价格。</w:t>
      </w:r>
    </w:p>
    <w:p>
      <w:pPr>
        <w:spacing w:line="240" w:lineRule="auto"/>
        <w:ind w:firstLine="840" w:firstLineChars="300"/>
        <w:rPr>
          <w:rFonts w:hint="eastAsia" w:ascii="宋体" w:hAnsi="宋体" w:cs="Times New Roman"/>
          <w:sz w:val="28"/>
          <w:szCs w:val="28"/>
        </w:rPr>
      </w:pPr>
      <w:r>
        <w:rPr>
          <w:rFonts w:hint="eastAsia" w:ascii="宋体" w:hAnsi="宋体" w:cs="Times New Roman"/>
          <w:sz w:val="28"/>
          <w:szCs w:val="28"/>
          <w:u w:val="single"/>
        </w:rPr>
        <w:t>附件二：检测方案</w:t>
      </w:r>
      <w:r>
        <w:rPr>
          <w:rFonts w:hint="eastAsia" w:ascii="宋体" w:hAnsi="宋体" w:cs="Times New Roman"/>
          <w:sz w:val="28"/>
          <w:szCs w:val="28"/>
        </w:rPr>
        <w:t>中应写明检测项目、频次、检测时点等详细信息。如未单独编写检测方案，则应执行“附件一”报价单所述内容。</w:t>
      </w:r>
    </w:p>
    <w:p>
      <w:pPr>
        <w:numPr>
          <w:ilvl w:val="0"/>
          <w:numId w:val="17"/>
        </w:numPr>
        <w:spacing w:line="240" w:lineRule="auto"/>
        <w:ind w:firstLine="0" w:firstLineChars="0"/>
        <w:rPr>
          <w:rFonts w:hint="eastAsia" w:ascii="宋体" w:hAnsi="宋体" w:cs="Times New Roman"/>
          <w:sz w:val="28"/>
          <w:szCs w:val="28"/>
        </w:rPr>
      </w:pPr>
      <w:r>
        <w:rPr>
          <w:rFonts w:hint="eastAsia" w:ascii="宋体" w:hAnsi="宋体" w:cs="Times New Roman"/>
          <w:sz w:val="28"/>
          <w:szCs w:val="28"/>
        </w:rPr>
        <w:t>合同第三条、第四条应分别明确写明采样、分析、提交报告时间、费用总额及支付方式。</w:t>
      </w:r>
    </w:p>
    <w:p>
      <w:pPr>
        <w:numPr>
          <w:ilvl w:val="0"/>
          <w:numId w:val="17"/>
        </w:numPr>
        <w:spacing w:line="240" w:lineRule="auto"/>
        <w:ind w:firstLine="0" w:firstLineChars="0"/>
        <w:rPr>
          <w:rFonts w:hint="eastAsia" w:ascii="宋体" w:hAnsi="宋体" w:cs="Times New Roman"/>
          <w:sz w:val="28"/>
          <w:szCs w:val="28"/>
        </w:rPr>
      </w:pPr>
      <w:r>
        <w:rPr>
          <w:rFonts w:hint="eastAsia" w:ascii="宋体" w:hAnsi="宋体" w:cs="Times New Roman"/>
          <w:sz w:val="28"/>
          <w:szCs w:val="28"/>
        </w:rPr>
        <w:t>结尾处甲乙双方应分别加盖公章或者合同章，签约代表签字并填写签订日期。附件应附后与协议同时签订。</w:t>
      </w:r>
    </w:p>
    <w:p>
      <w:pPr>
        <w:numPr>
          <w:ilvl w:val="0"/>
          <w:numId w:val="17"/>
        </w:numPr>
        <w:spacing w:line="240" w:lineRule="auto"/>
        <w:ind w:firstLine="0" w:firstLineChars="0"/>
        <w:rPr>
          <w:rFonts w:hint="eastAsia" w:ascii="宋体" w:hAnsi="宋体" w:cs="Times New Roman"/>
          <w:sz w:val="28"/>
          <w:szCs w:val="28"/>
        </w:rPr>
      </w:pPr>
      <w:r>
        <w:rPr>
          <w:rFonts w:hint="eastAsia" w:ascii="宋体" w:hAnsi="宋体" w:cs="Times New Roman"/>
          <w:sz w:val="28"/>
          <w:szCs w:val="28"/>
        </w:rPr>
        <w:t>双方应认真填写信息栏中的相应信息并加盖公章或者合同章，签订合同时并应加盖骑缝章。</w:t>
      </w:r>
    </w:p>
    <w:p>
      <w:pPr>
        <w:spacing w:line="240" w:lineRule="auto"/>
        <w:ind w:firstLine="0" w:firstLineChars="0"/>
        <w:rPr>
          <w:rFonts w:hint="eastAsia" w:ascii="宋体" w:hAnsi="宋体" w:cs="Times New Roman"/>
          <w:sz w:val="28"/>
          <w:szCs w:val="28"/>
        </w:rPr>
      </w:pPr>
    </w:p>
    <w:p>
      <w:pPr>
        <w:adjustRightInd w:val="0"/>
        <w:snapToGrid w:val="0"/>
        <w:spacing w:line="360" w:lineRule="auto"/>
        <w:ind w:firstLine="0" w:firstLineChars="0"/>
        <w:rPr>
          <w:rFonts w:hint="eastAsia" w:ascii="宋体" w:hAnsi="宋体" w:cs="Times New Roman"/>
          <w:sz w:val="28"/>
          <w:szCs w:val="28"/>
        </w:rPr>
      </w:pPr>
    </w:p>
    <w:p>
      <w:pPr>
        <w:adjustRightInd w:val="0"/>
        <w:snapToGrid w:val="0"/>
        <w:spacing w:line="360" w:lineRule="auto"/>
        <w:ind w:firstLine="0" w:firstLineChars="0"/>
        <w:rPr>
          <w:rFonts w:hint="eastAsia" w:ascii="宋体" w:hAnsi="宋体" w:cs="Times New Roman"/>
          <w:sz w:val="28"/>
          <w:szCs w:val="28"/>
        </w:rPr>
      </w:pPr>
    </w:p>
    <w:p>
      <w:pPr>
        <w:adjustRightInd w:val="0"/>
        <w:snapToGrid w:val="0"/>
        <w:spacing w:line="360" w:lineRule="auto"/>
        <w:ind w:firstLine="0" w:firstLineChars="0"/>
        <w:rPr>
          <w:rFonts w:hint="eastAsia" w:ascii="宋体" w:hAnsi="宋体" w:cs="Times New Roman"/>
          <w:sz w:val="28"/>
          <w:szCs w:val="28"/>
        </w:rPr>
      </w:pPr>
    </w:p>
    <w:p>
      <w:pPr>
        <w:spacing w:before="156" w:beforeLines="50" w:after="156" w:afterLines="50" w:line="400" w:lineRule="exact"/>
        <w:ind w:firstLine="0" w:firstLineChars="0"/>
        <w:rPr>
          <w:rFonts w:hint="eastAsia" w:ascii="宋体" w:hAnsi="宋体" w:cs="Times New Roman"/>
          <w:b/>
          <w:sz w:val="24"/>
          <w:szCs w:val="24"/>
        </w:rPr>
      </w:pPr>
    </w:p>
    <w:p>
      <w:pPr>
        <w:pStyle w:val="42"/>
        <w:rPr>
          <w:rFonts w:hint="eastAsia" w:ascii="宋体" w:hAnsi="宋体" w:cs="Times New Roman"/>
          <w:b/>
          <w:sz w:val="24"/>
          <w:szCs w:val="24"/>
        </w:rPr>
      </w:pPr>
    </w:p>
    <w:p>
      <w:pPr>
        <w:pStyle w:val="42"/>
        <w:rPr>
          <w:rFonts w:hint="eastAsia" w:ascii="宋体" w:hAnsi="宋体" w:cs="Times New Roman"/>
          <w:b/>
          <w:sz w:val="24"/>
          <w:szCs w:val="24"/>
        </w:rPr>
      </w:pPr>
    </w:p>
    <w:p>
      <w:pPr>
        <w:pStyle w:val="42"/>
        <w:rPr>
          <w:rFonts w:hint="eastAsia" w:ascii="宋体" w:hAnsi="宋体" w:cs="Times New Roman"/>
          <w:b/>
          <w:sz w:val="24"/>
          <w:szCs w:val="24"/>
        </w:rPr>
      </w:pPr>
    </w:p>
    <w:p>
      <w:pPr>
        <w:pStyle w:val="42"/>
        <w:rPr>
          <w:rFonts w:hint="eastAsia" w:ascii="宋体" w:hAnsi="宋体" w:cs="Times New Roman"/>
          <w:b/>
          <w:sz w:val="24"/>
          <w:szCs w:val="24"/>
        </w:rPr>
      </w:pPr>
    </w:p>
    <w:p>
      <w:pPr>
        <w:pStyle w:val="42"/>
        <w:rPr>
          <w:rFonts w:hint="eastAsia" w:ascii="宋体" w:hAnsi="宋体" w:cs="Times New Roman"/>
          <w:b/>
          <w:sz w:val="24"/>
          <w:szCs w:val="24"/>
        </w:rPr>
      </w:pPr>
    </w:p>
    <w:p>
      <w:pPr>
        <w:pStyle w:val="42"/>
        <w:rPr>
          <w:rFonts w:hint="eastAsia" w:ascii="宋体" w:hAnsi="宋体" w:cs="Times New Roman"/>
          <w:b/>
          <w:sz w:val="24"/>
          <w:szCs w:val="24"/>
        </w:rPr>
      </w:pPr>
    </w:p>
    <w:p>
      <w:pPr>
        <w:pStyle w:val="42"/>
        <w:rPr>
          <w:rFonts w:hint="eastAsia" w:ascii="宋体" w:hAnsi="宋体" w:cs="Times New Roman"/>
          <w:b/>
          <w:sz w:val="24"/>
          <w:szCs w:val="24"/>
        </w:rPr>
      </w:pPr>
    </w:p>
    <w:p>
      <w:pPr>
        <w:pStyle w:val="42"/>
        <w:rPr>
          <w:rFonts w:hint="eastAsia" w:ascii="宋体" w:hAnsi="宋体" w:cs="Times New Roman"/>
          <w:b/>
          <w:sz w:val="24"/>
          <w:szCs w:val="24"/>
        </w:rPr>
      </w:pPr>
    </w:p>
    <w:p>
      <w:pPr>
        <w:pStyle w:val="42"/>
        <w:rPr>
          <w:rFonts w:hint="eastAsia" w:ascii="宋体" w:hAnsi="宋体" w:cs="Times New Roman"/>
          <w:b/>
          <w:sz w:val="24"/>
          <w:szCs w:val="24"/>
        </w:rPr>
      </w:pPr>
    </w:p>
    <w:p>
      <w:pPr>
        <w:spacing w:before="156" w:beforeLines="50" w:after="156" w:afterLines="50" w:line="400" w:lineRule="exact"/>
        <w:ind w:firstLine="0" w:firstLineChars="0"/>
        <w:rPr>
          <w:rFonts w:hint="eastAsia" w:ascii="宋体" w:hAnsi="宋体" w:cs="Times New Roman"/>
          <w:sz w:val="24"/>
          <w:szCs w:val="24"/>
          <w:u w:val="single"/>
        </w:rPr>
      </w:pPr>
      <w:r>
        <w:rPr>
          <w:rFonts w:hint="eastAsia" w:ascii="宋体" w:hAnsi="宋体" w:cs="Times New Roman"/>
          <w:b/>
          <w:sz w:val="24"/>
          <w:szCs w:val="24"/>
        </w:rPr>
        <w:t>委托单位（甲方）</w:t>
      </w:r>
      <w:r>
        <w:rPr>
          <w:rFonts w:hint="eastAsia" w:ascii="宋体" w:hAnsi="宋体" w:cs="Times New Roman"/>
          <w:sz w:val="24"/>
          <w:szCs w:val="24"/>
        </w:rPr>
        <w:t>：</w:t>
      </w:r>
      <w:r>
        <w:rPr>
          <w:rFonts w:hint="eastAsia" w:ascii="宋体" w:hAnsi="宋体" w:cs="Times New Roman"/>
          <w:sz w:val="24"/>
          <w:szCs w:val="24"/>
          <w:u w:val="single"/>
          <w:lang w:eastAsia="zh-CN"/>
        </w:rPr>
        <w:t xml:space="preserve"> 南昌慧华高科混凝土有限公司</w:t>
      </w:r>
      <w:r>
        <w:rPr>
          <w:rFonts w:hint="eastAsia" w:ascii="宋体" w:hAnsi="宋体" w:cs="Times New Roman"/>
          <w:sz w:val="24"/>
          <w:szCs w:val="24"/>
          <w:u w:val="single"/>
          <w:lang w:val="en-US" w:eastAsia="zh-CN"/>
        </w:rPr>
        <w:t xml:space="preserve">     </w:t>
      </w:r>
      <w:r>
        <w:rPr>
          <w:rFonts w:hint="eastAsia" w:ascii="宋体" w:hAnsi="宋体" w:cs="Times New Roman"/>
          <w:b/>
          <w:sz w:val="24"/>
          <w:szCs w:val="24"/>
          <w:u w:val="single"/>
          <w:lang w:val="en-US" w:eastAsia="zh-CN"/>
        </w:rPr>
        <w:t xml:space="preserve">                 </w:t>
      </w:r>
      <w:r>
        <w:rPr>
          <w:rFonts w:hint="eastAsia" w:ascii="宋体" w:hAnsi="宋体" w:cs="Times New Roman"/>
          <w:b/>
          <w:sz w:val="24"/>
          <w:szCs w:val="24"/>
          <w:u w:val="single"/>
        </w:rPr>
        <w:t xml:space="preserve"> </w:t>
      </w:r>
      <w:r>
        <w:rPr>
          <w:rFonts w:hint="eastAsia" w:ascii="宋体" w:hAnsi="宋体" w:cs="Times New Roman"/>
          <w:sz w:val="24"/>
          <w:szCs w:val="24"/>
          <w:u w:val="single"/>
          <w:lang w:val="en-US" w:eastAsia="zh-CN"/>
        </w:rPr>
        <w:t xml:space="preserve">   </w:t>
      </w:r>
    </w:p>
    <w:p>
      <w:pPr>
        <w:spacing w:before="156" w:beforeLines="50" w:after="156" w:afterLines="50" w:line="440" w:lineRule="exact"/>
        <w:ind w:firstLine="0" w:firstLineChars="0"/>
        <w:jc w:val="left"/>
        <w:rPr>
          <w:rFonts w:hint="eastAsia" w:ascii="宋体" w:hAnsi="宋体" w:cs="Times New Roman"/>
          <w:sz w:val="24"/>
          <w:szCs w:val="24"/>
          <w:u w:val="single"/>
        </w:rPr>
      </w:pPr>
      <w:r>
        <w:rPr>
          <w:rFonts w:hint="eastAsia" w:ascii="宋体" w:hAnsi="宋体" w:cs="Times New Roman"/>
          <w:b/>
          <w:sz w:val="24"/>
          <w:szCs w:val="24"/>
        </w:rPr>
        <w:t>受托单位（乙方）</w:t>
      </w:r>
      <w:r>
        <w:rPr>
          <w:rFonts w:hint="eastAsia" w:ascii="宋体" w:hAnsi="宋体" w:cs="Times New Roman"/>
          <w:sz w:val="24"/>
          <w:szCs w:val="24"/>
        </w:rPr>
        <w:t>：</w:t>
      </w:r>
      <w:r>
        <w:rPr>
          <w:rFonts w:hint="eastAsia" w:ascii="宋体" w:hAnsi="宋体" w:cs="Times New Roman"/>
          <w:sz w:val="24"/>
          <w:szCs w:val="24"/>
          <w:u w:val="single"/>
        </w:rPr>
        <w:t xml:space="preserve">  </w:t>
      </w:r>
      <w:r>
        <w:rPr>
          <w:rFonts w:hint="eastAsia" w:ascii="宋体" w:hAnsi="宋体" w:cs="Times New Roman"/>
          <w:sz w:val="24"/>
          <w:szCs w:val="24"/>
          <w:u w:val="single"/>
          <w:lang w:eastAsia="zh-CN"/>
        </w:rPr>
        <w:t>江西华检检测技术有限公司</w:t>
      </w:r>
      <w:r>
        <w:rPr>
          <w:rFonts w:hint="eastAsia" w:ascii="宋体" w:hAnsi="宋体" w:cs="Times New Roman"/>
          <w:sz w:val="24"/>
          <w:szCs w:val="24"/>
          <w:u w:val="single"/>
          <w:lang w:val="en-US" w:eastAsia="zh-CN"/>
        </w:rPr>
        <w:t xml:space="preserve"> </w:t>
      </w:r>
      <w:r>
        <w:rPr>
          <w:rFonts w:hint="eastAsia" w:ascii="宋体" w:hAnsi="宋体" w:cs="Times New Roman"/>
          <w:sz w:val="24"/>
          <w:szCs w:val="24"/>
          <w:u w:val="single"/>
        </w:rPr>
        <w:t xml:space="preserve">   </w:t>
      </w:r>
    </w:p>
    <w:p>
      <w:pPr>
        <w:adjustRightInd w:val="0"/>
        <w:snapToGrid w:val="0"/>
        <w:spacing w:line="360" w:lineRule="auto"/>
        <w:ind w:firstLine="480" w:firstLineChars="200"/>
        <w:jc w:val="left"/>
        <w:rPr>
          <w:rFonts w:hint="eastAsia" w:ascii="宋体" w:hAnsi="宋体" w:cs="Times New Roman"/>
          <w:sz w:val="24"/>
          <w:szCs w:val="24"/>
        </w:rPr>
      </w:pPr>
      <w:r>
        <w:rPr>
          <w:rFonts w:hint="eastAsia" w:ascii="宋体" w:hAnsi="宋体" w:cs="Times New Roman"/>
          <w:sz w:val="24"/>
          <w:szCs w:val="24"/>
        </w:rPr>
        <w:t>依据《中华人民共和国合同法》的规定，甲乙双方就“</w:t>
      </w:r>
      <w:r>
        <w:rPr>
          <w:rFonts w:hint="eastAsia" w:ascii="宋体" w:hAnsi="宋体" w:cs="Times New Roman"/>
          <w:sz w:val="24"/>
          <w:szCs w:val="24"/>
          <w:u w:val="single"/>
          <w:lang w:eastAsia="zh-CN"/>
        </w:rPr>
        <w:t>南昌慧华高科混凝土有限公司应急监测服务</w:t>
      </w:r>
      <w:r>
        <w:rPr>
          <w:rFonts w:hint="eastAsia" w:ascii="宋体" w:hAnsi="宋体" w:cs="Times New Roman"/>
          <w:sz w:val="24"/>
          <w:szCs w:val="24"/>
        </w:rPr>
        <w:t>”项目的样品采集、分析和出具检测报告”的技术服务，经协商一致，签订合同如下：</w:t>
      </w:r>
    </w:p>
    <w:p>
      <w:pPr>
        <w:numPr>
          <w:ilvl w:val="0"/>
          <w:numId w:val="18"/>
          <w:numberingChange w:id="3" w:author="微软用户" w:date="2009-05-11T15:03:00Z" w:original="%1:1:0:"/>
        </w:numPr>
        <w:adjustRightInd w:val="0"/>
        <w:snapToGrid w:val="0"/>
        <w:spacing w:line="360" w:lineRule="auto"/>
        <w:ind w:firstLine="0" w:firstLineChars="0"/>
        <w:rPr>
          <w:rFonts w:hint="eastAsia" w:ascii="宋体" w:hAnsi="宋体" w:cs="Times New Roman"/>
          <w:b/>
          <w:bCs/>
          <w:sz w:val="24"/>
          <w:szCs w:val="24"/>
        </w:rPr>
      </w:pPr>
      <w:r>
        <w:rPr>
          <w:rFonts w:hint="eastAsia" w:ascii="宋体" w:hAnsi="宋体" w:cs="Times New Roman"/>
          <w:b/>
          <w:bCs/>
          <w:sz w:val="24"/>
          <w:szCs w:val="24"/>
        </w:rPr>
        <w:t>技术服务工作内容</w:t>
      </w:r>
    </w:p>
    <w:p>
      <w:pPr>
        <w:adjustRightInd w:val="0"/>
        <w:snapToGrid w:val="0"/>
        <w:spacing w:line="360" w:lineRule="auto"/>
        <w:ind w:firstLine="360" w:firstLineChars="150"/>
        <w:rPr>
          <w:rFonts w:hint="eastAsia" w:ascii="宋体" w:hAnsi="宋体" w:cs="Times New Roman"/>
          <w:sz w:val="24"/>
          <w:szCs w:val="24"/>
        </w:rPr>
      </w:pPr>
      <w:r>
        <w:rPr>
          <w:rFonts w:hint="eastAsia" w:ascii="宋体" w:hAnsi="宋体" w:cs="Times New Roman"/>
          <w:sz w:val="24"/>
          <w:szCs w:val="24"/>
        </w:rPr>
        <w:t>受甲方委托，乙方承担如下服务项目：</w:t>
      </w:r>
    </w:p>
    <w:p>
      <w:pPr>
        <w:adjustRightInd w:val="0"/>
        <w:snapToGrid w:val="0"/>
        <w:spacing w:line="360" w:lineRule="auto"/>
        <w:ind w:left="360" w:hanging="360" w:hangingChars="150"/>
        <w:rPr>
          <w:rFonts w:hint="eastAsia" w:ascii="宋体" w:hAnsi="宋体" w:cs="Times New Roman"/>
          <w:sz w:val="24"/>
          <w:szCs w:val="24"/>
        </w:rPr>
      </w:pPr>
      <w:r>
        <w:rPr>
          <w:rFonts w:hint="eastAsia" w:ascii="宋体" w:hAnsi="宋体" w:cs="Times New Roman"/>
          <w:sz w:val="24"/>
          <w:szCs w:val="24"/>
        </w:rPr>
        <w:t>1.1按照本合同“合同书签写说明”第4条中的关于检测项目和检测时点的要求，安排采样人员进行样品采集。（具体采样的日期由</w:t>
      </w:r>
      <w:r>
        <w:rPr>
          <w:rFonts w:hint="eastAsia" w:ascii="宋体" w:hAnsi="宋体" w:cs="Times New Roman"/>
          <w:sz w:val="24"/>
          <w:szCs w:val="24"/>
          <w:lang w:eastAsia="zh-CN"/>
        </w:rPr>
        <w:t>甲乙双方协商</w:t>
      </w:r>
      <w:r>
        <w:rPr>
          <w:rFonts w:hint="eastAsia" w:ascii="宋体" w:hAnsi="宋体" w:cs="Times New Roman"/>
          <w:sz w:val="24"/>
          <w:szCs w:val="24"/>
        </w:rPr>
        <w:t>确定）</w:t>
      </w:r>
    </w:p>
    <w:p>
      <w:pPr>
        <w:adjustRightInd w:val="0"/>
        <w:snapToGrid w:val="0"/>
        <w:spacing w:line="360" w:lineRule="auto"/>
        <w:ind w:firstLine="0" w:firstLineChars="0"/>
        <w:rPr>
          <w:rFonts w:ascii="宋体" w:hAnsi="宋体" w:cs="Times New Roman"/>
          <w:sz w:val="24"/>
          <w:szCs w:val="24"/>
        </w:rPr>
      </w:pPr>
      <w:r>
        <w:rPr>
          <w:rFonts w:ascii="宋体" w:hAnsi="宋体" w:cs="Times New Roman"/>
          <w:sz w:val="24"/>
          <w:szCs w:val="24"/>
        </w:rPr>
        <w:t xml:space="preserve">2  </w:t>
      </w:r>
      <w:r>
        <w:rPr>
          <w:rFonts w:hint="eastAsia" w:ascii="宋体" w:hAnsi="宋体" w:cs="Times New Roman"/>
          <w:sz w:val="24"/>
          <w:szCs w:val="24"/>
        </w:rPr>
        <w:t>工作条件和协作事项</w:t>
      </w:r>
    </w:p>
    <w:p>
      <w:pPr>
        <w:adjustRightInd w:val="0"/>
        <w:snapToGrid w:val="0"/>
        <w:spacing w:line="360" w:lineRule="auto"/>
        <w:ind w:firstLine="0" w:firstLineChars="0"/>
        <w:rPr>
          <w:rFonts w:hint="eastAsia" w:ascii="宋体" w:hAnsi="宋体" w:cs="Times New Roman"/>
          <w:sz w:val="24"/>
          <w:szCs w:val="24"/>
        </w:rPr>
      </w:pPr>
      <w:r>
        <w:rPr>
          <w:rFonts w:ascii="宋体" w:hAnsi="宋体" w:cs="Times New Roman"/>
          <w:sz w:val="24"/>
          <w:szCs w:val="24"/>
        </w:rPr>
        <w:t>2.1</w:t>
      </w:r>
      <w:r>
        <w:rPr>
          <w:rFonts w:hint="eastAsia" w:ascii="宋体" w:hAnsi="宋体" w:cs="Times New Roman"/>
          <w:sz w:val="24"/>
          <w:szCs w:val="24"/>
        </w:rPr>
        <w:t>甲方责任</w:t>
      </w:r>
    </w:p>
    <w:p>
      <w:pPr>
        <w:adjustRightInd w:val="0"/>
        <w:snapToGrid w:val="0"/>
        <w:spacing w:line="360" w:lineRule="auto"/>
        <w:ind w:firstLine="0" w:firstLineChars="0"/>
        <w:rPr>
          <w:rFonts w:hint="eastAsia" w:ascii="宋体" w:hAnsi="宋体" w:cs="Times New Roman"/>
          <w:sz w:val="24"/>
          <w:szCs w:val="24"/>
        </w:rPr>
      </w:pPr>
      <w:r>
        <w:rPr>
          <w:rFonts w:hint="eastAsia" w:ascii="宋体" w:hAnsi="宋体" w:cs="Times New Roman"/>
          <w:sz w:val="24"/>
          <w:szCs w:val="24"/>
        </w:rPr>
        <w:t>2.1.1甲方保证其有权或已取得权利人同意，委托乙方完成上述技术服务。</w:t>
      </w:r>
    </w:p>
    <w:p>
      <w:pPr>
        <w:adjustRightInd w:val="0"/>
        <w:snapToGrid w:val="0"/>
        <w:spacing w:line="360" w:lineRule="auto"/>
        <w:ind w:firstLine="0" w:firstLineChars="0"/>
        <w:rPr>
          <w:rFonts w:hint="eastAsia" w:ascii="宋体" w:hAnsi="宋体" w:cs="Times New Roman"/>
          <w:sz w:val="24"/>
          <w:szCs w:val="24"/>
        </w:rPr>
      </w:pPr>
      <w:r>
        <w:rPr>
          <w:rFonts w:hint="eastAsia" w:ascii="宋体" w:hAnsi="宋体" w:cs="Times New Roman"/>
          <w:sz w:val="24"/>
          <w:szCs w:val="24"/>
        </w:rPr>
        <w:t>2.1.2甲方向乙方提供有关检测点具体地点名称及背景等必要材料，</w:t>
      </w:r>
      <w:r>
        <w:rPr>
          <w:rFonts w:hint="eastAsia" w:ascii="宋体" w:hAnsi="宋体" w:cs="Times New Roman"/>
          <w:sz w:val="24"/>
          <w:szCs w:val="24"/>
          <w:lang w:eastAsia="zh-CN"/>
        </w:rPr>
        <w:t>在</w:t>
      </w:r>
      <w:r>
        <w:rPr>
          <w:rFonts w:hint="eastAsia" w:ascii="宋体" w:hAnsi="宋体" w:cs="Times New Roman"/>
          <w:sz w:val="24"/>
          <w:szCs w:val="24"/>
          <w:lang w:val="en-US" w:eastAsia="zh-CN"/>
        </w:rPr>
        <w:t>2小时内</w:t>
      </w:r>
      <w:r>
        <w:rPr>
          <w:rFonts w:hint="eastAsia" w:ascii="宋体" w:hAnsi="宋体" w:cs="Times New Roman"/>
          <w:sz w:val="24"/>
          <w:szCs w:val="24"/>
        </w:rPr>
        <w:t>安排负责人员协助乙方一同到现场采样，并对所提供样品材料的真实性和按照附件一中的检测时点采集的样品的代表性承担保证责任。采样环境现场存在任何已知或潜在危险，如放射性、有毒或者爆炸、腐蚀等危害人身安全及财产安全等情形时，甲方应事先声明，否则，后果由甲方承担。</w:t>
      </w:r>
    </w:p>
    <w:p>
      <w:pPr>
        <w:adjustRightInd w:val="0"/>
        <w:snapToGrid w:val="0"/>
        <w:spacing w:line="360" w:lineRule="auto"/>
        <w:ind w:firstLine="0" w:firstLineChars="0"/>
        <w:rPr>
          <w:rFonts w:hint="eastAsia" w:ascii="宋体" w:hAnsi="宋体" w:cs="Times New Roman"/>
          <w:sz w:val="24"/>
          <w:szCs w:val="24"/>
        </w:rPr>
      </w:pPr>
      <w:r>
        <w:rPr>
          <w:rFonts w:hint="eastAsia" w:ascii="宋体" w:hAnsi="宋体" w:cs="Times New Roman"/>
          <w:sz w:val="24"/>
          <w:szCs w:val="24"/>
        </w:rPr>
        <w:t>2.1.3 甲方应在收到乙方完成检测报告通知后</w:t>
      </w:r>
      <w:r>
        <w:rPr>
          <w:rFonts w:hint="eastAsia" w:ascii="宋体" w:hAnsi="宋体" w:cs="Times New Roman"/>
          <w:sz w:val="24"/>
          <w:szCs w:val="24"/>
          <w:u w:val="single"/>
        </w:rPr>
        <w:t xml:space="preserve"> </w:t>
      </w:r>
      <w:r>
        <w:rPr>
          <w:rFonts w:hint="eastAsia" w:ascii="宋体" w:hAnsi="宋体" w:cs="Times New Roman"/>
          <w:sz w:val="24"/>
          <w:szCs w:val="24"/>
          <w:u w:val="single"/>
          <w:lang w:val="en-US" w:eastAsia="zh-CN"/>
        </w:rPr>
        <w:t>2</w:t>
      </w:r>
      <w:r>
        <w:rPr>
          <w:rFonts w:hint="eastAsia" w:ascii="宋体" w:hAnsi="宋体" w:cs="Times New Roman"/>
          <w:sz w:val="24"/>
          <w:szCs w:val="24"/>
          <w:u w:val="single"/>
        </w:rPr>
        <w:t xml:space="preserve"> </w:t>
      </w:r>
      <w:r>
        <w:rPr>
          <w:rFonts w:hint="eastAsia" w:ascii="宋体" w:hAnsi="宋体" w:cs="Times New Roman"/>
          <w:sz w:val="24"/>
          <w:szCs w:val="24"/>
        </w:rPr>
        <w:t>个工作日内接受检测报告，逾期未接受，视为甲方已接收。</w:t>
      </w:r>
    </w:p>
    <w:p>
      <w:pPr>
        <w:adjustRightInd w:val="0"/>
        <w:snapToGrid w:val="0"/>
        <w:spacing w:line="360" w:lineRule="auto"/>
        <w:ind w:firstLine="0" w:firstLineChars="0"/>
        <w:rPr>
          <w:rFonts w:hint="eastAsia" w:ascii="宋体" w:hAnsi="宋体" w:cs="Times New Roman"/>
          <w:sz w:val="24"/>
          <w:szCs w:val="24"/>
        </w:rPr>
      </w:pPr>
      <w:r>
        <w:rPr>
          <w:rFonts w:hint="eastAsia" w:ascii="宋体" w:hAnsi="宋体" w:cs="Times New Roman"/>
          <w:sz w:val="24"/>
          <w:szCs w:val="24"/>
        </w:rPr>
        <w:t>2.1.4甲方依约定按时向乙方支付检测费用。</w:t>
      </w:r>
    </w:p>
    <w:p>
      <w:pPr>
        <w:adjustRightInd w:val="0"/>
        <w:snapToGrid w:val="0"/>
        <w:spacing w:line="360" w:lineRule="auto"/>
        <w:ind w:firstLine="0" w:firstLineChars="0"/>
        <w:rPr>
          <w:rFonts w:ascii="宋体" w:hAnsi="宋体" w:cs="Times New Roman"/>
          <w:sz w:val="24"/>
          <w:szCs w:val="24"/>
        </w:rPr>
      </w:pPr>
      <w:r>
        <w:rPr>
          <w:rFonts w:hint="eastAsia" w:ascii="宋体" w:hAnsi="宋体" w:cs="Times New Roman"/>
          <w:sz w:val="24"/>
          <w:szCs w:val="24"/>
        </w:rPr>
        <w:t>2.2乙方责任</w:t>
      </w:r>
    </w:p>
    <w:p>
      <w:pPr>
        <w:adjustRightInd w:val="0"/>
        <w:snapToGrid w:val="0"/>
        <w:spacing w:line="360" w:lineRule="auto"/>
        <w:ind w:firstLine="0" w:firstLineChars="0"/>
        <w:rPr>
          <w:rFonts w:hint="eastAsia" w:ascii="宋体" w:hAnsi="宋体" w:cs="Times New Roman"/>
          <w:sz w:val="24"/>
          <w:szCs w:val="24"/>
        </w:rPr>
      </w:pPr>
      <w:r>
        <w:rPr>
          <w:rFonts w:hint="eastAsia" w:ascii="宋体" w:hAnsi="宋体" w:cs="Times New Roman"/>
          <w:sz w:val="24"/>
          <w:szCs w:val="24"/>
        </w:rPr>
        <w:t>2.2.1乙方</w:t>
      </w:r>
      <w:r>
        <w:rPr>
          <w:rFonts w:hint="eastAsia" w:ascii="宋体" w:hAnsi="宋体" w:cs="Times New Roman"/>
          <w:sz w:val="24"/>
          <w:szCs w:val="24"/>
          <w:lang w:eastAsia="zh-CN"/>
        </w:rPr>
        <w:t>须按规定时间到场协助甲方采样并</w:t>
      </w:r>
      <w:r>
        <w:rPr>
          <w:rFonts w:hint="eastAsia" w:ascii="宋体" w:hAnsi="宋体" w:cs="Times New Roman"/>
          <w:sz w:val="24"/>
          <w:szCs w:val="24"/>
        </w:rPr>
        <w:t>按按照有关环境检测的标准方法进行分析工作，按照中国计量认证的有关规定出具检测报告。</w:t>
      </w:r>
    </w:p>
    <w:p>
      <w:pPr>
        <w:adjustRightInd w:val="0"/>
        <w:snapToGrid w:val="0"/>
        <w:spacing w:line="360" w:lineRule="auto"/>
        <w:ind w:firstLine="0" w:firstLineChars="0"/>
        <w:rPr>
          <w:rFonts w:hint="eastAsia" w:ascii="宋体" w:hAnsi="宋体" w:cs="Times New Roman"/>
          <w:sz w:val="24"/>
          <w:szCs w:val="24"/>
        </w:rPr>
      </w:pPr>
      <w:r>
        <w:rPr>
          <w:rFonts w:hint="eastAsia" w:ascii="宋体" w:hAnsi="宋体" w:cs="Times New Roman"/>
          <w:sz w:val="24"/>
          <w:szCs w:val="24"/>
        </w:rPr>
        <w:t>2.2.2乙方应在检测报告完成后</w:t>
      </w:r>
      <w:r>
        <w:rPr>
          <w:rFonts w:hint="eastAsia" w:ascii="宋体" w:hAnsi="宋体" w:cs="Times New Roman"/>
          <w:sz w:val="24"/>
          <w:szCs w:val="24"/>
          <w:u w:val="single"/>
        </w:rPr>
        <w:t xml:space="preserve">  </w:t>
      </w:r>
      <w:r>
        <w:rPr>
          <w:rFonts w:hint="eastAsia" w:ascii="宋体" w:hAnsi="宋体" w:cs="Times New Roman"/>
          <w:sz w:val="24"/>
          <w:szCs w:val="24"/>
          <w:u w:val="single"/>
          <w:lang w:val="en-US" w:eastAsia="zh-CN"/>
        </w:rPr>
        <w:t>7</w:t>
      </w:r>
      <w:r>
        <w:rPr>
          <w:rFonts w:hint="eastAsia" w:ascii="宋体" w:hAnsi="宋体" w:cs="Times New Roman"/>
          <w:sz w:val="24"/>
          <w:szCs w:val="24"/>
          <w:u w:val="single"/>
        </w:rPr>
        <w:t xml:space="preserve">  </w:t>
      </w:r>
      <w:r>
        <w:rPr>
          <w:rFonts w:hint="eastAsia" w:ascii="宋体" w:hAnsi="宋体" w:cs="Times New Roman"/>
          <w:sz w:val="24"/>
          <w:szCs w:val="24"/>
        </w:rPr>
        <w:t>个工作日内通知甲方接收检测报告，通知的方式以电话、传真、邮件、书面等方式之一均可。</w:t>
      </w:r>
    </w:p>
    <w:p>
      <w:pPr>
        <w:adjustRightInd w:val="0"/>
        <w:snapToGrid w:val="0"/>
        <w:spacing w:line="360" w:lineRule="auto"/>
        <w:ind w:firstLine="0" w:firstLineChars="0"/>
        <w:rPr>
          <w:rFonts w:ascii="宋体" w:hAnsi="宋体" w:cs="Times New Roman"/>
          <w:sz w:val="24"/>
          <w:szCs w:val="24"/>
        </w:rPr>
      </w:pPr>
      <w:r>
        <w:rPr>
          <w:rFonts w:hint="eastAsia" w:ascii="宋体" w:hAnsi="宋体" w:cs="Times New Roman"/>
          <w:sz w:val="24"/>
          <w:szCs w:val="24"/>
        </w:rPr>
        <w:t>2.2.3 乙方对甲方的一切检测数据和检验技术要求保密，未经甲方书面同意不得泄露给任何第三方，也不得将与样品有关的技术资料用于任何经营及开发活动。</w:t>
      </w:r>
    </w:p>
    <w:p>
      <w:pPr>
        <w:tabs>
          <w:tab w:val="left" w:pos="360"/>
        </w:tabs>
        <w:adjustRightInd w:val="0"/>
        <w:snapToGrid w:val="0"/>
        <w:spacing w:line="360" w:lineRule="auto"/>
        <w:ind w:firstLine="0" w:firstLineChars="0"/>
        <w:rPr>
          <w:rFonts w:ascii="宋体" w:hAnsi="宋体" w:cs="Times New Roman"/>
          <w:b/>
          <w:bCs/>
          <w:sz w:val="24"/>
          <w:szCs w:val="24"/>
        </w:rPr>
      </w:pPr>
      <w:r>
        <w:rPr>
          <w:rFonts w:hint="eastAsia" w:ascii="宋体" w:hAnsi="宋体" w:cs="Times New Roman"/>
          <w:b/>
          <w:bCs/>
          <w:sz w:val="24"/>
          <w:szCs w:val="24"/>
        </w:rPr>
        <w:t>3  履行合同的期限、地点和方式</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ascii="宋体" w:hAnsi="宋体" w:cs="Times New Roman"/>
          <w:sz w:val="24"/>
          <w:szCs w:val="24"/>
        </w:rPr>
      </w:pPr>
      <w:r>
        <w:rPr>
          <w:rFonts w:ascii="宋体" w:hAnsi="宋体" w:cs="Times New Roman"/>
          <w:sz w:val="24"/>
          <w:szCs w:val="24"/>
        </w:rPr>
        <w:t xml:space="preserve">3.1 </w:t>
      </w:r>
      <w:r>
        <w:rPr>
          <w:rFonts w:hint="eastAsia" w:ascii="宋体" w:hAnsi="宋体" w:cs="Times New Roman"/>
          <w:sz w:val="24"/>
          <w:szCs w:val="24"/>
        </w:rPr>
        <w:t>检测项目和检测时点、采样次数、检测指标及收费标准，采样</w:t>
      </w:r>
      <w:r>
        <w:rPr>
          <w:rFonts w:hint="eastAsia" w:ascii="宋体" w:hAnsi="宋体" w:cs="Times New Roman"/>
          <w:sz w:val="24"/>
          <w:szCs w:val="20"/>
        </w:rPr>
        <w:t>时甲方还应与乙方签署《</w:t>
      </w:r>
      <w:r>
        <w:rPr>
          <w:rFonts w:hint="eastAsia" w:ascii="宋体" w:hAnsi="宋体" w:cs="Times New Roman"/>
          <w:sz w:val="24"/>
          <w:szCs w:val="24"/>
        </w:rPr>
        <w:t>采样</w:t>
      </w:r>
      <w:r>
        <w:rPr>
          <w:rFonts w:hint="eastAsia" w:ascii="宋体" w:hAnsi="宋体" w:cs="Times New Roman"/>
          <w:sz w:val="24"/>
          <w:szCs w:val="24"/>
          <w:lang w:eastAsia="zh-CN"/>
        </w:rPr>
        <w:t>检测委托书</w:t>
      </w:r>
      <w:r>
        <w:rPr>
          <w:rFonts w:hint="eastAsia" w:ascii="宋体" w:hAnsi="宋体" w:cs="Times New Roman"/>
          <w:sz w:val="24"/>
          <w:szCs w:val="20"/>
        </w:rPr>
        <w:t>》。《</w:t>
      </w:r>
      <w:r>
        <w:rPr>
          <w:rFonts w:hint="eastAsia" w:ascii="宋体" w:hAnsi="宋体" w:cs="Times New Roman"/>
          <w:sz w:val="24"/>
          <w:szCs w:val="24"/>
        </w:rPr>
        <w:t>采样</w:t>
      </w:r>
      <w:r>
        <w:rPr>
          <w:rFonts w:hint="eastAsia" w:ascii="宋体" w:hAnsi="宋体" w:cs="Times New Roman"/>
          <w:sz w:val="24"/>
          <w:szCs w:val="24"/>
          <w:lang w:eastAsia="zh-CN"/>
        </w:rPr>
        <w:t>检测委托书</w:t>
      </w:r>
      <w:r>
        <w:rPr>
          <w:rFonts w:hint="eastAsia" w:ascii="宋体" w:hAnsi="宋体" w:cs="Times New Roman"/>
          <w:sz w:val="24"/>
          <w:szCs w:val="20"/>
        </w:rPr>
        <w:t>》及各</w:t>
      </w:r>
      <w:r>
        <w:rPr>
          <w:rFonts w:hint="eastAsia" w:ascii="宋体" w:hAnsi="宋体" w:cs="Times New Roman"/>
          <w:sz w:val="24"/>
          <w:szCs w:val="24"/>
        </w:rPr>
        <w:t>附件是本合同的组成部分，具有同等法律效力。</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eastAsia" w:ascii="宋体" w:hAnsi="宋体" w:cs="Times New Roman"/>
          <w:sz w:val="24"/>
          <w:szCs w:val="24"/>
        </w:rPr>
      </w:pPr>
      <w:r>
        <w:rPr>
          <w:rFonts w:ascii="宋体" w:hAnsi="宋体" w:cs="Times New Roman"/>
          <w:sz w:val="24"/>
          <w:szCs w:val="24"/>
        </w:rPr>
        <w:t xml:space="preserve">3.2 </w:t>
      </w:r>
      <w:r>
        <w:rPr>
          <w:rFonts w:hint="eastAsia" w:ascii="宋体" w:hAnsi="宋体" w:cs="Times New Roman"/>
          <w:sz w:val="24"/>
          <w:szCs w:val="24"/>
        </w:rPr>
        <w:t>采样时间：</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Times New Roman"/>
          <w:sz w:val="24"/>
          <w:szCs w:val="24"/>
        </w:rPr>
      </w:pPr>
      <w:r>
        <w:rPr>
          <w:rFonts w:hint="eastAsia" w:ascii="宋体" w:hAnsi="宋体" w:cs="Times New Roman"/>
          <w:sz w:val="24"/>
          <w:szCs w:val="24"/>
        </w:rPr>
        <w:t>根据甲方要求于 合同签订后</w:t>
      </w:r>
      <w:r>
        <w:rPr>
          <w:rFonts w:hint="eastAsia" w:ascii="宋体" w:hAnsi="宋体" w:cs="Times New Roman"/>
          <w:sz w:val="24"/>
          <w:szCs w:val="24"/>
          <w:u w:val="single"/>
        </w:rPr>
        <w:t xml:space="preserve"> </w:t>
      </w:r>
      <w:r>
        <w:rPr>
          <w:rFonts w:hint="eastAsia" w:ascii="宋体" w:hAnsi="宋体" w:cs="Times New Roman"/>
          <w:sz w:val="24"/>
          <w:szCs w:val="24"/>
          <w:u w:val="single"/>
          <w:lang w:val="en-US" w:eastAsia="zh-CN"/>
        </w:rPr>
        <w:t>10</w:t>
      </w:r>
      <w:r>
        <w:rPr>
          <w:rFonts w:hint="eastAsia" w:ascii="宋体" w:hAnsi="宋体" w:cs="Times New Roman"/>
          <w:sz w:val="24"/>
          <w:szCs w:val="24"/>
          <w:u w:val="single"/>
        </w:rPr>
        <w:t xml:space="preserve">  </w:t>
      </w:r>
      <w:r>
        <w:rPr>
          <w:rFonts w:hint="eastAsia" w:ascii="宋体" w:hAnsi="宋体" w:cs="Times New Roman"/>
          <w:sz w:val="24"/>
          <w:szCs w:val="24"/>
        </w:rPr>
        <w:t>个工作日内进行采样，如实际采样日期与本合同约定的采样日期不一致时，以实际采样日期为准。</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ascii="宋体" w:hAnsi="宋体" w:cs="Times New Roman"/>
          <w:sz w:val="24"/>
          <w:szCs w:val="24"/>
          <w:shd w:val="clear" w:color="auto" w:fill="FFFFFF"/>
        </w:rPr>
      </w:pPr>
      <w:r>
        <w:rPr>
          <w:rFonts w:hint="eastAsia" w:ascii="宋体" w:hAnsi="宋体" w:cs="Times New Roman"/>
          <w:sz w:val="24"/>
          <w:szCs w:val="24"/>
        </w:rPr>
        <w:t>3.3 提交检测报告日期：采样结束后</w:t>
      </w:r>
      <w:r>
        <w:rPr>
          <w:rFonts w:hint="eastAsia" w:ascii="宋体" w:hAnsi="宋体" w:cs="Times New Roman"/>
          <w:sz w:val="24"/>
          <w:szCs w:val="24"/>
          <w:u w:val="single"/>
        </w:rPr>
        <w:t xml:space="preserve">  </w:t>
      </w:r>
      <w:r>
        <w:rPr>
          <w:rFonts w:hint="eastAsia" w:ascii="宋体" w:hAnsi="宋体" w:cs="Times New Roman"/>
          <w:sz w:val="24"/>
          <w:szCs w:val="24"/>
          <w:u w:val="single"/>
          <w:lang w:val="en-US" w:eastAsia="zh-CN"/>
        </w:rPr>
        <w:t>10</w:t>
      </w:r>
      <w:r>
        <w:rPr>
          <w:rFonts w:hint="eastAsia" w:ascii="宋体" w:hAnsi="宋体" w:cs="Times New Roman"/>
          <w:sz w:val="24"/>
          <w:szCs w:val="24"/>
          <w:u w:val="single"/>
        </w:rPr>
        <w:t xml:space="preserve">  </w:t>
      </w:r>
      <w:r>
        <w:rPr>
          <w:rFonts w:hint="eastAsia" w:ascii="宋体" w:hAnsi="宋体" w:cs="Times New Roman"/>
          <w:sz w:val="24"/>
          <w:szCs w:val="24"/>
        </w:rPr>
        <w:t>个工作日内向甲方提交正式检测报告。</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ascii="宋体" w:hAnsi="宋体" w:cs="Times New Roman"/>
          <w:b/>
          <w:bCs/>
          <w:sz w:val="24"/>
          <w:szCs w:val="24"/>
        </w:rPr>
      </w:pPr>
      <w:r>
        <w:rPr>
          <w:rFonts w:hint="eastAsia" w:ascii="宋体" w:hAnsi="宋体" w:cs="Times New Roman"/>
          <w:b/>
          <w:sz w:val="24"/>
          <w:szCs w:val="24"/>
        </w:rPr>
        <w:t>4  成交金额及支付方式</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eastAsia" w:ascii="宋体" w:hAnsi="宋体" w:cs="Times New Roman"/>
          <w:sz w:val="24"/>
          <w:szCs w:val="24"/>
        </w:rPr>
      </w:pPr>
      <w:r>
        <w:rPr>
          <w:rFonts w:ascii="宋体" w:hAnsi="宋体" w:cs="Times New Roman"/>
          <w:sz w:val="24"/>
          <w:szCs w:val="24"/>
        </w:rPr>
        <w:t xml:space="preserve">4.1 </w:t>
      </w:r>
      <w:r>
        <w:rPr>
          <w:rFonts w:hint="eastAsia" w:ascii="宋体" w:hAnsi="宋体" w:cs="Times New Roman"/>
          <w:sz w:val="24"/>
          <w:szCs w:val="24"/>
        </w:rPr>
        <w:t>总金额：</w:t>
      </w:r>
      <w:r>
        <w:rPr>
          <w:rFonts w:hint="eastAsia" w:ascii="宋体" w:hAnsi="宋体" w:cs="Times New Roman"/>
          <w:b/>
          <w:sz w:val="24"/>
          <w:szCs w:val="24"/>
          <w:u w:val="single"/>
          <w:lang w:eastAsia="zh-CN"/>
        </w:rPr>
        <w:t>按实际采样结算</w:t>
      </w:r>
      <w:r>
        <w:rPr>
          <w:rFonts w:hint="eastAsia" w:ascii="宋体" w:hAnsi="宋体" w:cs="Times New Roman"/>
          <w:sz w:val="24"/>
          <w:szCs w:val="24"/>
          <w:u w:val="single"/>
        </w:rPr>
        <w:t>。</w:t>
      </w:r>
    </w:p>
    <w:p>
      <w:pPr>
        <w:keepNext w:val="0"/>
        <w:keepLines w:val="0"/>
        <w:pageBreakBefore w:val="0"/>
        <w:widowControl w:val="0"/>
        <w:kinsoku/>
        <w:wordWrap/>
        <w:overflowPunct/>
        <w:topLinePunct w:val="0"/>
        <w:autoSpaceDE/>
        <w:autoSpaceDN/>
        <w:bidi w:val="0"/>
        <w:spacing w:line="360" w:lineRule="auto"/>
        <w:ind w:firstLine="0" w:firstLineChars="0"/>
        <w:textAlignment w:val="auto"/>
        <w:rPr>
          <w:rFonts w:hint="eastAsia" w:ascii="宋体" w:hAnsi="宋体" w:cs="Times New Roman"/>
          <w:sz w:val="24"/>
          <w:szCs w:val="24"/>
        </w:rPr>
      </w:pPr>
      <w:r>
        <w:rPr>
          <w:rFonts w:ascii="宋体" w:hAnsi="宋体" w:cs="Times New Roman"/>
          <w:sz w:val="24"/>
          <w:szCs w:val="24"/>
        </w:rPr>
        <w:t xml:space="preserve">4.2 </w:t>
      </w:r>
      <w:r>
        <w:rPr>
          <w:rFonts w:hint="eastAsia" w:ascii="宋体" w:hAnsi="宋体" w:cs="Times New Roman"/>
          <w:sz w:val="24"/>
          <w:szCs w:val="24"/>
        </w:rPr>
        <w:t>支付方式：</w:t>
      </w:r>
    </w:p>
    <w:p>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cs="Times New Roman"/>
          <w:sz w:val="21"/>
          <w:szCs w:val="20"/>
        </w:rPr>
      </w:pPr>
      <w:r>
        <w:rPr>
          <w:rFonts w:hint="eastAsia" w:ascii="宋体" w:hAnsi="宋体" w:cs="Times New Roman"/>
          <w:b/>
          <w:bCs/>
          <w:sz w:val="24"/>
          <w:szCs w:val="24"/>
        </w:rPr>
        <w:t>双方约定支付方式：</w:t>
      </w:r>
      <w:r>
        <w:rPr>
          <w:rFonts w:hint="eastAsia" w:ascii="宋体" w:hAnsi="宋体" w:cs="Times New Roman"/>
          <w:b/>
          <w:bCs/>
          <w:sz w:val="24"/>
          <w:szCs w:val="24"/>
          <w:lang w:eastAsia="zh-CN"/>
        </w:rPr>
        <w:t>出报告后付清全款。</w:t>
      </w:r>
    </w:p>
    <w:p>
      <w:pPr>
        <w:adjustRightInd w:val="0"/>
        <w:snapToGrid w:val="0"/>
        <w:spacing w:line="360" w:lineRule="auto"/>
        <w:ind w:firstLine="480" w:firstLineChars="200"/>
        <w:rPr>
          <w:rFonts w:hint="eastAsia" w:ascii="宋体" w:hAnsi="宋体" w:cs="Times New Roman"/>
          <w:sz w:val="24"/>
          <w:szCs w:val="24"/>
        </w:rPr>
      </w:pPr>
      <w:r>
        <w:rPr>
          <w:rFonts w:hint="eastAsia" w:ascii="宋体" w:hAnsi="宋体" w:cs="Times New Roman"/>
          <w:sz w:val="24"/>
          <w:szCs w:val="24"/>
        </w:rPr>
        <w:t xml:space="preserve">结算费用时可以用支票或银行转账方式支付，乙方收到结算费用后3个工作日内交付正式发票。检测样品、检测报告及发票等可以通过特快专递等方式递送。 </w:t>
      </w:r>
    </w:p>
    <w:p>
      <w:pPr>
        <w:adjustRightInd w:val="0"/>
        <w:snapToGrid w:val="0"/>
        <w:spacing w:line="360" w:lineRule="auto"/>
        <w:ind w:firstLine="480" w:firstLineChars="200"/>
        <w:rPr>
          <w:rFonts w:hint="eastAsia" w:ascii="宋体" w:hAnsi="宋体" w:cs="Times New Roman"/>
          <w:b/>
          <w:sz w:val="24"/>
          <w:szCs w:val="24"/>
        </w:rPr>
      </w:pPr>
      <w:r>
        <w:rPr>
          <w:rFonts w:hint="eastAsia" w:ascii="宋体" w:hAnsi="宋体" w:cs="Times New Roman"/>
          <w:b/>
          <w:sz w:val="24"/>
          <w:szCs w:val="24"/>
        </w:rPr>
        <w:t>乙方账户信息：</w:t>
      </w:r>
    </w:p>
    <w:p>
      <w:pPr>
        <w:adjustRightInd w:val="0"/>
        <w:snapToGrid w:val="0"/>
        <w:spacing w:line="360" w:lineRule="auto"/>
        <w:ind w:firstLine="480" w:firstLineChars="200"/>
        <w:jc w:val="left"/>
        <w:rPr>
          <w:rFonts w:hint="eastAsia" w:ascii="宋体" w:hAnsi="宋体" w:cs="宋体"/>
          <w:b/>
          <w:bCs/>
          <w:sz w:val="24"/>
          <w:szCs w:val="24"/>
        </w:rPr>
      </w:pPr>
      <w:r>
        <w:rPr>
          <w:rFonts w:hint="eastAsia" w:ascii="宋体" w:hAnsi="宋体" w:cs="宋体"/>
          <w:b/>
          <w:bCs/>
          <w:sz w:val="24"/>
          <w:szCs w:val="24"/>
        </w:rPr>
        <w:t>开户名：</w:t>
      </w:r>
      <w:r>
        <w:rPr>
          <w:rFonts w:hint="eastAsia" w:ascii="宋体" w:hAnsi="宋体" w:cs="宋体"/>
          <w:b/>
          <w:bCs/>
          <w:sz w:val="24"/>
          <w:szCs w:val="24"/>
          <w:lang w:eastAsia="zh-CN"/>
        </w:rPr>
        <w:t>江西华检检测</w:t>
      </w:r>
      <w:r>
        <w:rPr>
          <w:rFonts w:hint="eastAsia" w:ascii="宋体" w:hAnsi="宋体" w:cs="宋体"/>
          <w:b/>
          <w:bCs/>
          <w:sz w:val="24"/>
          <w:szCs w:val="24"/>
        </w:rPr>
        <w:t>技术有限公司</w:t>
      </w:r>
    </w:p>
    <w:p>
      <w:pPr>
        <w:adjustRightInd w:val="0"/>
        <w:snapToGrid w:val="0"/>
        <w:spacing w:line="360" w:lineRule="auto"/>
        <w:ind w:firstLine="480" w:firstLineChars="200"/>
        <w:jc w:val="left"/>
        <w:rPr>
          <w:rFonts w:hint="eastAsia" w:ascii="宋体" w:hAnsi="宋体" w:cs="宋体"/>
          <w:b/>
          <w:bCs/>
          <w:sz w:val="24"/>
          <w:szCs w:val="24"/>
        </w:rPr>
      </w:pPr>
      <w:r>
        <w:rPr>
          <w:rFonts w:hint="eastAsia" w:ascii="宋体" w:hAnsi="宋体" w:cs="宋体"/>
          <w:b/>
          <w:bCs/>
          <w:sz w:val="24"/>
          <w:szCs w:val="24"/>
        </w:rPr>
        <w:t>开户行：上海浦东发展银行</w:t>
      </w:r>
      <w:r>
        <w:rPr>
          <w:rFonts w:hint="eastAsia" w:ascii="宋体" w:hAnsi="宋体" w:cs="宋体"/>
          <w:b/>
          <w:bCs/>
          <w:sz w:val="24"/>
          <w:szCs w:val="24"/>
          <w:lang w:eastAsia="zh-CN"/>
        </w:rPr>
        <w:t>南昌城南</w:t>
      </w:r>
      <w:r>
        <w:rPr>
          <w:rFonts w:hint="eastAsia" w:ascii="宋体" w:hAnsi="宋体" w:cs="宋体"/>
          <w:b/>
          <w:bCs/>
          <w:sz w:val="24"/>
          <w:szCs w:val="24"/>
        </w:rPr>
        <w:t xml:space="preserve">支行 </w:t>
      </w:r>
      <w:r>
        <w:rPr>
          <w:rFonts w:hint="eastAsia" w:ascii="宋体" w:hAnsi="宋体" w:cs="宋体"/>
          <w:b/>
          <w:bCs/>
          <w:sz w:val="24"/>
          <w:szCs w:val="24"/>
          <w:shd w:val="clear" w:color="auto" w:fill="FFFFFF"/>
        </w:rPr>
        <w:t xml:space="preserve"> </w:t>
      </w:r>
    </w:p>
    <w:p>
      <w:pPr>
        <w:adjustRightInd w:val="0"/>
        <w:snapToGrid w:val="0"/>
        <w:spacing w:line="360" w:lineRule="auto"/>
        <w:ind w:firstLine="480" w:firstLineChars="200"/>
        <w:jc w:val="left"/>
        <w:rPr>
          <w:rFonts w:hint="eastAsia" w:ascii="宋体" w:hAnsi="宋体" w:cs="宋体"/>
          <w:b/>
          <w:bCs/>
          <w:kern w:val="0"/>
          <w:sz w:val="24"/>
          <w:szCs w:val="24"/>
        </w:rPr>
      </w:pPr>
      <w:r>
        <w:rPr>
          <w:rFonts w:hint="eastAsia" w:ascii="宋体" w:hAnsi="宋体" w:cs="宋体"/>
          <w:b/>
          <w:bCs/>
          <w:sz w:val="24"/>
          <w:szCs w:val="24"/>
        </w:rPr>
        <w:t>银行帐号：</w:t>
      </w:r>
      <w:r>
        <w:rPr>
          <w:rFonts w:hint="eastAsia" w:ascii="宋体" w:hAnsi="宋体" w:cs="宋体"/>
          <w:b/>
          <w:bCs/>
          <w:kern w:val="0"/>
          <w:sz w:val="24"/>
          <w:szCs w:val="24"/>
        </w:rPr>
        <w:t>6410</w:t>
      </w:r>
      <w:r>
        <w:rPr>
          <w:rFonts w:hint="eastAsia" w:ascii="宋体" w:hAnsi="宋体" w:cs="宋体"/>
          <w:b/>
          <w:bCs/>
          <w:kern w:val="0"/>
          <w:sz w:val="24"/>
          <w:szCs w:val="24"/>
          <w:lang w:val="en-US" w:eastAsia="zh-CN"/>
        </w:rPr>
        <w:t xml:space="preserve"> </w:t>
      </w:r>
      <w:r>
        <w:rPr>
          <w:rFonts w:hint="eastAsia" w:ascii="宋体" w:hAnsi="宋体" w:cs="宋体"/>
          <w:b/>
          <w:bCs/>
          <w:kern w:val="0"/>
          <w:sz w:val="24"/>
          <w:szCs w:val="24"/>
        </w:rPr>
        <w:t>0078</w:t>
      </w:r>
      <w:r>
        <w:rPr>
          <w:rFonts w:hint="eastAsia" w:ascii="宋体" w:hAnsi="宋体" w:cs="宋体"/>
          <w:b/>
          <w:bCs/>
          <w:kern w:val="0"/>
          <w:sz w:val="24"/>
          <w:szCs w:val="24"/>
          <w:lang w:val="en-US" w:eastAsia="zh-CN"/>
        </w:rPr>
        <w:t xml:space="preserve"> </w:t>
      </w:r>
      <w:r>
        <w:rPr>
          <w:rFonts w:hint="eastAsia" w:ascii="宋体" w:hAnsi="宋体" w:cs="宋体"/>
          <w:b/>
          <w:bCs/>
          <w:kern w:val="0"/>
          <w:sz w:val="24"/>
          <w:szCs w:val="24"/>
        </w:rPr>
        <w:t>8013</w:t>
      </w:r>
      <w:r>
        <w:rPr>
          <w:rFonts w:hint="eastAsia" w:ascii="宋体" w:hAnsi="宋体" w:cs="宋体"/>
          <w:b/>
          <w:bCs/>
          <w:kern w:val="0"/>
          <w:sz w:val="24"/>
          <w:szCs w:val="24"/>
          <w:lang w:val="en-US" w:eastAsia="zh-CN"/>
        </w:rPr>
        <w:t xml:space="preserve"> </w:t>
      </w:r>
      <w:r>
        <w:rPr>
          <w:rFonts w:hint="eastAsia" w:ascii="宋体" w:hAnsi="宋体" w:cs="宋体"/>
          <w:b/>
          <w:bCs/>
          <w:kern w:val="0"/>
          <w:sz w:val="24"/>
          <w:szCs w:val="24"/>
        </w:rPr>
        <w:t>0000</w:t>
      </w:r>
      <w:r>
        <w:rPr>
          <w:rFonts w:hint="eastAsia" w:ascii="宋体" w:hAnsi="宋体" w:cs="宋体"/>
          <w:b/>
          <w:bCs/>
          <w:kern w:val="0"/>
          <w:sz w:val="24"/>
          <w:szCs w:val="24"/>
          <w:lang w:val="en-US" w:eastAsia="zh-CN"/>
        </w:rPr>
        <w:t xml:space="preserve"> </w:t>
      </w:r>
      <w:r>
        <w:rPr>
          <w:rFonts w:hint="eastAsia" w:ascii="宋体" w:hAnsi="宋体" w:cs="宋体"/>
          <w:b/>
          <w:bCs/>
          <w:kern w:val="0"/>
          <w:sz w:val="24"/>
          <w:szCs w:val="24"/>
        </w:rPr>
        <w:t>0028</w:t>
      </w:r>
    </w:p>
    <w:p>
      <w:pPr>
        <w:adjustRightInd w:val="0"/>
        <w:snapToGrid w:val="0"/>
        <w:spacing w:line="360" w:lineRule="auto"/>
        <w:ind w:firstLine="0" w:firstLineChars="0"/>
        <w:rPr>
          <w:rFonts w:hint="eastAsia" w:ascii="宋体" w:hAnsi="宋体" w:cs="Times New Roman"/>
          <w:b/>
          <w:bCs/>
          <w:sz w:val="24"/>
          <w:szCs w:val="24"/>
        </w:rPr>
      </w:pPr>
      <w:r>
        <w:rPr>
          <w:rFonts w:hint="eastAsia" w:ascii="宋体" w:hAnsi="宋体" w:cs="Times New Roman"/>
          <w:b/>
          <w:bCs/>
          <w:sz w:val="24"/>
          <w:szCs w:val="24"/>
          <w:lang w:val="en-US" w:eastAsia="zh-CN"/>
        </w:rPr>
        <w:t>5</w:t>
      </w:r>
      <w:r>
        <w:rPr>
          <w:rFonts w:hint="eastAsia" w:ascii="宋体" w:hAnsi="宋体" w:cs="Times New Roman"/>
          <w:b/>
          <w:sz w:val="24"/>
          <w:szCs w:val="24"/>
        </w:rPr>
        <w:t xml:space="preserve"> </w:t>
      </w:r>
      <w:r>
        <w:rPr>
          <w:rFonts w:hint="eastAsia" w:ascii="宋体" w:hAnsi="宋体" w:cs="Times New Roman"/>
          <w:b/>
          <w:bCs/>
          <w:sz w:val="24"/>
          <w:szCs w:val="24"/>
        </w:rPr>
        <w:t>争议的解决方法</w:t>
      </w:r>
    </w:p>
    <w:p>
      <w:pPr>
        <w:adjustRightInd w:val="0"/>
        <w:snapToGrid w:val="0"/>
        <w:spacing w:line="360" w:lineRule="auto"/>
        <w:ind w:firstLine="360" w:firstLineChars="150"/>
        <w:rPr>
          <w:rFonts w:ascii="宋体" w:hAnsi="宋体" w:cs="Times New Roman"/>
          <w:sz w:val="24"/>
          <w:szCs w:val="24"/>
        </w:rPr>
      </w:pPr>
      <w:r>
        <w:rPr>
          <w:rFonts w:hint="eastAsia" w:ascii="宋体" w:hAnsi="宋体" w:cs="Times New Roman"/>
          <w:sz w:val="24"/>
          <w:szCs w:val="24"/>
        </w:rPr>
        <w:t>在合同履行过程中发生争议，双方应当协商解决。双方不愿协商、调解解决。</w:t>
      </w:r>
    </w:p>
    <w:p>
      <w:pPr>
        <w:adjustRightInd w:val="0"/>
        <w:snapToGrid w:val="0"/>
        <w:spacing w:line="360" w:lineRule="auto"/>
        <w:ind w:firstLine="0" w:firstLineChars="0"/>
        <w:rPr>
          <w:rFonts w:ascii="宋体" w:hAnsi="宋体" w:cs="Times New Roman"/>
          <w:b/>
          <w:sz w:val="24"/>
          <w:szCs w:val="24"/>
        </w:rPr>
      </w:pPr>
      <w:r>
        <w:rPr>
          <w:rFonts w:hint="eastAsia" w:ascii="宋体" w:hAnsi="宋体" w:cs="Times New Roman"/>
          <w:b/>
          <w:sz w:val="24"/>
          <w:szCs w:val="24"/>
          <w:lang w:val="en-US" w:eastAsia="zh-CN"/>
        </w:rPr>
        <w:t>6</w:t>
      </w:r>
      <w:r>
        <w:rPr>
          <w:rFonts w:hint="eastAsia" w:ascii="宋体" w:hAnsi="宋体" w:cs="Times New Roman"/>
          <w:b/>
          <w:sz w:val="24"/>
          <w:szCs w:val="24"/>
        </w:rPr>
        <w:t xml:space="preserve">  合同的生效</w:t>
      </w:r>
    </w:p>
    <w:p>
      <w:pPr>
        <w:adjustRightInd w:val="0"/>
        <w:snapToGrid w:val="0"/>
        <w:spacing w:line="360" w:lineRule="auto"/>
        <w:ind w:firstLine="360" w:firstLineChars="150"/>
        <w:rPr>
          <w:rFonts w:hint="eastAsia" w:ascii="宋体" w:hAnsi="宋体" w:cs="Times New Roman"/>
          <w:sz w:val="24"/>
          <w:szCs w:val="24"/>
        </w:rPr>
      </w:pPr>
      <w:r>
        <w:rPr>
          <w:rFonts w:hint="eastAsia" w:ascii="宋体" w:hAnsi="宋体" w:cs="Times New Roman"/>
          <w:sz w:val="24"/>
          <w:szCs w:val="24"/>
        </w:rPr>
        <w:t>本合同自双方公司签字签章之日起生效，法定代表人或授权代表签字均认为有效，并于甲方结清检测费用和乙方提交正式检测报告之日终止。</w:t>
      </w:r>
    </w:p>
    <w:p>
      <w:pPr>
        <w:spacing w:line="360" w:lineRule="auto"/>
        <w:ind w:firstLine="480" w:firstLineChars="200"/>
        <w:rPr>
          <w:rFonts w:hint="eastAsia" w:ascii="宋体" w:hAnsi="宋体" w:cs="Times New Roman"/>
          <w:sz w:val="24"/>
          <w:szCs w:val="24"/>
        </w:rPr>
      </w:pPr>
      <w:r>
        <w:rPr>
          <w:rFonts w:hint="eastAsia" w:ascii="宋体" w:hAnsi="宋体" w:cs="Times New Roman"/>
          <w:sz w:val="24"/>
          <w:szCs w:val="24"/>
        </w:rPr>
        <w:t>本合同一式</w:t>
      </w:r>
      <w:r>
        <w:rPr>
          <w:rFonts w:hint="eastAsia" w:ascii="宋体" w:hAnsi="宋体" w:cs="Times New Roman"/>
          <w:sz w:val="24"/>
          <w:szCs w:val="24"/>
          <w:u w:val="single"/>
        </w:rPr>
        <w:t xml:space="preserve"> </w:t>
      </w:r>
      <w:r>
        <w:rPr>
          <w:rFonts w:hint="eastAsia" w:ascii="宋体" w:hAnsi="宋体" w:cs="Times New Roman"/>
          <w:sz w:val="24"/>
          <w:szCs w:val="24"/>
          <w:u w:val="single"/>
          <w:lang w:eastAsia="zh-CN"/>
        </w:rPr>
        <w:t>贰</w:t>
      </w:r>
      <w:r>
        <w:rPr>
          <w:rFonts w:hint="eastAsia" w:ascii="宋体" w:hAnsi="宋体" w:cs="Times New Roman"/>
          <w:sz w:val="24"/>
          <w:szCs w:val="24"/>
          <w:u w:val="single"/>
          <w:lang w:val="en-US" w:eastAsia="zh-CN"/>
        </w:rPr>
        <w:t xml:space="preserve"> </w:t>
      </w:r>
      <w:r>
        <w:rPr>
          <w:rFonts w:hint="eastAsia" w:ascii="宋体" w:hAnsi="宋体" w:cs="Times New Roman"/>
          <w:sz w:val="24"/>
          <w:szCs w:val="24"/>
        </w:rPr>
        <w:t>份，甲方执</w:t>
      </w:r>
      <w:r>
        <w:rPr>
          <w:rFonts w:hint="eastAsia" w:ascii="宋体" w:hAnsi="宋体" w:cs="Times New Roman"/>
          <w:sz w:val="24"/>
          <w:szCs w:val="24"/>
          <w:u w:val="single"/>
        </w:rPr>
        <w:t xml:space="preserve"> </w:t>
      </w:r>
      <w:r>
        <w:rPr>
          <w:rFonts w:hint="eastAsia" w:ascii="宋体" w:hAnsi="宋体" w:cs="Times New Roman"/>
          <w:sz w:val="24"/>
          <w:szCs w:val="24"/>
          <w:u w:val="single"/>
          <w:lang w:eastAsia="zh-CN"/>
        </w:rPr>
        <w:t>壹</w:t>
      </w:r>
      <w:r>
        <w:rPr>
          <w:rFonts w:hint="eastAsia" w:ascii="宋体" w:hAnsi="宋体" w:cs="Times New Roman"/>
          <w:sz w:val="24"/>
          <w:szCs w:val="24"/>
          <w:u w:val="single"/>
        </w:rPr>
        <w:t xml:space="preserve"> </w:t>
      </w:r>
      <w:r>
        <w:rPr>
          <w:rFonts w:hint="eastAsia" w:ascii="宋体" w:hAnsi="宋体" w:cs="Times New Roman"/>
          <w:sz w:val="24"/>
          <w:szCs w:val="24"/>
        </w:rPr>
        <w:t>份，乙方执</w:t>
      </w:r>
      <w:r>
        <w:rPr>
          <w:rFonts w:hint="eastAsia" w:ascii="宋体" w:hAnsi="宋体" w:cs="Times New Roman"/>
          <w:sz w:val="24"/>
          <w:szCs w:val="24"/>
          <w:u w:val="single"/>
        </w:rPr>
        <w:t xml:space="preserve"> </w:t>
      </w:r>
      <w:r>
        <w:rPr>
          <w:rFonts w:hint="eastAsia" w:ascii="宋体" w:hAnsi="宋体" w:cs="Times New Roman"/>
          <w:sz w:val="24"/>
          <w:szCs w:val="24"/>
          <w:u w:val="single"/>
          <w:lang w:eastAsia="zh-CN"/>
        </w:rPr>
        <w:t>壹</w:t>
      </w:r>
      <w:r>
        <w:rPr>
          <w:rFonts w:hint="eastAsia" w:ascii="宋体" w:hAnsi="宋体" w:cs="Times New Roman"/>
          <w:sz w:val="24"/>
          <w:szCs w:val="24"/>
          <w:u w:val="single"/>
        </w:rPr>
        <w:t xml:space="preserve"> </w:t>
      </w:r>
      <w:r>
        <w:rPr>
          <w:rFonts w:hint="eastAsia" w:ascii="宋体" w:hAnsi="宋体" w:cs="Times New Roman"/>
          <w:sz w:val="24"/>
          <w:szCs w:val="24"/>
        </w:rPr>
        <w:t>份。</w:t>
      </w:r>
    </w:p>
    <w:p>
      <w:pPr>
        <w:spacing w:line="360" w:lineRule="auto"/>
        <w:ind w:firstLine="480" w:firstLineChars="200"/>
        <w:rPr>
          <w:rFonts w:hint="eastAsia" w:ascii="宋体" w:hAnsi="宋体" w:cs="Times New Roman"/>
          <w:kern w:val="0"/>
          <w:sz w:val="24"/>
          <w:szCs w:val="24"/>
        </w:rPr>
      </w:pPr>
      <w:r>
        <w:rPr>
          <w:rFonts w:hint="eastAsia" w:ascii="宋体" w:hAnsi="宋体" w:cs="Times New Roman"/>
          <w:kern w:val="0"/>
          <w:sz w:val="24"/>
          <w:szCs w:val="24"/>
        </w:rPr>
        <w:t>本合同未尽事宜，可经甲、乙双方友好协商做出补充条款，补充条款与本合同具有同等法律效力。</w:t>
      </w:r>
    </w:p>
    <w:p>
      <w:pPr>
        <w:spacing w:line="360" w:lineRule="auto"/>
        <w:ind w:firstLine="0" w:firstLineChars="0"/>
        <w:rPr>
          <w:rFonts w:hint="eastAsia" w:ascii="宋体" w:hAnsi="宋体" w:eastAsia="宋体" w:cs="Times New Roman"/>
          <w:sz w:val="24"/>
          <w:szCs w:val="24"/>
          <w:lang w:eastAsia="zh-CN"/>
        </w:rPr>
      </w:pPr>
      <w:r>
        <w:rPr>
          <w:rFonts w:hint="eastAsia" w:ascii="宋体" w:hAnsi="宋体" w:cs="Times New Roman"/>
          <w:sz w:val="24"/>
          <w:szCs w:val="24"/>
        </w:rPr>
        <w:t>甲 方：</w:t>
      </w:r>
      <w:r>
        <w:rPr>
          <w:rFonts w:hint="eastAsia" w:ascii="宋体" w:hAnsi="宋体" w:cs="Times New Roman"/>
          <w:sz w:val="24"/>
          <w:szCs w:val="24"/>
          <w:lang w:val="en-US" w:eastAsia="zh-CN"/>
        </w:rPr>
        <w:t xml:space="preserve">                        </w:t>
      </w:r>
      <w:r>
        <w:rPr>
          <w:rFonts w:hint="eastAsia" w:ascii="宋体" w:hAnsi="宋体" w:cs="Times New Roman"/>
          <w:sz w:val="24"/>
          <w:szCs w:val="24"/>
        </w:rPr>
        <w:t xml:space="preserve">     乙 方：</w:t>
      </w:r>
      <w:r>
        <w:rPr>
          <w:rFonts w:hint="eastAsia" w:ascii="宋体" w:hAnsi="宋体" w:cs="Times New Roman"/>
          <w:sz w:val="24"/>
          <w:szCs w:val="24"/>
          <w:lang w:eastAsia="zh-CN"/>
        </w:rPr>
        <w:t>江西华检检测技术有限公司</w:t>
      </w:r>
    </w:p>
    <w:p>
      <w:pPr>
        <w:spacing w:line="360" w:lineRule="auto"/>
        <w:ind w:firstLine="0" w:firstLineChars="0"/>
        <w:rPr>
          <w:rFonts w:hint="eastAsia" w:ascii="宋体" w:hAnsi="宋体" w:eastAsia="宋体" w:cs="Times New Roman"/>
          <w:sz w:val="24"/>
          <w:szCs w:val="24"/>
          <w:lang w:eastAsia="zh-CN"/>
        </w:rPr>
      </w:pPr>
      <w:r>
        <w:rPr>
          <w:rFonts w:hint="eastAsia" w:ascii="宋体" w:hAnsi="宋体" w:cs="Times New Roman"/>
          <w:sz w:val="24"/>
          <w:szCs w:val="24"/>
        </w:rPr>
        <w:t>法定代表人：                        法定代表人：</w:t>
      </w:r>
      <w:r>
        <w:rPr>
          <w:rFonts w:hint="eastAsia" w:ascii="宋体" w:hAnsi="宋体" w:cs="Times New Roman"/>
          <w:sz w:val="24"/>
          <w:szCs w:val="24"/>
          <w:lang w:eastAsia="zh-CN"/>
        </w:rPr>
        <w:t>周庆丰</w:t>
      </w:r>
    </w:p>
    <w:p>
      <w:pPr>
        <w:spacing w:line="360" w:lineRule="auto"/>
        <w:ind w:firstLine="0" w:firstLineChars="0"/>
        <w:rPr>
          <w:rFonts w:hint="eastAsia" w:ascii="宋体" w:hAnsi="宋体" w:cs="Times New Roman"/>
          <w:sz w:val="24"/>
          <w:szCs w:val="24"/>
        </w:rPr>
      </w:pPr>
      <w:r>
        <w:rPr>
          <w:rFonts w:hint="eastAsia" w:ascii="宋体" w:hAnsi="宋体" w:cs="Times New Roman"/>
          <w:sz w:val="24"/>
          <w:szCs w:val="24"/>
        </w:rPr>
        <w:t>授权代表：                          授权代表：</w:t>
      </w:r>
    </w:p>
    <w:p>
      <w:pPr>
        <w:spacing w:line="360" w:lineRule="auto"/>
        <w:ind w:firstLine="1200" w:firstLineChars="500"/>
        <w:rPr>
          <w:rFonts w:hint="eastAsia" w:ascii="宋体" w:hAnsi="宋体" w:cs="Times New Roman"/>
          <w:sz w:val="24"/>
          <w:szCs w:val="24"/>
        </w:rPr>
      </w:pPr>
      <w:r>
        <w:rPr>
          <w:rFonts w:hint="eastAsia" w:ascii="宋体" w:hAnsi="宋体" w:cs="Times New Roman"/>
          <w:sz w:val="24"/>
          <w:szCs w:val="24"/>
        </w:rPr>
        <w:t>年    月    日                        年    月    日</w:t>
      </w:r>
    </w:p>
    <w:p>
      <w:pPr>
        <w:spacing w:line="240" w:lineRule="auto"/>
        <w:ind w:firstLine="0" w:firstLineChars="0"/>
        <w:outlineLvl w:val="0"/>
        <w:rPr>
          <w:rFonts w:hint="eastAsia" w:ascii="宋体" w:hAnsi="宋体" w:cs="Times New Roman"/>
          <w:sz w:val="28"/>
          <w:szCs w:val="28"/>
          <w:lang w:eastAsia="zh-CN"/>
        </w:rPr>
        <w:sectPr>
          <w:footerReference r:id="rId15" w:type="default"/>
          <w:pgSz w:w="11906" w:h="16838"/>
          <w:pgMar w:top="1440" w:right="1276" w:bottom="1440" w:left="1134" w:header="851" w:footer="992" w:gutter="0"/>
          <w:pgNumType w:fmt="decimal"/>
          <w:cols w:space="425" w:num="1"/>
          <w:docGrid w:type="linesAndChars" w:linePitch="381" w:charSpace="0"/>
        </w:sectPr>
      </w:pPr>
    </w:p>
    <w:p>
      <w:pPr>
        <w:spacing w:line="240" w:lineRule="auto"/>
        <w:ind w:firstLine="0" w:firstLineChars="0"/>
        <w:outlineLvl w:val="0"/>
        <w:rPr>
          <w:rFonts w:hint="default" w:ascii="宋体" w:hAnsi="宋体" w:eastAsia="宋体" w:cs="Times New Roman"/>
          <w:sz w:val="28"/>
          <w:szCs w:val="28"/>
          <w:lang w:val="en-US" w:eastAsia="zh-CN"/>
        </w:rPr>
      </w:pPr>
      <w:bookmarkStart w:id="218" w:name="_Toc6816"/>
      <w:r>
        <w:rPr>
          <w:rFonts w:hint="eastAsia" w:ascii="宋体" w:hAnsi="宋体" w:cs="Times New Roman"/>
          <w:sz w:val="28"/>
          <w:szCs w:val="28"/>
          <w:lang w:eastAsia="zh-CN"/>
        </w:rPr>
        <w:t>附件</w:t>
      </w:r>
      <w:r>
        <w:rPr>
          <w:rFonts w:hint="default" w:ascii="宋体" w:hAnsi="宋体" w:cs="Times New Roman"/>
          <w:sz w:val="28"/>
          <w:szCs w:val="28"/>
          <w:lang w:val="en-US" w:eastAsia="zh-CN"/>
        </w:rPr>
        <w:t>8</w:t>
      </w:r>
      <w:r>
        <w:rPr>
          <w:rFonts w:hint="eastAsia" w:ascii="宋体" w:hAnsi="宋体" w:cs="Times New Roman"/>
          <w:sz w:val="28"/>
          <w:szCs w:val="28"/>
          <w:lang w:val="en-US" w:eastAsia="zh-CN"/>
        </w:rPr>
        <w:t xml:space="preserve"> 专家意见</w:t>
      </w:r>
      <w:bookmarkEnd w:id="218"/>
    </w:p>
    <w:p>
      <w:pPr>
        <w:autoSpaceDE w:val="0"/>
        <w:autoSpaceDN w:val="0"/>
        <w:adjustRightInd w:val="0"/>
        <w:snapToGrid w:val="0"/>
        <w:jc w:val="left"/>
        <w:rPr>
          <w:rFonts w:ascii="黑体" w:hAnsi="Times New Roman" w:eastAsia="黑体"/>
          <w:kern w:val="0"/>
        </w:rPr>
      </w:pPr>
      <w:r>
        <w:rPr>
          <w:rFonts w:hint="eastAsia" w:ascii="黑体" w:hAnsi="Times New Roman" w:eastAsia="黑体"/>
          <w:kern w:val="0"/>
        </w:rPr>
        <w:t>附表1</w:t>
      </w:r>
    </w:p>
    <w:p>
      <w:pPr>
        <w:adjustRightInd w:val="0"/>
        <w:snapToGrid w:val="0"/>
        <w:jc w:val="center"/>
        <w:rPr>
          <w:rFonts w:ascii="方正小标宋_GBK" w:hAnsi="华文中宋" w:eastAsia="方正小标宋_GBK"/>
          <w:sz w:val="38"/>
          <w:szCs w:val="38"/>
        </w:rPr>
      </w:pPr>
      <w:r>
        <w:rPr>
          <w:rFonts w:hint="eastAsia" w:ascii="方正小标宋_GBK" w:hAnsi="华文中宋" w:eastAsia="方正小标宋_GBK"/>
          <w:sz w:val="38"/>
          <w:szCs w:val="38"/>
        </w:rPr>
        <w:t>企业事业单位突发环境事件应急预案评审表</w:t>
      </w:r>
    </w:p>
    <w:tbl>
      <w:tblPr>
        <w:tblStyle w:val="1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57" w:type="dxa"/>
          <w:bottom w:w="0" w:type="dxa"/>
          <w:right w:w="57" w:type="dxa"/>
        </w:tblCellMar>
      </w:tblPr>
      <w:tblGrid>
        <w:gridCol w:w="1134"/>
        <w:gridCol w:w="426"/>
        <w:gridCol w:w="4819"/>
        <w:gridCol w:w="1276"/>
        <w:gridCol w:w="567"/>
        <w:gridCol w:w="40"/>
        <w:gridCol w:w="669"/>
        <w:gridCol w:w="485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270" w:hRule="atLeast"/>
          <w:jc w:val="center"/>
        </w:trPr>
        <w:tc>
          <w:tcPr>
            <w:tcW w:w="13781" w:type="dxa"/>
            <w:gridSpan w:val="8"/>
            <w:vAlign w:val="center"/>
          </w:tcPr>
          <w:p>
            <w:pPr>
              <w:tabs>
                <w:tab w:val="left" w:pos="1500"/>
              </w:tabs>
              <w:rPr>
                <w:rFonts w:ascii="黑体" w:eastAsia="黑体"/>
                <w:sz w:val="60"/>
                <w:szCs w:val="60"/>
              </w:rPr>
            </w:pPr>
            <w:r>
              <w:rPr>
                <w:rFonts w:hint="eastAsia" w:ascii="宋体" w:hAnsi="宋体" w:eastAsia="宋体"/>
                <w:sz w:val="21"/>
                <w:szCs w:val="21"/>
              </w:rPr>
              <w:t>预案编制单位：</w:t>
            </w:r>
            <w:r>
              <w:rPr>
                <w:rFonts w:hint="eastAsia" w:ascii="宋体" w:hAnsi="宋体" w:eastAsia="宋体"/>
                <w:sz w:val="21"/>
                <w:szCs w:val="21"/>
                <w:u w:val="single"/>
                <w:lang w:eastAsia="zh-CN"/>
              </w:rPr>
              <w:t>南昌慧华高科混凝土有限</w:t>
            </w:r>
            <w:r>
              <w:rPr>
                <w:rFonts w:hint="eastAsia" w:ascii="宋体" w:hAnsi="宋体" w:eastAsia="宋体"/>
                <w:sz w:val="21"/>
                <w:szCs w:val="21"/>
                <w:u w:val="single"/>
              </w:rPr>
              <w:t>公司</w:t>
            </w:r>
            <w:r>
              <w:rPr>
                <w:rFonts w:ascii="宋体" w:hAnsi="宋体" w:eastAsia="宋体"/>
                <w:sz w:val="21"/>
                <w:szCs w:val="21"/>
                <w:u w:val="single"/>
              </w:rPr>
              <w:t xml:space="preserve"> </w:t>
            </w:r>
          </w:p>
          <w:p>
            <w:pPr>
              <w:adjustRightInd w:val="0"/>
              <w:snapToGrid w:val="0"/>
              <w:spacing w:line="240" w:lineRule="exact"/>
              <w:jc w:val="left"/>
              <w:rPr>
                <w:rFonts w:ascii="宋体" w:hAnsi="宋体" w:eastAsia="宋体"/>
                <w:sz w:val="21"/>
                <w:szCs w:val="21"/>
              </w:rPr>
            </w:pPr>
            <w:r>
              <w:rPr>
                <w:rFonts w:ascii="宋体" w:hAnsi="宋体" w:eastAsia="宋体"/>
                <w:sz w:val="21"/>
                <w:szCs w:val="21"/>
              </w:rPr>
              <w:t>(</w:t>
            </w:r>
            <w:r>
              <w:rPr>
                <w:rFonts w:hint="eastAsia" w:ascii="宋体" w:hAnsi="宋体" w:eastAsia="宋体"/>
                <w:sz w:val="21"/>
                <w:szCs w:val="21"/>
              </w:rPr>
              <w:t>专业技术服务机构：</w:t>
            </w:r>
            <w:r>
              <w:rPr>
                <w:rFonts w:ascii="宋体" w:hAnsi="宋体" w:eastAsia="宋体"/>
                <w:sz w:val="21"/>
                <w:szCs w:val="21"/>
                <w:u w:val="single"/>
              </w:rPr>
              <w:t xml:space="preserve">                                                           </w:t>
            </w:r>
            <w:r>
              <w:rPr>
                <w:rFonts w:ascii="宋体" w:hAnsi="宋体" w:eastAsia="宋体"/>
                <w:sz w:val="21"/>
                <w:szCs w:val="21"/>
              </w:rPr>
              <w:t>)</w:t>
            </w:r>
          </w:p>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企业环境风险级别：</w:t>
            </w:r>
            <w:r>
              <w:rPr>
                <w:rFonts w:hint="eastAsia" w:ascii="宋体" w:hAnsi="宋体" w:eastAsia="宋体"/>
                <w:b/>
                <w:sz w:val="21"/>
                <w:szCs w:val="21"/>
              </w:rPr>
              <w:t>√</w:t>
            </w:r>
            <w:r>
              <w:rPr>
                <w:rFonts w:hint="eastAsia" w:ascii="宋体" w:hAnsi="宋体" w:eastAsia="宋体"/>
                <w:sz w:val="21"/>
                <w:szCs w:val="21"/>
              </w:rPr>
              <w:t>一般；□较大；□重大</w:t>
            </w:r>
          </w:p>
          <w:p>
            <w:pPr>
              <w:adjustRightInd w:val="0"/>
              <w:snapToGrid w:val="0"/>
              <w:spacing w:afterLines="30" w:line="240" w:lineRule="exact"/>
              <w:jc w:val="right"/>
              <w:rPr>
                <w:rFonts w:ascii="仿宋_GB2312" w:hAnsi="宋体"/>
                <w:b/>
                <w:sz w:val="24"/>
                <w:szCs w:val="24"/>
              </w:rPr>
            </w:pPr>
            <w:r>
              <w:rPr>
                <w:rFonts w:hint="eastAsia" w:ascii="仿宋_GB2312" w:hAnsi="宋体"/>
                <w:b/>
                <w:sz w:val="24"/>
                <w:szCs w:val="24"/>
              </w:rPr>
              <w:t>（本栏由企业填写）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13781" w:type="dxa"/>
            <w:gridSpan w:val="8"/>
            <w:vAlign w:val="center"/>
          </w:tcPr>
          <w:p>
            <w:pPr>
              <w:adjustRightInd w:val="0"/>
              <w:snapToGrid w:val="0"/>
              <w:spacing w:line="240" w:lineRule="exact"/>
              <w:jc w:val="center"/>
              <w:rPr>
                <w:rFonts w:ascii="黑体" w:hAnsi="黑体" w:eastAsia="黑体"/>
                <w:sz w:val="21"/>
                <w:szCs w:val="21"/>
              </w:rPr>
            </w:pPr>
            <w:r>
              <w:rPr>
                <w:rFonts w:hint="eastAsia" w:ascii="黑体" w:hAnsi="黑体" w:eastAsia="黑体"/>
                <w:sz w:val="21"/>
                <w:szCs w:val="21"/>
              </w:rPr>
              <w:t>“一票否决”项（以下三项中任意一项判定为“不符合”，则评审结论为“未通过”）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275" w:hRule="atLeast"/>
          <w:jc w:val="center"/>
        </w:trPr>
        <w:tc>
          <w:tcPr>
            <w:tcW w:w="6379" w:type="dxa"/>
            <w:gridSpan w:val="3"/>
            <w:vMerge w:val="restart"/>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评 审 指 标</w:t>
            </w:r>
          </w:p>
        </w:tc>
        <w:tc>
          <w:tcPr>
            <w:tcW w:w="2552" w:type="dxa"/>
            <w:gridSpan w:val="4"/>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评审意见</w:t>
            </w:r>
          </w:p>
        </w:tc>
        <w:tc>
          <w:tcPr>
            <w:tcW w:w="4850" w:type="dxa"/>
            <w:vMerge w:val="restart"/>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指 标 说 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96" w:hRule="atLeast"/>
          <w:jc w:val="center"/>
        </w:trPr>
        <w:tc>
          <w:tcPr>
            <w:tcW w:w="6379" w:type="dxa"/>
            <w:gridSpan w:val="3"/>
            <w:vMerge w:val="continue"/>
            <w:vAlign w:val="center"/>
          </w:tcPr>
          <w:p>
            <w:pPr>
              <w:adjustRightInd w:val="0"/>
              <w:snapToGrid w:val="0"/>
              <w:spacing w:line="240" w:lineRule="exact"/>
              <w:jc w:val="center"/>
              <w:rPr>
                <w:rFonts w:ascii="宋体" w:hAnsi="宋体" w:eastAsia="宋体"/>
                <w:sz w:val="21"/>
                <w:szCs w:val="21"/>
              </w:rPr>
            </w:pPr>
          </w:p>
        </w:tc>
        <w:tc>
          <w:tcPr>
            <w:tcW w:w="1276"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判  定</w:t>
            </w:r>
          </w:p>
        </w:tc>
        <w:tc>
          <w:tcPr>
            <w:tcW w:w="1276" w:type="dxa"/>
            <w:gridSpan w:val="3"/>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说  明</w:t>
            </w:r>
          </w:p>
        </w:tc>
        <w:tc>
          <w:tcPr>
            <w:tcW w:w="4850" w:type="dxa"/>
            <w:vMerge w:val="continue"/>
            <w:vAlign w:val="center"/>
          </w:tcPr>
          <w:p>
            <w:pPr>
              <w:adjustRightInd w:val="0"/>
              <w:snapToGrid w:val="0"/>
              <w:spacing w:line="240" w:lineRule="exact"/>
              <w:jc w:val="left"/>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44" w:hRule="atLeast"/>
          <w:jc w:val="center"/>
        </w:trPr>
        <w:tc>
          <w:tcPr>
            <w:tcW w:w="6379" w:type="dxa"/>
            <w:gridSpan w:val="3"/>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有单独的环境风险评估报告和环境应急资源调查报告（表）</w:t>
            </w:r>
          </w:p>
        </w:tc>
        <w:tc>
          <w:tcPr>
            <w:tcW w:w="1276" w:type="dxa"/>
            <w:vAlign w:val="center"/>
          </w:tcPr>
          <w:p>
            <w:pPr>
              <w:adjustRightInd w:val="0"/>
              <w:snapToGrid w:val="0"/>
              <w:spacing w:line="240" w:lineRule="exact"/>
              <w:ind w:left="0" w:leftChars="0" w:firstLine="0" w:firstLineChars="0"/>
              <w:jc w:val="center"/>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p>
          <w:p>
            <w:pPr>
              <w:adjustRightInd w:val="0"/>
              <w:snapToGrid w:val="0"/>
              <w:spacing w:line="240" w:lineRule="exact"/>
              <w:ind w:left="0" w:leftChars="0" w:firstLine="0" w:firstLineChars="0"/>
              <w:jc w:val="center"/>
              <w:rPr>
                <w:rFonts w:ascii="宋体" w:hAnsi="宋体" w:eastAsia="宋体"/>
                <w:sz w:val="21"/>
                <w:szCs w:val="21"/>
              </w:rPr>
            </w:pPr>
            <w:r>
              <w:rPr>
                <w:rFonts w:hint="eastAsia" w:ascii="宋体" w:hAnsi="宋体" w:eastAsia="宋体"/>
                <w:sz w:val="21"/>
                <w:szCs w:val="21"/>
              </w:rPr>
              <w:t>□不符合</w:t>
            </w:r>
          </w:p>
        </w:tc>
        <w:tc>
          <w:tcPr>
            <w:tcW w:w="1276" w:type="dxa"/>
            <w:gridSpan w:val="3"/>
            <w:vAlign w:val="center"/>
          </w:tcPr>
          <w:p>
            <w:pPr>
              <w:adjustRightInd w:val="0"/>
              <w:snapToGrid w:val="0"/>
              <w:spacing w:line="240" w:lineRule="exact"/>
              <w:jc w:val="lef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突发事件应急预案管理办法有关规定；</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备案管理办法第十条要求，应当在开展环境风险评估和环境应急资源调查的基础上编制环境应急预案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20" w:hRule="atLeast"/>
          <w:jc w:val="center"/>
        </w:trPr>
        <w:tc>
          <w:tcPr>
            <w:tcW w:w="6379" w:type="dxa"/>
            <w:gridSpan w:val="3"/>
            <w:vAlign w:val="center"/>
          </w:tcPr>
          <w:p>
            <w:pPr>
              <w:adjustRightInd w:val="0"/>
              <w:snapToGrid w:val="0"/>
              <w:spacing w:line="240" w:lineRule="exact"/>
              <w:jc w:val="left"/>
              <w:rPr>
                <w:rFonts w:ascii="宋体" w:hAnsi="宋体" w:eastAsia="宋体"/>
                <w:spacing w:val="-4"/>
                <w:sz w:val="21"/>
                <w:szCs w:val="21"/>
              </w:rPr>
            </w:pPr>
            <w:r>
              <w:rPr>
                <w:rFonts w:hint="eastAsia" w:ascii="宋体" w:hAnsi="宋体" w:eastAsia="宋体"/>
                <w:spacing w:val="-4"/>
                <w:sz w:val="21"/>
                <w:szCs w:val="21"/>
              </w:rPr>
              <w:t>从可能的突发环境事件情景出发编制且典型突发环境事件情景无缺失</w:t>
            </w:r>
          </w:p>
        </w:tc>
        <w:tc>
          <w:tcPr>
            <w:tcW w:w="1276" w:type="dxa"/>
            <w:vAlign w:val="center"/>
          </w:tcPr>
          <w:p>
            <w:pPr>
              <w:adjustRightInd w:val="0"/>
              <w:snapToGrid w:val="0"/>
              <w:spacing w:line="240" w:lineRule="exact"/>
              <w:ind w:left="0" w:leftChars="0" w:firstLine="0" w:firstLineChars="0"/>
              <w:jc w:val="center"/>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p>
          <w:p>
            <w:pPr>
              <w:adjustRightInd w:val="0"/>
              <w:snapToGrid w:val="0"/>
              <w:spacing w:line="240" w:lineRule="exact"/>
              <w:ind w:left="0" w:leftChars="0" w:firstLine="0" w:firstLineChars="0"/>
              <w:jc w:val="center"/>
              <w:rPr>
                <w:rFonts w:ascii="宋体" w:hAnsi="宋体" w:eastAsia="宋体"/>
                <w:sz w:val="21"/>
                <w:szCs w:val="21"/>
              </w:rPr>
            </w:pPr>
            <w:r>
              <w:rPr>
                <w:rFonts w:hint="eastAsia" w:ascii="宋体" w:hAnsi="宋体" w:eastAsia="宋体"/>
                <w:sz w:val="21"/>
                <w:szCs w:val="21"/>
              </w:rPr>
              <w:t>□不符合</w:t>
            </w:r>
          </w:p>
        </w:tc>
        <w:tc>
          <w:tcPr>
            <w:tcW w:w="1276" w:type="dxa"/>
            <w:gridSpan w:val="3"/>
            <w:vAlign w:val="center"/>
          </w:tcPr>
          <w:p>
            <w:pPr>
              <w:adjustRightInd w:val="0"/>
              <w:snapToGrid w:val="0"/>
              <w:spacing w:line="240" w:lineRule="exact"/>
              <w:jc w:val="lef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突发事件应对法有关规定；</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备案管理办法第九、十条，均对企业从可能的突发环境事件情景出发编制环境应急预案提出了要求；</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典型突发环境事件情景基于真实事件与预期风险凝练、集合而成，体现各类事件的共性与规律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30" w:hRule="atLeast"/>
          <w:jc w:val="center"/>
        </w:trPr>
        <w:tc>
          <w:tcPr>
            <w:tcW w:w="6379" w:type="dxa"/>
            <w:gridSpan w:val="3"/>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能够让周边居民和单位获得事件信息</w:t>
            </w:r>
          </w:p>
        </w:tc>
        <w:tc>
          <w:tcPr>
            <w:tcW w:w="1276" w:type="dxa"/>
            <w:vAlign w:val="center"/>
          </w:tcPr>
          <w:p>
            <w:pPr>
              <w:adjustRightInd w:val="0"/>
              <w:snapToGrid w:val="0"/>
              <w:spacing w:line="240" w:lineRule="exact"/>
              <w:ind w:left="0" w:leftChars="0" w:firstLine="0" w:firstLineChars="0"/>
              <w:jc w:val="center"/>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p>
          <w:p>
            <w:pPr>
              <w:adjustRightInd w:val="0"/>
              <w:snapToGrid w:val="0"/>
              <w:spacing w:line="240" w:lineRule="exact"/>
              <w:ind w:left="0" w:leftChars="0" w:firstLine="0" w:firstLineChars="0"/>
              <w:jc w:val="center"/>
              <w:rPr>
                <w:rFonts w:ascii="宋体" w:hAnsi="宋体" w:eastAsia="宋体"/>
                <w:sz w:val="21"/>
                <w:szCs w:val="21"/>
              </w:rPr>
            </w:pPr>
            <w:r>
              <w:rPr>
                <w:rFonts w:hint="eastAsia" w:ascii="宋体" w:hAnsi="宋体" w:eastAsia="宋体"/>
                <w:sz w:val="21"/>
                <w:szCs w:val="21"/>
              </w:rPr>
              <w:t>□不符合</w:t>
            </w:r>
          </w:p>
        </w:tc>
        <w:tc>
          <w:tcPr>
            <w:tcW w:w="1276" w:type="dxa"/>
            <w:gridSpan w:val="3"/>
            <w:vAlign w:val="center"/>
          </w:tcPr>
          <w:p>
            <w:pPr>
              <w:adjustRightInd w:val="0"/>
              <w:snapToGrid w:val="0"/>
              <w:spacing w:line="240" w:lineRule="exact"/>
              <w:jc w:val="lef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环境保护法第四十七条规定，在发生或可能发生突发环境事件时，企业应当及时通报可能受到危害的单位和居民。备案管理办法第十条也提出了相应要求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36" w:hRule="atLeast"/>
          <w:jc w:val="center"/>
        </w:trPr>
        <w:tc>
          <w:tcPr>
            <w:tcW w:w="13781" w:type="dxa"/>
            <w:gridSpan w:val="8"/>
            <w:vAlign w:val="center"/>
          </w:tcPr>
          <w:p>
            <w:pPr>
              <w:adjustRightInd w:val="0"/>
              <w:snapToGrid w:val="0"/>
              <w:spacing w:line="240" w:lineRule="exact"/>
              <w:jc w:val="center"/>
              <w:rPr>
                <w:rFonts w:ascii="黑体" w:hAnsi="黑体" w:eastAsia="黑体"/>
                <w:sz w:val="21"/>
                <w:szCs w:val="21"/>
              </w:rPr>
            </w:pPr>
          </w:p>
          <w:p>
            <w:pPr>
              <w:adjustRightInd w:val="0"/>
              <w:snapToGrid w:val="0"/>
              <w:spacing w:line="240" w:lineRule="exact"/>
              <w:jc w:val="center"/>
              <w:rPr>
                <w:rFonts w:ascii="黑体" w:hAnsi="黑体" w:eastAsia="黑体"/>
                <w:sz w:val="21"/>
                <w:szCs w:val="21"/>
              </w:rPr>
            </w:pPr>
          </w:p>
          <w:p>
            <w:pPr>
              <w:adjustRightInd w:val="0"/>
              <w:snapToGrid w:val="0"/>
              <w:spacing w:line="240" w:lineRule="exact"/>
              <w:jc w:val="center"/>
              <w:rPr>
                <w:rFonts w:ascii="黑体" w:hAnsi="黑体" w:eastAsia="黑体"/>
                <w:sz w:val="21"/>
                <w:szCs w:val="21"/>
              </w:rPr>
            </w:pPr>
          </w:p>
          <w:p>
            <w:pPr>
              <w:adjustRightInd w:val="0"/>
              <w:snapToGrid w:val="0"/>
              <w:spacing w:line="240" w:lineRule="exact"/>
              <w:jc w:val="center"/>
              <w:rPr>
                <w:rFonts w:ascii="黑体" w:hAnsi="黑体" w:eastAsia="黑体"/>
                <w:sz w:val="21"/>
                <w:szCs w:val="21"/>
              </w:rPr>
            </w:pPr>
          </w:p>
          <w:p>
            <w:pPr>
              <w:adjustRightInd w:val="0"/>
              <w:snapToGrid w:val="0"/>
              <w:spacing w:line="240" w:lineRule="exact"/>
              <w:jc w:val="center"/>
              <w:rPr>
                <w:rFonts w:ascii="黑体" w:hAnsi="黑体" w:eastAsia="黑体"/>
                <w:sz w:val="21"/>
                <w:szCs w:val="21"/>
              </w:rPr>
            </w:pPr>
          </w:p>
          <w:p>
            <w:pPr>
              <w:adjustRightInd w:val="0"/>
              <w:snapToGrid w:val="0"/>
              <w:spacing w:line="240" w:lineRule="exact"/>
              <w:jc w:val="center"/>
              <w:rPr>
                <w:rFonts w:ascii="黑体" w:hAnsi="黑体" w:eastAsia="黑体"/>
                <w:sz w:val="21"/>
                <w:szCs w:val="21"/>
              </w:rPr>
            </w:pPr>
          </w:p>
          <w:p>
            <w:pPr>
              <w:adjustRightInd w:val="0"/>
              <w:snapToGrid w:val="0"/>
              <w:spacing w:line="240" w:lineRule="exact"/>
              <w:jc w:val="center"/>
              <w:rPr>
                <w:rFonts w:ascii="黑体" w:hAnsi="黑体" w:eastAsia="黑体"/>
                <w:sz w:val="21"/>
                <w:szCs w:val="21"/>
              </w:rPr>
            </w:pPr>
          </w:p>
          <w:p>
            <w:pPr>
              <w:adjustRightInd w:val="0"/>
              <w:snapToGrid w:val="0"/>
              <w:spacing w:line="240" w:lineRule="exact"/>
              <w:jc w:val="center"/>
              <w:rPr>
                <w:rFonts w:ascii="黑体" w:hAnsi="黑体" w:eastAsia="黑体"/>
                <w:sz w:val="21"/>
                <w:szCs w:val="21"/>
              </w:rPr>
            </w:pPr>
            <w:r>
              <w:rPr>
                <w:rFonts w:hint="eastAsia" w:ascii="黑体" w:hAnsi="黑体" w:eastAsia="黑体"/>
                <w:sz w:val="21"/>
                <w:szCs w:val="21"/>
              </w:rPr>
              <w:t>环境应急预案及相关文件的基本形式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02" w:hRule="atLeast"/>
          <w:jc w:val="center"/>
        </w:trPr>
        <w:tc>
          <w:tcPr>
            <w:tcW w:w="1134" w:type="dxa"/>
            <w:vMerge w:val="restart"/>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评审项目</w:t>
            </w:r>
          </w:p>
        </w:tc>
        <w:tc>
          <w:tcPr>
            <w:tcW w:w="5245" w:type="dxa"/>
            <w:gridSpan w:val="2"/>
            <w:vMerge w:val="restart"/>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评 审 指 标</w:t>
            </w:r>
          </w:p>
        </w:tc>
        <w:tc>
          <w:tcPr>
            <w:tcW w:w="2552" w:type="dxa"/>
            <w:gridSpan w:val="4"/>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评审意见</w:t>
            </w:r>
          </w:p>
        </w:tc>
        <w:tc>
          <w:tcPr>
            <w:tcW w:w="4850" w:type="dxa"/>
            <w:vMerge w:val="restart"/>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指 标 说 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21"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5245" w:type="dxa"/>
            <w:gridSpan w:val="2"/>
            <w:vMerge w:val="continue"/>
            <w:vAlign w:val="center"/>
          </w:tcPr>
          <w:p>
            <w:pPr>
              <w:adjustRightInd w:val="0"/>
              <w:snapToGrid w:val="0"/>
              <w:spacing w:line="240" w:lineRule="exact"/>
              <w:jc w:val="center"/>
              <w:rPr>
                <w:rFonts w:ascii="宋体" w:hAnsi="宋体" w:eastAsia="宋体"/>
                <w:sz w:val="21"/>
                <w:szCs w:val="21"/>
              </w:rPr>
            </w:pPr>
          </w:p>
        </w:tc>
        <w:tc>
          <w:tcPr>
            <w:tcW w:w="1276"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判定</w:t>
            </w:r>
          </w:p>
        </w:tc>
        <w:tc>
          <w:tcPr>
            <w:tcW w:w="567" w:type="dxa"/>
            <w:vAlign w:val="center"/>
          </w:tcPr>
          <w:p>
            <w:pPr>
              <w:adjustRightInd w:val="0"/>
              <w:snapToGrid w:val="0"/>
              <w:spacing w:line="240" w:lineRule="exact"/>
              <w:ind w:left="0" w:leftChars="0" w:firstLine="0" w:firstLineChars="0"/>
              <w:jc w:val="both"/>
              <w:rPr>
                <w:rFonts w:ascii="宋体" w:hAnsi="宋体" w:eastAsia="宋体"/>
                <w:sz w:val="21"/>
                <w:szCs w:val="21"/>
              </w:rPr>
            </w:pPr>
            <w:r>
              <w:rPr>
                <w:rFonts w:hint="eastAsia" w:ascii="宋体" w:hAnsi="宋体" w:eastAsia="宋体"/>
                <w:sz w:val="21"/>
                <w:szCs w:val="21"/>
              </w:rPr>
              <w:t>得分</w:t>
            </w:r>
          </w:p>
        </w:tc>
        <w:tc>
          <w:tcPr>
            <w:tcW w:w="709" w:type="dxa"/>
            <w:gridSpan w:val="2"/>
            <w:vAlign w:val="center"/>
          </w:tcPr>
          <w:p>
            <w:pPr>
              <w:adjustRightInd w:val="0"/>
              <w:snapToGrid w:val="0"/>
              <w:spacing w:line="240" w:lineRule="exact"/>
              <w:ind w:left="0" w:leftChars="0" w:firstLine="0" w:firstLineChars="0"/>
              <w:jc w:val="both"/>
              <w:rPr>
                <w:rFonts w:ascii="宋体" w:hAnsi="宋体" w:eastAsia="宋体"/>
                <w:sz w:val="21"/>
                <w:szCs w:val="21"/>
              </w:rPr>
            </w:pPr>
            <w:r>
              <w:rPr>
                <w:rFonts w:hint="eastAsia" w:ascii="宋体" w:hAnsi="宋体" w:eastAsia="宋体"/>
                <w:sz w:val="21"/>
                <w:szCs w:val="21"/>
              </w:rPr>
              <w:t>说明</w:t>
            </w:r>
          </w:p>
        </w:tc>
        <w:tc>
          <w:tcPr>
            <w:tcW w:w="4850" w:type="dxa"/>
            <w:vMerge w:val="continue"/>
            <w:vAlign w:val="center"/>
          </w:tcPr>
          <w:p>
            <w:pPr>
              <w:adjustRightInd w:val="0"/>
              <w:snapToGrid w:val="0"/>
              <w:spacing w:line="240" w:lineRule="exact"/>
              <w:jc w:val="center"/>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封面目录</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vertAlign w:val="superscript"/>
              </w:rPr>
            </w:pPr>
            <w:r>
              <w:rPr>
                <w:rFonts w:hint="eastAsia" w:ascii="宋体" w:hAnsi="宋体" w:eastAsia="宋体"/>
                <w:sz w:val="21"/>
                <w:szCs w:val="21"/>
              </w:rPr>
              <w:t>1</w:t>
            </w:r>
            <w:r>
              <w:rPr>
                <w:rFonts w:hint="eastAsia" w:ascii="宋体" w:hAnsi="宋体" w:eastAsia="宋体"/>
                <w:sz w:val="21"/>
                <w:szCs w:val="21"/>
                <w:vertAlign w:val="superscript"/>
              </w:rPr>
              <w:t>a</w:t>
            </w:r>
          </w:p>
        </w:tc>
        <w:tc>
          <w:tcPr>
            <w:tcW w:w="4819"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封面有环境应急预案、预案编制单位名称，预留正式发布预案的版本号、发布日期等设计；</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目录有编号、标题和页码，一般至少设置两级目录</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567" w:type="dxa"/>
          </w:tcPr>
          <w:p>
            <w:pPr>
              <w:keepNext/>
              <w:keepLines/>
              <w:adjustRightInd w:val="0"/>
              <w:snapToGrid w:val="0"/>
              <w:spacing w:line="240" w:lineRule="exact"/>
              <w:rPr>
                <w:rFonts w:ascii="宋体" w:hAnsi="宋体" w:eastAsia="宋体"/>
                <w:sz w:val="21"/>
                <w:szCs w:val="21"/>
              </w:rPr>
            </w:pPr>
            <w:r>
              <w:rPr>
                <w:rFonts w:ascii="宋体" w:hAnsi="宋体" w:eastAsia="宋体"/>
                <w:sz w:val="21"/>
                <w:szCs w:val="21"/>
              </w:rPr>
              <w:t>1</w:t>
            </w:r>
          </w:p>
        </w:tc>
        <w:tc>
          <w:tcPr>
            <w:tcW w:w="709" w:type="dxa"/>
            <w:gridSpan w:val="2"/>
          </w:tcPr>
          <w:p>
            <w:pPr>
              <w:keepNext/>
              <w:keepLines/>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预案版本号指为便于索引、回溯而在发布时赋予预案的标识号，企业可以按照内部技术文件版本号管理要求执行；</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预案各章节可以有多级标题，但在目录中至少列出两级标题，便于查找</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349"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结构</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2</w:t>
            </w:r>
            <w:r>
              <w:rPr>
                <w:rFonts w:hint="eastAsia" w:ascii="宋体" w:hAnsi="宋体" w:eastAsia="宋体"/>
                <w:sz w:val="21"/>
                <w:szCs w:val="21"/>
                <w:vertAlign w:val="superscript"/>
              </w:rPr>
              <w:t>a</w:t>
            </w:r>
          </w:p>
        </w:tc>
        <w:tc>
          <w:tcPr>
            <w:tcW w:w="4819"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结构完整，格式规范</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567" w:type="dxa"/>
          </w:tcPr>
          <w:p>
            <w:pPr>
              <w:keepNext/>
              <w:keepLines/>
              <w:adjustRightInd w:val="0"/>
              <w:snapToGrid w:val="0"/>
              <w:spacing w:line="240" w:lineRule="exact"/>
              <w:rPr>
                <w:rFonts w:ascii="宋体" w:hAnsi="宋体" w:eastAsia="宋体"/>
                <w:sz w:val="21"/>
                <w:szCs w:val="21"/>
              </w:rPr>
            </w:pPr>
            <w:r>
              <w:rPr>
                <w:rFonts w:ascii="宋体" w:hAnsi="宋体" w:eastAsia="宋体"/>
                <w:sz w:val="21"/>
                <w:szCs w:val="21"/>
              </w:rPr>
              <w:t>1</w:t>
            </w:r>
          </w:p>
        </w:tc>
        <w:tc>
          <w:tcPr>
            <w:tcW w:w="709" w:type="dxa"/>
            <w:gridSpan w:val="2"/>
          </w:tcPr>
          <w:p>
            <w:pPr>
              <w:keepNext/>
              <w:keepLines/>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结构完整指预案文件布局合理、层次分明，无错漏章节、段落；正文对附件的引用、说明等，与附件索引、附件一致；</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格式规范指预案文件符合企业内部公文格式标准，或文件字体、字号、版式、层次等遵循一定的规范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977"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行文</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3</w:t>
            </w:r>
            <w:r>
              <w:rPr>
                <w:rFonts w:hint="eastAsia" w:ascii="宋体" w:hAnsi="宋体" w:eastAsia="宋体"/>
                <w:sz w:val="21"/>
                <w:szCs w:val="21"/>
                <w:vertAlign w:val="superscript"/>
              </w:rPr>
              <w:t>a</w:t>
            </w:r>
          </w:p>
        </w:tc>
        <w:tc>
          <w:tcPr>
            <w:tcW w:w="4819"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文字准确，语言通顺，内容简明</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567" w:type="dxa"/>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1</w:t>
            </w:r>
          </w:p>
        </w:tc>
        <w:tc>
          <w:tcPr>
            <w:tcW w:w="709" w:type="dxa"/>
            <w:gridSpan w:val="2"/>
          </w:tcPr>
          <w:p>
            <w:pPr>
              <w:keepNext/>
              <w:keepLines/>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文字准确是指无明显错别字、多字、漏字、语句错误、数据错误、时间错误等现象；</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语言通顺是指语言规范、连贯、易懂，合乎事理逻辑，关键内容不会产生歧义等；</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内容简明是指环境应急预案、环境风险评估报告、环境应急资源调查报告独立成文，预案正文和附件内容分配合理，应对措施等重点信息容易找到，内容上无简单重复、大量互相引用等现象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97" w:hRule="atLeast"/>
          <w:jc w:val="center"/>
        </w:trPr>
        <w:tc>
          <w:tcPr>
            <w:tcW w:w="13781" w:type="dxa"/>
            <w:gridSpan w:val="8"/>
            <w:vAlign w:val="center"/>
          </w:tcPr>
          <w:p>
            <w:pPr>
              <w:adjustRightInd w:val="0"/>
              <w:snapToGrid w:val="0"/>
              <w:spacing w:line="240" w:lineRule="exact"/>
              <w:jc w:val="center"/>
              <w:rPr>
                <w:rFonts w:ascii="黑体" w:hAnsi="黑体" w:eastAsia="黑体"/>
                <w:sz w:val="21"/>
                <w:szCs w:val="21"/>
                <w:highlight w:val="yellow"/>
              </w:rPr>
            </w:pPr>
            <w:r>
              <w:rPr>
                <w:rFonts w:hint="eastAsia" w:ascii="黑体" w:hAnsi="黑体" w:eastAsia="黑体"/>
                <w:sz w:val="21"/>
                <w:szCs w:val="21"/>
              </w:rPr>
              <w:t>环境应急预案编制说明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03"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过程说明</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4</w:t>
            </w:r>
            <w:r>
              <w:rPr>
                <w:rFonts w:hint="eastAsia" w:ascii="宋体" w:hAnsi="宋体" w:eastAsia="宋体"/>
                <w:sz w:val="21"/>
                <w:szCs w:val="21"/>
                <w:vertAlign w:val="superscript"/>
              </w:rPr>
              <w:t>a</w:t>
            </w:r>
          </w:p>
        </w:tc>
        <w:tc>
          <w:tcPr>
            <w:tcW w:w="4819"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说清预案编修过程</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highlight w:val="yellow"/>
              </w:rPr>
            </w:pPr>
            <w:r>
              <w:rPr>
                <w:rFonts w:hint="eastAsia" w:ascii="宋体" w:hAnsi="宋体" w:eastAsia="宋体"/>
                <w:sz w:val="21"/>
                <w:szCs w:val="21"/>
              </w:rPr>
              <w:t>□不符合</w:t>
            </w:r>
          </w:p>
        </w:tc>
        <w:tc>
          <w:tcPr>
            <w:tcW w:w="567" w:type="dxa"/>
          </w:tcPr>
          <w:p>
            <w:pPr>
              <w:keepNext/>
              <w:keepLines/>
              <w:adjustRightInd w:val="0"/>
              <w:snapToGrid w:val="0"/>
              <w:spacing w:line="240" w:lineRule="exact"/>
              <w:rPr>
                <w:rFonts w:hint="eastAsia" w:ascii="宋体" w:hAnsi="宋体" w:eastAsia="宋体"/>
                <w:sz w:val="21"/>
                <w:szCs w:val="21"/>
                <w:highlight w:val="yellow"/>
                <w:lang w:eastAsia="zh-CN"/>
              </w:rPr>
            </w:pPr>
            <w:r>
              <w:rPr>
                <w:rFonts w:hint="eastAsia" w:ascii="宋体" w:hAnsi="宋体" w:eastAsia="宋体"/>
                <w:sz w:val="21"/>
                <w:szCs w:val="21"/>
                <w:lang w:val="en-US" w:eastAsia="zh-CN"/>
              </w:rPr>
              <w:t>1</w:t>
            </w:r>
          </w:p>
        </w:tc>
        <w:tc>
          <w:tcPr>
            <w:tcW w:w="709" w:type="dxa"/>
            <w:gridSpan w:val="2"/>
          </w:tcPr>
          <w:p>
            <w:pPr>
              <w:keepNext/>
              <w:keepLines/>
              <w:adjustRightInd w:val="0"/>
              <w:snapToGrid w:val="0"/>
              <w:spacing w:line="240" w:lineRule="exact"/>
              <w:rPr>
                <w:rFonts w:ascii="宋体" w:hAnsi="宋体" w:eastAsia="宋体"/>
                <w:sz w:val="21"/>
                <w:szCs w:val="21"/>
                <w:highlight w:val="yellow"/>
              </w:rPr>
            </w:pPr>
          </w:p>
        </w:tc>
        <w:tc>
          <w:tcPr>
            <w:tcW w:w="4850" w:type="dxa"/>
            <w:vAlign w:val="center"/>
          </w:tcPr>
          <w:p>
            <w:pPr>
              <w:adjustRightInd w:val="0"/>
              <w:snapToGrid w:val="0"/>
              <w:spacing w:line="240" w:lineRule="exact"/>
              <w:rPr>
                <w:rFonts w:ascii="宋体" w:hAnsi="宋体" w:eastAsia="宋体"/>
                <w:sz w:val="21"/>
                <w:szCs w:val="21"/>
                <w:highlight w:val="yellow"/>
              </w:rPr>
            </w:pPr>
            <w:r>
              <w:rPr>
                <w:rFonts w:hint="eastAsia" w:ascii="宋体" w:hAnsi="宋体" w:eastAsia="宋体"/>
                <w:sz w:val="21"/>
                <w:szCs w:val="21"/>
              </w:rPr>
              <w:t>编制过程主要包括成立环境应急预案编制工作组、开展环境风险评估和环境应急资源调查、征求关键岗位员工和可能受影响的居民、单位代表的意见、组织对预案内容进行推演等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03"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问题说明</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5</w:t>
            </w:r>
            <w:r>
              <w:rPr>
                <w:rFonts w:hint="eastAsia" w:ascii="宋体" w:hAnsi="宋体" w:eastAsia="宋体"/>
                <w:sz w:val="21"/>
                <w:szCs w:val="21"/>
                <w:vertAlign w:val="superscript"/>
              </w:rPr>
              <w:t>a</w:t>
            </w:r>
          </w:p>
        </w:tc>
        <w:tc>
          <w:tcPr>
            <w:tcW w:w="4819" w:type="dxa"/>
            <w:vAlign w:val="center"/>
          </w:tcPr>
          <w:p>
            <w:pPr>
              <w:adjustRightInd w:val="0"/>
              <w:snapToGrid w:val="0"/>
              <w:spacing w:line="240" w:lineRule="exact"/>
              <w:rPr>
                <w:rFonts w:ascii="宋体" w:hAnsi="宋体" w:eastAsia="宋体"/>
                <w:spacing w:val="-2"/>
                <w:sz w:val="21"/>
                <w:szCs w:val="21"/>
              </w:rPr>
            </w:pPr>
            <w:r>
              <w:rPr>
                <w:rFonts w:hint="eastAsia" w:ascii="宋体" w:hAnsi="宋体" w:eastAsia="宋体"/>
                <w:spacing w:val="-2"/>
                <w:sz w:val="21"/>
                <w:szCs w:val="21"/>
              </w:rPr>
              <w:t>说明意见建议及采纳情况、演练暴露问题及解决措施</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567" w:type="dxa"/>
          </w:tcPr>
          <w:p>
            <w:pPr>
              <w:keepNext/>
              <w:keepLines/>
              <w:adjustRightInd w:val="0"/>
              <w:snapToGrid w:val="0"/>
              <w:spacing w:line="240" w:lineRule="exact"/>
              <w:rPr>
                <w:rFonts w:hint="eastAsia" w:ascii="宋体" w:hAnsi="宋体" w:eastAsia="宋体"/>
                <w:sz w:val="21"/>
                <w:szCs w:val="21"/>
                <w:lang w:eastAsia="zh-CN"/>
              </w:rPr>
            </w:pPr>
            <w:r>
              <w:rPr>
                <w:rFonts w:hint="eastAsia" w:ascii="宋体" w:hAnsi="宋体" w:eastAsia="宋体"/>
                <w:sz w:val="21"/>
                <w:szCs w:val="21"/>
                <w:lang w:val="en-US" w:eastAsia="zh-CN"/>
              </w:rPr>
              <w:t>1</w:t>
            </w:r>
          </w:p>
        </w:tc>
        <w:tc>
          <w:tcPr>
            <w:tcW w:w="709" w:type="dxa"/>
            <w:gridSpan w:val="2"/>
          </w:tcPr>
          <w:p>
            <w:pPr>
              <w:keepNext/>
              <w:keepLines/>
              <w:adjustRightInd w:val="0"/>
              <w:snapToGrid w:val="0"/>
              <w:spacing w:line="240" w:lineRule="exact"/>
              <w:jc w:val="center"/>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一般应有意见建议清单，并说明采纳情况及未采纳理由；演练（一般为检验性的桌面推演）暴露问题清单及解决措施，并体现在预案中</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41" w:hRule="atLeast"/>
          <w:jc w:val="center"/>
        </w:trPr>
        <w:tc>
          <w:tcPr>
            <w:tcW w:w="13781" w:type="dxa"/>
            <w:gridSpan w:val="8"/>
            <w:vAlign w:val="center"/>
          </w:tcPr>
          <w:p>
            <w:pPr>
              <w:adjustRightInd w:val="0"/>
              <w:snapToGrid w:val="0"/>
              <w:spacing w:line="240" w:lineRule="exact"/>
              <w:jc w:val="center"/>
              <w:rPr>
                <w:rFonts w:ascii="黑体" w:hAnsi="黑体" w:eastAsia="黑体"/>
                <w:sz w:val="21"/>
                <w:szCs w:val="21"/>
              </w:rPr>
            </w:pPr>
            <w:r>
              <w:rPr>
                <w:rFonts w:hint="eastAsia" w:ascii="黑体" w:hAnsi="黑体" w:eastAsia="黑体"/>
                <w:sz w:val="21"/>
                <w:szCs w:val="21"/>
              </w:rPr>
              <w:t>环境应急预案文本</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330"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编制目的</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6</w:t>
            </w:r>
          </w:p>
        </w:tc>
        <w:tc>
          <w:tcPr>
            <w:tcW w:w="4819" w:type="dxa"/>
            <w:vAlign w:val="center"/>
          </w:tcPr>
          <w:p>
            <w:pPr>
              <w:adjustRightInd w:val="0"/>
              <w:snapToGrid w:val="0"/>
              <w:spacing w:line="240" w:lineRule="exact"/>
              <w:jc w:val="left"/>
              <w:rPr>
                <w:rFonts w:ascii="宋体" w:hAnsi="宋体" w:eastAsia="宋体"/>
                <w:spacing w:val="-2"/>
                <w:sz w:val="21"/>
                <w:szCs w:val="21"/>
              </w:rPr>
            </w:pPr>
            <w:r>
              <w:rPr>
                <w:rFonts w:hint="eastAsia" w:ascii="宋体" w:hAnsi="宋体" w:eastAsia="宋体"/>
                <w:spacing w:val="-2"/>
                <w:sz w:val="21"/>
                <w:szCs w:val="21"/>
              </w:rPr>
              <w:t>体现：规范事发后的应对工作，提高事件应对能力，避免或减轻事件影响，加强企业与政府应对工作衔接</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Merge w:val="restart"/>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此三项为预案的总纲。</w:t>
            </w:r>
          </w:p>
          <w:p>
            <w:pPr>
              <w:adjustRightInd w:val="0"/>
              <w:snapToGrid w:val="0"/>
              <w:spacing w:line="240" w:lineRule="exact"/>
              <w:rPr>
                <w:rFonts w:ascii="宋体" w:hAnsi="宋体" w:eastAsia="宋体"/>
                <w:sz w:val="21"/>
                <w:szCs w:val="21"/>
              </w:rPr>
            </w:pPr>
          </w:p>
          <w:p>
            <w:pPr>
              <w:adjustRightInd w:val="0"/>
              <w:snapToGrid w:val="0"/>
              <w:spacing w:line="240" w:lineRule="exact"/>
              <w:rPr>
                <w:rFonts w:ascii="宋体" w:hAnsi="宋体" w:eastAsia="宋体"/>
                <w:sz w:val="21"/>
                <w:szCs w:val="21"/>
              </w:rPr>
            </w:pPr>
            <w:r>
              <w:rPr>
                <w:rFonts w:hint="eastAsia" w:ascii="宋体" w:hAnsi="宋体" w:eastAsia="宋体"/>
                <w:sz w:val="21"/>
                <w:szCs w:val="21"/>
              </w:rPr>
              <w:t>关于“规范事发后的应对工作”，《突发事件应急预案管理办法》强调应急预案重在“应对”，适当向前延伸至“预警”，向后延伸至“恢复”。关于“加强企业与政府应对衔接”，根据备案管理办法，实行企业环境应急预案备案管理，其中一个重要作用是环保部门收集信息，服务于政府环境应急预案编修；另外，由于权限、职责、工作范围的不同，企业环境应急预案应该在指挥、措施、程序等方面留有“接口”，确保与政府预案有机衔接。</w:t>
            </w:r>
          </w:p>
          <w:p>
            <w:pPr>
              <w:adjustRightInd w:val="0"/>
              <w:snapToGrid w:val="0"/>
              <w:spacing w:line="240" w:lineRule="exact"/>
              <w:rPr>
                <w:rFonts w:ascii="宋体" w:hAnsi="宋体" w:eastAsia="宋体"/>
                <w:sz w:val="21"/>
                <w:szCs w:val="21"/>
              </w:rPr>
            </w:pPr>
          </w:p>
          <w:p>
            <w:pPr>
              <w:adjustRightInd w:val="0"/>
              <w:snapToGrid w:val="0"/>
              <w:spacing w:line="240" w:lineRule="exact"/>
              <w:rPr>
                <w:rFonts w:ascii="宋体" w:hAnsi="宋体" w:eastAsia="宋体"/>
                <w:sz w:val="21"/>
                <w:szCs w:val="21"/>
              </w:rPr>
            </w:pPr>
            <w:r>
              <w:rPr>
                <w:rFonts w:hint="eastAsia" w:ascii="宋体" w:hAnsi="宋体" w:eastAsia="宋体"/>
                <w:sz w:val="21"/>
                <w:szCs w:val="21"/>
              </w:rPr>
              <w:t>适用主体，指组织实施预案的责任单位；地理或管理范围，如某公司内、某公司及周边环境敏感区域内；事件类别，如生产废水事故排放、化学品泄漏、燃烧或爆炸次生环境事件等；工作内容，可包括预警、处置、监测等。</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坚持环境优先，是因为环境一旦受到污染，修复难度大且成本高；应急工作与岗位职责相结合，强调应急任务要细化落实到具体工作岗位</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适用范围</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7</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明确：预案适用的主体、地理或管理范围、事件类别、工作内容</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ind w:left="0" w:leftChars="0" w:firstLine="0" w:firstLineChars="0"/>
              <w:rPr>
                <w:rFonts w:hint="eastAsia" w:ascii="宋体" w:hAnsi="宋体" w:eastAsia="宋体"/>
                <w:sz w:val="21"/>
                <w:szCs w:val="21"/>
                <w:lang w:eastAsia="zh-CN"/>
              </w:rPr>
            </w:pPr>
            <w:r>
              <w:rPr>
                <w:rFonts w:hint="eastAsia" w:ascii="宋体" w:hAnsi="宋体" w:eastAsia="宋体"/>
                <w:sz w:val="21"/>
                <w:szCs w:val="21"/>
                <w:lang w:val="en-US" w:eastAsia="zh-CN"/>
              </w:rPr>
              <w:t>1</w:t>
            </w:r>
          </w:p>
        </w:tc>
        <w:tc>
          <w:tcPr>
            <w:tcW w:w="669" w:type="dxa"/>
          </w:tcPr>
          <w:p>
            <w:pPr>
              <w:adjustRightInd w:val="0"/>
              <w:snapToGrid w:val="0"/>
              <w:spacing w:line="240" w:lineRule="exact"/>
              <w:rPr>
                <w:rFonts w:ascii="宋体" w:hAnsi="宋体" w:eastAsia="宋体"/>
                <w:sz w:val="21"/>
                <w:szCs w:val="21"/>
              </w:rPr>
            </w:pPr>
          </w:p>
        </w:tc>
        <w:tc>
          <w:tcPr>
            <w:tcW w:w="4850" w:type="dxa"/>
            <w:vMerge w:val="continue"/>
          </w:tcPr>
          <w:p>
            <w:pPr>
              <w:adjustRightInd w:val="0"/>
              <w:snapToGrid w:val="0"/>
              <w:spacing w:line="240" w:lineRule="exact"/>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工作原则</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8</w:t>
            </w:r>
          </w:p>
        </w:tc>
        <w:tc>
          <w:tcPr>
            <w:tcW w:w="4819" w:type="dxa"/>
            <w:vAlign w:val="center"/>
          </w:tcPr>
          <w:p>
            <w:pPr>
              <w:adjustRightInd w:val="0"/>
              <w:snapToGrid w:val="0"/>
              <w:spacing w:line="240" w:lineRule="exact"/>
              <w:jc w:val="left"/>
              <w:rPr>
                <w:rFonts w:ascii="宋体" w:hAnsi="宋体" w:eastAsia="宋体"/>
                <w:spacing w:val="-2"/>
                <w:sz w:val="21"/>
                <w:szCs w:val="21"/>
              </w:rPr>
            </w:pPr>
            <w:r>
              <w:rPr>
                <w:rFonts w:hint="eastAsia" w:ascii="宋体" w:hAnsi="宋体" w:eastAsia="宋体"/>
                <w:spacing w:val="-2"/>
                <w:sz w:val="21"/>
                <w:szCs w:val="21"/>
              </w:rPr>
              <w:t>体现：符合国家有关规定和要求，结合本单位实际；救人第一、环境优先；先期处置、防止危害扩大；快速响应、科学应对；应急工作与岗位职责相结合等</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Merge w:val="continue"/>
          </w:tcPr>
          <w:p>
            <w:pPr>
              <w:adjustRightInd w:val="0"/>
              <w:snapToGrid w:val="0"/>
              <w:spacing w:line="240" w:lineRule="exact"/>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2117" w:hRule="atLeast"/>
          <w:jc w:val="center"/>
        </w:trPr>
        <w:tc>
          <w:tcPr>
            <w:tcW w:w="1134" w:type="dxa"/>
            <w:vMerge w:val="restart"/>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应急预案</w:t>
            </w:r>
          </w:p>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体系</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9</w:t>
            </w:r>
            <w:r>
              <w:rPr>
                <w:rFonts w:hint="eastAsia" w:ascii="宋体" w:hAnsi="宋体" w:eastAsia="宋体"/>
                <w:sz w:val="21"/>
                <w:szCs w:val="21"/>
                <w:vertAlign w:val="superscript"/>
              </w:rPr>
              <w:t>b</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以预案关系图的形式，说明本预案的组成及其组成之间的关系、与生产安全事故预案等其他预案的衔接关系、与地方人民政府环境应急预案的衔接关系，辅以必要的重点内容说明</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ind w:left="0" w:leftChars="0" w:firstLine="0" w:firstLineChars="0"/>
              <w:rPr>
                <w:rFonts w:hint="eastAsia" w:ascii="宋体" w:hAnsi="宋体" w:eastAsia="宋体"/>
                <w:sz w:val="21"/>
                <w:szCs w:val="21"/>
                <w:lang w:eastAsia="zh-CN"/>
              </w:rPr>
            </w:pPr>
            <w:r>
              <w:rPr>
                <w:rFonts w:hint="eastAsia" w:ascii="宋体" w:hAnsi="宋体" w:eastAsia="宋体"/>
                <w:sz w:val="21"/>
                <w:szCs w:val="21"/>
                <w:lang w:val="en-US" w:eastAsia="zh-CN"/>
              </w:rPr>
              <w:t>3</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Merge w:val="restart"/>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本项目的三项指标，主要考察企业在环境应急预案编制过程中能否清晰把握预案体系。具体衔接方式、内容在应对流程和措施等部分体现。</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有的企业环境应急预案包括综合预案、专项预案、现场预案或其他组成，应说明这些组成之间的衔接关系，确保各个组成清晰界定、有机衔接。企业环境应急预案一般应以现场处置预案为主，有针对性地提出各类事件情景下的污染防控措施，明确责任人员、工作流程、具体措施，落实到应急处置卡上。确需分类编制的，综合预案侧重明确应对原则、组织机构与职责、基本程序与要求，说明预案体系构成；专项预案侧重针对某一类事件，明确应急程序和处置措施。如不涉及以上情况，可以说明预案的主体框架。</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环境应急预案定位于控制并减轻、消除污染，与企业内部生产安全事故预案等其他预案清晰界定、相互支持。</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企业突发环境事件一般会对外环境造成污染，其预案应与所在地政府环境应急预案协调一致、相互配合。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vMerge w:val="continue"/>
            <w:vAlign w:val="center"/>
          </w:tcPr>
          <w:p>
            <w:pPr>
              <w:keepNext/>
              <w:keepLines/>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10</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预案体系构成合理，以现场处置预案为主，确有必要编制综合预案、专项预案，且定位清晰、有机衔接</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Merge w:val="continue"/>
          </w:tcPr>
          <w:p>
            <w:pPr>
              <w:adjustRightInd w:val="0"/>
              <w:snapToGrid w:val="0"/>
              <w:spacing w:line="240" w:lineRule="exact"/>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vMerge w:val="continue"/>
            <w:vAlign w:val="center"/>
          </w:tcPr>
          <w:p>
            <w:pPr>
              <w:keepNext/>
              <w:keepLines/>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11</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预案整体定位清晰，与内部生产安全事故预案等其他预案清晰界定、相互支持，与地方人民政府环境应急预案有机衔接</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ind w:firstLine="210" w:firstLineChars="100"/>
              <w:rPr>
                <w:rFonts w:ascii="宋体" w:hAnsi="宋体" w:eastAsia="宋体"/>
                <w:sz w:val="21"/>
                <w:szCs w:val="21"/>
              </w:rPr>
            </w:pPr>
          </w:p>
          <w:p>
            <w:pPr>
              <w:adjustRightInd w:val="0"/>
              <w:snapToGrid w:val="0"/>
              <w:spacing w:line="240" w:lineRule="exact"/>
              <w:ind w:firstLine="210" w:firstLineChars="100"/>
              <w:rPr>
                <w:rFonts w:ascii="宋体" w:hAnsi="宋体" w:eastAsia="宋体"/>
                <w:sz w:val="21"/>
                <w:szCs w:val="21"/>
              </w:rPr>
            </w:pPr>
          </w:p>
          <w:p>
            <w:pPr>
              <w:adjustRightInd w:val="0"/>
              <w:snapToGrid w:val="0"/>
              <w:spacing w:line="240" w:lineRule="exact"/>
              <w:rPr>
                <w:rFonts w:ascii="宋体" w:hAnsi="宋体" w:eastAsia="宋体"/>
                <w:sz w:val="21"/>
                <w:szCs w:val="21"/>
              </w:rPr>
            </w:pPr>
            <w:r>
              <w:rPr>
                <w:rFonts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Merge w:val="continue"/>
          </w:tcPr>
          <w:p>
            <w:pPr>
              <w:adjustRightInd w:val="0"/>
              <w:snapToGrid w:val="0"/>
              <w:spacing w:line="240" w:lineRule="exact"/>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36" w:hRule="atLeast"/>
          <w:jc w:val="center"/>
        </w:trPr>
        <w:tc>
          <w:tcPr>
            <w:tcW w:w="1134" w:type="dxa"/>
            <w:vMerge w:val="restart"/>
            <w:vAlign w:val="center"/>
          </w:tcPr>
          <w:p>
            <w:pPr>
              <w:adjustRightInd w:val="0"/>
              <w:snapToGrid w:val="0"/>
              <w:spacing w:line="240" w:lineRule="exact"/>
              <w:jc w:val="center"/>
              <w:rPr>
                <w:rFonts w:ascii="宋体" w:hAnsi="宋体" w:eastAsia="宋体"/>
                <w:color w:val="000000"/>
                <w:kern w:val="0"/>
                <w:sz w:val="21"/>
                <w:szCs w:val="21"/>
                <w:lang w:val="zh-CN"/>
              </w:rPr>
            </w:pPr>
            <w:r>
              <w:rPr>
                <w:rFonts w:hint="eastAsia" w:ascii="宋体" w:hAnsi="宋体" w:eastAsia="宋体"/>
                <w:sz w:val="21"/>
                <w:szCs w:val="21"/>
              </w:rPr>
              <w:t>组织指挥机制</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color w:val="000000"/>
                <w:sz w:val="21"/>
                <w:szCs w:val="21"/>
              </w:rPr>
            </w:pPr>
            <w:r>
              <w:rPr>
                <w:rFonts w:hint="eastAsia" w:ascii="宋体" w:hAnsi="宋体" w:eastAsia="宋体"/>
                <w:color w:val="000000"/>
                <w:sz w:val="21"/>
                <w:szCs w:val="21"/>
              </w:rPr>
              <w:t>12</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以应急组织体系结构图、应急响应流程图的形式，说明组织体系构成、应急指挥运行机制，配有应急队伍成员名单和联系方式表</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以图表形式，说明应急组织体系构成、运行机制、联系人及联系方式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261"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color w:val="000000"/>
                <w:sz w:val="21"/>
                <w:szCs w:val="21"/>
              </w:rPr>
            </w:pPr>
            <w:r>
              <w:rPr>
                <w:rFonts w:hint="eastAsia" w:ascii="宋体" w:hAnsi="宋体" w:eastAsia="宋体"/>
                <w:color w:val="000000"/>
                <w:sz w:val="21"/>
                <w:szCs w:val="21"/>
              </w:rPr>
              <w:t>13</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明确组织体系的构成及其职责。一般包括应急指挥部及其办事机构、现场处置组、环境应急监测组、应急保障组以及其他必要的行动组</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hint="eastAsia" w:ascii="宋体" w:hAnsi="宋体" w:eastAsia="宋体"/>
                <w:sz w:val="21"/>
                <w:szCs w:val="21"/>
                <w:lang w:eastAsia="zh-CN"/>
              </w:rPr>
            </w:pPr>
            <w:r>
              <w:rPr>
                <w:rFonts w:hint="eastAsia" w:ascii="宋体" w:hAnsi="宋体" w:eastAsia="宋体"/>
                <w:sz w:val="21"/>
                <w:szCs w:val="21"/>
                <w:lang w:val="en-US" w:eastAsia="zh-CN"/>
              </w:rPr>
              <w:t>2</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企业根据突发环境事件应急工作特点，建立由负责人和成员组成的、工作职责明确的环境应急组织指挥机构。注意与企业突发事件应急预案以及生产安全等预案中组织指挥体系的衔接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25" w:hRule="atLeast"/>
          <w:jc w:val="center"/>
        </w:trPr>
        <w:tc>
          <w:tcPr>
            <w:tcW w:w="1134" w:type="dxa"/>
            <w:vMerge w:val="restart"/>
            <w:vAlign w:val="center"/>
          </w:tcPr>
          <w:p>
            <w:pPr>
              <w:keepNext/>
              <w:keepLines/>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组织指挥机制</w:t>
            </w:r>
          </w:p>
        </w:tc>
        <w:tc>
          <w:tcPr>
            <w:tcW w:w="426" w:type="dxa"/>
            <w:vAlign w:val="center"/>
          </w:tcPr>
          <w:p>
            <w:pPr>
              <w:pStyle w:val="45"/>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14</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明确应急状态下指挥运行机制，建立统一的应急指挥、协调和决策程序</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2</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指挥运行机制，指的是总指挥与各行动小组相互作用的程序和方式，能够对突发环境事件状态进行评估，迅速有效进行应急响应决策，指挥和协调各行动小组活动，合理高效地调配和使用应急资源</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32" w:hRule="atLeast"/>
          <w:jc w:val="center"/>
        </w:trPr>
        <w:tc>
          <w:tcPr>
            <w:tcW w:w="1134" w:type="dxa"/>
            <w:vMerge w:val="continue"/>
            <w:vAlign w:val="center"/>
          </w:tcPr>
          <w:p>
            <w:pPr>
              <w:keepNext/>
              <w:keepLines/>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15</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根据突发环境事件的危害程度、影响范围、周边环境敏感点、企业应急响应能力等，建立分级应急响应机制，明确不同应急响应级别对应的指挥权限</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rPr>
                <w:rFonts w:ascii="宋体" w:hAnsi="宋体" w:eastAsia="宋体"/>
                <w:sz w:val="21"/>
                <w:szCs w:val="21"/>
              </w:rPr>
            </w:pPr>
            <w:r>
              <w:rPr>
                <w:rFonts w:ascii="宋体" w:hAnsi="宋体" w:eastAsia="宋体"/>
                <w:sz w:val="21"/>
                <w:szCs w:val="21"/>
              </w:rPr>
              <w:t>2</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例如有的企业将环境应急分为车间级、企业级、社会级，明确相应的指挥权限：车间负责人、企业负责人、接受当地政府统一指挥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29" w:hRule="atLeast"/>
          <w:jc w:val="center"/>
        </w:trPr>
        <w:tc>
          <w:tcPr>
            <w:tcW w:w="1134" w:type="dxa"/>
            <w:vMerge w:val="continue"/>
            <w:vAlign w:val="center"/>
          </w:tcPr>
          <w:p>
            <w:pPr>
              <w:keepNext/>
              <w:keepLines/>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16</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说明企业与政府及其有关部门之间的关系。明确政府及其有关部门介入后，企业内部指挥协调、配合处置、参与应急保障等工作任务和责任人</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rPr>
                <w:rFonts w:ascii="宋体" w:hAnsi="宋体" w:eastAsia="宋体"/>
                <w:sz w:val="21"/>
                <w:szCs w:val="21"/>
              </w:rPr>
            </w:pPr>
          </w:p>
          <w:p>
            <w:pPr>
              <w:keepNext/>
              <w:keepLines/>
              <w:adjustRightInd w:val="0"/>
              <w:snapToGrid w:val="0"/>
              <w:spacing w:line="240" w:lineRule="exact"/>
              <w:rPr>
                <w:rFonts w:ascii="宋体" w:hAnsi="宋体" w:eastAsia="宋体"/>
                <w:sz w:val="21"/>
                <w:szCs w:val="21"/>
              </w:rPr>
            </w:pPr>
            <w:r>
              <w:rPr>
                <w:rFonts w:ascii="宋体" w:hAnsi="宋体" w:eastAsia="宋体"/>
                <w:sz w:val="21"/>
                <w:szCs w:val="21"/>
              </w:rPr>
              <w:t>1</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例如政府及其有关部门介入后，环境应急指挥权的移交及企业内部的调整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41" w:hRule="atLeast"/>
          <w:jc w:val="center"/>
        </w:trPr>
        <w:tc>
          <w:tcPr>
            <w:tcW w:w="1134" w:type="dxa"/>
            <w:vMerge w:val="restart"/>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监测预警</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17</w:t>
            </w:r>
          </w:p>
        </w:tc>
        <w:tc>
          <w:tcPr>
            <w:tcW w:w="4819"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建立企业内部监控预警方案</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根据</w:t>
            </w:r>
            <w:r>
              <w:rPr>
                <w:rFonts w:ascii="宋体" w:hAnsi="宋体" w:eastAsia="宋体"/>
                <w:sz w:val="21"/>
                <w:szCs w:val="21"/>
              </w:rPr>
              <w:t>企业</w:t>
            </w:r>
            <w:r>
              <w:rPr>
                <w:rFonts w:hint="eastAsia" w:ascii="宋体" w:hAnsi="宋体" w:eastAsia="宋体"/>
                <w:sz w:val="21"/>
                <w:szCs w:val="21"/>
              </w:rPr>
              <w:t>可能面临事件情景</w:t>
            </w:r>
            <w:r>
              <w:rPr>
                <w:rFonts w:ascii="宋体" w:hAnsi="宋体" w:eastAsia="宋体"/>
                <w:sz w:val="21"/>
                <w:szCs w:val="21"/>
              </w:rPr>
              <w:t>，</w:t>
            </w:r>
            <w:r>
              <w:rPr>
                <w:rFonts w:hint="eastAsia" w:ascii="宋体" w:hAnsi="宋体" w:eastAsia="宋体"/>
                <w:sz w:val="21"/>
                <w:szCs w:val="21"/>
              </w:rPr>
              <w:t>结合事件危害程度、紧急程度和发展态势</w:t>
            </w:r>
            <w:r>
              <w:rPr>
                <w:rFonts w:ascii="宋体" w:hAnsi="宋体" w:eastAsia="宋体"/>
                <w:sz w:val="21"/>
                <w:szCs w:val="21"/>
              </w:rPr>
              <w:t>，</w:t>
            </w:r>
            <w:r>
              <w:rPr>
                <w:rFonts w:hint="eastAsia" w:ascii="宋体" w:hAnsi="宋体" w:eastAsia="宋体"/>
                <w:sz w:val="21"/>
                <w:szCs w:val="21"/>
              </w:rPr>
              <w:t>对企业内部预警级别、预警发布与解除、预警措施进行总体安排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81"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18</w:t>
            </w:r>
          </w:p>
        </w:tc>
        <w:tc>
          <w:tcPr>
            <w:tcW w:w="4819"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明确监控信息的获得途径和分析研判的方式方法</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监控信息的获得途径，例如极端天气等自然灾害、生产安全事故等事故灾难、相关监控监测信息等；</w:t>
            </w:r>
          </w:p>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分析研判的方式方法，例如根据相关信息和应急能力等，结合企业自身实际进行分析研判</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07"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426" w:type="dxa"/>
            <w:vAlign w:val="center"/>
          </w:tcPr>
          <w:p>
            <w:pPr>
              <w:pStyle w:val="45"/>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19</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明确企业内部预警条件，预警等级，预警信息发布、接收、调整、解除程序、发布内容、责任人</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一般根据企业突发环境事件类型情景和自身的应急能力等，结合周边环境情况，确定预警等级，做到早发现、早报告、早发布；</w:t>
            </w:r>
          </w:p>
          <w:p>
            <w:pPr>
              <w:adjustRightInd w:val="0"/>
              <w:snapToGrid w:val="0"/>
              <w:spacing w:line="240" w:lineRule="exact"/>
              <w:rPr>
                <w:rFonts w:ascii="宋体" w:hAnsi="宋体" w:eastAsia="宋体"/>
                <w:sz w:val="21"/>
                <w:szCs w:val="21"/>
              </w:rPr>
            </w:pPr>
            <w:r>
              <w:rPr>
                <w:rFonts w:hint="eastAsia" w:ascii="宋体" w:hAnsi="宋体" w:eastAsia="宋体"/>
                <w:sz w:val="21"/>
                <w:szCs w:val="21"/>
              </w:rPr>
              <w:t>红色预警一般为企业自身力量难以应对；橙色预警一般为企业需要调集内部绝大部分力量参与应对；黄色、蓝色预警根据企业实际需求确定</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56" w:hRule="atLeast"/>
          <w:jc w:val="center"/>
        </w:trPr>
        <w:tc>
          <w:tcPr>
            <w:tcW w:w="1134" w:type="dxa"/>
            <w:vMerge w:val="restart"/>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信息报告</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20</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明确企业内部事件信息传递的责任人、程序、时限、方式、内容等，包括向协议应急救援单位传递信息的方式方法</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rPr>
                <w:rFonts w:ascii="宋体" w:hAnsi="宋体" w:eastAsia="宋体"/>
                <w:sz w:val="21"/>
                <w:szCs w:val="21"/>
              </w:rPr>
            </w:pPr>
            <w:r>
              <w:rPr>
                <w:rFonts w:ascii="宋体" w:hAnsi="宋体" w:eastAsia="宋体"/>
                <w:sz w:val="21"/>
                <w:szCs w:val="21"/>
              </w:rPr>
              <w:t>2</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从事件第一发现人至事件指挥人之间信息传递的方式、方法及内容，内容一般包括事件的时间、地点、涉及物质、简要经过、已造成或者可能造成的污染情况、已采取的措施等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vAlign w:val="center"/>
          </w:tcPr>
          <w:p>
            <w:pPr>
              <w:keepNext/>
              <w:keepLines/>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21</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明确企业向当地人民政府及其环保等部门报告的责任人、程序、时限方式、内容等，辅以信息报告格式规范</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jc w:val="center"/>
              <w:rPr>
                <w:rFonts w:ascii="宋体" w:hAnsi="宋体" w:eastAsia="宋体"/>
                <w:sz w:val="21"/>
                <w:szCs w:val="21"/>
              </w:rPr>
            </w:pPr>
            <w:r>
              <w:rPr>
                <w:rFonts w:ascii="宋体" w:hAnsi="宋体" w:eastAsia="宋体"/>
                <w:sz w:val="21"/>
                <w:szCs w:val="21"/>
              </w:rPr>
              <w:t>2</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从企业报告决策人、报告负责人到当地人民政府及其环保部门负责人（单位）之间信息传递的方式、方法及内容，内容一般包括企业及周边概况、事件的时间、地点、涉及物质、简要经过、已造成或者可能造成的污染情况、已采取的措施、请求支持的内容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vAlign w:val="center"/>
          </w:tcPr>
          <w:p>
            <w:pPr>
              <w:keepNext/>
              <w:keepLines/>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22</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明确企业向可能受影响的居民、单位通报的责任人、程序、时限、方式、内容等</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cs="Times New Roman"/>
                <w:kern w:val="2"/>
                <w:sz w:val="21"/>
                <w:szCs w:val="21"/>
                <w:lang w:val="en-US" w:eastAsia="zh-CN" w:bidi="ar-SA"/>
              </w:rPr>
            </w:pPr>
            <w:r>
              <w:rPr>
                <w:rFonts w:hint="eastAsia" w:ascii="宋体" w:hAnsi="宋体" w:eastAsia="宋体"/>
                <w:sz w:val="21"/>
                <w:szCs w:val="21"/>
              </w:rPr>
              <w:t>□不符合</w:t>
            </w:r>
          </w:p>
        </w:tc>
        <w:tc>
          <w:tcPr>
            <w:tcW w:w="607" w:type="dxa"/>
            <w:gridSpan w:val="2"/>
          </w:tcPr>
          <w:p>
            <w:pPr>
              <w:adjustRightInd w:val="0"/>
              <w:snapToGrid w:val="0"/>
              <w:spacing w:line="240" w:lineRule="exact"/>
              <w:jc w:val="center"/>
              <w:rPr>
                <w:rFonts w:hint="eastAsia" w:ascii="宋体" w:hAnsi="宋体" w:eastAsia="宋体"/>
                <w:sz w:val="21"/>
                <w:szCs w:val="21"/>
                <w:lang w:val="en-US" w:eastAsia="zh-CN"/>
              </w:rPr>
            </w:pPr>
            <w:r>
              <w:rPr>
                <w:rFonts w:hint="eastAsia" w:ascii="宋体" w:hAnsi="宋体" w:eastAsia="宋体"/>
                <w:sz w:val="21"/>
                <w:szCs w:val="21"/>
                <w:lang w:val="en-US" w:eastAsia="zh-CN"/>
              </w:rPr>
              <w:t>1</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从企业通报决策人、通报负责人到周边居民、单位负责人之间信息传递的方式、方法及内容，内容一般包括事件已造成或者可能造成的污染情况、居民或单位避险措施等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restart"/>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应急监测</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23</w:t>
            </w:r>
            <w:r>
              <w:rPr>
                <w:rFonts w:hint="eastAsia" w:ascii="宋体" w:hAnsi="宋体" w:eastAsia="宋体"/>
                <w:sz w:val="21"/>
                <w:szCs w:val="21"/>
                <w:vertAlign w:val="superscript"/>
              </w:rPr>
              <w:t>c</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涉大气污染的，说明排放口和厂界气体监测的一般原则</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jc w:val="center"/>
              <w:rPr>
                <w:rFonts w:ascii="宋体" w:hAnsi="宋体" w:eastAsia="宋体"/>
                <w:sz w:val="21"/>
                <w:szCs w:val="21"/>
              </w:rPr>
            </w:pPr>
            <w:r>
              <w:rPr>
                <w:rFonts w:ascii="宋体" w:hAnsi="宋体" w:eastAsia="宋体"/>
                <w:sz w:val="21"/>
                <w:szCs w:val="21"/>
              </w:rPr>
              <w:t>2</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按照《突发环境事件应急监测技术规范》等有关要求，确定排放口和厂界气体监测一般原则，为针对具体事件情景制定监测方案提供指导；</w:t>
            </w:r>
          </w:p>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排放口为突发环境事件中污染物的排放出口，包括按照相关环境保护标准设置的排放口</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68" w:hRule="atLeast"/>
          <w:jc w:val="center"/>
        </w:trPr>
        <w:tc>
          <w:tcPr>
            <w:tcW w:w="1134" w:type="dxa"/>
            <w:vMerge w:val="continue"/>
            <w:vAlign w:val="center"/>
          </w:tcPr>
          <w:p>
            <w:pPr>
              <w:keepNext/>
              <w:keepLines/>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24</w:t>
            </w:r>
            <w:r>
              <w:rPr>
                <w:rFonts w:hint="eastAsia" w:ascii="宋体" w:hAnsi="宋体" w:eastAsia="宋体"/>
                <w:sz w:val="21"/>
                <w:szCs w:val="21"/>
                <w:vertAlign w:val="superscript"/>
              </w:rPr>
              <w:t>c</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涉水污染的，说明废水排放口、雨水排放口、清净下水排放口等可能外排渠道监测的一般原则</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jc w:val="center"/>
              <w:rPr>
                <w:rFonts w:ascii="宋体" w:hAnsi="宋体" w:eastAsia="宋体"/>
                <w:sz w:val="21"/>
                <w:szCs w:val="21"/>
              </w:rPr>
            </w:pPr>
            <w:r>
              <w:rPr>
                <w:rFonts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按照《突发环境事件应急监测技术规范》等有关要求，确定可能外排渠道监测的一般原则，为针对具体事件情景制定监测方案提供指导</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36"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426" w:type="dxa"/>
            <w:vAlign w:val="center"/>
          </w:tcPr>
          <w:p>
            <w:pPr>
              <w:pStyle w:val="45"/>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25</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监测方案一般应明确监测项目、采样（监测）人员、监测设备、监测频次等</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jc w:val="center"/>
              <w:rPr>
                <w:rFonts w:ascii="宋体" w:hAnsi="宋体" w:eastAsia="宋体"/>
                <w:sz w:val="21"/>
                <w:szCs w:val="21"/>
              </w:rPr>
            </w:pPr>
            <w:r>
              <w:rPr>
                <w:rFonts w:ascii="宋体" w:hAnsi="宋体" w:eastAsia="宋体"/>
                <w:sz w:val="21"/>
                <w:szCs w:val="21"/>
              </w:rPr>
              <w:t>1</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针对具体事件情景制定监测方案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1"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426" w:type="dxa"/>
            <w:vAlign w:val="center"/>
          </w:tcPr>
          <w:p>
            <w:pPr>
              <w:pStyle w:val="45"/>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26</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明确监测执行单位；自身没有监测能力的，说明协议监测方案，并附协议</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jc w:val="center"/>
              <w:rPr>
                <w:rFonts w:ascii="宋体" w:hAnsi="宋体" w:eastAsia="宋体"/>
                <w:sz w:val="21"/>
                <w:szCs w:val="21"/>
              </w:rPr>
            </w:pPr>
            <w:r>
              <w:rPr>
                <w:rFonts w:ascii="宋体" w:hAnsi="宋体" w:eastAsia="宋体"/>
                <w:sz w:val="21"/>
                <w:szCs w:val="21"/>
              </w:rPr>
              <w:t>1</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自身没有监测能力的，应与当地环境监测机构或其他机构衔接，确保能够迅速获得环境检测支持</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85" w:hRule="atLeast"/>
          <w:jc w:val="center"/>
        </w:trPr>
        <w:tc>
          <w:tcPr>
            <w:tcW w:w="1134" w:type="dxa"/>
            <w:vMerge w:val="restart"/>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应对流程和措施</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27</w:t>
            </w:r>
            <w:r>
              <w:rPr>
                <w:rFonts w:hint="eastAsia" w:ascii="宋体" w:hAnsi="宋体" w:eastAsia="宋体"/>
                <w:sz w:val="21"/>
                <w:szCs w:val="21"/>
                <w:vertAlign w:val="superscript"/>
              </w:rPr>
              <w:t>b</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根据环境风险评估报告中的风险分析和情景构建内容，说明应对流程和措施，体现：企业内部控制污染源</w:t>
            </w:r>
            <w:r>
              <w:rPr>
                <w:rFonts w:ascii="宋体" w:hAnsi="宋体" w:eastAsia="宋体"/>
                <w:sz w:val="21"/>
                <w:szCs w:val="21"/>
              </w:rPr>
              <w:t>-</w:t>
            </w:r>
            <w:r>
              <w:rPr>
                <w:rFonts w:hint="eastAsia" w:ascii="宋体" w:hAnsi="宋体" w:eastAsia="宋体"/>
                <w:sz w:val="21"/>
                <w:szCs w:val="21"/>
              </w:rPr>
              <w:t>研判污染范围</w:t>
            </w:r>
            <w:r>
              <w:rPr>
                <w:rFonts w:ascii="宋体" w:hAnsi="宋体" w:eastAsia="宋体"/>
                <w:sz w:val="21"/>
                <w:szCs w:val="21"/>
              </w:rPr>
              <w:t>-</w:t>
            </w:r>
            <w:r>
              <w:rPr>
                <w:rFonts w:hint="eastAsia" w:ascii="宋体" w:hAnsi="宋体" w:eastAsia="宋体"/>
                <w:sz w:val="21"/>
                <w:szCs w:val="21"/>
              </w:rPr>
              <w:t>控制污染扩散</w:t>
            </w:r>
            <w:r>
              <w:rPr>
                <w:rFonts w:ascii="宋体" w:hAnsi="宋体" w:eastAsia="宋体"/>
                <w:sz w:val="21"/>
                <w:szCs w:val="21"/>
              </w:rPr>
              <w:t>-</w:t>
            </w:r>
            <w:r>
              <w:rPr>
                <w:rFonts w:hint="eastAsia" w:ascii="宋体" w:hAnsi="宋体" w:eastAsia="宋体"/>
                <w:sz w:val="21"/>
                <w:szCs w:val="21"/>
              </w:rPr>
              <w:t>污染处置应对流程和措施</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jc w:val="center"/>
              <w:rPr>
                <w:rFonts w:ascii="宋体" w:hAnsi="宋体" w:eastAsia="宋体"/>
                <w:sz w:val="21"/>
                <w:szCs w:val="21"/>
              </w:rPr>
            </w:pPr>
            <w:r>
              <w:rPr>
                <w:rFonts w:ascii="宋体" w:hAnsi="宋体" w:eastAsia="宋体"/>
                <w:sz w:val="21"/>
                <w:szCs w:val="21"/>
              </w:rPr>
              <w:t>3</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企业内部应对突发环境事件的原则性措施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426" w:type="dxa"/>
            <w:vAlign w:val="center"/>
          </w:tcPr>
          <w:p>
            <w:pPr>
              <w:pStyle w:val="45"/>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28</w:t>
            </w:r>
            <w:r>
              <w:rPr>
                <w:rFonts w:hint="eastAsia" w:ascii="宋体" w:hAnsi="宋体" w:eastAsia="宋体"/>
                <w:sz w:val="21"/>
                <w:szCs w:val="21"/>
                <w:vertAlign w:val="superscript"/>
              </w:rPr>
              <w:t>b</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体现必要的企业外部应急措施、配合当地人民政府的响应措施及对当地人民政府应急措施的建议</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jc w:val="center"/>
              <w:rPr>
                <w:rFonts w:ascii="宋体" w:hAnsi="宋体" w:eastAsia="宋体"/>
                <w:sz w:val="21"/>
                <w:szCs w:val="21"/>
              </w:rPr>
            </w:pPr>
            <w:r>
              <w:rPr>
                <w:rFonts w:ascii="宋体" w:hAnsi="宋体" w:eastAsia="宋体"/>
                <w:sz w:val="21"/>
                <w:szCs w:val="21"/>
              </w:rPr>
              <w:t>3</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突发环境事件可能或已经对企业外部环境产生影响时，企业在外部可以采取的原则性措施、对当地人民政府的建议性措施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44"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426" w:type="dxa"/>
            <w:vAlign w:val="center"/>
          </w:tcPr>
          <w:p>
            <w:pPr>
              <w:pStyle w:val="45"/>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29</w:t>
            </w:r>
            <w:r>
              <w:rPr>
                <w:rFonts w:hint="eastAsia" w:ascii="宋体" w:hAnsi="宋体" w:eastAsia="宋体"/>
                <w:sz w:val="21"/>
                <w:szCs w:val="21"/>
                <w:vertAlign w:val="superscript"/>
              </w:rPr>
              <w:t>c</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涉及大气污染的，应重点说明受威胁范围、组织公众避险的方式方法，涉及疏散的一般应辅以疏散路线图；如果装备风向标，应配有风向标分布图</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jc w:val="center"/>
              <w:rPr>
                <w:rFonts w:ascii="宋体" w:hAnsi="宋体" w:eastAsia="宋体"/>
                <w:sz w:val="21"/>
                <w:szCs w:val="21"/>
              </w:rPr>
            </w:pPr>
            <w:r>
              <w:rPr>
                <w:rFonts w:ascii="宋体" w:hAnsi="宋体" w:eastAsia="宋体"/>
                <w:sz w:val="21"/>
                <w:szCs w:val="21"/>
              </w:rPr>
              <w:t>2</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避险的方式包括疏散、防护等，说明避险措施的原则性安排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21" w:hRule="atLeast"/>
          <w:jc w:val="center"/>
        </w:trPr>
        <w:tc>
          <w:tcPr>
            <w:tcW w:w="1134" w:type="dxa"/>
            <w:vMerge w:val="continue"/>
            <w:vAlign w:val="center"/>
          </w:tcPr>
          <w:p>
            <w:pPr>
              <w:keepNext/>
              <w:keepLines/>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30</w:t>
            </w:r>
            <w:r>
              <w:rPr>
                <w:rFonts w:hint="eastAsia" w:ascii="宋体" w:hAnsi="宋体" w:eastAsia="宋体"/>
                <w:sz w:val="21"/>
                <w:szCs w:val="21"/>
                <w:vertAlign w:val="superscript"/>
              </w:rPr>
              <w:t>c</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涉及水污染的，应重点说明企业内收集、封堵、处置污染物的方式方法，适当延伸至企业外防控方式方法；配有废水、雨水、清净下水管网及重要阀门设置图</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2</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说明控制水污染的原则性安排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60" w:hRule="atLeast"/>
          <w:jc w:val="center"/>
        </w:trPr>
        <w:tc>
          <w:tcPr>
            <w:tcW w:w="1134" w:type="dxa"/>
            <w:vMerge w:val="continue"/>
            <w:vAlign w:val="center"/>
          </w:tcPr>
          <w:p>
            <w:pPr>
              <w:keepNext/>
              <w:keepLines/>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31</w:t>
            </w:r>
            <w:r>
              <w:rPr>
                <w:rFonts w:hint="eastAsia" w:ascii="宋体" w:hAnsi="宋体" w:eastAsia="宋体"/>
                <w:sz w:val="21"/>
                <w:szCs w:val="21"/>
                <w:vertAlign w:val="superscript"/>
              </w:rPr>
              <w:t>b</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分别说明可能的事件情景及应急处置方案，明确相关岗位人员采取措施的时间、地点、内容、方式、目标等</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ascii="宋体" w:hAnsi="宋体" w:eastAsia="宋体"/>
                <w:sz w:val="21"/>
                <w:szCs w:val="21"/>
              </w:rPr>
              <w:t>3</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按照以上原则性措施，针对具体事件情景，按岗位细化各项应对措施，并纳入岗位职责范围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27" w:hRule="atLeast"/>
          <w:jc w:val="center"/>
        </w:trPr>
        <w:tc>
          <w:tcPr>
            <w:tcW w:w="1134" w:type="dxa"/>
            <w:vMerge w:val="continue"/>
            <w:vAlign w:val="center"/>
          </w:tcPr>
          <w:p>
            <w:pPr>
              <w:keepNext/>
              <w:keepLines/>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32</w:t>
            </w:r>
            <w:r>
              <w:rPr>
                <w:rFonts w:hint="eastAsia" w:ascii="宋体" w:hAnsi="宋体" w:eastAsia="宋体"/>
                <w:sz w:val="21"/>
                <w:szCs w:val="21"/>
                <w:vertAlign w:val="superscript"/>
              </w:rPr>
              <w:t>b</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将应急措施细化、落实到岗位，形成应急处置卡</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3</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关键岗位的应急处置卡无遗漏，事件情景特征、处理步骤、应急物资、注意事项等叙述清晰</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37"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426" w:type="dxa"/>
            <w:vAlign w:val="center"/>
          </w:tcPr>
          <w:p>
            <w:pPr>
              <w:pStyle w:val="45"/>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33</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配有厂区平面布置图，应急物资表</w:t>
            </w:r>
            <w:r>
              <w:rPr>
                <w:rFonts w:ascii="宋体" w:hAnsi="宋体" w:eastAsia="宋体"/>
                <w:sz w:val="21"/>
                <w:szCs w:val="21"/>
              </w:rPr>
              <w:t>/</w:t>
            </w:r>
            <w:r>
              <w:rPr>
                <w:rFonts w:hint="eastAsia" w:ascii="宋体" w:hAnsi="宋体" w:eastAsia="宋体"/>
                <w:sz w:val="21"/>
                <w:szCs w:val="21"/>
              </w:rPr>
              <w:t>分布图</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90"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应急终止</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34</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结合本单位实际，说明应急终止的条件和发布程序</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2</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列明应急终止的基本条件，明确应急终止的决策、指令内容及传递程序等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59"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事后恢复</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35</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说明事后恢复的工作内容和责任人，一般包括：现场污染物的后续处理；环境应急相关设施、设备、场所的维护；配合开展环境损害评估、赔偿、事件调查处理等</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《突发事件应急预案管理办法》强调应急预案重在“应对”，适当向后延伸至“恢复”，即企业从突发环境事件应对的“非常规状态”过渡到“常规状态”的相关工作安排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91"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保障措施</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36</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说明环境应急预案涉及的人力资源、财力、物资以及其他技术、重要设施的保障</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对各类保障措施进行总体安排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16" w:hRule="atLeast"/>
          <w:jc w:val="center"/>
        </w:trPr>
        <w:tc>
          <w:tcPr>
            <w:tcW w:w="1134" w:type="dxa"/>
            <w:vMerge w:val="restart"/>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预案管理</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37</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安排有关环境应急预案的培训和演练</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2</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对预案培训、演练进行总体安排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702"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38</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明确环境应急预案的评估修订要求</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2</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对预案评估修订进行总体安排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25" w:hRule="atLeast"/>
          <w:jc w:val="center"/>
        </w:trPr>
        <w:tc>
          <w:tcPr>
            <w:tcW w:w="13781" w:type="dxa"/>
            <w:gridSpan w:val="8"/>
            <w:vAlign w:val="center"/>
          </w:tcPr>
          <w:p>
            <w:pPr>
              <w:adjustRightInd w:val="0"/>
              <w:snapToGrid w:val="0"/>
              <w:spacing w:line="240" w:lineRule="exact"/>
              <w:jc w:val="center"/>
              <w:rPr>
                <w:rFonts w:ascii="黑体" w:hAnsi="黑体" w:eastAsia="黑体"/>
                <w:sz w:val="21"/>
                <w:szCs w:val="21"/>
              </w:rPr>
            </w:pPr>
            <w:r>
              <w:rPr>
                <w:rFonts w:hint="eastAsia" w:ascii="黑体" w:hAnsi="黑体" w:eastAsia="黑体"/>
                <w:sz w:val="21"/>
                <w:szCs w:val="21"/>
              </w:rPr>
              <w:t>环境风险评估报告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77" w:hRule="atLeast"/>
          <w:jc w:val="center"/>
        </w:trPr>
        <w:tc>
          <w:tcPr>
            <w:tcW w:w="1134" w:type="dxa"/>
            <w:vMerge w:val="restart"/>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风险分析</w:t>
            </w:r>
            <w:r>
              <w:rPr>
                <w:rFonts w:hint="eastAsia" w:ascii="宋体" w:hAnsi="宋体" w:eastAsia="宋体"/>
                <w:sz w:val="21"/>
                <w:szCs w:val="21"/>
                <w:vertAlign w:val="superscript"/>
              </w:rPr>
              <w:t>c</w:t>
            </w:r>
          </w:p>
        </w:tc>
        <w:tc>
          <w:tcPr>
            <w:tcW w:w="426" w:type="dxa"/>
            <w:vAlign w:val="center"/>
          </w:tcPr>
          <w:p>
            <w:pPr>
              <w:pStyle w:val="45"/>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39</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识别出所有重要的环境风险物质；列表，至少列出重要环境风险物质的名称、数量（最大存在总量）、位置</w:t>
            </w:r>
            <w:r>
              <w:rPr>
                <w:rFonts w:ascii="宋体" w:hAnsi="宋体" w:eastAsia="宋体"/>
                <w:sz w:val="21"/>
                <w:szCs w:val="21"/>
              </w:rPr>
              <w:t>/</w:t>
            </w:r>
            <w:r>
              <w:rPr>
                <w:rFonts w:hint="eastAsia" w:ascii="宋体" w:hAnsi="宋体" w:eastAsia="宋体"/>
                <w:sz w:val="21"/>
                <w:szCs w:val="21"/>
              </w:rPr>
              <w:t>所在装置；环境风险物质数量大于临界量的，辨识重要环境风险单元</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spacing w:line="240" w:lineRule="exact"/>
              <w:ind w:left="0" w:leftChars="0" w:firstLine="0" w:firstLineChars="0"/>
              <w:jc w:val="left"/>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hint="eastAsia" w:ascii="宋体" w:hAnsi="宋体" w:eastAsia="宋体"/>
                <w:sz w:val="21"/>
                <w:szCs w:val="21"/>
                <w:lang w:eastAsia="zh-CN"/>
              </w:rPr>
            </w:pPr>
            <w:r>
              <w:rPr>
                <w:rFonts w:hint="eastAsia" w:ascii="宋体" w:hAnsi="宋体" w:eastAsia="宋体"/>
                <w:sz w:val="21"/>
                <w:szCs w:val="21"/>
                <w:lang w:val="en-US" w:eastAsia="zh-CN"/>
              </w:rPr>
              <w:t>2</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对照企业突发环境事件风险评估相关文件，识别出所有重要的物质；对于数量大于临界量的，应辨识环境风险物质在企业哪些环境风险单元集中分布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91"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426" w:type="dxa"/>
            <w:vAlign w:val="center"/>
          </w:tcPr>
          <w:p>
            <w:pPr>
              <w:pStyle w:val="45"/>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40</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重点核对生产工艺、环境风险防控措施各项指标的赋值是否合理</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rPr>
                <w:rFonts w:hint="eastAsia" w:ascii="宋体" w:hAnsi="宋体" w:eastAsia="宋体"/>
                <w:sz w:val="21"/>
                <w:szCs w:val="21"/>
                <w:lang w:eastAsia="zh-CN"/>
              </w:rPr>
            </w:pPr>
            <w:r>
              <w:rPr>
                <w:rFonts w:hint="eastAsia" w:ascii="宋体" w:hAnsi="宋体" w:eastAsia="宋体"/>
                <w:sz w:val="21"/>
                <w:szCs w:val="21"/>
                <w:lang w:val="en-US" w:eastAsia="zh-CN"/>
              </w:rPr>
              <w:t>2</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按照企业突发环境事件风险评估相关文件的赋分规则审查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32" w:hRule="atLeast"/>
          <w:jc w:val="center"/>
        </w:trPr>
        <w:tc>
          <w:tcPr>
            <w:tcW w:w="1134" w:type="dxa"/>
            <w:vMerge w:val="continue"/>
            <w:vAlign w:val="center"/>
          </w:tcPr>
          <w:p>
            <w:pPr>
              <w:spacing w:line="240" w:lineRule="exact"/>
            </w:pPr>
          </w:p>
        </w:tc>
        <w:tc>
          <w:tcPr>
            <w:tcW w:w="426"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41</w:t>
            </w:r>
          </w:p>
        </w:tc>
        <w:tc>
          <w:tcPr>
            <w:tcW w:w="4819"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环境风险受体类型的确定是否合理</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按照企业突发环境事件风险评估相关文件的受体划分依据审查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26" w:hRule="atLeast"/>
          <w:jc w:val="center"/>
        </w:trPr>
        <w:tc>
          <w:tcPr>
            <w:tcW w:w="1134" w:type="dxa"/>
            <w:vMerge w:val="continue"/>
            <w:vAlign w:val="center"/>
          </w:tcPr>
          <w:p>
            <w:pPr>
              <w:spacing w:line="240" w:lineRule="exact"/>
            </w:pPr>
          </w:p>
        </w:tc>
        <w:tc>
          <w:tcPr>
            <w:tcW w:w="426"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42</w:t>
            </w:r>
          </w:p>
        </w:tc>
        <w:tc>
          <w:tcPr>
            <w:tcW w:w="4819"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环境风险等级划分是否正确</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2</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按照企业突发环境事件风险评估相关文件审查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787" w:hRule="atLeast"/>
          <w:jc w:val="center"/>
        </w:trPr>
        <w:tc>
          <w:tcPr>
            <w:tcW w:w="1134" w:type="dxa"/>
            <w:vMerge w:val="restart"/>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情景构建</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43</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列明国内外同类企业的突发环境事件信息，提出本企业可能发生的突发环境事件情景</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rPr>
                <w:rFonts w:ascii="宋体" w:hAnsi="宋体" w:eastAsia="宋体"/>
                <w:sz w:val="21"/>
                <w:szCs w:val="21"/>
              </w:rPr>
            </w:pPr>
            <w:r>
              <w:rPr>
                <w:rFonts w:ascii="宋体" w:hAnsi="宋体" w:eastAsia="宋体"/>
                <w:sz w:val="21"/>
                <w:szCs w:val="21"/>
              </w:rPr>
              <w:t>1</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列表说明事件的日期、地点、引发原因、事件影响等内容，按照企业突发环境事件风险评估相关文件，结合企业实际列出事件情景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86" w:hRule="atLeast"/>
          <w:jc w:val="center"/>
        </w:trPr>
        <w:tc>
          <w:tcPr>
            <w:tcW w:w="1134" w:type="dxa"/>
            <w:vMerge w:val="continue"/>
            <w:vAlign w:val="center"/>
          </w:tcPr>
          <w:p>
            <w:pPr>
              <w:keepNext/>
              <w:keepLines/>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44</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源强分析，重点分析释放环境风险物质的种类、释放速率、持续时间</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部分符合</w:t>
            </w:r>
          </w:p>
          <w:p>
            <w:pPr>
              <w:adjustRightInd w:val="0"/>
              <w:snapToGrid w:val="0"/>
              <w:spacing w:line="240" w:lineRule="exact"/>
              <w:ind w:left="0" w:leftChars="0" w:firstLine="0" w:firstLineChars="0"/>
              <w:jc w:val="left"/>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ascii="宋体" w:hAnsi="宋体" w:eastAsia="宋体"/>
                <w:sz w:val="21"/>
                <w:szCs w:val="21"/>
              </w:rPr>
              <w:t>1</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针对每种典型事件情景进行源强分析，至少包括释放环境风险物质的种类、释放速率、持续时间三个要素，可以参考《建设项目环境风险评价技术导则》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69"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426" w:type="dxa"/>
            <w:vAlign w:val="center"/>
          </w:tcPr>
          <w:p>
            <w:pPr>
              <w:pStyle w:val="45"/>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45</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释放途径分析，重点分析环境风险物质从释放源头到受体之间的过程</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部分符合</w:t>
            </w:r>
          </w:p>
          <w:p>
            <w:pPr>
              <w:adjustRightInd w:val="0"/>
              <w:snapToGrid w:val="0"/>
              <w:spacing w:line="240" w:lineRule="exact"/>
              <w:ind w:left="0" w:leftChars="0" w:firstLine="0" w:firstLineChars="0"/>
              <w:jc w:val="left"/>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ascii="宋体" w:hAnsi="宋体" w:eastAsia="宋体"/>
                <w:sz w:val="21"/>
                <w:szCs w:val="21"/>
              </w:rPr>
            </w:pPr>
            <w:r>
              <w:rPr>
                <w:rFonts w:ascii="宋体" w:hAnsi="宋体" w:eastAsia="宋体"/>
                <w:sz w:val="21"/>
                <w:szCs w:val="21"/>
              </w:rPr>
              <w:t>1</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对于可能造成水污染的，分析环境风险物质从释放源头，经厂界内到厂界外，最终影响到环境风险受体的可能的路径；对于可能造成大气污染的，分析从泄漏源头释放至风险受体的路径</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702" w:hRule="atLeast"/>
          <w:jc w:val="center"/>
        </w:trPr>
        <w:tc>
          <w:tcPr>
            <w:tcW w:w="1134" w:type="dxa"/>
            <w:vMerge w:val="continue"/>
            <w:vAlign w:val="center"/>
          </w:tcPr>
          <w:p>
            <w:pPr>
              <w:adjustRightInd w:val="0"/>
              <w:snapToGrid w:val="0"/>
              <w:spacing w:line="240" w:lineRule="exact"/>
              <w:jc w:val="center"/>
              <w:rPr>
                <w:rFonts w:ascii="宋体" w:hAnsi="宋体" w:eastAsia="宋体"/>
                <w:sz w:val="21"/>
                <w:szCs w:val="21"/>
              </w:rPr>
            </w:pPr>
          </w:p>
        </w:tc>
        <w:tc>
          <w:tcPr>
            <w:tcW w:w="426" w:type="dxa"/>
            <w:vAlign w:val="center"/>
          </w:tcPr>
          <w:p>
            <w:pPr>
              <w:pStyle w:val="45"/>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46</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危害后果分析，重点分析环境风险物质的影响范围和程度</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rPr>
                <w:rFonts w:ascii="宋体" w:hAnsi="宋体" w:eastAsia="宋体"/>
                <w:sz w:val="21"/>
                <w:szCs w:val="21"/>
              </w:rPr>
            </w:pPr>
            <w:r>
              <w:rPr>
                <w:rFonts w:ascii="宋体" w:hAnsi="宋体" w:eastAsia="宋体"/>
                <w:sz w:val="21"/>
                <w:szCs w:val="21"/>
              </w:rPr>
              <w:t>1</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针对每种情景的重点环境风险物质，计算浓度分布情况，说明影响范围和程度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60" w:hRule="atLeast"/>
          <w:jc w:val="center"/>
        </w:trPr>
        <w:tc>
          <w:tcPr>
            <w:tcW w:w="1134" w:type="dxa"/>
            <w:vMerge w:val="continue"/>
            <w:vAlign w:val="center"/>
          </w:tcPr>
          <w:p>
            <w:pPr>
              <w:keepNext/>
              <w:keepLines/>
              <w:adjustRightInd w:val="0"/>
              <w:snapToGrid w:val="0"/>
              <w:spacing w:line="240" w:lineRule="exact"/>
              <w:jc w:val="center"/>
              <w:rPr>
                <w:rFonts w:ascii="宋体" w:hAnsi="宋体" w:eastAsia="宋体"/>
                <w:sz w:val="21"/>
                <w:szCs w:val="21"/>
              </w:rPr>
            </w:pP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47</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明确在最坏情景下，大气环境风险物质影响最远距离内的人口数量及位置等，水环境敏感受体的数量及位置等信息，并附有相关示意图</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部分符合</w:t>
            </w:r>
          </w:p>
          <w:p>
            <w:pPr>
              <w:adjustRightInd w:val="0"/>
              <w:snapToGrid w:val="0"/>
              <w:spacing w:line="240" w:lineRule="exact"/>
              <w:ind w:left="0" w:leftChars="0" w:firstLine="0" w:firstLineChars="0"/>
              <w:jc w:val="left"/>
              <w:rPr>
                <w:rFonts w:ascii="宋体" w:hAnsi="宋体" w:eastAsia="宋体"/>
                <w:sz w:val="21"/>
                <w:szCs w:val="21"/>
              </w:rPr>
            </w:pPr>
            <w:r>
              <w:rPr>
                <w:rFonts w:hint="eastAsia" w:ascii="宋体" w:hAnsi="宋体" w:eastAsia="宋体"/>
                <w:sz w:val="21"/>
                <w:szCs w:val="21"/>
              </w:rPr>
              <w:t>□不符合</w:t>
            </w:r>
          </w:p>
        </w:tc>
        <w:tc>
          <w:tcPr>
            <w:tcW w:w="607" w:type="dxa"/>
            <w:gridSpan w:val="2"/>
          </w:tcPr>
          <w:p>
            <w:pPr>
              <w:adjustRightInd w:val="0"/>
              <w:snapToGrid w:val="0"/>
              <w:spacing w:line="240" w:lineRule="exact"/>
              <w:rPr>
                <w:rFonts w:hint="eastAsia" w:ascii="宋体" w:hAnsi="宋体" w:eastAsia="宋体"/>
                <w:sz w:val="21"/>
                <w:szCs w:val="21"/>
                <w:lang w:eastAsia="zh-CN"/>
              </w:rPr>
            </w:pPr>
            <w:r>
              <w:rPr>
                <w:rFonts w:hint="eastAsia" w:ascii="宋体" w:hAnsi="宋体" w:eastAsia="宋体"/>
                <w:sz w:val="21"/>
                <w:szCs w:val="21"/>
                <w:lang w:val="en-US" w:eastAsia="zh-CN"/>
              </w:rPr>
              <w:t>1</w:t>
            </w:r>
          </w:p>
        </w:tc>
        <w:tc>
          <w:tcPr>
            <w:tcW w:w="669" w:type="dxa"/>
          </w:tcPr>
          <w:p>
            <w:pPr>
              <w:adjustRightInd w:val="0"/>
              <w:snapToGrid w:val="0"/>
              <w:spacing w:line="240" w:lineRule="exact"/>
              <w:rPr>
                <w:rFonts w:ascii="宋体" w:hAnsi="宋体" w:eastAsia="宋体"/>
                <w:sz w:val="21"/>
                <w:szCs w:val="21"/>
              </w:rPr>
            </w:pPr>
          </w:p>
        </w:tc>
        <w:tc>
          <w:tcPr>
            <w:tcW w:w="4850" w:type="dxa"/>
            <w:vAlign w:val="center"/>
          </w:tcPr>
          <w:p>
            <w:pPr>
              <w:adjustRightInd w:val="0"/>
              <w:snapToGrid w:val="0"/>
              <w:spacing w:line="240" w:lineRule="exact"/>
              <w:rPr>
                <w:rFonts w:ascii="宋体" w:hAnsi="宋体" w:eastAsia="宋体"/>
                <w:sz w:val="21"/>
                <w:szCs w:val="21"/>
              </w:rPr>
            </w:pPr>
            <w:r>
              <w:rPr>
                <w:rFonts w:hint="eastAsia" w:ascii="宋体" w:hAnsi="宋体" w:eastAsia="宋体"/>
                <w:sz w:val="21"/>
                <w:szCs w:val="21"/>
              </w:rPr>
              <w:t>针对最坏情景的计算结果，列出受影响的大气和水环境保护目标，附图示说明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24"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完善计划</w:t>
            </w:r>
          </w:p>
        </w:tc>
        <w:tc>
          <w:tcPr>
            <w:tcW w:w="426" w:type="dxa"/>
            <w:vAlign w:val="center"/>
          </w:tcPr>
          <w:p>
            <w:pPr>
              <w:pStyle w:val="45"/>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48</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分析现有环境风险防控与应急措施所存在的差距，制定环境风险防控整改完善计划</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2</w:t>
            </w:r>
          </w:p>
        </w:tc>
        <w:tc>
          <w:tcPr>
            <w:tcW w:w="669" w:type="dxa"/>
          </w:tcPr>
          <w:p>
            <w:pPr>
              <w:keepNext/>
              <w:keepLines/>
              <w:adjustRightInd w:val="0"/>
              <w:snapToGrid w:val="0"/>
              <w:spacing w:line="240" w:lineRule="exact"/>
              <w:rPr>
                <w:rFonts w:ascii="宋体" w:hAnsi="宋体" w:eastAsia="宋体"/>
                <w:sz w:val="21"/>
                <w:szCs w:val="21"/>
              </w:rPr>
            </w:pPr>
          </w:p>
        </w:tc>
        <w:tc>
          <w:tcPr>
            <w:tcW w:w="4850" w:type="dxa"/>
            <w:vAlign w:val="center"/>
          </w:tcPr>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对现有环境风险防控与应急措施的完备性、可靠性和有效性进行分析论证，找出差距、问题。针对需要整改的短期、中期和长期项目，分别制定完善环境风险防控和应急措施的实施计划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384" w:hRule="atLeast"/>
          <w:jc w:val="center"/>
        </w:trPr>
        <w:tc>
          <w:tcPr>
            <w:tcW w:w="13781" w:type="dxa"/>
            <w:gridSpan w:val="8"/>
            <w:vAlign w:val="center"/>
          </w:tcPr>
          <w:p>
            <w:pPr>
              <w:adjustRightInd w:val="0"/>
              <w:snapToGrid w:val="0"/>
              <w:spacing w:line="240" w:lineRule="exact"/>
              <w:jc w:val="center"/>
              <w:rPr>
                <w:rFonts w:ascii="黑体" w:hAnsi="黑体" w:eastAsia="黑体"/>
                <w:sz w:val="21"/>
                <w:szCs w:val="21"/>
              </w:rPr>
            </w:pPr>
            <w:r>
              <w:rPr>
                <w:rFonts w:hint="eastAsia" w:ascii="黑体" w:hAnsi="黑体" w:eastAsia="黑体"/>
                <w:sz w:val="21"/>
                <w:szCs w:val="21"/>
              </w:rPr>
              <w:t>环境应急资源调查报告（表）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370"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调查内容</w:t>
            </w:r>
          </w:p>
        </w:tc>
        <w:tc>
          <w:tcPr>
            <w:tcW w:w="426" w:type="dxa"/>
            <w:vAlign w:val="center"/>
          </w:tcPr>
          <w:p>
            <w:pPr>
              <w:pStyle w:val="45"/>
              <w:keepNext/>
              <w:keepLines/>
              <w:tabs>
                <w:tab w:val="left" w:pos="0"/>
              </w:tab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49</w:t>
            </w:r>
          </w:p>
        </w:tc>
        <w:tc>
          <w:tcPr>
            <w:tcW w:w="4819" w:type="dxa"/>
            <w:vAlign w:val="center"/>
          </w:tcPr>
          <w:p>
            <w:pPr>
              <w:adjustRightInd w:val="0"/>
              <w:snapToGrid w:val="0"/>
              <w:spacing w:line="240" w:lineRule="exact"/>
              <w:jc w:val="left"/>
              <w:rPr>
                <w:rFonts w:ascii="宋体" w:hAnsi="宋体" w:eastAsia="宋体"/>
                <w:spacing w:val="-2"/>
                <w:sz w:val="21"/>
                <w:szCs w:val="21"/>
              </w:rPr>
            </w:pPr>
            <w:r>
              <w:rPr>
                <w:rFonts w:hint="eastAsia" w:ascii="宋体" w:hAnsi="宋体" w:eastAsia="宋体"/>
                <w:spacing w:val="-2"/>
                <w:sz w:val="21"/>
                <w:szCs w:val="21"/>
              </w:rPr>
              <w:t>第一时间可调用的环境应急队伍、装备、物资、场所</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部分符合</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vAlign w:val="center"/>
          </w:tcPr>
          <w:p>
            <w:pPr>
              <w:keepNext/>
              <w:keepLines/>
              <w:adjustRightInd w:val="0"/>
              <w:snapToGrid w:val="0"/>
              <w:spacing w:line="240" w:lineRule="exact"/>
              <w:ind w:left="0" w:leftChars="0" w:firstLine="0" w:firstLineChars="0"/>
              <w:jc w:val="both"/>
              <w:rPr>
                <w:rFonts w:ascii="宋体" w:hAnsi="宋体" w:eastAsia="宋体"/>
                <w:sz w:val="21"/>
                <w:szCs w:val="21"/>
              </w:rPr>
            </w:pPr>
            <w:r>
              <w:rPr>
                <w:rFonts w:ascii="宋体" w:hAnsi="宋体" w:eastAsia="宋体"/>
                <w:sz w:val="21"/>
                <w:szCs w:val="21"/>
              </w:rPr>
              <w:t>1</w:t>
            </w:r>
          </w:p>
        </w:tc>
        <w:tc>
          <w:tcPr>
            <w:tcW w:w="669" w:type="dxa"/>
            <w:vAlign w:val="center"/>
          </w:tcPr>
          <w:p>
            <w:pPr>
              <w:keepNext/>
              <w:keepLines/>
              <w:adjustRightInd w:val="0"/>
              <w:snapToGrid w:val="0"/>
              <w:spacing w:line="240" w:lineRule="exact"/>
              <w:jc w:val="center"/>
              <w:rPr>
                <w:rFonts w:ascii="宋体" w:hAnsi="宋体" w:eastAsia="宋体"/>
                <w:sz w:val="21"/>
                <w:szCs w:val="21"/>
              </w:rPr>
            </w:pPr>
          </w:p>
        </w:tc>
        <w:tc>
          <w:tcPr>
            <w:tcW w:w="4850" w:type="dxa"/>
            <w:vAlign w:val="center"/>
          </w:tcPr>
          <w:p>
            <w:pPr>
              <w:keepNext/>
              <w:keepLines/>
              <w:adjustRightInd w:val="0"/>
              <w:snapToGrid w:val="0"/>
              <w:spacing w:line="240" w:lineRule="exact"/>
              <w:jc w:val="left"/>
              <w:rPr>
                <w:rFonts w:ascii="宋体" w:hAnsi="宋体" w:eastAsia="宋体"/>
                <w:sz w:val="21"/>
                <w:szCs w:val="21"/>
              </w:rPr>
            </w:pPr>
            <w:r>
              <w:rPr>
                <w:rFonts w:hint="eastAsia" w:ascii="宋体" w:hAnsi="宋体" w:eastAsia="宋体"/>
                <w:sz w:val="21"/>
                <w:szCs w:val="21"/>
              </w:rPr>
              <w:t>重点调查可以直接使用的环境应急资源，包括：专职和兼职应急队伍；自储、代储、协议储备的环境应急装备；自储、代储、协议储备环境应急物资；应急处置场所、应急物资或装备存放场所、应急指挥场所。预案中的应急措施使用的环境应急资源与现有资源一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25" w:hRule="atLeast"/>
          <w:jc w:val="center"/>
        </w:trPr>
        <w:tc>
          <w:tcPr>
            <w:tcW w:w="1134" w:type="dxa"/>
            <w:vAlign w:val="center"/>
          </w:tcPr>
          <w:p>
            <w:pPr>
              <w:adjustRightInd w:val="0"/>
              <w:snapToGrid w:val="0"/>
              <w:spacing w:line="240" w:lineRule="exact"/>
              <w:jc w:val="center"/>
              <w:rPr>
                <w:rFonts w:ascii="宋体" w:hAnsi="宋体" w:eastAsia="宋体"/>
                <w:sz w:val="21"/>
                <w:szCs w:val="21"/>
              </w:rPr>
            </w:pPr>
            <w:r>
              <w:rPr>
                <w:rFonts w:hint="eastAsia" w:ascii="宋体" w:hAnsi="宋体" w:eastAsia="宋体"/>
                <w:sz w:val="21"/>
                <w:szCs w:val="21"/>
              </w:rPr>
              <w:t>调查结果</w:t>
            </w:r>
          </w:p>
        </w:tc>
        <w:tc>
          <w:tcPr>
            <w:tcW w:w="426" w:type="dxa"/>
            <w:vAlign w:val="center"/>
          </w:tcPr>
          <w:p>
            <w:pPr>
              <w:pStyle w:val="45"/>
              <w:keepNext/>
              <w:keepLines/>
              <w:adjustRightInd w:val="0"/>
              <w:snapToGrid w:val="0"/>
              <w:spacing w:line="240" w:lineRule="exact"/>
              <w:ind w:firstLine="0" w:firstLineChars="0"/>
              <w:jc w:val="center"/>
              <w:rPr>
                <w:rFonts w:ascii="宋体" w:hAnsi="宋体" w:eastAsia="宋体"/>
                <w:sz w:val="21"/>
                <w:szCs w:val="21"/>
              </w:rPr>
            </w:pPr>
            <w:r>
              <w:rPr>
                <w:rFonts w:hint="eastAsia" w:ascii="宋体" w:hAnsi="宋体" w:eastAsia="宋体"/>
                <w:sz w:val="21"/>
                <w:szCs w:val="21"/>
              </w:rPr>
              <w:t>50</w:t>
            </w:r>
          </w:p>
        </w:tc>
        <w:tc>
          <w:tcPr>
            <w:tcW w:w="4819"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针对环境应急资源清单，抽查数据的可信性</w:t>
            </w:r>
          </w:p>
        </w:tc>
        <w:tc>
          <w:tcPr>
            <w:tcW w:w="1276" w:type="dxa"/>
            <w:vAlign w:val="center"/>
          </w:tcPr>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b/>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exact"/>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exact"/>
              <w:ind w:left="0" w:leftChars="0" w:firstLine="0" w:firstLineChars="0"/>
              <w:jc w:val="left"/>
              <w:rPr>
                <w:rFonts w:ascii="宋体" w:hAnsi="宋体" w:eastAsia="宋体"/>
                <w:sz w:val="21"/>
                <w:szCs w:val="21"/>
              </w:rPr>
            </w:pPr>
            <w:r>
              <w:rPr>
                <w:rFonts w:hint="eastAsia" w:ascii="宋体" w:hAnsi="宋体" w:eastAsia="宋体"/>
                <w:sz w:val="21"/>
                <w:szCs w:val="21"/>
              </w:rPr>
              <w:t>□不符合</w:t>
            </w:r>
          </w:p>
        </w:tc>
        <w:tc>
          <w:tcPr>
            <w:tcW w:w="607" w:type="dxa"/>
            <w:gridSpan w:val="2"/>
            <w:vAlign w:val="center"/>
          </w:tcPr>
          <w:p>
            <w:pPr>
              <w:adjustRightInd w:val="0"/>
              <w:snapToGrid w:val="0"/>
              <w:spacing w:line="240" w:lineRule="exact"/>
              <w:ind w:left="0" w:leftChars="0" w:firstLine="0" w:firstLineChars="0"/>
              <w:jc w:val="both"/>
              <w:rPr>
                <w:rFonts w:ascii="宋体" w:hAnsi="宋体" w:eastAsia="宋体"/>
                <w:sz w:val="21"/>
                <w:szCs w:val="21"/>
              </w:rPr>
            </w:pPr>
            <w:r>
              <w:rPr>
                <w:rFonts w:hint="eastAsia" w:ascii="宋体" w:hAnsi="宋体" w:eastAsia="宋体"/>
                <w:sz w:val="21"/>
                <w:szCs w:val="21"/>
              </w:rPr>
              <w:t>2</w:t>
            </w:r>
          </w:p>
        </w:tc>
        <w:tc>
          <w:tcPr>
            <w:tcW w:w="669" w:type="dxa"/>
            <w:vAlign w:val="center"/>
          </w:tcPr>
          <w:p>
            <w:pPr>
              <w:adjustRightInd w:val="0"/>
              <w:snapToGrid w:val="0"/>
              <w:spacing w:line="240" w:lineRule="exact"/>
              <w:jc w:val="center"/>
              <w:rPr>
                <w:rFonts w:ascii="宋体" w:hAnsi="宋体" w:eastAsia="宋体"/>
                <w:sz w:val="21"/>
                <w:szCs w:val="21"/>
              </w:rPr>
            </w:pPr>
          </w:p>
        </w:tc>
        <w:tc>
          <w:tcPr>
            <w:tcW w:w="4850" w:type="dxa"/>
            <w:vAlign w:val="center"/>
          </w:tcPr>
          <w:p>
            <w:pPr>
              <w:adjustRightInd w:val="0"/>
              <w:snapToGrid w:val="0"/>
              <w:spacing w:line="240" w:lineRule="exact"/>
              <w:jc w:val="left"/>
              <w:rPr>
                <w:rFonts w:ascii="宋体" w:hAnsi="宋体" w:eastAsia="宋体"/>
                <w:sz w:val="21"/>
                <w:szCs w:val="21"/>
              </w:rPr>
            </w:pPr>
            <w:r>
              <w:rPr>
                <w:rFonts w:hint="eastAsia" w:ascii="宋体" w:hAnsi="宋体" w:eastAsia="宋体"/>
                <w:sz w:val="21"/>
                <w:szCs w:val="21"/>
              </w:rPr>
              <w:t>通过逻辑分析、现场抽查等方式对调查数据进行查验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24" w:hRule="atLeast"/>
          <w:jc w:val="center"/>
        </w:trPr>
        <w:tc>
          <w:tcPr>
            <w:tcW w:w="7655" w:type="dxa"/>
            <w:gridSpan w:val="4"/>
            <w:vAlign w:val="center"/>
          </w:tcPr>
          <w:p>
            <w:pPr>
              <w:adjustRightInd w:val="0"/>
              <w:snapToGrid w:val="0"/>
              <w:spacing w:line="240" w:lineRule="exact"/>
              <w:jc w:val="center"/>
              <w:rPr>
                <w:rFonts w:ascii="宋体" w:hAnsi="宋体" w:eastAsia="宋体"/>
                <w:b/>
                <w:sz w:val="21"/>
                <w:szCs w:val="21"/>
              </w:rPr>
            </w:pPr>
            <w:r>
              <w:rPr>
                <w:rFonts w:hint="eastAsia" w:ascii="宋体" w:hAnsi="宋体" w:eastAsia="宋体"/>
                <w:b/>
                <w:sz w:val="21"/>
                <w:szCs w:val="21"/>
              </w:rPr>
              <w:t>合  计</w:t>
            </w:r>
          </w:p>
        </w:tc>
        <w:tc>
          <w:tcPr>
            <w:tcW w:w="607" w:type="dxa"/>
            <w:gridSpan w:val="2"/>
            <w:vAlign w:val="center"/>
          </w:tcPr>
          <w:p>
            <w:pPr>
              <w:adjustRightInd w:val="0"/>
              <w:snapToGrid w:val="0"/>
              <w:spacing w:line="240" w:lineRule="exact"/>
              <w:ind w:left="0" w:leftChars="0" w:firstLine="0" w:firstLineChars="0"/>
              <w:jc w:val="both"/>
              <w:rPr>
                <w:rFonts w:ascii="宋体" w:hAnsi="宋体" w:eastAsia="宋体"/>
                <w:b/>
                <w:sz w:val="21"/>
                <w:szCs w:val="21"/>
              </w:rPr>
            </w:pPr>
            <w:r>
              <w:rPr>
                <w:rFonts w:hint="eastAsia" w:ascii="宋体" w:hAnsi="宋体" w:eastAsia="宋体"/>
                <w:b/>
                <w:sz w:val="21"/>
                <w:szCs w:val="21"/>
              </w:rPr>
              <w:t>8</w:t>
            </w:r>
            <w:r>
              <w:rPr>
                <w:rFonts w:hint="eastAsia" w:ascii="宋体" w:hAnsi="宋体" w:eastAsia="宋体"/>
                <w:b/>
                <w:sz w:val="21"/>
                <w:szCs w:val="21"/>
                <w:lang w:val="en-US" w:eastAsia="zh-CN"/>
              </w:rPr>
              <w:t>9</w:t>
            </w:r>
          </w:p>
        </w:tc>
        <w:tc>
          <w:tcPr>
            <w:tcW w:w="669" w:type="dxa"/>
            <w:vAlign w:val="center"/>
          </w:tcPr>
          <w:p>
            <w:pPr>
              <w:adjustRightInd w:val="0"/>
              <w:snapToGrid w:val="0"/>
              <w:spacing w:line="240" w:lineRule="exact"/>
              <w:jc w:val="center"/>
              <w:rPr>
                <w:rFonts w:ascii="宋体" w:hAnsi="宋体" w:eastAsia="宋体"/>
                <w:b/>
                <w:sz w:val="21"/>
                <w:szCs w:val="21"/>
              </w:rPr>
            </w:pPr>
            <w:r>
              <w:rPr>
                <w:rFonts w:hint="eastAsia" w:ascii="宋体" w:hAnsi="宋体" w:eastAsia="宋体"/>
                <w:b/>
                <w:sz w:val="21"/>
                <w:szCs w:val="21"/>
              </w:rPr>
              <w:t>-</w:t>
            </w:r>
          </w:p>
        </w:tc>
        <w:tc>
          <w:tcPr>
            <w:tcW w:w="4850" w:type="dxa"/>
            <w:vAlign w:val="center"/>
          </w:tcPr>
          <w:p>
            <w:pPr>
              <w:adjustRightInd w:val="0"/>
              <w:snapToGrid w:val="0"/>
              <w:spacing w:line="240" w:lineRule="exact"/>
              <w:jc w:val="center"/>
              <w:rPr>
                <w:rFonts w:ascii="宋体" w:hAnsi="宋体" w:eastAsia="宋体"/>
                <w:b/>
                <w:sz w:val="21"/>
                <w:szCs w:val="21"/>
              </w:rPr>
            </w:pPr>
            <w:r>
              <w:rPr>
                <w:rFonts w:hint="eastAsia" w:ascii="宋体" w:hAnsi="宋体" w:eastAsia="宋体"/>
                <w:b/>
                <w:sz w:val="21"/>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38" w:hRule="atLeast"/>
          <w:jc w:val="center"/>
        </w:trPr>
        <w:tc>
          <w:tcPr>
            <w:tcW w:w="13781" w:type="dxa"/>
            <w:gridSpan w:val="8"/>
            <w:vAlign w:val="center"/>
          </w:tcPr>
          <w:p>
            <w:pPr>
              <w:keepNext/>
              <w:keepLines/>
              <w:adjustRightInd w:val="0"/>
              <w:snapToGrid w:val="0"/>
              <w:spacing w:line="240" w:lineRule="exact"/>
              <w:rPr>
                <w:rFonts w:ascii="宋体" w:hAnsi="宋体" w:eastAsia="宋体"/>
                <w:sz w:val="21"/>
                <w:szCs w:val="21"/>
              </w:rPr>
            </w:pPr>
          </w:p>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评审人员（签字）：</w:t>
            </w:r>
            <w:r>
              <w:rPr>
                <w:rFonts w:hint="eastAsia" w:ascii="宋体" w:hAnsi="宋体"/>
                <w:bCs/>
                <w:color w:val="000000"/>
                <w:kern w:val="0"/>
                <w:sz w:val="30"/>
                <w:szCs w:val="30"/>
              </w:rPr>
              <w:drawing>
                <wp:anchor distT="0" distB="0" distL="114300" distR="114300" simplePos="0" relativeHeight="251658240" behindDoc="0" locked="0" layoutInCell="1" allowOverlap="1">
                  <wp:simplePos x="0" y="0"/>
                  <wp:positionH relativeFrom="column">
                    <wp:posOffset>1136650</wp:posOffset>
                  </wp:positionH>
                  <wp:positionV relativeFrom="paragraph">
                    <wp:posOffset>-24130</wp:posOffset>
                  </wp:positionV>
                  <wp:extent cx="1170305" cy="316865"/>
                  <wp:effectExtent l="0" t="0" r="10795" b="6985"/>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170000" cy="316800"/>
                          </a:xfrm>
                          <a:prstGeom prst="rect">
                            <a:avLst/>
                          </a:prstGeom>
                          <a:noFill/>
                          <a:ln>
                            <a:noFill/>
                          </a:ln>
                        </pic:spPr>
                      </pic:pic>
                    </a:graphicData>
                  </a:graphic>
                </wp:anchor>
              </w:drawing>
            </w:r>
          </w:p>
          <w:p>
            <w:pPr>
              <w:keepNext/>
              <w:keepLines/>
              <w:adjustRightInd w:val="0"/>
              <w:snapToGrid w:val="0"/>
              <w:spacing w:line="240" w:lineRule="exact"/>
              <w:rPr>
                <w:rFonts w:ascii="宋体" w:hAnsi="宋体" w:eastAsia="宋体"/>
                <w:sz w:val="21"/>
                <w:szCs w:val="21"/>
              </w:rPr>
            </w:pPr>
            <w:r>
              <w:rPr>
                <w:rFonts w:hint="eastAsia" w:ascii="宋体" w:hAnsi="宋体" w:eastAsia="宋体"/>
                <w:sz w:val="21"/>
                <w:szCs w:val="21"/>
              </w:rPr>
              <w:t xml:space="preserve">                                                                                          评审日期：</w:t>
            </w:r>
            <w:r>
              <w:rPr>
                <w:rFonts w:ascii="宋体" w:hAnsi="宋体" w:eastAsia="宋体"/>
                <w:sz w:val="21"/>
                <w:szCs w:val="21"/>
              </w:rPr>
              <w:t>2020</w:t>
            </w:r>
            <w:r>
              <w:rPr>
                <w:rFonts w:hint="eastAsia" w:ascii="宋体" w:hAnsi="宋体" w:eastAsia="宋体"/>
                <w:sz w:val="21"/>
                <w:szCs w:val="21"/>
              </w:rPr>
              <w:t>年</w:t>
            </w:r>
            <w:r>
              <w:rPr>
                <w:rFonts w:hint="eastAsia" w:ascii="宋体" w:hAnsi="宋体" w:eastAsia="宋体"/>
                <w:sz w:val="21"/>
                <w:szCs w:val="21"/>
                <w:lang w:val="en-US" w:eastAsia="zh-CN"/>
              </w:rPr>
              <w:t>9</w:t>
            </w:r>
            <w:r>
              <w:rPr>
                <w:rFonts w:hint="eastAsia" w:ascii="宋体" w:hAnsi="宋体" w:eastAsia="宋体"/>
                <w:sz w:val="21"/>
                <w:szCs w:val="21"/>
              </w:rPr>
              <w:t>月</w:t>
            </w:r>
            <w:r>
              <w:rPr>
                <w:rFonts w:hint="eastAsia" w:ascii="宋体" w:hAnsi="宋体" w:eastAsia="宋体"/>
                <w:sz w:val="21"/>
                <w:szCs w:val="21"/>
                <w:lang w:val="en-US" w:eastAsia="zh-CN"/>
              </w:rPr>
              <w:t>20</w:t>
            </w:r>
            <w:r>
              <w:rPr>
                <w:rFonts w:hint="eastAsia" w:ascii="宋体" w:hAnsi="宋体" w:eastAsia="宋体"/>
                <w:sz w:val="21"/>
                <w:szCs w:val="21"/>
              </w:rPr>
              <w:t>日</w:t>
            </w:r>
          </w:p>
        </w:tc>
      </w:tr>
    </w:tbl>
    <w:p>
      <w:pPr>
        <w:adjustRightInd w:val="0"/>
        <w:snapToGrid w:val="0"/>
        <w:spacing w:line="520" w:lineRule="exact"/>
        <w:rPr>
          <w:rFonts w:ascii="宋体" w:hAnsi="宋体" w:eastAsia="宋体"/>
          <w:sz w:val="21"/>
        </w:rPr>
      </w:pPr>
      <w:r>
        <w:rPr>
          <w:rFonts w:hint="eastAsia" w:ascii="宋体" w:hAnsi="宋体" w:eastAsia="宋体"/>
          <w:sz w:val="21"/>
        </w:rPr>
        <w:t xml:space="preserve"> </w:t>
      </w:r>
    </w:p>
    <w:p>
      <w:pPr>
        <w:spacing w:line="360" w:lineRule="auto"/>
        <w:ind w:firstLine="0" w:firstLineChars="0"/>
        <w:jc w:val="left"/>
        <w:rPr>
          <w:rFonts w:hint="eastAsia" w:ascii="宋体" w:hAnsi="宋体" w:cs="Times New Roman"/>
          <w:b/>
          <w:kern w:val="0"/>
          <w:sz w:val="24"/>
          <w:szCs w:val="20"/>
          <w:u w:val="single"/>
        </w:rPr>
        <w:sectPr>
          <w:pgSz w:w="16838" w:h="11906" w:orient="landscape"/>
          <w:pgMar w:top="1134" w:right="1440" w:bottom="1276" w:left="1440" w:header="851" w:footer="992" w:gutter="0"/>
          <w:pgNumType w:fmt="decimal"/>
          <w:cols w:space="0" w:num="1"/>
          <w:rtlGutter w:val="0"/>
          <w:docGrid w:type="linesAndChars" w:linePitch="395" w:charSpace="0"/>
        </w:sectPr>
      </w:pPr>
    </w:p>
    <w:p>
      <w:pPr>
        <w:tabs>
          <w:tab w:val="left" w:pos="1500"/>
        </w:tabs>
        <w:jc w:val="center"/>
        <w:rPr>
          <w:rFonts w:hint="eastAsia" w:ascii="方正小标宋_GBK" w:hAnsi="华文中宋" w:eastAsia="方正小标宋_GBK"/>
          <w:b/>
          <w:bCs/>
          <w:szCs w:val="32"/>
          <w:u w:val="single"/>
        </w:rPr>
      </w:pPr>
      <w:r>
        <w:rPr>
          <w:rFonts w:hint="eastAsia" w:ascii="方正小标宋_GBK" w:hAnsi="华文中宋" w:eastAsia="方正小标宋_GBK"/>
          <w:b/>
          <w:bCs/>
          <w:szCs w:val="32"/>
          <w:u w:val="single"/>
          <w:lang w:eastAsia="zh-CN"/>
        </w:rPr>
        <w:t>南昌慧华高科混凝土有限</w:t>
      </w:r>
      <w:r>
        <w:rPr>
          <w:rFonts w:hint="eastAsia" w:ascii="方正小标宋_GBK" w:hAnsi="华文中宋" w:eastAsia="方正小标宋_GBK"/>
          <w:b/>
          <w:bCs/>
          <w:szCs w:val="32"/>
          <w:u w:val="single"/>
        </w:rPr>
        <w:t>公司</w:t>
      </w:r>
      <w:r>
        <w:rPr>
          <w:rFonts w:hint="eastAsia" w:ascii="方正小标宋_GBK" w:hAnsi="华文中宋" w:eastAsia="方正小标宋_GBK"/>
          <w:b/>
          <w:bCs/>
          <w:szCs w:val="32"/>
        </w:rPr>
        <w:t>突发环境事件应急预案</w:t>
      </w:r>
    </w:p>
    <w:p>
      <w:pPr>
        <w:tabs>
          <w:tab w:val="left" w:pos="1500"/>
        </w:tabs>
        <w:jc w:val="center"/>
        <w:rPr>
          <w:rFonts w:ascii="方正小标宋_GBK" w:hAnsi="华文中宋" w:eastAsia="方正小标宋_GBK"/>
          <w:b/>
          <w:bCs/>
          <w:szCs w:val="32"/>
        </w:rPr>
      </w:pPr>
      <w:r>
        <w:rPr>
          <w:rFonts w:hint="eastAsia" w:ascii="方正小标宋_GBK" w:hAnsi="华文中宋" w:eastAsia="方正小标宋_GBK"/>
          <w:b/>
          <w:bCs/>
          <w:szCs w:val="32"/>
        </w:rPr>
        <w:t>评审意见表</w:t>
      </w:r>
    </w:p>
    <w:tbl>
      <w:tblPr>
        <w:tblStyle w:val="16"/>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5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956" w:type="dxa"/>
            <w:noWrap w:val="0"/>
            <w:vAlign w:val="center"/>
          </w:tcPr>
          <w:p>
            <w:pPr>
              <w:adjustRightInd w:val="0"/>
              <w:snapToGrid w:val="0"/>
              <w:jc w:val="left"/>
              <w:rPr>
                <w:rFonts w:ascii="宋体" w:hAnsi="宋体" w:eastAsia="宋体"/>
                <w:sz w:val="21"/>
                <w:szCs w:val="21"/>
                <w:u w:val="single"/>
              </w:rPr>
            </w:pPr>
            <w:r>
              <w:rPr>
                <w:rFonts w:hint="eastAsia" w:ascii="宋体" w:hAnsi="宋体" w:eastAsia="宋体"/>
                <w:sz w:val="21"/>
                <w:szCs w:val="21"/>
              </w:rPr>
              <w:t>评审时间</w:t>
            </w:r>
            <w:r>
              <w:rPr>
                <w:rFonts w:hint="eastAsia" w:ascii="宋体" w:hAnsi="宋体" w:eastAsia="宋体"/>
                <w:sz w:val="21"/>
                <w:szCs w:val="21"/>
                <w:u w:val="single"/>
              </w:rPr>
              <w:t>：</w:t>
            </w:r>
            <w:r>
              <w:rPr>
                <w:rFonts w:ascii="宋体" w:hAnsi="宋体" w:eastAsia="宋体"/>
                <w:sz w:val="21"/>
                <w:szCs w:val="21"/>
                <w:u w:val="single"/>
              </w:rPr>
              <w:t xml:space="preserve">      </w:t>
            </w:r>
            <w:r>
              <w:rPr>
                <w:rFonts w:hint="eastAsia" w:ascii="宋体" w:hAnsi="宋体" w:eastAsia="宋体"/>
                <w:sz w:val="21"/>
                <w:szCs w:val="21"/>
                <w:u w:val="single"/>
              </w:rPr>
              <w:t>2020年</w:t>
            </w:r>
            <w:r>
              <w:rPr>
                <w:rFonts w:hint="eastAsia" w:ascii="宋体" w:hAnsi="宋体" w:eastAsia="宋体"/>
                <w:sz w:val="21"/>
                <w:szCs w:val="21"/>
                <w:u w:val="single"/>
                <w:lang w:val="en-US" w:eastAsia="zh-CN"/>
              </w:rPr>
              <w:t>9</w:t>
            </w:r>
            <w:r>
              <w:rPr>
                <w:rFonts w:hint="eastAsia" w:ascii="宋体" w:hAnsi="宋体" w:eastAsia="宋体"/>
                <w:sz w:val="21"/>
                <w:szCs w:val="21"/>
                <w:u w:val="single"/>
              </w:rPr>
              <w:t>月</w:t>
            </w:r>
            <w:r>
              <w:rPr>
                <w:rFonts w:hint="eastAsia" w:ascii="宋体" w:hAnsi="宋体" w:eastAsia="宋体"/>
                <w:sz w:val="21"/>
                <w:szCs w:val="21"/>
                <w:u w:val="single"/>
                <w:lang w:val="en-US" w:eastAsia="zh-CN"/>
              </w:rPr>
              <w:t>20</w:t>
            </w:r>
            <w:r>
              <w:rPr>
                <w:rFonts w:hint="eastAsia" w:ascii="宋体" w:hAnsi="宋体" w:eastAsia="宋体"/>
                <w:sz w:val="21"/>
                <w:szCs w:val="21"/>
                <w:u w:val="single"/>
              </w:rPr>
              <w:t>日</w:t>
            </w:r>
            <w:r>
              <w:rPr>
                <w:rFonts w:ascii="宋体" w:hAnsi="宋体" w:eastAsia="宋体"/>
                <w:sz w:val="21"/>
                <w:szCs w:val="21"/>
                <w:u w:val="single"/>
              </w:rPr>
              <w:t xml:space="preserve">                </w:t>
            </w:r>
            <w:r>
              <w:rPr>
                <w:rFonts w:hint="eastAsia" w:ascii="宋体" w:hAnsi="宋体" w:eastAsia="宋体"/>
                <w:sz w:val="21"/>
                <w:szCs w:val="21"/>
              </w:rPr>
              <w:t>地点：</w:t>
            </w:r>
            <w:r>
              <w:rPr>
                <w:rFonts w:ascii="宋体" w:hAnsi="宋体" w:eastAsia="宋体"/>
                <w:sz w:val="21"/>
                <w:szCs w:val="21"/>
                <w:u w:val="single"/>
              </w:rPr>
              <w:t xml:space="preserve">            </w:t>
            </w:r>
            <w:r>
              <w:rPr>
                <w:rFonts w:hint="eastAsia" w:ascii="宋体" w:hAnsi="宋体" w:eastAsia="宋体"/>
                <w:sz w:val="21"/>
                <w:szCs w:val="21"/>
                <w:u w:val="single"/>
              </w:rPr>
              <w:t>函审</w:t>
            </w:r>
            <w:r>
              <w:rPr>
                <w:rFonts w:ascii="宋体" w:hAnsi="宋体" w:eastAsia="宋体"/>
                <w:sz w:val="21"/>
                <w:szCs w:val="21"/>
                <w:u w:val="single"/>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95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评审方式：■函审，□会议评审，□函审、会议评审结合，□其他</w:t>
            </w:r>
            <w:r>
              <w:rPr>
                <w:rFonts w:ascii="宋体" w:hAnsi="宋体" w:eastAsia="宋体"/>
                <w:sz w:val="21"/>
                <w:szCs w:val="21"/>
                <w:u w:val="single"/>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95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评审结论：■通过评审，□原则通过但需进行修改复核，□未通过评审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35" w:hRule="atLeast"/>
        </w:trPr>
        <w:tc>
          <w:tcPr>
            <w:tcW w:w="8956" w:type="dxa"/>
            <w:noWrap w:val="0"/>
            <w:vAlign w:val="center"/>
          </w:tcPr>
          <w:p>
            <w:pPr>
              <w:adjustRightInd w:val="0"/>
              <w:snapToGrid w:val="0"/>
              <w:spacing w:line="380" w:lineRule="exact"/>
              <w:ind w:firstLine="480"/>
              <w:rPr>
                <w:rFonts w:ascii="宋体" w:hAnsi="宋体" w:eastAsia="宋体"/>
                <w:sz w:val="21"/>
                <w:szCs w:val="21"/>
              </w:rPr>
            </w:pPr>
            <w:r>
              <w:rPr>
                <w:rFonts w:hint="eastAsia" w:ascii="宋体" w:hAnsi="宋体" w:eastAsia="宋体"/>
                <w:sz w:val="21"/>
                <w:szCs w:val="21"/>
              </w:rPr>
              <w:t>评审过程：</w:t>
            </w:r>
          </w:p>
          <w:p>
            <w:pPr>
              <w:tabs>
                <w:tab w:val="left" w:pos="1500"/>
              </w:tabs>
              <w:spacing w:line="360" w:lineRule="exact"/>
              <w:ind w:firstLine="434" w:firstLineChars="200"/>
              <w:rPr>
                <w:rFonts w:hint="eastAsia" w:ascii="宋体" w:hAnsi="宋体" w:eastAsia="宋体"/>
                <w:sz w:val="21"/>
                <w:szCs w:val="21"/>
              </w:rPr>
            </w:pPr>
            <w:r>
              <w:rPr>
                <w:rFonts w:hint="eastAsia" w:ascii="宋体" w:hAnsi="宋体" w:eastAsia="宋体"/>
                <w:sz w:val="21"/>
                <w:szCs w:val="21"/>
              </w:rPr>
              <w:t>2020年</w:t>
            </w:r>
            <w:r>
              <w:rPr>
                <w:rFonts w:hint="eastAsia" w:ascii="宋体" w:hAnsi="宋体" w:eastAsia="宋体"/>
                <w:sz w:val="21"/>
                <w:szCs w:val="21"/>
                <w:lang w:val="en-US" w:eastAsia="zh-CN"/>
              </w:rPr>
              <w:t>9</w:t>
            </w:r>
            <w:r>
              <w:rPr>
                <w:rFonts w:hint="eastAsia" w:ascii="宋体" w:hAnsi="宋体" w:eastAsia="宋体"/>
                <w:sz w:val="21"/>
                <w:szCs w:val="21"/>
              </w:rPr>
              <w:t>月</w:t>
            </w:r>
            <w:r>
              <w:rPr>
                <w:rFonts w:hint="eastAsia" w:ascii="宋体" w:hAnsi="宋体" w:eastAsia="宋体"/>
                <w:sz w:val="21"/>
                <w:szCs w:val="21"/>
                <w:lang w:val="en-US" w:eastAsia="zh-CN"/>
              </w:rPr>
              <w:t>20</w:t>
            </w:r>
            <w:r>
              <w:rPr>
                <w:rFonts w:hint="eastAsia" w:ascii="宋体" w:hAnsi="宋体" w:eastAsia="宋体"/>
                <w:sz w:val="21"/>
                <w:szCs w:val="21"/>
              </w:rPr>
              <w:t>日，受</w:t>
            </w:r>
            <w:r>
              <w:rPr>
                <w:rFonts w:hint="eastAsia" w:ascii="宋体" w:hAnsi="宋体" w:eastAsia="宋体"/>
                <w:sz w:val="21"/>
                <w:szCs w:val="21"/>
                <w:lang w:eastAsia="zh-CN"/>
              </w:rPr>
              <w:t>南昌慧华高科混凝土有限</w:t>
            </w:r>
            <w:r>
              <w:rPr>
                <w:rFonts w:hint="eastAsia" w:ascii="宋体" w:hAnsi="宋体" w:eastAsia="宋体"/>
                <w:sz w:val="21"/>
                <w:szCs w:val="21"/>
              </w:rPr>
              <w:t>公司的委托，对该公司突发环境事件应急预案（以下简称《应急预案》）进行函审。</w:t>
            </w:r>
          </w:p>
          <w:p>
            <w:pPr>
              <w:adjustRightInd w:val="0"/>
              <w:snapToGrid w:val="0"/>
              <w:spacing w:line="360" w:lineRule="exact"/>
              <w:ind w:firstLine="480"/>
              <w:rPr>
                <w:rFonts w:ascii="宋体" w:hAnsi="宋体" w:eastAsia="宋体"/>
                <w:sz w:val="21"/>
                <w:szCs w:val="21"/>
              </w:rPr>
            </w:pPr>
            <w:r>
              <w:rPr>
                <w:rFonts w:hint="eastAsia" w:ascii="宋体" w:hAnsi="宋体" w:eastAsia="宋体"/>
                <w:sz w:val="21"/>
                <w:szCs w:val="21"/>
              </w:rPr>
              <w:t>总体评价：</w:t>
            </w:r>
          </w:p>
          <w:p>
            <w:pPr>
              <w:adjustRightInd w:val="0"/>
              <w:snapToGrid w:val="0"/>
              <w:spacing w:line="360" w:lineRule="exact"/>
              <w:ind w:firstLine="434" w:firstLineChars="200"/>
              <w:rPr>
                <w:rFonts w:hint="eastAsia" w:ascii="宋体" w:hAnsi="宋体" w:eastAsia="宋体"/>
                <w:sz w:val="21"/>
                <w:szCs w:val="21"/>
              </w:rPr>
            </w:pPr>
            <w:r>
              <w:rPr>
                <w:rFonts w:hint="eastAsia" w:ascii="宋体" w:hAnsi="宋体" w:eastAsia="宋体"/>
                <w:sz w:val="21"/>
                <w:szCs w:val="21"/>
              </w:rPr>
              <w:t>通过认真审查《编制说明》、《风险评估报告》、《应急资源调查报告》、《应急预案》等主要内容，认为《应急预案》</w:t>
            </w:r>
            <w:r>
              <w:rPr>
                <w:rFonts w:ascii="宋体" w:hAnsi="宋体" w:eastAsia="宋体"/>
                <w:sz w:val="21"/>
                <w:szCs w:val="21"/>
              </w:rPr>
              <w:t>基本符合国家和江西省关于突发环境事件应急预案的编制要求，形式、要素基本规范，组织体系、信息报送和处置方案内容基本合理，风险防范措施、监测预警机制、应急响应程序和应急保障措施等内容基本可行，对于指导企业应对突发性环境事件具有一定的针对性和可操作性。</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8956" w:type="dxa"/>
            <w:noWrap w:val="0"/>
            <w:vAlign w:val="center"/>
          </w:tcPr>
          <w:p>
            <w:pPr>
              <w:adjustRightInd w:val="0"/>
              <w:snapToGrid w:val="0"/>
              <w:rPr>
                <w:rFonts w:hint="eastAsia" w:ascii="宋体" w:hAnsi="宋体" w:eastAsia="宋体"/>
                <w:sz w:val="21"/>
                <w:szCs w:val="21"/>
              </w:rPr>
            </w:pPr>
            <w:r>
              <w:rPr>
                <w:rFonts w:hint="eastAsia" w:ascii="宋体" w:hAnsi="宋体" w:eastAsia="宋体"/>
                <w:sz w:val="21"/>
                <w:szCs w:val="21"/>
              </w:rPr>
              <w:t>问题清单：无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089" w:hRule="atLeast"/>
        </w:trPr>
        <w:tc>
          <w:tcPr>
            <w:tcW w:w="8956" w:type="dxa"/>
            <w:noWrap w:val="0"/>
            <w:vAlign w:val="top"/>
          </w:tcPr>
          <w:p>
            <w:pPr>
              <w:adjustRightInd w:val="0"/>
              <w:snapToGrid w:val="0"/>
              <w:spacing w:before="249" w:beforeLines="80" w:line="400" w:lineRule="exact"/>
              <w:rPr>
                <w:rFonts w:ascii="宋体" w:hAnsi="宋体" w:eastAsia="宋体"/>
                <w:sz w:val="21"/>
                <w:szCs w:val="21"/>
              </w:rPr>
            </w:pPr>
            <w:r>
              <w:rPr>
                <w:rFonts w:hint="eastAsia" w:ascii="宋体" w:hAnsi="宋体" w:eastAsia="宋体"/>
                <w:sz w:val="21"/>
                <w:szCs w:val="21"/>
              </w:rPr>
              <w:t>修改意见和建议：</w:t>
            </w:r>
          </w:p>
          <w:p>
            <w:pPr>
              <w:adjustRightInd w:val="0"/>
              <w:snapToGrid w:val="0"/>
              <w:spacing w:line="400" w:lineRule="exact"/>
              <w:ind w:firstLine="434" w:firstLineChars="200"/>
              <w:rPr>
                <w:rFonts w:hint="default" w:ascii="宋体" w:hAnsi="宋体" w:eastAsia="宋体"/>
                <w:sz w:val="21"/>
                <w:szCs w:val="21"/>
                <w:lang w:val="en-US" w:eastAsia="zh-CN"/>
              </w:rPr>
            </w:pPr>
            <w:r>
              <w:rPr>
                <w:rFonts w:ascii="宋体" w:hAnsi="宋体" w:eastAsia="宋体"/>
                <w:sz w:val="21"/>
                <w:szCs w:val="21"/>
              </w:rPr>
              <w:t>1</w:t>
            </w:r>
            <w:r>
              <w:rPr>
                <w:rFonts w:hint="eastAsia" w:ascii="宋体" w:hAnsi="宋体" w:eastAsia="宋体"/>
                <w:sz w:val="21"/>
                <w:szCs w:val="21"/>
              </w:rPr>
              <w:t>、</w:t>
            </w:r>
            <w:r>
              <w:rPr>
                <w:rFonts w:hint="eastAsia" w:ascii="宋体" w:hAnsi="宋体" w:eastAsia="宋体"/>
                <w:sz w:val="21"/>
                <w:szCs w:val="21"/>
                <w:lang w:val="en-US" w:eastAsia="zh-CN"/>
              </w:rPr>
              <w:t>核实预案适用范围；</w:t>
            </w:r>
            <w:r>
              <w:rPr>
                <w:rFonts w:hint="eastAsia" w:ascii="宋体" w:hAnsi="宋体" w:eastAsia="宋体"/>
                <w:sz w:val="21"/>
                <w:szCs w:val="21"/>
              </w:rPr>
              <w:t>明确政府及其有关部门介入后，企业内部指挥协调、配合处置、参与应急保障等工作任务和责任人。</w:t>
            </w:r>
          </w:p>
          <w:p>
            <w:pPr>
              <w:adjustRightInd w:val="0"/>
              <w:snapToGrid w:val="0"/>
              <w:spacing w:line="400" w:lineRule="exact"/>
              <w:ind w:firstLine="434" w:firstLineChars="200"/>
              <w:rPr>
                <w:rFonts w:hint="default" w:ascii="宋体" w:hAnsi="宋体" w:eastAsia="宋体"/>
                <w:sz w:val="24"/>
                <w:szCs w:val="24"/>
                <w:lang w:val="en-US" w:eastAsia="zh-CN"/>
              </w:rPr>
            </w:pPr>
            <w:r>
              <w:rPr>
                <w:rFonts w:hint="eastAsia" w:ascii="宋体" w:hAnsi="宋体" w:eastAsia="宋体"/>
                <w:sz w:val="21"/>
                <w:szCs w:val="21"/>
              </w:rPr>
              <w:t>2、明确企业向可能受影响的居民、单位通报的责任人、程序、时限、方式、内容等</w:t>
            </w:r>
            <w:r>
              <w:rPr>
                <w:rFonts w:hint="eastAsia" w:ascii="宋体" w:hAnsi="宋体" w:eastAsia="宋体"/>
                <w:sz w:val="21"/>
                <w:szCs w:val="21"/>
                <w:lang w:eastAsia="zh-CN"/>
              </w:rPr>
              <w:t>，</w:t>
            </w:r>
            <w:r>
              <w:rPr>
                <w:rFonts w:hint="eastAsia" w:ascii="宋体" w:hAnsi="宋体" w:eastAsia="宋体"/>
                <w:sz w:val="21"/>
                <w:szCs w:val="21"/>
                <w:lang w:val="en-US" w:eastAsia="zh-CN"/>
              </w:rPr>
              <w:t>完善信息报告内容；</w:t>
            </w:r>
            <w:r>
              <w:rPr>
                <w:rFonts w:hint="eastAsia" w:ascii="宋体" w:hAnsi="宋体" w:eastAsia="宋体"/>
                <w:sz w:val="21"/>
                <w:szCs w:val="21"/>
              </w:rPr>
              <w:t>完善应急监测方案，明确监测执行单位。</w:t>
            </w:r>
          </w:p>
          <w:p>
            <w:pPr>
              <w:adjustRightInd w:val="0"/>
              <w:snapToGrid w:val="0"/>
              <w:spacing w:line="400" w:lineRule="exact"/>
              <w:ind w:firstLine="480"/>
              <w:rPr>
                <w:rFonts w:hint="eastAsia" w:ascii="宋体" w:hAnsi="宋体" w:eastAsia="宋体"/>
                <w:sz w:val="21"/>
                <w:szCs w:val="21"/>
              </w:rPr>
            </w:pPr>
            <w:r>
              <w:rPr>
                <w:rFonts w:hint="eastAsia" w:ascii="宋体" w:hAnsi="宋体" w:eastAsia="宋体"/>
                <w:sz w:val="21"/>
                <w:szCs w:val="21"/>
              </w:rPr>
              <w:t>3、</w:t>
            </w:r>
            <w:r>
              <w:rPr>
                <w:rFonts w:hint="eastAsia" w:ascii="宋体" w:hAnsi="宋体" w:eastAsia="宋体"/>
                <w:sz w:val="21"/>
                <w:szCs w:val="21"/>
                <w:lang w:val="en-US" w:eastAsia="zh-CN"/>
              </w:rPr>
              <w:t>核实污水排放路径，细化环保工程建设内容，补充减水剂成份及理化性质；完善</w:t>
            </w:r>
            <w:r>
              <w:rPr>
                <w:rFonts w:hint="eastAsia" w:ascii="宋体" w:hAnsi="宋体" w:eastAsia="宋体"/>
                <w:sz w:val="21"/>
                <w:szCs w:val="21"/>
              </w:rPr>
              <w:t>国内外同类企业的突发环境事件信息</w:t>
            </w:r>
            <w:r>
              <w:rPr>
                <w:rFonts w:hint="eastAsia" w:ascii="宋体" w:hAnsi="宋体" w:eastAsia="宋体"/>
                <w:sz w:val="21"/>
                <w:szCs w:val="21"/>
                <w:lang w:val="en-US" w:eastAsia="zh-CN"/>
              </w:rPr>
              <w:t>及</w:t>
            </w:r>
            <w:bookmarkStart w:id="219" w:name="_Toc9365"/>
            <w:r>
              <w:rPr>
                <w:rFonts w:hint="eastAsia" w:ascii="宋体" w:hAnsi="宋体" w:eastAsia="宋体"/>
                <w:sz w:val="21"/>
                <w:szCs w:val="21"/>
                <w:lang w:val="en-US" w:eastAsia="zh-CN"/>
              </w:rPr>
              <w:t>历史经验教训总结</w:t>
            </w:r>
            <w:bookmarkEnd w:id="219"/>
            <w:r>
              <w:rPr>
                <w:rFonts w:hint="eastAsia" w:ascii="宋体" w:hAnsi="宋体" w:eastAsia="宋体"/>
                <w:sz w:val="21"/>
                <w:szCs w:val="21"/>
                <w:lang w:val="en-US" w:eastAsia="zh-CN"/>
              </w:rPr>
              <w:t>；</w:t>
            </w:r>
            <w:r>
              <w:rPr>
                <w:rFonts w:hint="eastAsia" w:ascii="宋体" w:hAnsi="宋体" w:eastAsia="宋体"/>
                <w:sz w:val="21"/>
                <w:szCs w:val="21"/>
              </w:rPr>
              <w:t>完善源强分析、释放途径和危害后果分析。</w:t>
            </w:r>
          </w:p>
          <w:p>
            <w:pPr>
              <w:spacing w:line="400" w:lineRule="exact"/>
              <w:ind w:firstLine="434" w:firstLineChars="200"/>
              <w:rPr>
                <w:rFonts w:hint="eastAsia" w:ascii="宋体" w:hAnsi="宋体" w:eastAsia="宋体"/>
                <w:sz w:val="21"/>
                <w:szCs w:val="21"/>
              </w:rPr>
            </w:pPr>
            <w:r>
              <w:rPr>
                <w:rFonts w:hint="eastAsia" w:ascii="宋体" w:hAnsi="宋体" w:eastAsia="宋体"/>
                <w:sz w:val="21"/>
                <w:szCs w:val="21"/>
                <w:lang w:val="en-US" w:eastAsia="zh-CN"/>
              </w:rPr>
              <w:t>4</w:t>
            </w:r>
            <w:r>
              <w:rPr>
                <w:rFonts w:hint="eastAsia" w:ascii="宋体" w:hAnsi="宋体" w:eastAsia="宋体"/>
                <w:sz w:val="21"/>
                <w:szCs w:val="21"/>
              </w:rPr>
              <w:t>、充实周边应急救援资源调查，确保第一时间可调用的环境应急队伍、装备、物资、场所。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8956" w:type="dxa"/>
            <w:noWrap w:val="0"/>
            <w:vAlign w:val="center"/>
          </w:tcPr>
          <w:p>
            <w:pPr>
              <w:adjustRightInd w:val="0"/>
              <w:snapToGrid w:val="0"/>
              <w:spacing w:line="360" w:lineRule="auto"/>
              <w:rPr>
                <w:rFonts w:hint="eastAsia" w:ascii="宋体" w:hAnsi="宋体" w:eastAsia="宋体"/>
                <w:sz w:val="21"/>
                <w:szCs w:val="21"/>
              </w:rPr>
            </w:pPr>
            <w:r>
              <w:rPr>
                <w:rFonts w:hint="eastAsia" w:ascii="宋体" w:hAnsi="宋体" w:eastAsia="宋体"/>
                <w:sz w:val="21"/>
                <w:szCs w:val="21"/>
              </w:rPr>
              <w:t>评审人员签字：</w:t>
            </w:r>
            <w:r>
              <w:rPr>
                <w:rFonts w:ascii="宋体" w:hAnsi="宋体" w:eastAsia="宋体"/>
                <w:sz w:val="21"/>
                <w:szCs w:val="21"/>
              </w:rPr>
              <w:t xml:space="preserve">   </w:t>
            </w:r>
            <w:r>
              <w:rPr>
                <w:rFonts w:hint="eastAsia" w:ascii="楷体_GB2312" w:eastAsia="楷体_GB2312"/>
                <w:bCs/>
                <w:color w:val="000000"/>
                <w:kern w:val="0"/>
                <w:sz w:val="30"/>
                <w:szCs w:val="30"/>
              </w:rPr>
              <w:drawing>
                <wp:inline distT="0" distB="0" distL="114300" distR="114300">
                  <wp:extent cx="806450" cy="328930"/>
                  <wp:effectExtent l="0" t="0" r="12700" b="1397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40"/>
                          <a:stretch>
                            <a:fillRect/>
                          </a:stretch>
                        </pic:blipFill>
                        <pic:spPr>
                          <a:xfrm>
                            <a:off x="0" y="0"/>
                            <a:ext cx="806450" cy="328930"/>
                          </a:xfrm>
                          <a:prstGeom prst="rect">
                            <a:avLst/>
                          </a:prstGeom>
                          <a:noFill/>
                          <a:ln>
                            <a:noFill/>
                          </a:ln>
                        </pic:spPr>
                      </pic:pic>
                    </a:graphicData>
                  </a:graphic>
                </wp:inline>
              </w:drawing>
            </w:r>
          </w:p>
          <w:p>
            <w:pPr>
              <w:adjustRightInd w:val="0"/>
              <w:snapToGrid w:val="0"/>
              <w:spacing w:line="360" w:lineRule="auto"/>
              <w:rPr>
                <w:rFonts w:ascii="宋体" w:hAnsi="宋体" w:eastAsia="宋体"/>
                <w:sz w:val="21"/>
                <w:szCs w:val="21"/>
              </w:rPr>
            </w:pPr>
            <w:r>
              <w:rPr>
                <w:rFonts w:hint="eastAsia" w:ascii="宋体" w:hAnsi="宋体" w:eastAsia="宋体"/>
                <w:sz w:val="21"/>
                <w:szCs w:val="21"/>
              </w:rPr>
              <w:t xml:space="preserve"> </w:t>
            </w:r>
            <w:r>
              <w:rPr>
                <w:rFonts w:ascii="宋体" w:hAnsi="宋体" w:eastAsia="宋体"/>
                <w:sz w:val="21"/>
                <w:szCs w:val="21"/>
              </w:rPr>
              <w:t xml:space="preserve">                                                    </w:t>
            </w:r>
            <w:r>
              <w:rPr>
                <w:rFonts w:ascii="宋体" w:hAnsi="宋体" w:eastAsia="宋体"/>
                <w:sz w:val="21"/>
                <w:szCs w:val="21"/>
                <w:u w:val="single"/>
              </w:rPr>
              <w:t xml:space="preserve">  2020  </w:t>
            </w:r>
            <w:r>
              <w:rPr>
                <w:rFonts w:hint="eastAsia" w:ascii="宋体" w:hAnsi="宋体" w:eastAsia="宋体"/>
                <w:sz w:val="21"/>
                <w:szCs w:val="21"/>
              </w:rPr>
              <w:t>年</w:t>
            </w:r>
            <w:r>
              <w:rPr>
                <w:rFonts w:hint="eastAsia" w:ascii="宋体" w:hAnsi="宋体" w:eastAsia="宋体"/>
                <w:sz w:val="21"/>
                <w:szCs w:val="21"/>
                <w:u w:val="single"/>
                <w:lang w:val="en-US" w:eastAsia="zh-CN"/>
              </w:rPr>
              <w:t>9</w:t>
            </w:r>
            <w:r>
              <w:rPr>
                <w:rFonts w:hint="eastAsia" w:ascii="宋体" w:hAnsi="宋体" w:eastAsia="宋体"/>
                <w:sz w:val="21"/>
                <w:szCs w:val="21"/>
              </w:rPr>
              <w:t>月</w:t>
            </w:r>
            <w:r>
              <w:rPr>
                <w:rFonts w:ascii="宋体" w:hAnsi="宋体" w:eastAsia="宋体"/>
                <w:sz w:val="21"/>
                <w:szCs w:val="21"/>
                <w:u w:val="single"/>
              </w:rPr>
              <w:t xml:space="preserve"> </w:t>
            </w:r>
            <w:r>
              <w:rPr>
                <w:rFonts w:hint="eastAsia" w:ascii="宋体" w:hAnsi="宋体" w:eastAsia="宋体"/>
                <w:sz w:val="21"/>
                <w:szCs w:val="21"/>
                <w:u w:val="single"/>
                <w:lang w:val="en-US" w:eastAsia="zh-CN"/>
              </w:rPr>
              <w:t>20</w:t>
            </w:r>
            <w:r>
              <w:rPr>
                <w:rFonts w:ascii="宋体" w:hAnsi="宋体" w:eastAsia="宋体"/>
                <w:sz w:val="21"/>
                <w:szCs w:val="21"/>
                <w:u w:val="single"/>
              </w:rPr>
              <w:t xml:space="preserve"> </w:t>
            </w:r>
            <w:r>
              <w:rPr>
                <w:rFonts w:hint="eastAsia" w:ascii="宋体" w:hAnsi="宋体" w:eastAsia="宋体"/>
                <w:sz w:val="21"/>
                <w:szCs w:val="21"/>
              </w:rPr>
              <w:t>日</w:t>
            </w:r>
          </w:p>
        </w:tc>
      </w:tr>
    </w:tbl>
    <w:p>
      <w:pPr>
        <w:pStyle w:val="42"/>
        <w:rPr>
          <w:rFonts w:hint="eastAsia"/>
        </w:rPr>
      </w:pPr>
    </w:p>
    <w:p>
      <w:pPr>
        <w:spacing w:line="360" w:lineRule="auto"/>
        <w:ind w:firstLine="0" w:firstLineChars="0"/>
        <w:jc w:val="center"/>
        <w:rPr>
          <w:rFonts w:hint="eastAsia" w:ascii="宋体" w:hAnsi="宋体" w:cs="Times New Roman"/>
          <w:b/>
          <w:kern w:val="0"/>
          <w:sz w:val="24"/>
          <w:szCs w:val="20"/>
          <w:u w:val="single"/>
        </w:rPr>
      </w:pPr>
    </w:p>
    <w:p>
      <w:pPr>
        <w:adjustRightInd w:val="0"/>
        <w:snapToGrid w:val="0"/>
        <w:spacing w:line="348" w:lineRule="auto"/>
        <w:rPr>
          <w:rFonts w:hint="eastAsia" w:ascii="黑体" w:hAnsi="Times New Roman" w:eastAsia="黑体"/>
          <w:kern w:val="0"/>
        </w:rPr>
        <w:sectPr>
          <w:footerReference r:id="rId16" w:type="default"/>
          <w:pgSz w:w="11906" w:h="16838"/>
          <w:pgMar w:top="1440" w:right="1276" w:bottom="1440" w:left="1134" w:header="851" w:footer="992" w:gutter="0"/>
          <w:cols w:space="0" w:num="1"/>
          <w:rtlGutter w:val="0"/>
          <w:docGrid w:type="linesAndChars" w:linePitch="399" w:charSpace="1588"/>
        </w:sectPr>
      </w:pPr>
    </w:p>
    <w:p>
      <w:pPr>
        <w:adjustRightInd w:val="0"/>
        <w:snapToGrid w:val="0"/>
        <w:spacing w:line="348" w:lineRule="auto"/>
        <w:rPr>
          <w:rFonts w:hint="eastAsia" w:ascii="黑体" w:hAnsi="Times New Roman" w:eastAsia="黑体"/>
          <w:kern w:val="0"/>
        </w:rPr>
      </w:pPr>
      <w:r>
        <w:rPr>
          <w:rFonts w:hint="eastAsia" w:ascii="黑体" w:hAnsi="Times New Roman" w:eastAsia="黑体"/>
          <w:kern w:val="0"/>
        </w:rPr>
        <w:t>附表1</w:t>
      </w:r>
    </w:p>
    <w:p>
      <w:pPr>
        <w:autoSpaceDE w:val="0"/>
        <w:autoSpaceDN w:val="0"/>
        <w:adjustRightInd w:val="0"/>
        <w:snapToGrid w:val="0"/>
        <w:spacing w:line="408" w:lineRule="auto"/>
        <w:jc w:val="left"/>
        <w:rPr>
          <w:rFonts w:ascii="黑体" w:hAnsi="Times New Roman" w:eastAsia="黑体"/>
          <w:kern w:val="0"/>
        </w:rPr>
      </w:pPr>
    </w:p>
    <w:p>
      <w:pPr>
        <w:adjustRightInd w:val="0"/>
        <w:snapToGrid w:val="0"/>
        <w:jc w:val="center"/>
        <w:rPr>
          <w:rFonts w:hint="eastAsia" w:ascii="方正小标宋_GBK" w:hAnsi="华文中宋" w:eastAsia="方正小标宋_GBK"/>
          <w:sz w:val="38"/>
          <w:szCs w:val="38"/>
        </w:rPr>
      </w:pPr>
      <w:r>
        <w:rPr>
          <w:rFonts w:hint="eastAsia" w:ascii="方正小标宋_GBK" w:hAnsi="华文中宋" w:eastAsia="方正小标宋_GBK"/>
          <w:sz w:val="38"/>
          <w:szCs w:val="38"/>
        </w:rPr>
        <w:t>企业事业单位突发环境事件应急预案评审表</w:t>
      </w:r>
    </w:p>
    <w:p>
      <w:pPr>
        <w:autoSpaceDE w:val="0"/>
        <w:autoSpaceDN w:val="0"/>
        <w:adjustRightInd w:val="0"/>
        <w:snapToGrid w:val="0"/>
        <w:spacing w:line="408" w:lineRule="auto"/>
        <w:jc w:val="left"/>
        <w:rPr>
          <w:rFonts w:ascii="黑体" w:hAnsi="Times New Roman" w:eastAsia="黑体"/>
          <w:kern w:val="0"/>
        </w:rPr>
      </w:pPr>
    </w:p>
    <w:tbl>
      <w:tblPr>
        <w:tblStyle w:val="16"/>
        <w:tblW w:w="1378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57" w:type="dxa"/>
          <w:bottom w:w="0" w:type="dxa"/>
          <w:right w:w="57" w:type="dxa"/>
        </w:tblCellMar>
      </w:tblPr>
      <w:tblGrid>
        <w:gridCol w:w="1134"/>
        <w:gridCol w:w="426"/>
        <w:gridCol w:w="4819"/>
        <w:gridCol w:w="1276"/>
        <w:gridCol w:w="567"/>
        <w:gridCol w:w="40"/>
        <w:gridCol w:w="669"/>
        <w:gridCol w:w="485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270" w:hRule="atLeast"/>
          <w:jc w:val="center"/>
        </w:trPr>
        <w:tc>
          <w:tcPr>
            <w:tcW w:w="13781" w:type="dxa"/>
            <w:gridSpan w:val="8"/>
            <w:noWrap w:val="0"/>
            <w:vAlign w:val="center"/>
          </w:tcPr>
          <w:p>
            <w:pPr>
              <w:spacing w:line="240" w:lineRule="auto"/>
              <w:jc w:val="left"/>
              <w:rPr>
                <w:rFonts w:ascii="宋体" w:hAnsi="宋体" w:eastAsia="宋体"/>
                <w:sz w:val="21"/>
                <w:szCs w:val="21"/>
              </w:rPr>
            </w:pPr>
            <w:r>
              <w:rPr>
                <w:rFonts w:hint="eastAsia" w:ascii="宋体" w:hAnsi="宋体" w:eastAsia="宋体"/>
                <w:sz w:val="21"/>
                <w:szCs w:val="21"/>
              </w:rPr>
              <w:t>预案编制单位：</w:t>
            </w:r>
            <w:r>
              <w:rPr>
                <w:rFonts w:ascii="宋体" w:hAnsi="宋体" w:eastAsia="宋体"/>
                <w:sz w:val="21"/>
                <w:szCs w:val="21"/>
                <w:u w:val="single"/>
              </w:rPr>
              <w:t xml:space="preserve">   </w:t>
            </w:r>
            <w:r>
              <w:rPr>
                <w:rFonts w:hint="eastAsia"/>
                <w:sz w:val="21"/>
                <w:szCs w:val="21"/>
                <w:u w:val="single"/>
                <w:lang w:val="en-US" w:eastAsia="zh-CN"/>
              </w:rPr>
              <w:t>南昌慧华高科混凝土有限公司</w:t>
            </w:r>
            <w:r>
              <w:rPr>
                <w:rFonts w:ascii="宋体" w:hAnsi="宋体" w:eastAsia="宋体"/>
                <w:sz w:val="21"/>
                <w:szCs w:val="21"/>
                <w:u w:val="single"/>
              </w:rPr>
              <w:t xml:space="preserve">                                    </w:t>
            </w:r>
          </w:p>
          <w:p>
            <w:pPr>
              <w:adjustRightInd w:val="0"/>
              <w:snapToGrid w:val="0"/>
              <w:spacing w:line="240" w:lineRule="auto"/>
              <w:jc w:val="left"/>
              <w:rPr>
                <w:rFonts w:ascii="宋体" w:hAnsi="宋体" w:eastAsia="宋体"/>
                <w:sz w:val="21"/>
                <w:szCs w:val="21"/>
              </w:rPr>
            </w:pPr>
            <w:r>
              <w:rPr>
                <w:rFonts w:ascii="宋体" w:hAnsi="宋体" w:eastAsia="宋体"/>
                <w:sz w:val="21"/>
                <w:szCs w:val="21"/>
              </w:rPr>
              <w:t>(</w:t>
            </w:r>
            <w:r>
              <w:rPr>
                <w:rFonts w:hint="eastAsia" w:ascii="宋体" w:hAnsi="宋体" w:eastAsia="宋体"/>
                <w:sz w:val="21"/>
                <w:szCs w:val="21"/>
              </w:rPr>
              <w:t>专业技术服务机构：</w:t>
            </w:r>
            <w:r>
              <w:rPr>
                <w:rFonts w:ascii="宋体" w:hAnsi="宋体" w:eastAsia="宋体"/>
                <w:sz w:val="21"/>
                <w:szCs w:val="21"/>
                <w:u w:val="single"/>
              </w:rPr>
              <w:t xml:space="preserve">                                                           </w:t>
            </w:r>
            <w:r>
              <w:rPr>
                <w:rFonts w:ascii="宋体" w:hAnsi="宋体" w:eastAsia="宋体"/>
                <w:sz w:val="21"/>
                <w:szCs w:val="21"/>
              </w:rPr>
              <w:t>)</w:t>
            </w:r>
          </w:p>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企业环境风险级别：</w:t>
            </w:r>
            <w:r>
              <w:rPr>
                <w:rFonts w:hint="eastAsia" w:ascii="MS Gothic" w:hAnsi="MS Gothic" w:eastAsia="宋体" w:cs="MS Gothic"/>
                <w:sz w:val="21"/>
                <w:szCs w:val="21"/>
                <w:lang w:eastAsia="zh-CN"/>
              </w:rPr>
              <w:sym w:font="Wingdings 2" w:char="0052"/>
            </w:r>
            <w:r>
              <w:rPr>
                <w:rFonts w:hint="eastAsia" w:ascii="宋体" w:hAnsi="宋体" w:eastAsia="宋体"/>
                <w:sz w:val="21"/>
                <w:szCs w:val="21"/>
              </w:rPr>
              <w:t>一般；</w:t>
            </w:r>
            <w:r>
              <w:rPr>
                <w:rFonts w:hint="eastAsia" w:ascii="宋体" w:hAnsi="宋体" w:eastAsia="宋体"/>
                <w:sz w:val="21"/>
                <w:szCs w:val="21"/>
              </w:rPr>
              <w:sym w:font="Wingdings 2" w:char="00A3"/>
            </w:r>
            <w:r>
              <w:rPr>
                <w:rFonts w:hint="eastAsia" w:ascii="宋体" w:hAnsi="宋体" w:eastAsia="宋体"/>
                <w:sz w:val="21"/>
                <w:szCs w:val="21"/>
              </w:rPr>
              <w:t>较大；□重大</w:t>
            </w:r>
          </w:p>
          <w:p>
            <w:pPr>
              <w:adjustRightInd w:val="0"/>
              <w:snapToGrid w:val="0"/>
              <w:spacing w:after="173" w:afterLines="30" w:line="240" w:lineRule="auto"/>
              <w:jc w:val="right"/>
              <w:rPr>
                <w:rFonts w:hint="eastAsia" w:ascii="仿宋_GB2312" w:hAnsi="宋体"/>
                <w:b/>
                <w:sz w:val="24"/>
                <w:szCs w:val="24"/>
              </w:rPr>
            </w:pPr>
            <w:r>
              <w:rPr>
                <w:rFonts w:hint="eastAsia" w:ascii="仿宋_GB2312" w:hAnsi="宋体"/>
                <w:b/>
                <w:sz w:val="24"/>
                <w:szCs w:val="24"/>
              </w:rPr>
              <w:t>（本栏由企业填写）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13781" w:type="dxa"/>
            <w:gridSpan w:val="8"/>
            <w:noWrap w:val="0"/>
            <w:vAlign w:val="center"/>
          </w:tcPr>
          <w:p>
            <w:pPr>
              <w:adjustRightInd w:val="0"/>
              <w:snapToGrid w:val="0"/>
              <w:spacing w:line="240" w:lineRule="auto"/>
              <w:jc w:val="center"/>
              <w:rPr>
                <w:rFonts w:ascii="黑体" w:hAnsi="黑体" w:eastAsia="黑体"/>
                <w:sz w:val="21"/>
                <w:szCs w:val="21"/>
              </w:rPr>
            </w:pPr>
            <w:r>
              <w:rPr>
                <w:rFonts w:hint="eastAsia" w:ascii="黑体" w:hAnsi="黑体" w:eastAsia="黑体"/>
                <w:sz w:val="21"/>
                <w:szCs w:val="21"/>
              </w:rPr>
              <w:t>“一票否决”项（以下三项中任意一项判定为“不符合”，则评审结论为“未通过”）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275" w:hRule="atLeast"/>
          <w:jc w:val="center"/>
        </w:trPr>
        <w:tc>
          <w:tcPr>
            <w:tcW w:w="6379" w:type="dxa"/>
            <w:gridSpan w:val="3"/>
            <w:vMerge w:val="restart"/>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评 审 指 标</w:t>
            </w:r>
          </w:p>
        </w:tc>
        <w:tc>
          <w:tcPr>
            <w:tcW w:w="2552" w:type="dxa"/>
            <w:gridSpan w:val="4"/>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评审意见</w:t>
            </w:r>
          </w:p>
        </w:tc>
        <w:tc>
          <w:tcPr>
            <w:tcW w:w="4850" w:type="dxa"/>
            <w:vMerge w:val="restart"/>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指 标 说 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96" w:hRule="atLeast"/>
          <w:jc w:val="center"/>
        </w:trPr>
        <w:tc>
          <w:tcPr>
            <w:tcW w:w="6379" w:type="dxa"/>
            <w:gridSpan w:val="3"/>
            <w:vMerge w:val="continue"/>
            <w:noWrap w:val="0"/>
            <w:vAlign w:val="center"/>
          </w:tcPr>
          <w:p>
            <w:pPr>
              <w:adjustRightInd w:val="0"/>
              <w:snapToGrid w:val="0"/>
              <w:spacing w:line="240" w:lineRule="auto"/>
              <w:jc w:val="center"/>
              <w:rPr>
                <w:rFonts w:ascii="宋体" w:hAnsi="宋体" w:eastAsia="宋体"/>
                <w:sz w:val="21"/>
                <w:szCs w:val="21"/>
              </w:rPr>
            </w:pPr>
          </w:p>
        </w:tc>
        <w:tc>
          <w:tcPr>
            <w:tcW w:w="1276" w:type="dxa"/>
            <w:noWrap w:val="0"/>
            <w:vAlign w:val="center"/>
          </w:tcPr>
          <w:p>
            <w:pPr>
              <w:adjustRightInd w:val="0"/>
              <w:snapToGrid w:val="0"/>
              <w:spacing w:line="240" w:lineRule="auto"/>
              <w:jc w:val="both"/>
              <w:rPr>
                <w:rFonts w:ascii="宋体" w:hAnsi="宋体" w:eastAsia="宋体"/>
                <w:sz w:val="21"/>
                <w:szCs w:val="21"/>
              </w:rPr>
            </w:pPr>
            <w:r>
              <w:rPr>
                <w:rFonts w:hint="eastAsia" w:ascii="宋体" w:hAnsi="宋体" w:eastAsia="宋体"/>
                <w:sz w:val="21"/>
                <w:szCs w:val="21"/>
              </w:rPr>
              <w:t>判  定</w:t>
            </w:r>
          </w:p>
        </w:tc>
        <w:tc>
          <w:tcPr>
            <w:tcW w:w="1276" w:type="dxa"/>
            <w:gridSpan w:val="3"/>
            <w:noWrap w:val="0"/>
            <w:vAlign w:val="center"/>
          </w:tcPr>
          <w:p>
            <w:pPr>
              <w:adjustRightInd w:val="0"/>
              <w:snapToGrid w:val="0"/>
              <w:spacing w:line="240" w:lineRule="auto"/>
              <w:jc w:val="both"/>
              <w:rPr>
                <w:rFonts w:ascii="宋体" w:hAnsi="宋体" w:eastAsia="宋体"/>
                <w:sz w:val="21"/>
                <w:szCs w:val="21"/>
              </w:rPr>
            </w:pPr>
            <w:r>
              <w:rPr>
                <w:rFonts w:hint="eastAsia" w:ascii="宋体" w:hAnsi="宋体" w:eastAsia="宋体"/>
                <w:sz w:val="21"/>
                <w:szCs w:val="21"/>
              </w:rPr>
              <w:t>说  明</w:t>
            </w:r>
          </w:p>
        </w:tc>
        <w:tc>
          <w:tcPr>
            <w:tcW w:w="4850" w:type="dxa"/>
            <w:vMerge w:val="continue"/>
            <w:noWrap w:val="0"/>
            <w:vAlign w:val="center"/>
          </w:tcPr>
          <w:p>
            <w:pPr>
              <w:adjustRightInd w:val="0"/>
              <w:snapToGrid w:val="0"/>
              <w:spacing w:line="240" w:lineRule="auto"/>
              <w:jc w:val="left"/>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44" w:hRule="atLeast"/>
          <w:jc w:val="center"/>
        </w:trPr>
        <w:tc>
          <w:tcPr>
            <w:tcW w:w="6379" w:type="dxa"/>
            <w:gridSpan w:val="3"/>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有单独的环境风险评估报告和环境应急资源调查报告（表）</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1276" w:type="dxa"/>
            <w:gridSpan w:val="3"/>
            <w:noWrap w:val="0"/>
            <w:vAlign w:val="center"/>
          </w:tcPr>
          <w:p>
            <w:pPr>
              <w:adjustRightInd w:val="0"/>
              <w:snapToGrid w:val="0"/>
              <w:spacing w:line="240" w:lineRule="auto"/>
              <w:jc w:val="left"/>
              <w:rPr>
                <w:rFonts w:ascii="宋体" w:hAnsi="宋体" w:eastAsia="宋体"/>
                <w:sz w:val="21"/>
                <w:szCs w:val="21"/>
              </w:rPr>
            </w:pPr>
          </w:p>
        </w:tc>
        <w:tc>
          <w:tcPr>
            <w:tcW w:w="4850" w:type="dxa"/>
            <w:noWrap w:val="0"/>
            <w:vAlign w:val="center"/>
          </w:tcPr>
          <w:p>
            <w:pPr>
              <w:adjustRightInd w:val="0"/>
              <w:snapToGrid w:val="0"/>
              <w:spacing w:line="240" w:lineRule="auto"/>
              <w:rPr>
                <w:rFonts w:hint="eastAsia" w:ascii="宋体" w:hAnsi="宋体" w:eastAsia="宋体"/>
                <w:sz w:val="21"/>
                <w:szCs w:val="21"/>
              </w:rPr>
            </w:pPr>
            <w:r>
              <w:rPr>
                <w:rFonts w:hint="eastAsia" w:ascii="宋体" w:hAnsi="宋体" w:eastAsia="宋体"/>
                <w:sz w:val="21"/>
                <w:szCs w:val="21"/>
              </w:rPr>
              <w:t>突发事件应急预案管理办法有关规定；</w:t>
            </w:r>
          </w:p>
          <w:p>
            <w:pPr>
              <w:adjustRightInd w:val="0"/>
              <w:snapToGrid w:val="0"/>
              <w:spacing w:line="240" w:lineRule="auto"/>
              <w:rPr>
                <w:rFonts w:ascii="宋体" w:hAnsi="宋体" w:eastAsia="宋体"/>
                <w:sz w:val="21"/>
                <w:szCs w:val="21"/>
              </w:rPr>
            </w:pPr>
            <w:r>
              <w:rPr>
                <w:rFonts w:hint="eastAsia" w:ascii="宋体" w:hAnsi="宋体" w:eastAsia="宋体"/>
                <w:sz w:val="21"/>
                <w:szCs w:val="21"/>
              </w:rPr>
              <w:t>备案管理办法第十条要求，应当在开展环境风险评估和环境应急资源调查的基础上编制环境应急预案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20" w:hRule="atLeast"/>
          <w:jc w:val="center"/>
        </w:trPr>
        <w:tc>
          <w:tcPr>
            <w:tcW w:w="6379" w:type="dxa"/>
            <w:gridSpan w:val="3"/>
            <w:noWrap w:val="0"/>
            <w:vAlign w:val="center"/>
          </w:tcPr>
          <w:p>
            <w:pPr>
              <w:adjustRightInd w:val="0"/>
              <w:snapToGrid w:val="0"/>
              <w:spacing w:line="240" w:lineRule="auto"/>
              <w:jc w:val="left"/>
              <w:rPr>
                <w:rFonts w:ascii="宋体" w:hAnsi="宋体" w:eastAsia="宋体"/>
                <w:spacing w:val="-4"/>
                <w:sz w:val="21"/>
                <w:szCs w:val="21"/>
              </w:rPr>
            </w:pPr>
            <w:r>
              <w:rPr>
                <w:rFonts w:hint="eastAsia" w:ascii="宋体" w:hAnsi="宋体" w:eastAsia="宋体"/>
                <w:spacing w:val="-4"/>
                <w:sz w:val="21"/>
                <w:szCs w:val="21"/>
              </w:rPr>
              <w:t>从可能的突发环境事件情景出发编制且典型突发环境事件情景无缺失</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1276" w:type="dxa"/>
            <w:gridSpan w:val="3"/>
            <w:noWrap w:val="0"/>
            <w:vAlign w:val="center"/>
          </w:tcPr>
          <w:p>
            <w:pPr>
              <w:adjustRightInd w:val="0"/>
              <w:snapToGrid w:val="0"/>
              <w:spacing w:line="240" w:lineRule="auto"/>
              <w:jc w:val="left"/>
              <w:rPr>
                <w:rFonts w:ascii="宋体" w:hAnsi="宋体" w:eastAsia="宋体"/>
                <w:sz w:val="21"/>
                <w:szCs w:val="21"/>
              </w:rPr>
            </w:pPr>
          </w:p>
        </w:tc>
        <w:tc>
          <w:tcPr>
            <w:tcW w:w="4850" w:type="dxa"/>
            <w:noWrap w:val="0"/>
            <w:vAlign w:val="center"/>
          </w:tcPr>
          <w:p>
            <w:pPr>
              <w:adjustRightInd w:val="0"/>
              <w:snapToGrid w:val="0"/>
              <w:spacing w:line="240" w:lineRule="auto"/>
              <w:rPr>
                <w:rFonts w:hint="eastAsia" w:ascii="宋体" w:hAnsi="宋体" w:eastAsia="宋体"/>
                <w:sz w:val="21"/>
                <w:szCs w:val="21"/>
              </w:rPr>
            </w:pPr>
            <w:r>
              <w:rPr>
                <w:rFonts w:hint="eastAsia" w:ascii="宋体" w:hAnsi="宋体" w:eastAsia="宋体"/>
                <w:sz w:val="21"/>
                <w:szCs w:val="21"/>
              </w:rPr>
              <w:t>突发事件应对法有关规定；</w:t>
            </w:r>
          </w:p>
          <w:p>
            <w:pPr>
              <w:adjustRightInd w:val="0"/>
              <w:snapToGrid w:val="0"/>
              <w:spacing w:line="240" w:lineRule="auto"/>
              <w:rPr>
                <w:rFonts w:ascii="宋体" w:hAnsi="宋体" w:eastAsia="宋体"/>
                <w:sz w:val="21"/>
                <w:szCs w:val="21"/>
              </w:rPr>
            </w:pPr>
            <w:r>
              <w:rPr>
                <w:rFonts w:hint="eastAsia" w:ascii="宋体" w:hAnsi="宋体" w:eastAsia="宋体"/>
                <w:sz w:val="21"/>
                <w:szCs w:val="21"/>
              </w:rPr>
              <w:t>备案管理办法第九、十条，均对企业从可能的突发环境事件情景出发编制环境应急预案提出了要求；</w:t>
            </w:r>
          </w:p>
          <w:p>
            <w:pPr>
              <w:adjustRightInd w:val="0"/>
              <w:snapToGrid w:val="0"/>
              <w:spacing w:line="240" w:lineRule="auto"/>
              <w:rPr>
                <w:rFonts w:ascii="宋体" w:hAnsi="宋体" w:eastAsia="宋体"/>
                <w:sz w:val="21"/>
                <w:szCs w:val="21"/>
              </w:rPr>
            </w:pPr>
            <w:r>
              <w:rPr>
                <w:rFonts w:hint="eastAsia" w:ascii="宋体" w:hAnsi="宋体" w:eastAsia="宋体"/>
                <w:sz w:val="21"/>
                <w:szCs w:val="21"/>
              </w:rPr>
              <w:t>典型突发环境事件情景基于真实事件与预期风险凝练、集合而成，体现各类事件的共性与规律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30" w:hRule="atLeast"/>
          <w:jc w:val="center"/>
        </w:trPr>
        <w:tc>
          <w:tcPr>
            <w:tcW w:w="6379" w:type="dxa"/>
            <w:gridSpan w:val="3"/>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能够让周边居民和单位获得事件信息</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1276" w:type="dxa"/>
            <w:gridSpan w:val="3"/>
            <w:noWrap w:val="0"/>
            <w:vAlign w:val="center"/>
          </w:tcPr>
          <w:p>
            <w:pPr>
              <w:adjustRightInd w:val="0"/>
              <w:snapToGrid w:val="0"/>
              <w:spacing w:line="240" w:lineRule="auto"/>
              <w:jc w:val="left"/>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环境保护法第四十七条规定，在发生或可能发生突发环境事件时，企业应当及时通报可能受到危害的单位和居民。备案管理办法第十条也提出了相应要求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36" w:hRule="atLeast"/>
          <w:jc w:val="center"/>
        </w:trPr>
        <w:tc>
          <w:tcPr>
            <w:tcW w:w="13781" w:type="dxa"/>
            <w:gridSpan w:val="8"/>
            <w:noWrap w:val="0"/>
            <w:vAlign w:val="center"/>
          </w:tcPr>
          <w:p>
            <w:pPr>
              <w:adjustRightInd w:val="0"/>
              <w:snapToGrid w:val="0"/>
              <w:spacing w:line="240" w:lineRule="auto"/>
              <w:jc w:val="center"/>
              <w:rPr>
                <w:rFonts w:ascii="黑体" w:hAnsi="黑体" w:eastAsia="黑体"/>
                <w:sz w:val="21"/>
                <w:szCs w:val="21"/>
              </w:rPr>
            </w:pPr>
            <w:r>
              <w:rPr>
                <w:rFonts w:hint="eastAsia" w:ascii="黑体" w:hAnsi="黑体" w:eastAsia="黑体"/>
                <w:sz w:val="21"/>
                <w:szCs w:val="21"/>
              </w:rPr>
              <w:t>环境应急预案及相关文件的基本形式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02" w:hRule="atLeast"/>
          <w:jc w:val="center"/>
        </w:trPr>
        <w:tc>
          <w:tcPr>
            <w:tcW w:w="1134" w:type="dxa"/>
            <w:vMerge w:val="restart"/>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评审项目</w:t>
            </w:r>
          </w:p>
        </w:tc>
        <w:tc>
          <w:tcPr>
            <w:tcW w:w="5245" w:type="dxa"/>
            <w:gridSpan w:val="2"/>
            <w:vMerge w:val="restart"/>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评 审 指 标</w:t>
            </w:r>
          </w:p>
        </w:tc>
        <w:tc>
          <w:tcPr>
            <w:tcW w:w="2552" w:type="dxa"/>
            <w:gridSpan w:val="4"/>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评审意见</w:t>
            </w:r>
          </w:p>
        </w:tc>
        <w:tc>
          <w:tcPr>
            <w:tcW w:w="4850" w:type="dxa"/>
            <w:vMerge w:val="restart"/>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指 标 说 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21"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5245" w:type="dxa"/>
            <w:gridSpan w:val="2"/>
            <w:vMerge w:val="continue"/>
            <w:noWrap w:val="0"/>
            <w:vAlign w:val="center"/>
          </w:tcPr>
          <w:p>
            <w:pPr>
              <w:adjustRightInd w:val="0"/>
              <w:snapToGrid w:val="0"/>
              <w:spacing w:line="240" w:lineRule="auto"/>
              <w:jc w:val="center"/>
              <w:rPr>
                <w:rFonts w:ascii="宋体" w:hAnsi="宋体" w:eastAsia="宋体"/>
                <w:sz w:val="21"/>
                <w:szCs w:val="21"/>
              </w:rPr>
            </w:pPr>
          </w:p>
        </w:tc>
        <w:tc>
          <w:tcPr>
            <w:tcW w:w="1276" w:type="dxa"/>
            <w:noWrap w:val="0"/>
            <w:vAlign w:val="center"/>
          </w:tcPr>
          <w:p>
            <w:pPr>
              <w:adjustRightInd w:val="0"/>
              <w:snapToGrid w:val="0"/>
              <w:spacing w:line="240" w:lineRule="auto"/>
              <w:jc w:val="both"/>
              <w:rPr>
                <w:rFonts w:ascii="宋体" w:hAnsi="宋体" w:eastAsia="宋体"/>
                <w:sz w:val="21"/>
                <w:szCs w:val="21"/>
              </w:rPr>
            </w:pPr>
            <w:r>
              <w:rPr>
                <w:rFonts w:hint="eastAsia" w:ascii="宋体" w:hAnsi="宋体" w:eastAsia="宋体"/>
                <w:sz w:val="21"/>
                <w:szCs w:val="21"/>
              </w:rPr>
              <w:t>判定</w:t>
            </w:r>
          </w:p>
        </w:tc>
        <w:tc>
          <w:tcPr>
            <w:tcW w:w="567" w:type="dxa"/>
            <w:noWrap w:val="0"/>
            <w:vAlign w:val="center"/>
          </w:tcPr>
          <w:p>
            <w:pPr>
              <w:adjustRightInd w:val="0"/>
              <w:snapToGrid w:val="0"/>
              <w:spacing w:line="240" w:lineRule="auto"/>
              <w:ind w:left="0" w:leftChars="0" w:firstLine="0" w:firstLineChars="0"/>
              <w:jc w:val="both"/>
              <w:rPr>
                <w:rFonts w:ascii="宋体" w:hAnsi="宋体" w:eastAsia="宋体"/>
                <w:sz w:val="21"/>
                <w:szCs w:val="21"/>
              </w:rPr>
            </w:pPr>
            <w:r>
              <w:rPr>
                <w:rFonts w:hint="eastAsia" w:ascii="宋体" w:hAnsi="宋体" w:eastAsia="宋体"/>
                <w:sz w:val="21"/>
                <w:szCs w:val="21"/>
              </w:rPr>
              <w:t>得分</w:t>
            </w:r>
          </w:p>
        </w:tc>
        <w:tc>
          <w:tcPr>
            <w:tcW w:w="709" w:type="dxa"/>
            <w:gridSpan w:val="2"/>
            <w:noWrap w:val="0"/>
            <w:vAlign w:val="center"/>
          </w:tcPr>
          <w:p>
            <w:pPr>
              <w:adjustRightInd w:val="0"/>
              <w:snapToGrid w:val="0"/>
              <w:spacing w:line="240" w:lineRule="auto"/>
              <w:ind w:left="0" w:leftChars="0" w:firstLine="0" w:firstLineChars="0"/>
              <w:jc w:val="both"/>
              <w:rPr>
                <w:rFonts w:ascii="宋体" w:hAnsi="宋体" w:eastAsia="宋体"/>
                <w:sz w:val="21"/>
                <w:szCs w:val="21"/>
              </w:rPr>
            </w:pPr>
            <w:r>
              <w:rPr>
                <w:rFonts w:hint="eastAsia" w:ascii="宋体" w:hAnsi="宋体" w:eastAsia="宋体"/>
                <w:sz w:val="21"/>
                <w:szCs w:val="21"/>
              </w:rPr>
              <w:t>说明</w:t>
            </w:r>
          </w:p>
        </w:tc>
        <w:tc>
          <w:tcPr>
            <w:tcW w:w="4850" w:type="dxa"/>
            <w:vMerge w:val="continue"/>
            <w:noWrap w:val="0"/>
            <w:vAlign w:val="center"/>
          </w:tcPr>
          <w:p>
            <w:pPr>
              <w:adjustRightInd w:val="0"/>
              <w:snapToGrid w:val="0"/>
              <w:spacing w:line="240" w:lineRule="auto"/>
              <w:jc w:val="center"/>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812"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封面目录</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vertAlign w:val="superscript"/>
              </w:rPr>
            </w:pPr>
            <w:r>
              <w:rPr>
                <w:rFonts w:hint="eastAsia" w:ascii="宋体" w:hAnsi="宋体" w:eastAsia="宋体"/>
                <w:sz w:val="21"/>
                <w:szCs w:val="21"/>
              </w:rPr>
              <w:t>1</w:t>
            </w:r>
            <w:r>
              <w:rPr>
                <w:rFonts w:hint="eastAsia" w:ascii="宋体" w:hAnsi="宋体" w:eastAsia="宋体"/>
                <w:sz w:val="21"/>
                <w:szCs w:val="21"/>
                <w:vertAlign w:val="superscript"/>
              </w:rPr>
              <w:t>a</w:t>
            </w:r>
          </w:p>
        </w:tc>
        <w:tc>
          <w:tcPr>
            <w:tcW w:w="4819"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封面有环境应急预案、预案编制单位名称，预留正式发布预案的版本号、发布日期等设计；</w:t>
            </w:r>
          </w:p>
          <w:p>
            <w:pPr>
              <w:adjustRightInd w:val="0"/>
              <w:snapToGrid w:val="0"/>
              <w:spacing w:line="240" w:lineRule="auto"/>
              <w:rPr>
                <w:rFonts w:ascii="宋体" w:hAnsi="宋体" w:eastAsia="宋体"/>
                <w:sz w:val="21"/>
                <w:szCs w:val="21"/>
              </w:rPr>
            </w:pPr>
            <w:r>
              <w:rPr>
                <w:rFonts w:hint="eastAsia" w:ascii="宋体" w:hAnsi="宋体" w:eastAsia="宋体"/>
                <w:sz w:val="21"/>
                <w:szCs w:val="21"/>
              </w:rPr>
              <w:t>目录有编号、标题和页码，一般至少设置两级目录</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567" w:type="dxa"/>
            <w:noWrap w:val="0"/>
            <w:vAlign w:val="top"/>
          </w:tcPr>
          <w:p>
            <w:pPr>
              <w:keepNext/>
              <w:keepLines/>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1</w:t>
            </w:r>
          </w:p>
        </w:tc>
        <w:tc>
          <w:tcPr>
            <w:tcW w:w="709" w:type="dxa"/>
            <w:gridSpan w:val="2"/>
            <w:noWrap w:val="0"/>
            <w:vAlign w:val="top"/>
          </w:tcPr>
          <w:p>
            <w:pPr>
              <w:keepNext/>
              <w:keepLines/>
              <w:adjustRightInd w:val="0"/>
              <w:snapToGrid w:val="0"/>
              <w:spacing w:line="240" w:lineRule="auto"/>
              <w:jc w:val="center"/>
              <w:rPr>
                <w:rFonts w:hint="eastAsia"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预案版本号指为便于索引、回溯而在发布时赋予预案的标识号，企业可以按照内部技术文件版本号管理要求执行；</w:t>
            </w:r>
          </w:p>
          <w:p>
            <w:pPr>
              <w:adjustRightInd w:val="0"/>
              <w:snapToGrid w:val="0"/>
              <w:spacing w:line="240" w:lineRule="auto"/>
              <w:rPr>
                <w:rFonts w:ascii="宋体" w:hAnsi="宋体" w:eastAsia="宋体"/>
                <w:sz w:val="21"/>
                <w:szCs w:val="21"/>
              </w:rPr>
            </w:pPr>
            <w:r>
              <w:rPr>
                <w:rFonts w:hint="eastAsia" w:ascii="宋体" w:hAnsi="宋体" w:eastAsia="宋体"/>
                <w:sz w:val="21"/>
                <w:szCs w:val="21"/>
              </w:rPr>
              <w:t>预案各章节可以有多级标题，但在目录中至少列出两级标题，便于查找</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951"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结构</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2</w:t>
            </w:r>
            <w:r>
              <w:rPr>
                <w:rFonts w:hint="eastAsia" w:ascii="宋体" w:hAnsi="宋体" w:eastAsia="宋体"/>
                <w:sz w:val="21"/>
                <w:szCs w:val="21"/>
                <w:vertAlign w:val="superscript"/>
              </w:rPr>
              <w:t>a</w:t>
            </w:r>
          </w:p>
        </w:tc>
        <w:tc>
          <w:tcPr>
            <w:tcW w:w="4819"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结构完整，格式规范</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567" w:type="dxa"/>
            <w:noWrap w:val="0"/>
            <w:vAlign w:val="top"/>
          </w:tcPr>
          <w:p>
            <w:pPr>
              <w:keepNext/>
              <w:keepLines/>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1</w:t>
            </w:r>
          </w:p>
        </w:tc>
        <w:tc>
          <w:tcPr>
            <w:tcW w:w="709" w:type="dxa"/>
            <w:gridSpan w:val="2"/>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结构完整指预案文件布局合理、层次分明，无错漏章节、段落；正文对附件的引用、说明等，与附件索引、附件一致；</w:t>
            </w:r>
          </w:p>
          <w:p>
            <w:pPr>
              <w:adjustRightInd w:val="0"/>
              <w:snapToGrid w:val="0"/>
              <w:spacing w:line="240" w:lineRule="auto"/>
              <w:rPr>
                <w:rFonts w:ascii="宋体" w:hAnsi="宋体" w:eastAsia="宋体"/>
                <w:sz w:val="21"/>
                <w:szCs w:val="21"/>
              </w:rPr>
            </w:pPr>
            <w:r>
              <w:rPr>
                <w:rFonts w:hint="eastAsia" w:ascii="宋体" w:hAnsi="宋体" w:eastAsia="宋体"/>
                <w:sz w:val="21"/>
                <w:szCs w:val="21"/>
              </w:rPr>
              <w:t>格式规范指预案文件符合企业内部公文格式标准，或文件字体、字号、版式、层次等遵循一定的规范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2803"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行文</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3</w:t>
            </w:r>
            <w:r>
              <w:rPr>
                <w:rFonts w:hint="eastAsia" w:ascii="宋体" w:hAnsi="宋体" w:eastAsia="宋体"/>
                <w:sz w:val="21"/>
                <w:szCs w:val="21"/>
                <w:vertAlign w:val="superscript"/>
              </w:rPr>
              <w:t>a</w:t>
            </w:r>
          </w:p>
        </w:tc>
        <w:tc>
          <w:tcPr>
            <w:tcW w:w="4819"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文字准确，语言通顺，内容简明</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567" w:type="dxa"/>
            <w:noWrap w:val="0"/>
            <w:vAlign w:val="top"/>
          </w:tcPr>
          <w:p>
            <w:pPr>
              <w:keepNext/>
              <w:keepLines/>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1</w:t>
            </w:r>
          </w:p>
        </w:tc>
        <w:tc>
          <w:tcPr>
            <w:tcW w:w="709" w:type="dxa"/>
            <w:gridSpan w:val="2"/>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文字准确是指无明显错别字、多字、漏字、语句错误、数据错误、时间错误等现象；</w:t>
            </w:r>
          </w:p>
          <w:p>
            <w:pPr>
              <w:adjustRightInd w:val="0"/>
              <w:snapToGrid w:val="0"/>
              <w:spacing w:line="240" w:lineRule="auto"/>
              <w:rPr>
                <w:rFonts w:ascii="宋体" w:hAnsi="宋体" w:eastAsia="宋体"/>
                <w:sz w:val="21"/>
                <w:szCs w:val="21"/>
              </w:rPr>
            </w:pPr>
            <w:r>
              <w:rPr>
                <w:rFonts w:hint="eastAsia" w:ascii="宋体" w:hAnsi="宋体" w:eastAsia="宋体"/>
                <w:sz w:val="21"/>
                <w:szCs w:val="21"/>
              </w:rPr>
              <w:t>语言通顺是指语言规范、连贯、易懂，合乎事理逻辑，关键内容不会产生歧义等；</w:t>
            </w:r>
          </w:p>
          <w:p>
            <w:pPr>
              <w:adjustRightInd w:val="0"/>
              <w:snapToGrid w:val="0"/>
              <w:spacing w:line="240" w:lineRule="auto"/>
              <w:rPr>
                <w:rFonts w:ascii="宋体" w:hAnsi="宋体" w:eastAsia="宋体"/>
                <w:sz w:val="21"/>
                <w:szCs w:val="21"/>
              </w:rPr>
            </w:pPr>
            <w:r>
              <w:rPr>
                <w:rFonts w:hint="eastAsia" w:ascii="宋体" w:hAnsi="宋体" w:eastAsia="宋体"/>
                <w:sz w:val="21"/>
                <w:szCs w:val="21"/>
              </w:rPr>
              <w:t>内容简明是指环境应急预案、环境风险评估报告、环境应急资源调查报告独立成文，预案正文和附件内容分配合理，应对措施等重点信息容易找到，内容上无简单重复、大量互相引用等现象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97" w:hRule="atLeast"/>
          <w:jc w:val="center"/>
        </w:trPr>
        <w:tc>
          <w:tcPr>
            <w:tcW w:w="13781" w:type="dxa"/>
            <w:gridSpan w:val="8"/>
            <w:noWrap w:val="0"/>
            <w:vAlign w:val="center"/>
          </w:tcPr>
          <w:p>
            <w:pPr>
              <w:adjustRightInd w:val="0"/>
              <w:snapToGrid w:val="0"/>
              <w:spacing w:line="240" w:lineRule="auto"/>
              <w:jc w:val="center"/>
              <w:rPr>
                <w:rFonts w:ascii="黑体" w:hAnsi="黑体" w:eastAsia="黑体"/>
                <w:sz w:val="21"/>
                <w:szCs w:val="21"/>
              </w:rPr>
            </w:pPr>
            <w:r>
              <w:rPr>
                <w:rFonts w:hint="eastAsia" w:ascii="黑体" w:hAnsi="黑体" w:eastAsia="黑体"/>
                <w:sz w:val="21"/>
                <w:szCs w:val="21"/>
              </w:rPr>
              <w:t>环境应急预案编制说明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03"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过程说明</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4</w:t>
            </w:r>
            <w:r>
              <w:rPr>
                <w:rFonts w:hint="eastAsia" w:ascii="宋体" w:hAnsi="宋体" w:eastAsia="宋体"/>
                <w:sz w:val="21"/>
                <w:szCs w:val="21"/>
                <w:vertAlign w:val="superscript"/>
              </w:rPr>
              <w:t>a</w:t>
            </w:r>
          </w:p>
        </w:tc>
        <w:tc>
          <w:tcPr>
            <w:tcW w:w="4819"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说清预案编修过程</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567" w:type="dxa"/>
            <w:noWrap w:val="0"/>
            <w:vAlign w:val="top"/>
          </w:tcPr>
          <w:p>
            <w:pPr>
              <w:keepNext/>
              <w:keepLines/>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1</w:t>
            </w:r>
          </w:p>
        </w:tc>
        <w:tc>
          <w:tcPr>
            <w:tcW w:w="709" w:type="dxa"/>
            <w:gridSpan w:val="2"/>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编制过程主要包括成立环境应急预案编制工作组、开展环境风险评估和环境应急资源调查、征求关键岗位员工和可能受影响的居民、单位代表的意见、组织对预案内容进行推演等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03"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问题说明</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5</w:t>
            </w:r>
            <w:r>
              <w:rPr>
                <w:rFonts w:hint="eastAsia" w:ascii="宋体" w:hAnsi="宋体" w:eastAsia="宋体"/>
                <w:sz w:val="21"/>
                <w:szCs w:val="21"/>
                <w:vertAlign w:val="superscript"/>
              </w:rPr>
              <w:t>a</w:t>
            </w:r>
          </w:p>
        </w:tc>
        <w:tc>
          <w:tcPr>
            <w:tcW w:w="4819" w:type="dxa"/>
            <w:noWrap w:val="0"/>
            <w:vAlign w:val="center"/>
          </w:tcPr>
          <w:p>
            <w:pPr>
              <w:adjustRightInd w:val="0"/>
              <w:snapToGrid w:val="0"/>
              <w:spacing w:line="240" w:lineRule="auto"/>
              <w:ind w:left="0" w:leftChars="0" w:firstLine="0" w:firstLineChars="0"/>
              <w:rPr>
                <w:rFonts w:ascii="宋体" w:hAnsi="宋体" w:eastAsia="宋体"/>
                <w:spacing w:val="-2"/>
                <w:sz w:val="21"/>
                <w:szCs w:val="21"/>
              </w:rPr>
            </w:pPr>
            <w:r>
              <w:rPr>
                <w:rFonts w:hint="eastAsia" w:ascii="宋体" w:hAnsi="宋体" w:eastAsia="宋体"/>
                <w:spacing w:val="-2"/>
                <w:sz w:val="21"/>
                <w:szCs w:val="21"/>
              </w:rPr>
              <w:t>说明意见建议及采纳情况、演练暴露问题及解决措施</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□符合</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567" w:type="dxa"/>
            <w:noWrap w:val="0"/>
            <w:vAlign w:val="top"/>
          </w:tcPr>
          <w:p>
            <w:pPr>
              <w:keepNext/>
              <w:keepLines/>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0.5</w:t>
            </w:r>
          </w:p>
        </w:tc>
        <w:tc>
          <w:tcPr>
            <w:tcW w:w="709" w:type="dxa"/>
            <w:gridSpan w:val="2"/>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一般应有意见建议清单，并说明采纳情况及未采纳理由；演练（一般为检验性的桌面推演）暴露问题清单及解决措施，并体现在预案中</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41" w:hRule="atLeast"/>
          <w:jc w:val="center"/>
        </w:trPr>
        <w:tc>
          <w:tcPr>
            <w:tcW w:w="13781" w:type="dxa"/>
            <w:gridSpan w:val="8"/>
            <w:noWrap w:val="0"/>
            <w:vAlign w:val="center"/>
          </w:tcPr>
          <w:p>
            <w:pPr>
              <w:adjustRightInd w:val="0"/>
              <w:snapToGrid w:val="0"/>
              <w:spacing w:line="240" w:lineRule="auto"/>
              <w:jc w:val="center"/>
              <w:rPr>
                <w:rFonts w:ascii="黑体" w:hAnsi="黑体" w:eastAsia="黑体"/>
                <w:sz w:val="21"/>
                <w:szCs w:val="21"/>
              </w:rPr>
            </w:pPr>
            <w:r>
              <w:rPr>
                <w:rFonts w:hint="eastAsia" w:ascii="黑体" w:hAnsi="黑体" w:eastAsia="黑体"/>
                <w:sz w:val="21"/>
                <w:szCs w:val="21"/>
              </w:rPr>
              <w:t>环境应急预案文本</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330"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编制目的</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6</w:t>
            </w:r>
          </w:p>
        </w:tc>
        <w:tc>
          <w:tcPr>
            <w:tcW w:w="4819" w:type="dxa"/>
            <w:noWrap w:val="0"/>
            <w:vAlign w:val="center"/>
          </w:tcPr>
          <w:p>
            <w:pPr>
              <w:adjustRightInd w:val="0"/>
              <w:snapToGrid w:val="0"/>
              <w:spacing w:line="240" w:lineRule="auto"/>
              <w:jc w:val="left"/>
              <w:rPr>
                <w:rFonts w:ascii="宋体" w:hAnsi="宋体" w:eastAsia="宋体"/>
                <w:spacing w:val="-2"/>
                <w:sz w:val="21"/>
                <w:szCs w:val="21"/>
              </w:rPr>
            </w:pPr>
            <w:r>
              <w:rPr>
                <w:rFonts w:hint="eastAsia" w:ascii="宋体" w:hAnsi="宋体" w:eastAsia="宋体"/>
                <w:spacing w:val="-2"/>
                <w:sz w:val="21"/>
                <w:szCs w:val="21"/>
              </w:rPr>
              <w:t>体现：规范事发后的应对工作，提高事件应对能力，避免或减轻事件影响，加强企业与政府应对工作衔接</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vMerge w:val="restart"/>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此三项为预案的总纲。</w:t>
            </w:r>
          </w:p>
          <w:p>
            <w:pPr>
              <w:adjustRightInd w:val="0"/>
              <w:snapToGrid w:val="0"/>
              <w:spacing w:line="240" w:lineRule="auto"/>
              <w:rPr>
                <w:rFonts w:ascii="宋体" w:hAnsi="宋体" w:eastAsia="宋体"/>
                <w:sz w:val="21"/>
                <w:szCs w:val="21"/>
              </w:rPr>
            </w:pPr>
          </w:p>
          <w:p>
            <w:pPr>
              <w:adjustRightInd w:val="0"/>
              <w:snapToGrid w:val="0"/>
              <w:spacing w:line="240" w:lineRule="auto"/>
              <w:rPr>
                <w:rFonts w:ascii="宋体" w:hAnsi="宋体" w:eastAsia="宋体"/>
                <w:sz w:val="21"/>
                <w:szCs w:val="21"/>
              </w:rPr>
            </w:pPr>
            <w:r>
              <w:rPr>
                <w:rFonts w:hint="eastAsia" w:ascii="宋体" w:hAnsi="宋体" w:eastAsia="宋体"/>
                <w:sz w:val="21"/>
                <w:szCs w:val="21"/>
              </w:rPr>
              <w:t>关于“规范事发后的应对工作”，《突发事件应急预案管理办法》强调应急预案重在“应对”，适当向前延伸至“预警”，向后延伸至“恢复”。关于“加强企业与政府应对衔接”，根据备案管理办法，实行企业环境应急预案备案管理，其中一个重要作用是环保部门收集信息，服务于政府环境应急预案编修；另外，由于权限、职责、工作范围的不同，企业环境应急预案应该在指挥、措施、程序等方面留有“接口”，确保与政府预案有机衔接。</w:t>
            </w:r>
          </w:p>
          <w:p>
            <w:pPr>
              <w:adjustRightInd w:val="0"/>
              <w:snapToGrid w:val="0"/>
              <w:spacing w:line="240" w:lineRule="auto"/>
              <w:rPr>
                <w:rFonts w:ascii="宋体" w:hAnsi="宋体" w:eastAsia="宋体"/>
                <w:sz w:val="21"/>
                <w:szCs w:val="21"/>
              </w:rPr>
            </w:pPr>
          </w:p>
          <w:p>
            <w:pPr>
              <w:adjustRightInd w:val="0"/>
              <w:snapToGrid w:val="0"/>
              <w:spacing w:line="240" w:lineRule="auto"/>
              <w:rPr>
                <w:rFonts w:hint="eastAsia" w:ascii="宋体" w:hAnsi="宋体" w:eastAsia="宋体"/>
                <w:sz w:val="21"/>
                <w:szCs w:val="21"/>
              </w:rPr>
            </w:pPr>
            <w:r>
              <w:rPr>
                <w:rFonts w:hint="eastAsia" w:ascii="宋体" w:hAnsi="宋体" w:eastAsia="宋体"/>
                <w:sz w:val="21"/>
                <w:szCs w:val="21"/>
              </w:rPr>
              <w:t>适用主体，指组织实施预案的责任单位；地理或管理范围，如某公司内、某公司及周边环境敏感区域内；事件类别，如生产废水事故排放、化学品泄漏、燃烧或爆炸次生环境事件等；工作内容，可包括预警、处置、监测等。</w:t>
            </w:r>
          </w:p>
          <w:p>
            <w:pPr>
              <w:adjustRightInd w:val="0"/>
              <w:snapToGrid w:val="0"/>
              <w:spacing w:line="240" w:lineRule="auto"/>
              <w:rPr>
                <w:rFonts w:ascii="宋体" w:hAnsi="宋体" w:eastAsia="宋体"/>
                <w:sz w:val="21"/>
                <w:szCs w:val="21"/>
              </w:rPr>
            </w:pPr>
            <w:r>
              <w:rPr>
                <w:rFonts w:hint="eastAsia" w:ascii="宋体" w:hAnsi="宋体" w:eastAsia="宋体"/>
                <w:sz w:val="21"/>
                <w:szCs w:val="21"/>
              </w:rPr>
              <w:t>坚持环境优先，是因为环境一旦受到污染，修复难度大且成本高；应急工作与岗位职责相结合，强调应急任务要细化落实到具体工作岗位</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适用范围</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7</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明确：预案适用的主体、地理或管理范围、事件类别、工作内容</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vMerge w:val="continue"/>
            <w:noWrap w:val="0"/>
            <w:vAlign w:val="top"/>
          </w:tcPr>
          <w:p>
            <w:pPr>
              <w:adjustRightInd w:val="0"/>
              <w:snapToGrid w:val="0"/>
              <w:spacing w:line="240" w:lineRule="auto"/>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工作原则</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8</w:t>
            </w:r>
          </w:p>
        </w:tc>
        <w:tc>
          <w:tcPr>
            <w:tcW w:w="4819" w:type="dxa"/>
            <w:noWrap w:val="0"/>
            <w:vAlign w:val="center"/>
          </w:tcPr>
          <w:p>
            <w:pPr>
              <w:adjustRightInd w:val="0"/>
              <w:snapToGrid w:val="0"/>
              <w:spacing w:line="240" w:lineRule="auto"/>
              <w:jc w:val="left"/>
              <w:rPr>
                <w:rFonts w:ascii="宋体" w:hAnsi="宋体" w:eastAsia="宋体"/>
                <w:spacing w:val="-2"/>
                <w:sz w:val="21"/>
                <w:szCs w:val="21"/>
              </w:rPr>
            </w:pPr>
            <w:r>
              <w:rPr>
                <w:rFonts w:hint="eastAsia" w:ascii="宋体" w:hAnsi="宋体" w:eastAsia="宋体"/>
                <w:spacing w:val="-2"/>
                <w:sz w:val="21"/>
                <w:szCs w:val="21"/>
              </w:rPr>
              <w:t>体现：符合国家有关规定和要求，结合本单位实际；救人第一、环境优先；先期处置、防止危害扩大；快速响应、科学应对；应急工作与岗位职责相结合等</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vMerge w:val="continue"/>
            <w:noWrap w:val="0"/>
            <w:vAlign w:val="top"/>
          </w:tcPr>
          <w:p>
            <w:pPr>
              <w:adjustRightInd w:val="0"/>
              <w:snapToGrid w:val="0"/>
              <w:spacing w:line="240" w:lineRule="auto"/>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1134" w:type="dxa"/>
            <w:vMerge w:val="restart"/>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应急预案</w:t>
            </w:r>
          </w:p>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体系</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9</w:t>
            </w:r>
            <w:r>
              <w:rPr>
                <w:rFonts w:hint="eastAsia" w:ascii="宋体" w:hAnsi="宋体" w:eastAsia="宋体"/>
                <w:sz w:val="21"/>
                <w:szCs w:val="21"/>
                <w:vertAlign w:val="superscript"/>
              </w:rPr>
              <w:t>b</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以预案关系图的形式，说明本预案的组成及其组成之间的关系、与生产安全事故预案等其他预案的衔接关系、与地方人民政府环境应急预案的衔接关系，辅以必要的重点内容说明</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宋体" w:cs="MS Gothic"/>
                <w:sz w:val="21"/>
                <w:szCs w:val="21"/>
                <w:lang w:eastAsia="zh-CN"/>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lang w:eastAsia="zh-CN"/>
              </w:rPr>
              <w:t>□</w:t>
            </w: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ind w:left="0" w:leftChars="0" w:firstLine="0" w:firstLineChars="0"/>
              <w:rPr>
                <w:rFonts w:hint="default" w:ascii="宋体" w:hAnsi="宋体" w:eastAsia="宋体"/>
                <w:sz w:val="21"/>
                <w:szCs w:val="21"/>
                <w:lang w:val="en-US" w:eastAsia="zh-CN"/>
              </w:rPr>
            </w:pPr>
            <w:r>
              <w:rPr>
                <w:rFonts w:hint="eastAsia" w:ascii="宋体" w:hAnsi="宋体" w:eastAsia="宋体"/>
                <w:sz w:val="21"/>
                <w:szCs w:val="21"/>
                <w:lang w:val="en-US" w:eastAsia="zh-CN"/>
              </w:rPr>
              <w:t>1.5</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vMerge w:val="restart"/>
            <w:noWrap w:val="0"/>
            <w:vAlign w:val="top"/>
          </w:tcPr>
          <w:p>
            <w:pPr>
              <w:adjustRightInd w:val="0"/>
              <w:snapToGrid w:val="0"/>
              <w:spacing w:line="240" w:lineRule="auto"/>
              <w:rPr>
                <w:rFonts w:hint="eastAsia" w:ascii="宋体" w:hAnsi="宋体" w:eastAsia="宋体"/>
                <w:sz w:val="21"/>
                <w:szCs w:val="21"/>
              </w:rPr>
            </w:pPr>
            <w:r>
              <w:rPr>
                <w:rFonts w:hint="eastAsia" w:ascii="宋体" w:hAnsi="宋体" w:eastAsia="宋体"/>
                <w:sz w:val="21"/>
                <w:szCs w:val="21"/>
              </w:rPr>
              <w:t>本项目的三项指标，主要考察企业在环境应急预案编制过程中能否清晰把握预案体系。具体衔接方式、内容在应对流程和措施等部分体现。</w:t>
            </w:r>
          </w:p>
          <w:p>
            <w:pPr>
              <w:adjustRightInd w:val="0"/>
              <w:snapToGrid w:val="0"/>
              <w:spacing w:line="240" w:lineRule="auto"/>
              <w:rPr>
                <w:rFonts w:hint="eastAsia" w:ascii="宋体" w:hAnsi="宋体" w:eastAsia="宋体"/>
                <w:sz w:val="21"/>
                <w:szCs w:val="21"/>
              </w:rPr>
            </w:pPr>
            <w:r>
              <w:rPr>
                <w:rFonts w:hint="eastAsia" w:ascii="宋体" w:hAnsi="宋体" w:eastAsia="宋体"/>
                <w:sz w:val="21"/>
                <w:szCs w:val="21"/>
              </w:rPr>
              <w:t>有的企业环境应急预案包括综合预案、专项预案、现场预案或其他组成，应说明这些组成之间的衔接关系，确保各个组成清晰界定、有机衔接。企业环境应急预案一般应以现场处置预案为主，有针对性地提出各类事件情景下的污染防控措施，明确责任人员、工作流程、具体措施，落实到应急处置卡上。确需分类编制的，综合预案侧重明确应对原则、组织机构与职责、基本程序与要求，说明预案体系构成；专项预案侧重针对某一类事件，明确应急程序和处置措施。如不涉及以上情况，可以说明预案的主体框架。</w:t>
            </w:r>
          </w:p>
          <w:p>
            <w:pPr>
              <w:adjustRightInd w:val="0"/>
              <w:snapToGrid w:val="0"/>
              <w:spacing w:line="240" w:lineRule="auto"/>
              <w:rPr>
                <w:rFonts w:hint="eastAsia" w:ascii="宋体" w:hAnsi="宋体" w:eastAsia="宋体"/>
                <w:sz w:val="21"/>
                <w:szCs w:val="21"/>
              </w:rPr>
            </w:pPr>
            <w:r>
              <w:rPr>
                <w:rFonts w:hint="eastAsia" w:ascii="宋体" w:hAnsi="宋体" w:eastAsia="宋体"/>
                <w:sz w:val="21"/>
                <w:szCs w:val="21"/>
              </w:rPr>
              <w:t>环境应急预案定位于控制并减轻、消除污染，与企业内部生产安全事故预案等其他预案清晰界定、相互支持。</w:t>
            </w:r>
          </w:p>
          <w:p>
            <w:pPr>
              <w:adjustRightInd w:val="0"/>
              <w:snapToGrid w:val="0"/>
              <w:spacing w:line="240" w:lineRule="auto"/>
              <w:rPr>
                <w:rFonts w:ascii="宋体" w:hAnsi="宋体" w:eastAsia="宋体"/>
                <w:sz w:val="21"/>
                <w:szCs w:val="21"/>
              </w:rPr>
            </w:pPr>
            <w:r>
              <w:rPr>
                <w:rFonts w:hint="eastAsia" w:ascii="宋体" w:hAnsi="宋体" w:eastAsia="宋体"/>
                <w:sz w:val="21"/>
                <w:szCs w:val="21"/>
              </w:rPr>
              <w:t>企业突发环境事件一般会对外环境造成污染，其预案应与所在地政府环境应急预案协调一致、相互配合。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vMerge w:val="continue"/>
            <w:noWrap w:val="0"/>
            <w:vAlign w:val="center"/>
          </w:tcPr>
          <w:p>
            <w:pPr>
              <w:keepNext/>
              <w:keepLines/>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10</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预案体系构成合理，以现场处置预案为主，确有必要编制综合预案、专项预案，且定位清晰、有机衔接</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lang w:eastAsia="zh-CN"/>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vMerge w:val="continue"/>
            <w:noWrap w:val="0"/>
            <w:vAlign w:val="top"/>
          </w:tcPr>
          <w:p>
            <w:pPr>
              <w:adjustRightInd w:val="0"/>
              <w:snapToGrid w:val="0"/>
              <w:spacing w:line="240" w:lineRule="auto"/>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vMerge w:val="continue"/>
            <w:noWrap w:val="0"/>
            <w:vAlign w:val="center"/>
          </w:tcPr>
          <w:p>
            <w:pPr>
              <w:keepNext/>
              <w:keepLines/>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11</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预案整体定位清晰，与内部生产安全事故预案等其他预案清晰界定、相互支持，与地方人民政府环境应急预案有机衔接</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vMerge w:val="continue"/>
            <w:noWrap w:val="0"/>
            <w:vAlign w:val="top"/>
          </w:tcPr>
          <w:p>
            <w:pPr>
              <w:adjustRightInd w:val="0"/>
              <w:snapToGrid w:val="0"/>
              <w:spacing w:line="240" w:lineRule="auto"/>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531" w:hRule="atLeast"/>
          <w:jc w:val="center"/>
        </w:trPr>
        <w:tc>
          <w:tcPr>
            <w:tcW w:w="1134" w:type="dxa"/>
            <w:vMerge w:val="restart"/>
            <w:noWrap w:val="0"/>
            <w:vAlign w:val="center"/>
          </w:tcPr>
          <w:p>
            <w:pPr>
              <w:adjustRightInd w:val="0"/>
              <w:snapToGrid w:val="0"/>
              <w:spacing w:line="240" w:lineRule="auto"/>
              <w:ind w:left="0" w:leftChars="0" w:firstLine="0" w:firstLineChars="0"/>
              <w:jc w:val="both"/>
              <w:rPr>
                <w:rFonts w:ascii="宋体" w:hAnsi="宋体" w:eastAsia="宋体"/>
                <w:kern w:val="0"/>
                <w:sz w:val="21"/>
                <w:szCs w:val="21"/>
                <w:lang w:val="zh-CN"/>
              </w:rPr>
            </w:pPr>
            <w:r>
              <w:rPr>
                <w:rFonts w:hint="eastAsia" w:ascii="宋体" w:hAnsi="宋体" w:eastAsia="宋体"/>
                <w:sz w:val="21"/>
                <w:szCs w:val="21"/>
              </w:rPr>
              <w:t>组织指挥机制</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12</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以应急组织体系结构图、应急响应流程图的形式，说明组织体系构成、应急指挥运行机制，配有应急队伍成员名单和联系方式表</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以图表形式，说明应急组织体系构成、运行机制、联系人及联系方式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531"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13</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明确组织体系的构成及其职责。一般包括应急指挥部及其办事机构、现场处置组、环境应急监测组、应急保障组以及其他必要的行动组</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企业根据突发环境事件应急工作特点，建立由负责人和成员组成的、工作职责明确的环境应急组织指挥机构。注意与企业突发事件应急预案以及生产安全等预案中组织指挥体系的衔接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91" w:hRule="atLeast"/>
          <w:jc w:val="center"/>
        </w:trPr>
        <w:tc>
          <w:tcPr>
            <w:tcW w:w="1134" w:type="dxa"/>
            <w:vMerge w:val="restart"/>
            <w:noWrap w:val="0"/>
            <w:vAlign w:val="center"/>
          </w:tcPr>
          <w:p>
            <w:pPr>
              <w:keepNext/>
              <w:keepLines/>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组织指挥机制</w:t>
            </w:r>
          </w:p>
        </w:tc>
        <w:tc>
          <w:tcPr>
            <w:tcW w:w="426" w:type="dxa"/>
            <w:noWrap w:val="0"/>
            <w:vAlign w:val="center"/>
          </w:tcPr>
          <w:p>
            <w:pPr>
              <w:pStyle w:val="45"/>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14</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明确应急状态下指挥运行机制，建立统一的应急指挥、协调和决策程序</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指挥运行机制，指的是总指挥与各行动小组相互作用的程序和方式，能够对突发环境事件状态进行评估，迅速有效进行应急响应决策，指挥和协调各行动小组活动，合理高效地调配和使用应急资源</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55" w:hRule="atLeast"/>
          <w:jc w:val="center"/>
        </w:trPr>
        <w:tc>
          <w:tcPr>
            <w:tcW w:w="1134" w:type="dxa"/>
            <w:vMerge w:val="continue"/>
            <w:noWrap w:val="0"/>
            <w:vAlign w:val="center"/>
          </w:tcPr>
          <w:p>
            <w:pPr>
              <w:keepNext/>
              <w:keepLines/>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15</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根据突发环境事件的危害程度、影响范围、周边环境敏感点、企业应急响应能力等，建立分级应急响应机制，明确不同应急响应级别对应的指挥权限</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例如有的企业将环境应急分为车间级、企业级、社会级，明确相应的指挥权限：车间负责人、企业负责人、接受当地政府统一指挥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30" w:hRule="atLeast"/>
          <w:jc w:val="center"/>
        </w:trPr>
        <w:tc>
          <w:tcPr>
            <w:tcW w:w="1134" w:type="dxa"/>
            <w:vMerge w:val="continue"/>
            <w:noWrap w:val="0"/>
            <w:vAlign w:val="center"/>
          </w:tcPr>
          <w:p>
            <w:pPr>
              <w:keepNext/>
              <w:keepLines/>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16</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说明企业与政府及其有关部门之间的关系。明确政府及其有关部门介入后，企业内部指挥协调、配合处置、参与应急保障等工作任务和责任人</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例如政府及其有关部门介入后，环境应急指挥权的移交及企业内部的调整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54" w:hRule="atLeast"/>
          <w:jc w:val="center"/>
        </w:trPr>
        <w:tc>
          <w:tcPr>
            <w:tcW w:w="1134" w:type="dxa"/>
            <w:vMerge w:val="restart"/>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监测预警</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17</w:t>
            </w:r>
          </w:p>
        </w:tc>
        <w:tc>
          <w:tcPr>
            <w:tcW w:w="4819"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建立企业内部监控预警方案</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根据</w:t>
            </w:r>
            <w:r>
              <w:rPr>
                <w:rFonts w:ascii="宋体" w:hAnsi="宋体" w:eastAsia="宋体"/>
                <w:sz w:val="21"/>
                <w:szCs w:val="21"/>
              </w:rPr>
              <w:t>企业</w:t>
            </w:r>
            <w:r>
              <w:rPr>
                <w:rFonts w:hint="eastAsia" w:ascii="宋体" w:hAnsi="宋体" w:eastAsia="宋体"/>
                <w:sz w:val="21"/>
                <w:szCs w:val="21"/>
              </w:rPr>
              <w:t>可能面临事件情景</w:t>
            </w:r>
            <w:r>
              <w:rPr>
                <w:rFonts w:ascii="宋体" w:hAnsi="宋体" w:eastAsia="宋体"/>
                <w:sz w:val="21"/>
                <w:szCs w:val="21"/>
              </w:rPr>
              <w:t>，</w:t>
            </w:r>
            <w:r>
              <w:rPr>
                <w:rFonts w:hint="eastAsia" w:ascii="宋体" w:hAnsi="宋体" w:eastAsia="宋体"/>
                <w:sz w:val="21"/>
                <w:szCs w:val="21"/>
              </w:rPr>
              <w:t>结合事件危害程度、紧急程度和发展态势</w:t>
            </w:r>
            <w:r>
              <w:rPr>
                <w:rFonts w:ascii="宋体" w:hAnsi="宋体" w:eastAsia="宋体"/>
                <w:sz w:val="21"/>
                <w:szCs w:val="21"/>
              </w:rPr>
              <w:t>，</w:t>
            </w:r>
            <w:r>
              <w:rPr>
                <w:rFonts w:hint="eastAsia" w:ascii="宋体" w:hAnsi="宋体" w:eastAsia="宋体"/>
                <w:sz w:val="21"/>
                <w:szCs w:val="21"/>
              </w:rPr>
              <w:t>对企业内部预警级别、预警发布与解除、预警措施进行总体安排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06"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18</w:t>
            </w:r>
          </w:p>
        </w:tc>
        <w:tc>
          <w:tcPr>
            <w:tcW w:w="4819"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明确监控信息的获得途径和分析研判的方式方法</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监控信息的获得途径，例如极端天气等自然灾害、生产安全事故等事故灾难、相关监控监测信息等；</w:t>
            </w:r>
          </w:p>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分析研判的方式方法，例如根据相关信息和应急能力等，结合企业自身实际进行分析研判</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2090"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426" w:type="dxa"/>
            <w:noWrap w:val="0"/>
            <w:vAlign w:val="center"/>
          </w:tcPr>
          <w:p>
            <w:pPr>
              <w:pStyle w:val="45"/>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19</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明确企业内部预警条件，预警等级，预警信息发布、接收、调整、解除程序、发布内容、责任人</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1</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一般根据企业突发环境事件类型情景和自身的应急能力等，结合周边环境情况，确定预警等级，做到早发现、早报告、早发布；</w:t>
            </w:r>
          </w:p>
          <w:p>
            <w:pPr>
              <w:adjustRightInd w:val="0"/>
              <w:snapToGrid w:val="0"/>
              <w:spacing w:line="240" w:lineRule="auto"/>
              <w:rPr>
                <w:rFonts w:ascii="宋体" w:hAnsi="宋体" w:eastAsia="宋体"/>
                <w:sz w:val="21"/>
                <w:szCs w:val="21"/>
              </w:rPr>
            </w:pPr>
            <w:r>
              <w:rPr>
                <w:rFonts w:hint="eastAsia" w:ascii="宋体" w:hAnsi="宋体" w:eastAsia="宋体"/>
                <w:sz w:val="21"/>
                <w:szCs w:val="21"/>
              </w:rPr>
              <w:t>红色预警一般为企业自身力量难以应对；橙色预警一般为企业需要调集内部绝大部分力量参与应对；黄色、蓝色预警根据企业实际需求确定</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56" w:hRule="atLeast"/>
          <w:jc w:val="center"/>
        </w:trPr>
        <w:tc>
          <w:tcPr>
            <w:tcW w:w="1134" w:type="dxa"/>
            <w:vMerge w:val="restart"/>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信息报告</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20</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明确企业内部事件信息传递的责任人、程序、时限、方式、内容等，包括向协议应急救援单位传递信息的方式方法</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1</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从事件第一发现人至事件指挥人之间信息传递的方式、方法及内容，内容一般包括事件的时间、地点、涉及物质、简要经过、已造成或者可能造成的污染情况、已采取的措施等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keepNext/>
              <w:keepLines/>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21</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明确企业向当地人民政府及其环保等部门报告的责任人、程序、时限方式、内容等，辅以信息报告格式规范</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1</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从企业报告决策人、报告负责人到当地人民政府及其环保部门负责人（单位）之间信息传递的方式、方法及内容，内容一般包括企业及周边概况、事件的时间、地点、涉及物质、简要经过、已造成或者可能造成的污染情况、已采取的措施、请求支持的内容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keepNext/>
              <w:keepLines/>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22</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明确企业向可能受影响的居民、单位通报的责任人、程序、时限、方式、内容等</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1</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从企业通报决策人、通报负责人到周边居民、单位负责人之间信息传递的方式、方法及内容，内容一般包括事件已造成或者可能造成的污染情况、居民或单位避险措施等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restart"/>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应急监测</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23</w:t>
            </w:r>
            <w:r>
              <w:rPr>
                <w:rFonts w:hint="eastAsia" w:ascii="宋体" w:hAnsi="宋体" w:eastAsia="宋体"/>
                <w:sz w:val="21"/>
                <w:szCs w:val="21"/>
                <w:vertAlign w:val="superscript"/>
              </w:rPr>
              <w:t>c</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涉大气污染的，说明排放口和厂界气体监测的一般原则</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按照《突发环境事件应急监测技术规范》等有关要求，确定排放口和厂界气体监测一般原则，为针对具体事件情景制定监测方案提供指导；</w:t>
            </w:r>
          </w:p>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排放口为突发环境事件中污染物的排放出口，包括按照相关环境保护标准设置的排放口</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keepNext/>
              <w:keepLines/>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24</w:t>
            </w:r>
            <w:r>
              <w:rPr>
                <w:rFonts w:hint="eastAsia" w:ascii="宋体" w:hAnsi="宋体" w:eastAsia="宋体"/>
                <w:sz w:val="21"/>
                <w:szCs w:val="21"/>
                <w:vertAlign w:val="superscript"/>
              </w:rPr>
              <w:t>c</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涉水污染的，说明废水排放口、雨水排放口、清净下水排放口等可能外排渠道监测的一般原则</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1</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按照《突发环境事件应急监测技术规范》等有关要求，确定可能外排渠道监测的一般原则，为针对具体事件情景制定监测方案提供指导</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2"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426" w:type="dxa"/>
            <w:noWrap w:val="0"/>
            <w:vAlign w:val="center"/>
          </w:tcPr>
          <w:p>
            <w:pPr>
              <w:pStyle w:val="45"/>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25</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监测方案一般应明确监测项目、采样（监测）人员、监测设备、监测频次等</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针对具体事件情景制定监测方案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426" w:type="dxa"/>
            <w:noWrap w:val="0"/>
            <w:vAlign w:val="center"/>
          </w:tcPr>
          <w:p>
            <w:pPr>
              <w:pStyle w:val="45"/>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26</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明确监测执行单位；自身没有监测能力的，说明协议监测方案，并附协议</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1</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自身没有监测能力的，应与当地环境监测机构或其他机构衔接，确保能够迅速获得环境检测支持</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restart"/>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应对流程和措施</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27</w:t>
            </w:r>
            <w:r>
              <w:rPr>
                <w:rFonts w:hint="eastAsia" w:ascii="宋体" w:hAnsi="宋体" w:eastAsia="宋体"/>
                <w:sz w:val="21"/>
                <w:szCs w:val="21"/>
                <w:vertAlign w:val="superscript"/>
              </w:rPr>
              <w:t>b</w:t>
            </w:r>
          </w:p>
        </w:tc>
        <w:tc>
          <w:tcPr>
            <w:tcW w:w="4819" w:type="dxa"/>
            <w:tcBorders>
              <w:bottom w:val="single" w:color="auto" w:sz="4" w:space="0"/>
            </w:tcBorders>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根据环境风险评估报告中的风险分析和情景构建内容，说明应对流程和措施，体现：企业内部控制污染源</w:t>
            </w:r>
            <w:r>
              <w:rPr>
                <w:rFonts w:ascii="宋体" w:hAnsi="宋体" w:eastAsia="宋体"/>
                <w:sz w:val="21"/>
                <w:szCs w:val="21"/>
              </w:rPr>
              <w:t>-</w:t>
            </w:r>
            <w:r>
              <w:rPr>
                <w:rFonts w:hint="eastAsia" w:ascii="宋体" w:hAnsi="宋体" w:eastAsia="宋体"/>
                <w:sz w:val="21"/>
                <w:szCs w:val="21"/>
              </w:rPr>
              <w:t>研判污染范围</w:t>
            </w:r>
            <w:r>
              <w:rPr>
                <w:rFonts w:ascii="宋体" w:hAnsi="宋体" w:eastAsia="宋体"/>
                <w:sz w:val="21"/>
                <w:szCs w:val="21"/>
              </w:rPr>
              <w:t>-</w:t>
            </w:r>
            <w:r>
              <w:rPr>
                <w:rFonts w:hint="eastAsia" w:ascii="宋体" w:hAnsi="宋体" w:eastAsia="宋体"/>
                <w:sz w:val="21"/>
                <w:szCs w:val="21"/>
              </w:rPr>
              <w:t>控制污染扩散</w:t>
            </w:r>
            <w:r>
              <w:rPr>
                <w:rFonts w:ascii="宋体" w:hAnsi="宋体" w:eastAsia="宋体"/>
                <w:sz w:val="21"/>
                <w:szCs w:val="21"/>
              </w:rPr>
              <w:t>-</w:t>
            </w:r>
            <w:r>
              <w:rPr>
                <w:rFonts w:hint="eastAsia" w:ascii="宋体" w:hAnsi="宋体" w:eastAsia="宋体"/>
                <w:sz w:val="21"/>
                <w:szCs w:val="21"/>
              </w:rPr>
              <w:t>污染处置应对流程和措施</w:t>
            </w:r>
          </w:p>
        </w:tc>
        <w:tc>
          <w:tcPr>
            <w:tcW w:w="1276" w:type="dxa"/>
            <w:tcBorders>
              <w:bottom w:val="single" w:color="auto" w:sz="4" w:space="0"/>
            </w:tcBorders>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Borders>
              <w:bottom w:val="single" w:color="auto" w:sz="4" w:space="0"/>
            </w:tcBorders>
            <w:noWrap w:val="0"/>
            <w:vAlign w:val="top"/>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3</w:t>
            </w:r>
          </w:p>
        </w:tc>
        <w:tc>
          <w:tcPr>
            <w:tcW w:w="669" w:type="dxa"/>
            <w:tcBorders>
              <w:bottom w:val="single" w:color="auto" w:sz="4" w:space="0"/>
            </w:tcBorders>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企业内部应对突发环境事件的原则性措施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426" w:type="dxa"/>
            <w:noWrap w:val="0"/>
            <w:vAlign w:val="center"/>
          </w:tcPr>
          <w:p>
            <w:pPr>
              <w:pStyle w:val="45"/>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28</w:t>
            </w:r>
            <w:r>
              <w:rPr>
                <w:rFonts w:hint="eastAsia" w:ascii="宋体" w:hAnsi="宋体" w:eastAsia="宋体"/>
                <w:sz w:val="21"/>
                <w:szCs w:val="21"/>
                <w:vertAlign w:val="superscript"/>
              </w:rPr>
              <w:t>b</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体现必要的企业外部应急措施、配合当地人民政府的响应措施及对当地人民政府应急措施的建议</w:t>
            </w:r>
          </w:p>
        </w:tc>
        <w:tc>
          <w:tcPr>
            <w:tcW w:w="1276" w:type="dxa"/>
            <w:tcBorders>
              <w:top w:val="single" w:color="auto" w:sz="4" w:space="0"/>
            </w:tcBorders>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tcBorders>
              <w:top w:val="single" w:color="auto" w:sz="4" w:space="0"/>
            </w:tcBorders>
            <w:noWrap w:val="0"/>
            <w:vAlign w:val="top"/>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3</w:t>
            </w:r>
          </w:p>
        </w:tc>
        <w:tc>
          <w:tcPr>
            <w:tcW w:w="669" w:type="dxa"/>
            <w:tcBorders>
              <w:top w:val="single" w:color="auto" w:sz="4" w:space="0"/>
            </w:tcBorders>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突发环境事件可能或已经对企业外部环境产生影响时，企业在外部可以采取的原则性措施、对当地人民政府的建议性措施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71"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426" w:type="dxa"/>
            <w:noWrap w:val="0"/>
            <w:vAlign w:val="center"/>
          </w:tcPr>
          <w:p>
            <w:pPr>
              <w:pStyle w:val="45"/>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29</w:t>
            </w:r>
            <w:r>
              <w:rPr>
                <w:rFonts w:hint="eastAsia" w:ascii="宋体" w:hAnsi="宋体" w:eastAsia="宋体"/>
                <w:sz w:val="21"/>
                <w:szCs w:val="21"/>
                <w:vertAlign w:val="superscript"/>
              </w:rPr>
              <w:t>c</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涉及大气污染的，应重点说明受威胁范围、组织公众避险的方式方法，涉及疏散的一般应辅以疏散路线图；如果装备风向标，应配有风向标分布图</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ind w:left="0" w:leftChars="0" w:firstLine="0" w:firstLineChars="0"/>
              <w:rPr>
                <w:rFonts w:hint="eastAsia" w:ascii="宋体" w:hAnsi="宋体" w:eastAsia="宋体"/>
                <w:sz w:val="21"/>
                <w:szCs w:val="21"/>
              </w:rPr>
            </w:pPr>
            <w:r>
              <w:rPr>
                <w:rFonts w:hint="eastAsia" w:ascii="宋体" w:hAnsi="宋体" w:eastAsia="宋体"/>
                <w:sz w:val="21"/>
                <w:szCs w:val="21"/>
              </w:rPr>
              <w:t>2</w:t>
            </w:r>
          </w:p>
          <w:p>
            <w:pPr>
              <w:keepNext/>
              <w:keepLines/>
              <w:adjustRightInd w:val="0"/>
              <w:snapToGrid w:val="0"/>
              <w:spacing w:line="240" w:lineRule="auto"/>
              <w:rPr>
                <w:rFonts w:ascii="宋体" w:hAnsi="宋体" w:eastAsia="宋体"/>
                <w:sz w:val="21"/>
                <w:szCs w:val="21"/>
              </w:rPr>
            </w:pP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避险的方式包括疏散、防护等，说明避险措施的原则性安排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1134" w:type="dxa"/>
            <w:vMerge w:val="continue"/>
            <w:noWrap w:val="0"/>
            <w:vAlign w:val="center"/>
          </w:tcPr>
          <w:p>
            <w:pPr>
              <w:keepNext/>
              <w:keepLines/>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30</w:t>
            </w:r>
            <w:r>
              <w:rPr>
                <w:rFonts w:hint="eastAsia" w:ascii="宋体" w:hAnsi="宋体" w:eastAsia="宋体"/>
                <w:sz w:val="21"/>
                <w:szCs w:val="21"/>
                <w:vertAlign w:val="superscript"/>
              </w:rPr>
              <w:t>c</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涉及水污染的，应重点说明企业内收集、封堵、处置污染物的方式方法，适当延伸至企业外防控方式方法；配有废水、雨水、清净下水管网及重要阀门设置图</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宋体" w:cs="MS Gothic"/>
                <w:sz w:val="21"/>
                <w:szCs w:val="21"/>
                <w:lang w:eastAsia="zh-CN"/>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ind w:left="0" w:leftChars="0" w:firstLine="0" w:firstLineChars="0"/>
              <w:rPr>
                <w:rFonts w:hint="eastAsia" w:ascii="宋体" w:hAnsi="宋体" w:eastAsia="宋体"/>
                <w:sz w:val="21"/>
                <w:szCs w:val="21"/>
                <w:lang w:eastAsia="zh-CN"/>
              </w:rPr>
            </w:pPr>
            <w:r>
              <w:rPr>
                <w:rFonts w:hint="eastAsia" w:ascii="宋体" w:hAnsi="宋体" w:eastAsia="宋体"/>
                <w:sz w:val="21"/>
                <w:szCs w:val="21"/>
                <w:lang w:val="en-US" w:eastAsia="zh-CN"/>
              </w:rPr>
              <w:t>1</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说明控制水污染的原则性安排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60" w:hRule="atLeast"/>
          <w:jc w:val="center"/>
        </w:trPr>
        <w:tc>
          <w:tcPr>
            <w:tcW w:w="1134" w:type="dxa"/>
            <w:vMerge w:val="continue"/>
            <w:noWrap w:val="0"/>
            <w:vAlign w:val="center"/>
          </w:tcPr>
          <w:p>
            <w:pPr>
              <w:keepNext/>
              <w:keepLines/>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31</w:t>
            </w:r>
            <w:r>
              <w:rPr>
                <w:rFonts w:hint="eastAsia" w:ascii="宋体" w:hAnsi="宋体" w:eastAsia="宋体"/>
                <w:sz w:val="21"/>
                <w:szCs w:val="21"/>
                <w:vertAlign w:val="superscript"/>
              </w:rPr>
              <w:t>b</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分别说明可能的事件情景及应急处置方案，明确相关岗位人员采取措施的时间、地点、内容、方式、目标等</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宋体" w:cs="MS Gothic"/>
                <w:sz w:val="21"/>
                <w:szCs w:val="21"/>
                <w:lang w:eastAsia="zh-CN"/>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宋体" w:cs="MS Gothic"/>
                <w:sz w:val="21"/>
                <w:szCs w:val="21"/>
                <w:lang w:eastAsia="zh-CN"/>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ind w:left="0" w:leftChars="0" w:firstLine="0" w:firstLineChars="0"/>
              <w:rPr>
                <w:rFonts w:hint="eastAsia" w:ascii="宋体" w:hAnsi="宋体" w:eastAsia="宋体"/>
                <w:sz w:val="21"/>
                <w:szCs w:val="21"/>
                <w:lang w:eastAsia="zh-CN"/>
              </w:rPr>
            </w:pPr>
            <w:r>
              <w:rPr>
                <w:rFonts w:hint="eastAsia" w:ascii="宋体" w:hAnsi="宋体" w:eastAsia="宋体"/>
                <w:sz w:val="21"/>
                <w:szCs w:val="21"/>
                <w:lang w:val="en-US" w:eastAsia="zh-CN"/>
              </w:rPr>
              <w:t>3</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按照以上原则性措施，针对具体事件情景，按岗位细化各项应对措施，并纳入岗位职责范围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21" w:hRule="atLeast"/>
          <w:jc w:val="center"/>
        </w:trPr>
        <w:tc>
          <w:tcPr>
            <w:tcW w:w="1134" w:type="dxa"/>
            <w:vMerge w:val="continue"/>
            <w:noWrap w:val="0"/>
            <w:vAlign w:val="center"/>
          </w:tcPr>
          <w:p>
            <w:pPr>
              <w:keepNext/>
              <w:keepLines/>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32</w:t>
            </w:r>
            <w:r>
              <w:rPr>
                <w:rFonts w:hint="eastAsia" w:ascii="宋体" w:hAnsi="宋体" w:eastAsia="宋体"/>
                <w:sz w:val="21"/>
                <w:szCs w:val="21"/>
                <w:vertAlign w:val="superscript"/>
              </w:rPr>
              <w:t>b</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将应急措施细化、落实到岗位，形成应急处置卡</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lang w:eastAsia="zh-CN"/>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宋体" w:cs="MS Gothic"/>
                <w:sz w:val="21"/>
                <w:szCs w:val="21"/>
                <w:lang w:eastAsia="zh-CN"/>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ind w:left="0" w:leftChars="0" w:firstLine="0" w:firstLineChars="0"/>
              <w:rPr>
                <w:rFonts w:hint="eastAsia" w:ascii="宋体" w:hAnsi="宋体" w:eastAsia="宋体"/>
                <w:sz w:val="21"/>
                <w:szCs w:val="21"/>
                <w:lang w:eastAsia="zh-CN"/>
              </w:rPr>
            </w:pPr>
            <w:r>
              <w:rPr>
                <w:rFonts w:hint="eastAsia" w:ascii="宋体" w:hAnsi="宋体" w:eastAsia="宋体"/>
                <w:sz w:val="21"/>
                <w:szCs w:val="21"/>
                <w:lang w:val="en-US" w:eastAsia="zh-CN"/>
              </w:rPr>
              <w:t>3</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关键岗位的应急处置卡无遗漏，事件情景特征、处理步骤、应急物资、注意事项等叙述清晰</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37"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426" w:type="dxa"/>
            <w:noWrap w:val="0"/>
            <w:vAlign w:val="center"/>
          </w:tcPr>
          <w:p>
            <w:pPr>
              <w:pStyle w:val="45"/>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33</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配有厂区平面布置图，应急物资表</w:t>
            </w:r>
            <w:r>
              <w:rPr>
                <w:rFonts w:ascii="宋体" w:hAnsi="宋体" w:eastAsia="宋体"/>
                <w:sz w:val="21"/>
                <w:szCs w:val="21"/>
              </w:rPr>
              <w:t>/</w:t>
            </w:r>
            <w:r>
              <w:rPr>
                <w:rFonts w:hint="eastAsia" w:ascii="宋体" w:hAnsi="宋体" w:eastAsia="宋体"/>
                <w:sz w:val="21"/>
                <w:szCs w:val="21"/>
              </w:rPr>
              <w:t>分布图</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1</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90"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应急终止</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34</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结合本单位实际，说明应急终止的条件和发布程序</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列明应急终止的基本条件，明确应急终止的决策、指令内容及传递程序等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95"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事后恢复</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35</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说明事后恢复的工作内容和责任人，一般包括：现场污染物的后续处理；环境应急相关设施、设备、场所的维护；配合开展环境损害评估、赔偿、事件调查处理等</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《突发事件应急预案管理办法》强调应急预案重在“应对”，适当向后延伸至“恢复”，即企业从突发环境事件应对的“非常规状态”过渡到“常规状态”的相关工作安排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75"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保障措施</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36</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说明环境应急预案涉及的人力资源、财力、物资以及其他技术、重要设施的保障</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lang w:eastAsia="zh-CN"/>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对各类保障措施进行总体安排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16" w:hRule="atLeast"/>
          <w:jc w:val="center"/>
        </w:trPr>
        <w:tc>
          <w:tcPr>
            <w:tcW w:w="1134" w:type="dxa"/>
            <w:vMerge w:val="restart"/>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预案管理</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37</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安排有关环境应急预案的培训和演练</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1</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对预案培训、演练进行总体安排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30"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38</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明确环境应急预案的评估修订要求</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对预案评估修订进行总体安排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25" w:hRule="atLeast"/>
          <w:jc w:val="center"/>
        </w:trPr>
        <w:tc>
          <w:tcPr>
            <w:tcW w:w="13781" w:type="dxa"/>
            <w:gridSpan w:val="8"/>
            <w:noWrap w:val="0"/>
            <w:vAlign w:val="center"/>
          </w:tcPr>
          <w:p>
            <w:pPr>
              <w:adjustRightInd w:val="0"/>
              <w:snapToGrid w:val="0"/>
              <w:spacing w:line="240" w:lineRule="auto"/>
              <w:jc w:val="center"/>
              <w:rPr>
                <w:rFonts w:ascii="黑体" w:hAnsi="黑体" w:eastAsia="黑体"/>
                <w:sz w:val="21"/>
                <w:szCs w:val="21"/>
              </w:rPr>
            </w:pPr>
            <w:r>
              <w:rPr>
                <w:rFonts w:hint="eastAsia" w:ascii="黑体" w:hAnsi="黑体" w:eastAsia="黑体"/>
                <w:sz w:val="21"/>
                <w:szCs w:val="21"/>
              </w:rPr>
              <w:t>环境风险评估报告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237" w:hRule="atLeast"/>
          <w:jc w:val="center"/>
        </w:trPr>
        <w:tc>
          <w:tcPr>
            <w:tcW w:w="1134" w:type="dxa"/>
            <w:vMerge w:val="restart"/>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风险分析</w:t>
            </w:r>
            <w:r>
              <w:rPr>
                <w:rFonts w:hint="eastAsia" w:ascii="宋体" w:hAnsi="宋体" w:eastAsia="宋体"/>
                <w:sz w:val="21"/>
                <w:szCs w:val="21"/>
                <w:vertAlign w:val="superscript"/>
              </w:rPr>
              <w:t>c</w:t>
            </w:r>
          </w:p>
        </w:tc>
        <w:tc>
          <w:tcPr>
            <w:tcW w:w="426" w:type="dxa"/>
            <w:noWrap w:val="0"/>
            <w:vAlign w:val="center"/>
          </w:tcPr>
          <w:p>
            <w:pPr>
              <w:pStyle w:val="45"/>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39</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识别出所有重要的环境风险物质；列表，至少列出重要环境风险物质的名称、数量（最大存在总量）、位置</w:t>
            </w:r>
            <w:r>
              <w:rPr>
                <w:rFonts w:ascii="宋体" w:hAnsi="宋体" w:eastAsia="宋体"/>
                <w:sz w:val="21"/>
                <w:szCs w:val="21"/>
              </w:rPr>
              <w:t>/</w:t>
            </w:r>
            <w:r>
              <w:rPr>
                <w:rFonts w:hint="eastAsia" w:ascii="宋体" w:hAnsi="宋体" w:eastAsia="宋体"/>
                <w:sz w:val="21"/>
                <w:szCs w:val="21"/>
              </w:rPr>
              <w:t>所在装置；环境风险物质数量大于临界量的，辨识重要环境风险单元</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jc w:val="left"/>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对照企业突发环境事件风险评估相关文件，识别出所有重要的物质；对于数量大于临界量的，应辨识环境风险物质在企业哪些环境风险单元集中分布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72"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426" w:type="dxa"/>
            <w:noWrap w:val="0"/>
            <w:vAlign w:val="center"/>
          </w:tcPr>
          <w:p>
            <w:pPr>
              <w:pStyle w:val="45"/>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40</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重点核对生产工艺、环境风险防控措施各项指标的赋值是否合理</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宋体" w:cs="MS Gothic"/>
                <w:sz w:val="21"/>
                <w:szCs w:val="21"/>
                <w:lang w:eastAsia="zh-CN"/>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rPr>
                <w:rFonts w:hint="eastAsia" w:ascii="宋体" w:hAnsi="宋体" w:eastAsia="宋体"/>
                <w:sz w:val="21"/>
                <w:szCs w:val="21"/>
                <w:lang w:val="en-US" w:eastAsia="zh-CN"/>
              </w:rPr>
            </w:pPr>
            <w:r>
              <w:rPr>
                <w:rFonts w:hint="eastAsia" w:ascii="宋体" w:hAnsi="宋体" w:eastAsia="宋体"/>
                <w:sz w:val="21"/>
                <w:szCs w:val="21"/>
                <w:lang w:val="en-US" w:eastAsia="zh-CN"/>
              </w:rPr>
              <w:t>1</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按照企业突发环境事件风险评估相关文件的赋分规则审查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18" w:hRule="atLeast"/>
          <w:jc w:val="center"/>
        </w:trPr>
        <w:tc>
          <w:tcPr>
            <w:tcW w:w="1134" w:type="dxa"/>
            <w:vMerge w:val="continue"/>
            <w:noWrap w:val="0"/>
            <w:vAlign w:val="center"/>
          </w:tcPr>
          <w:p>
            <w:pPr>
              <w:spacing w:line="240" w:lineRule="auto"/>
            </w:pPr>
          </w:p>
        </w:tc>
        <w:tc>
          <w:tcPr>
            <w:tcW w:w="426"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41</w:t>
            </w:r>
          </w:p>
        </w:tc>
        <w:tc>
          <w:tcPr>
            <w:tcW w:w="4819"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环境风险受体类型的确定是否合理</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按照企业突发环境事件风险评估相关文件的受体划分依据审查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93" w:hRule="atLeast"/>
          <w:jc w:val="center"/>
        </w:trPr>
        <w:tc>
          <w:tcPr>
            <w:tcW w:w="1134" w:type="dxa"/>
            <w:vMerge w:val="continue"/>
            <w:noWrap w:val="0"/>
            <w:vAlign w:val="center"/>
          </w:tcPr>
          <w:p>
            <w:pPr>
              <w:spacing w:line="240" w:lineRule="auto"/>
            </w:pPr>
          </w:p>
        </w:tc>
        <w:tc>
          <w:tcPr>
            <w:tcW w:w="426"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42</w:t>
            </w:r>
          </w:p>
        </w:tc>
        <w:tc>
          <w:tcPr>
            <w:tcW w:w="4819"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环境风险等级划分是否正确</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按照企业突发环境事件风险评估相关文件审查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378" w:hRule="atLeast"/>
          <w:jc w:val="center"/>
        </w:trPr>
        <w:tc>
          <w:tcPr>
            <w:tcW w:w="1134" w:type="dxa"/>
            <w:vMerge w:val="restart"/>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情景构建</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43</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列明国内外同类企业的突发环境事件信息，提出本企业可能发生的突发环境事件情景</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宋体" w:cs="MS Gothic"/>
                <w:sz w:val="21"/>
                <w:szCs w:val="21"/>
                <w:lang w:eastAsia="zh-CN"/>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rPr>
                <w:rFonts w:hint="eastAsia" w:ascii="宋体" w:hAnsi="宋体" w:eastAsia="宋体"/>
                <w:sz w:val="21"/>
                <w:szCs w:val="21"/>
                <w:lang w:eastAsia="zh-CN"/>
              </w:rPr>
            </w:pPr>
            <w:r>
              <w:rPr>
                <w:rFonts w:hint="eastAsia" w:ascii="宋体" w:hAnsi="宋体" w:eastAsia="宋体"/>
                <w:sz w:val="21"/>
                <w:szCs w:val="21"/>
                <w:lang w:val="en-US" w:eastAsia="zh-CN"/>
              </w:rPr>
              <w:t>1</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列表说明事件的日期、地点、引发原因、事件影响等内容，按照企业突发环境事件风险评估相关文件，结合企业实际列出事件情景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532" w:hRule="atLeast"/>
          <w:jc w:val="center"/>
        </w:trPr>
        <w:tc>
          <w:tcPr>
            <w:tcW w:w="1134" w:type="dxa"/>
            <w:vMerge w:val="continue"/>
            <w:noWrap w:val="0"/>
            <w:vAlign w:val="center"/>
          </w:tcPr>
          <w:p>
            <w:pPr>
              <w:keepNext/>
              <w:keepLines/>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44</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源强分析，重点分析释放环境风险物质的种类、释放速率、持续时间</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jc w:val="left"/>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针对每种典型事件情景进行源强分析，至少包括释放环境风险物质的种类、释放速率、持续时间三个要素，可以参考《建设项目环境风险评价技术导则》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89"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426" w:type="dxa"/>
            <w:noWrap w:val="0"/>
            <w:vAlign w:val="center"/>
          </w:tcPr>
          <w:p>
            <w:pPr>
              <w:pStyle w:val="45"/>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45</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释放途径分析，重点分析环境风险物质从释放源头到受体之间的过程</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jc w:val="left"/>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1</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对于可能造成水污染的，分析环境风险物质从释放源头，经厂界内到厂界外，最终影响到环境风险受体的可能的路径；对于可能造成大气污染的，分析从泄漏源头释放至风险受体的路径</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98" w:hRule="atLeast"/>
          <w:jc w:val="center"/>
        </w:trPr>
        <w:tc>
          <w:tcPr>
            <w:tcW w:w="1134" w:type="dxa"/>
            <w:vMerge w:val="continue"/>
            <w:noWrap w:val="0"/>
            <w:vAlign w:val="center"/>
          </w:tcPr>
          <w:p>
            <w:pPr>
              <w:adjustRightInd w:val="0"/>
              <w:snapToGrid w:val="0"/>
              <w:spacing w:line="240" w:lineRule="auto"/>
              <w:jc w:val="center"/>
              <w:rPr>
                <w:rFonts w:ascii="宋体" w:hAnsi="宋体" w:eastAsia="宋体"/>
                <w:sz w:val="21"/>
                <w:szCs w:val="21"/>
              </w:rPr>
            </w:pPr>
          </w:p>
        </w:tc>
        <w:tc>
          <w:tcPr>
            <w:tcW w:w="426" w:type="dxa"/>
            <w:noWrap w:val="0"/>
            <w:vAlign w:val="center"/>
          </w:tcPr>
          <w:p>
            <w:pPr>
              <w:pStyle w:val="45"/>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46</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危害后果分析，重点分析环境风险物质的影响范围和程度</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1</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针对每种情景的重点环境风险物质，计算浓度分布情况，说明影响范围和程度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53" w:hRule="atLeast"/>
          <w:jc w:val="center"/>
        </w:trPr>
        <w:tc>
          <w:tcPr>
            <w:tcW w:w="1134" w:type="dxa"/>
            <w:vMerge w:val="continue"/>
            <w:noWrap w:val="0"/>
            <w:vAlign w:val="center"/>
          </w:tcPr>
          <w:p>
            <w:pPr>
              <w:keepNext/>
              <w:keepLines/>
              <w:adjustRightInd w:val="0"/>
              <w:snapToGrid w:val="0"/>
              <w:spacing w:line="240" w:lineRule="auto"/>
              <w:jc w:val="center"/>
              <w:rPr>
                <w:rFonts w:ascii="宋体" w:hAnsi="宋体" w:eastAsia="宋体"/>
                <w:sz w:val="21"/>
                <w:szCs w:val="21"/>
              </w:rPr>
            </w:pP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47</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明确在最坏情景下，大气环境风险物质影响最远距离内的人口数量及位置等，水环境敏感受体的数量及位置等信息，并附有相关示意图</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宋体" w:cs="MS Gothic"/>
                <w:sz w:val="21"/>
                <w:szCs w:val="21"/>
                <w:lang w:eastAsia="zh-CN"/>
              </w:rPr>
              <w:sym w:font="Wingdings 2" w:char="0052"/>
            </w:r>
            <w:r>
              <w:rPr>
                <w:rFonts w:hint="eastAsia" w:ascii="宋体" w:hAnsi="宋体" w:eastAsia="宋体"/>
                <w:sz w:val="21"/>
                <w:szCs w:val="21"/>
              </w:rPr>
              <w:t>部分符合</w:t>
            </w:r>
          </w:p>
          <w:p>
            <w:pPr>
              <w:adjustRightInd w:val="0"/>
              <w:snapToGrid w:val="0"/>
              <w:spacing w:line="240" w:lineRule="auto"/>
              <w:ind w:left="0" w:leftChars="0" w:firstLine="0" w:firstLineChars="0"/>
              <w:jc w:val="left"/>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spacing w:line="240" w:lineRule="auto"/>
              <w:rPr>
                <w:rFonts w:ascii="宋体" w:hAnsi="宋体" w:eastAsia="宋体"/>
                <w:sz w:val="21"/>
                <w:szCs w:val="21"/>
              </w:rPr>
            </w:pPr>
            <w:r>
              <w:rPr>
                <w:rFonts w:hint="eastAsia" w:ascii="宋体" w:hAnsi="宋体" w:eastAsia="宋体"/>
                <w:sz w:val="21"/>
                <w:szCs w:val="21"/>
              </w:rPr>
              <w:t>1</w:t>
            </w:r>
          </w:p>
        </w:tc>
        <w:tc>
          <w:tcPr>
            <w:tcW w:w="669" w:type="dxa"/>
            <w:noWrap w:val="0"/>
            <w:vAlign w:val="top"/>
          </w:tcPr>
          <w:p>
            <w:pPr>
              <w:adjustRightInd w:val="0"/>
              <w:snapToGrid w:val="0"/>
              <w:spacing w:line="240" w:lineRule="auto"/>
              <w:rPr>
                <w:rFonts w:ascii="宋体" w:hAnsi="宋体" w:eastAsia="宋体"/>
                <w:sz w:val="21"/>
                <w:szCs w:val="21"/>
              </w:rPr>
            </w:pPr>
          </w:p>
        </w:tc>
        <w:tc>
          <w:tcPr>
            <w:tcW w:w="4850" w:type="dxa"/>
            <w:noWrap w:val="0"/>
            <w:vAlign w:val="center"/>
          </w:tcPr>
          <w:p>
            <w:pPr>
              <w:adjustRightInd w:val="0"/>
              <w:snapToGrid w:val="0"/>
              <w:spacing w:line="240" w:lineRule="auto"/>
              <w:rPr>
                <w:rFonts w:ascii="宋体" w:hAnsi="宋体" w:eastAsia="宋体"/>
                <w:sz w:val="21"/>
                <w:szCs w:val="21"/>
              </w:rPr>
            </w:pPr>
            <w:r>
              <w:rPr>
                <w:rFonts w:hint="eastAsia" w:ascii="宋体" w:hAnsi="宋体" w:eastAsia="宋体"/>
                <w:sz w:val="21"/>
                <w:szCs w:val="21"/>
              </w:rPr>
              <w:t>针对最坏情景的计算结果，列出受影响的大气和水环境保护目标，附图示说明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33"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完善计划</w:t>
            </w:r>
          </w:p>
        </w:tc>
        <w:tc>
          <w:tcPr>
            <w:tcW w:w="426" w:type="dxa"/>
            <w:noWrap w:val="0"/>
            <w:vAlign w:val="center"/>
          </w:tcPr>
          <w:p>
            <w:pPr>
              <w:pStyle w:val="45"/>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48</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分析现有环境风险防控与应急措施所存在的差距，制定环境风险防控整改完善计划</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2</w:t>
            </w:r>
          </w:p>
        </w:tc>
        <w:tc>
          <w:tcPr>
            <w:tcW w:w="669" w:type="dxa"/>
            <w:noWrap w:val="0"/>
            <w:vAlign w:val="top"/>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对现有环境风险防控与应急措施的完备性、可靠性和有效性进行分析论证，找出差距、问题。针对需要整改的短期、中期和长期项目，分别制定完善环境风险防控和应急措施的实施计划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67" w:hRule="atLeast"/>
          <w:jc w:val="center"/>
        </w:trPr>
        <w:tc>
          <w:tcPr>
            <w:tcW w:w="13781" w:type="dxa"/>
            <w:gridSpan w:val="8"/>
            <w:noWrap w:val="0"/>
            <w:vAlign w:val="center"/>
          </w:tcPr>
          <w:p>
            <w:pPr>
              <w:adjustRightInd w:val="0"/>
              <w:snapToGrid w:val="0"/>
              <w:spacing w:line="240" w:lineRule="auto"/>
              <w:jc w:val="center"/>
              <w:rPr>
                <w:rFonts w:ascii="黑体" w:hAnsi="黑体" w:eastAsia="黑体"/>
                <w:sz w:val="21"/>
                <w:szCs w:val="21"/>
              </w:rPr>
            </w:pPr>
            <w:r>
              <w:rPr>
                <w:rFonts w:hint="eastAsia" w:ascii="黑体" w:hAnsi="黑体" w:eastAsia="黑体"/>
                <w:sz w:val="21"/>
                <w:szCs w:val="21"/>
              </w:rPr>
              <w:t>环境应急资源调查报告（表）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713"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调查内容</w:t>
            </w:r>
          </w:p>
        </w:tc>
        <w:tc>
          <w:tcPr>
            <w:tcW w:w="426" w:type="dxa"/>
            <w:noWrap w:val="0"/>
            <w:vAlign w:val="center"/>
          </w:tcPr>
          <w:p>
            <w:pPr>
              <w:pStyle w:val="45"/>
              <w:keepNext/>
              <w:keepLines/>
              <w:tabs>
                <w:tab w:val="left" w:pos="0"/>
              </w:tab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49</w:t>
            </w:r>
          </w:p>
        </w:tc>
        <w:tc>
          <w:tcPr>
            <w:tcW w:w="4819" w:type="dxa"/>
            <w:noWrap w:val="0"/>
            <w:vAlign w:val="center"/>
          </w:tcPr>
          <w:p>
            <w:pPr>
              <w:adjustRightInd w:val="0"/>
              <w:snapToGrid w:val="0"/>
              <w:spacing w:line="240" w:lineRule="auto"/>
              <w:jc w:val="left"/>
              <w:rPr>
                <w:rFonts w:ascii="宋体" w:hAnsi="宋体" w:eastAsia="宋体"/>
                <w:spacing w:val="-2"/>
                <w:sz w:val="21"/>
                <w:szCs w:val="21"/>
              </w:rPr>
            </w:pPr>
            <w:r>
              <w:rPr>
                <w:rFonts w:hint="eastAsia" w:ascii="宋体" w:hAnsi="宋体" w:eastAsia="宋体"/>
                <w:spacing w:val="-2"/>
                <w:sz w:val="21"/>
                <w:szCs w:val="21"/>
              </w:rPr>
              <w:t>第一时间可调用的环境应急队伍、装备、物资、场所</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lang w:eastAsia="zh-CN"/>
              </w:rPr>
              <w:t>□</w:t>
            </w:r>
            <w:r>
              <w:rPr>
                <w:rFonts w:hint="eastAsia" w:ascii="宋体" w:hAnsi="宋体" w:eastAsia="宋体"/>
                <w:sz w:val="21"/>
                <w:szCs w:val="21"/>
              </w:rPr>
              <w:t>部分符合</w:t>
            </w:r>
          </w:p>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center"/>
          </w:tcPr>
          <w:p>
            <w:pPr>
              <w:keepNext/>
              <w:keepLines/>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2</w:t>
            </w:r>
          </w:p>
        </w:tc>
        <w:tc>
          <w:tcPr>
            <w:tcW w:w="669" w:type="dxa"/>
            <w:noWrap w:val="0"/>
            <w:vAlign w:val="center"/>
          </w:tcPr>
          <w:p>
            <w:pPr>
              <w:keepNext/>
              <w:keepLines/>
              <w:adjustRightInd w:val="0"/>
              <w:snapToGrid w:val="0"/>
              <w:spacing w:line="240" w:lineRule="auto"/>
              <w:rPr>
                <w:rFonts w:ascii="宋体" w:hAnsi="宋体" w:eastAsia="宋体"/>
                <w:sz w:val="21"/>
                <w:szCs w:val="21"/>
              </w:rPr>
            </w:pPr>
          </w:p>
        </w:tc>
        <w:tc>
          <w:tcPr>
            <w:tcW w:w="4850" w:type="dxa"/>
            <w:noWrap w:val="0"/>
            <w:vAlign w:val="center"/>
          </w:tcPr>
          <w:p>
            <w:pPr>
              <w:keepNext/>
              <w:keepLines/>
              <w:adjustRightInd w:val="0"/>
              <w:snapToGrid w:val="0"/>
              <w:spacing w:line="240" w:lineRule="auto"/>
              <w:jc w:val="left"/>
              <w:rPr>
                <w:rFonts w:ascii="宋体" w:hAnsi="宋体" w:eastAsia="宋体"/>
                <w:sz w:val="21"/>
                <w:szCs w:val="21"/>
              </w:rPr>
            </w:pPr>
            <w:r>
              <w:rPr>
                <w:rFonts w:hint="eastAsia" w:ascii="宋体" w:hAnsi="宋体" w:eastAsia="宋体"/>
                <w:sz w:val="21"/>
                <w:szCs w:val="21"/>
              </w:rPr>
              <w:t>重点调查可以直接使用的环境应急资源，包括：专职和兼职应急队伍；自储、代储、协议储备的环境应急装备；自储、代储、协议储备环境应急物资；应急处置场所、应急物资或装备存放场所、应急指挥场所。预案中的应急措施使用的环境应急资源与现有资源一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42" w:hRule="atLeast"/>
          <w:jc w:val="center"/>
        </w:trPr>
        <w:tc>
          <w:tcPr>
            <w:tcW w:w="1134" w:type="dxa"/>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调查结果</w:t>
            </w:r>
          </w:p>
        </w:tc>
        <w:tc>
          <w:tcPr>
            <w:tcW w:w="426" w:type="dxa"/>
            <w:noWrap w:val="0"/>
            <w:vAlign w:val="center"/>
          </w:tcPr>
          <w:p>
            <w:pPr>
              <w:pStyle w:val="45"/>
              <w:keepNext/>
              <w:keepLines/>
              <w:adjustRightInd w:val="0"/>
              <w:snapToGrid w:val="0"/>
              <w:spacing w:line="240" w:lineRule="auto"/>
              <w:ind w:firstLine="0" w:firstLineChars="0"/>
              <w:jc w:val="center"/>
              <w:rPr>
                <w:rFonts w:ascii="宋体" w:hAnsi="宋体" w:eastAsia="宋体"/>
                <w:sz w:val="21"/>
                <w:szCs w:val="21"/>
              </w:rPr>
            </w:pPr>
            <w:r>
              <w:rPr>
                <w:rFonts w:hint="eastAsia" w:ascii="宋体" w:hAnsi="宋体" w:eastAsia="宋体"/>
                <w:sz w:val="21"/>
                <w:szCs w:val="21"/>
              </w:rPr>
              <w:t>50</w:t>
            </w:r>
          </w:p>
        </w:tc>
        <w:tc>
          <w:tcPr>
            <w:tcW w:w="4819"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针对环境应急资源清单，抽查数据的可信性</w:t>
            </w:r>
          </w:p>
        </w:tc>
        <w:tc>
          <w:tcPr>
            <w:tcW w:w="1276" w:type="dxa"/>
            <w:noWrap w:val="0"/>
            <w:vAlign w:val="center"/>
          </w:tcPr>
          <w:p>
            <w:pPr>
              <w:adjustRightInd w:val="0"/>
              <w:snapToGrid w:val="0"/>
              <w:spacing w:line="240" w:lineRule="auto"/>
              <w:ind w:left="0" w:leftChars="0" w:firstLine="0" w:firstLineChars="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spacing w:line="240" w:lineRule="auto"/>
              <w:ind w:left="0" w:leftChars="0" w:firstLine="0" w:firstLineChars="0"/>
              <w:rPr>
                <w:rFonts w:ascii="宋体" w:hAnsi="宋体" w:eastAsia="宋体"/>
                <w:sz w:val="21"/>
                <w:szCs w:val="21"/>
              </w:rPr>
            </w:pPr>
            <w:r>
              <w:rPr>
                <w:rFonts w:hint="eastAsia" w:ascii="MS Gothic" w:hAnsi="MS Gothic" w:eastAsia="MS Gothic" w:cs="MS Gothic"/>
                <w:sz w:val="21"/>
                <w:szCs w:val="21"/>
              </w:rPr>
              <w:t>☑</w:t>
            </w:r>
            <w:r>
              <w:rPr>
                <w:rFonts w:hint="eastAsia" w:ascii="宋体" w:hAnsi="宋体" w:eastAsia="宋体"/>
                <w:sz w:val="21"/>
                <w:szCs w:val="21"/>
              </w:rPr>
              <w:t>部分符合</w:t>
            </w:r>
          </w:p>
          <w:p>
            <w:pPr>
              <w:adjustRightInd w:val="0"/>
              <w:snapToGrid w:val="0"/>
              <w:spacing w:line="240" w:lineRule="auto"/>
              <w:ind w:left="0" w:leftChars="0" w:firstLine="0" w:firstLineChars="0"/>
              <w:jc w:val="left"/>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center"/>
          </w:tcPr>
          <w:p>
            <w:pPr>
              <w:adjustRightInd w:val="0"/>
              <w:snapToGrid w:val="0"/>
              <w:spacing w:line="240" w:lineRule="auto"/>
              <w:jc w:val="center"/>
              <w:rPr>
                <w:rFonts w:ascii="宋体" w:hAnsi="宋体" w:eastAsia="宋体"/>
                <w:sz w:val="21"/>
                <w:szCs w:val="21"/>
              </w:rPr>
            </w:pPr>
            <w:r>
              <w:rPr>
                <w:rFonts w:hint="eastAsia" w:ascii="宋体" w:hAnsi="宋体" w:eastAsia="宋体"/>
                <w:sz w:val="21"/>
                <w:szCs w:val="21"/>
              </w:rPr>
              <w:t>1</w:t>
            </w:r>
          </w:p>
        </w:tc>
        <w:tc>
          <w:tcPr>
            <w:tcW w:w="669" w:type="dxa"/>
            <w:noWrap w:val="0"/>
            <w:vAlign w:val="center"/>
          </w:tcPr>
          <w:p>
            <w:pPr>
              <w:adjustRightInd w:val="0"/>
              <w:snapToGrid w:val="0"/>
              <w:spacing w:line="240" w:lineRule="auto"/>
              <w:jc w:val="center"/>
              <w:rPr>
                <w:rFonts w:ascii="宋体" w:hAnsi="宋体" w:eastAsia="宋体"/>
                <w:sz w:val="21"/>
                <w:szCs w:val="21"/>
              </w:rPr>
            </w:pPr>
          </w:p>
        </w:tc>
        <w:tc>
          <w:tcPr>
            <w:tcW w:w="4850" w:type="dxa"/>
            <w:noWrap w:val="0"/>
            <w:vAlign w:val="center"/>
          </w:tcPr>
          <w:p>
            <w:pPr>
              <w:adjustRightInd w:val="0"/>
              <w:snapToGrid w:val="0"/>
              <w:spacing w:line="240" w:lineRule="auto"/>
              <w:jc w:val="left"/>
              <w:rPr>
                <w:rFonts w:ascii="宋体" w:hAnsi="宋体" w:eastAsia="宋体"/>
                <w:sz w:val="21"/>
                <w:szCs w:val="21"/>
              </w:rPr>
            </w:pPr>
            <w:r>
              <w:rPr>
                <w:rFonts w:hint="eastAsia" w:ascii="宋体" w:hAnsi="宋体" w:eastAsia="宋体"/>
                <w:sz w:val="21"/>
                <w:szCs w:val="21"/>
              </w:rPr>
              <w:t>通过逻辑分析、现场抽查等方式对调查数据进行查验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74" w:hRule="atLeast"/>
          <w:jc w:val="center"/>
        </w:trPr>
        <w:tc>
          <w:tcPr>
            <w:tcW w:w="7655" w:type="dxa"/>
            <w:gridSpan w:val="4"/>
            <w:noWrap w:val="0"/>
            <w:vAlign w:val="center"/>
          </w:tcPr>
          <w:p>
            <w:pPr>
              <w:adjustRightInd w:val="0"/>
              <w:snapToGrid w:val="0"/>
              <w:spacing w:line="240" w:lineRule="auto"/>
              <w:jc w:val="center"/>
              <w:rPr>
                <w:rFonts w:ascii="宋体" w:hAnsi="宋体" w:eastAsia="宋体"/>
                <w:b/>
                <w:sz w:val="21"/>
                <w:szCs w:val="21"/>
              </w:rPr>
            </w:pPr>
            <w:r>
              <w:rPr>
                <w:rFonts w:hint="eastAsia" w:ascii="宋体" w:hAnsi="宋体" w:eastAsia="宋体"/>
                <w:b/>
                <w:sz w:val="21"/>
                <w:szCs w:val="21"/>
              </w:rPr>
              <w:t>合  计</w:t>
            </w:r>
          </w:p>
        </w:tc>
        <w:tc>
          <w:tcPr>
            <w:tcW w:w="607" w:type="dxa"/>
            <w:gridSpan w:val="2"/>
            <w:noWrap w:val="0"/>
            <w:vAlign w:val="center"/>
          </w:tcPr>
          <w:p>
            <w:pPr>
              <w:adjustRightInd w:val="0"/>
              <w:snapToGrid w:val="0"/>
              <w:spacing w:line="240" w:lineRule="auto"/>
              <w:ind w:left="0" w:leftChars="0" w:firstLine="0" w:firstLineChars="0"/>
              <w:jc w:val="both"/>
              <w:rPr>
                <w:rFonts w:ascii="宋体" w:hAnsi="宋体" w:eastAsia="宋体"/>
                <w:b/>
                <w:sz w:val="21"/>
                <w:szCs w:val="21"/>
              </w:rPr>
            </w:pPr>
            <w:r>
              <w:rPr>
                <w:rFonts w:hint="eastAsia" w:ascii="宋体" w:hAnsi="宋体" w:eastAsia="宋体"/>
                <w:b/>
                <w:sz w:val="21"/>
                <w:szCs w:val="21"/>
              </w:rPr>
              <w:t>8</w:t>
            </w:r>
            <w:r>
              <w:rPr>
                <w:rFonts w:hint="eastAsia" w:ascii="宋体" w:hAnsi="宋体" w:eastAsia="宋体"/>
                <w:b/>
                <w:sz w:val="21"/>
                <w:szCs w:val="21"/>
                <w:lang w:val="en-US" w:eastAsia="zh-CN"/>
              </w:rPr>
              <w:t>4</w:t>
            </w:r>
            <w:r>
              <w:rPr>
                <w:rFonts w:hint="eastAsia" w:ascii="宋体" w:hAnsi="宋体" w:eastAsia="宋体"/>
                <w:b/>
                <w:sz w:val="21"/>
                <w:szCs w:val="21"/>
              </w:rPr>
              <w:t>.5</w:t>
            </w:r>
          </w:p>
        </w:tc>
        <w:tc>
          <w:tcPr>
            <w:tcW w:w="669" w:type="dxa"/>
            <w:noWrap w:val="0"/>
            <w:vAlign w:val="center"/>
          </w:tcPr>
          <w:p>
            <w:pPr>
              <w:adjustRightInd w:val="0"/>
              <w:snapToGrid w:val="0"/>
              <w:spacing w:line="240" w:lineRule="auto"/>
              <w:jc w:val="center"/>
              <w:rPr>
                <w:rFonts w:ascii="宋体" w:hAnsi="宋体" w:eastAsia="宋体"/>
                <w:b/>
                <w:sz w:val="21"/>
                <w:szCs w:val="21"/>
              </w:rPr>
            </w:pPr>
            <w:r>
              <w:rPr>
                <w:rFonts w:hint="eastAsia" w:ascii="宋体" w:hAnsi="宋体" w:eastAsia="宋体"/>
                <w:b/>
                <w:sz w:val="21"/>
                <w:szCs w:val="21"/>
              </w:rPr>
              <w:t>-</w:t>
            </w:r>
          </w:p>
        </w:tc>
        <w:tc>
          <w:tcPr>
            <w:tcW w:w="4850" w:type="dxa"/>
            <w:noWrap w:val="0"/>
            <w:vAlign w:val="center"/>
          </w:tcPr>
          <w:p>
            <w:pPr>
              <w:adjustRightInd w:val="0"/>
              <w:snapToGrid w:val="0"/>
              <w:spacing w:line="240" w:lineRule="auto"/>
              <w:jc w:val="center"/>
              <w:rPr>
                <w:rFonts w:ascii="宋体" w:hAnsi="宋体" w:eastAsia="宋体"/>
                <w:b/>
                <w:sz w:val="21"/>
                <w:szCs w:val="21"/>
              </w:rPr>
            </w:pPr>
            <w:r>
              <w:rPr>
                <w:rFonts w:hint="eastAsia" w:ascii="宋体" w:hAnsi="宋体" w:eastAsia="宋体"/>
                <w:b/>
                <w:sz w:val="21"/>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42" w:hRule="atLeast"/>
          <w:jc w:val="center"/>
        </w:trPr>
        <w:tc>
          <w:tcPr>
            <w:tcW w:w="13781" w:type="dxa"/>
            <w:gridSpan w:val="8"/>
            <w:noWrap w:val="0"/>
            <w:vAlign w:val="center"/>
          </w:tcPr>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评审人员（签字）：</w:t>
            </w:r>
            <w:r>
              <w:rPr>
                <w:rFonts w:ascii="楷体" w:hAnsi="楷体" w:eastAsia="楷体"/>
              </w:rPr>
              <w:drawing>
                <wp:inline distT="0" distB="0" distL="114300" distR="114300">
                  <wp:extent cx="746760" cy="495300"/>
                  <wp:effectExtent l="0" t="0" r="15240" b="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41">
                            <a:lum bright="19998"/>
                          </a:blip>
                          <a:stretch>
                            <a:fillRect/>
                          </a:stretch>
                        </pic:blipFill>
                        <pic:spPr>
                          <a:xfrm>
                            <a:off x="0" y="0"/>
                            <a:ext cx="746760" cy="495300"/>
                          </a:xfrm>
                          <a:prstGeom prst="rect">
                            <a:avLst/>
                          </a:prstGeom>
                          <a:noFill/>
                          <a:ln>
                            <a:noFill/>
                          </a:ln>
                        </pic:spPr>
                      </pic:pic>
                    </a:graphicData>
                  </a:graphic>
                </wp:inline>
              </w:drawing>
            </w:r>
          </w:p>
          <w:p>
            <w:pPr>
              <w:keepNext/>
              <w:keepLines/>
              <w:adjustRightInd w:val="0"/>
              <w:snapToGrid w:val="0"/>
              <w:spacing w:line="240" w:lineRule="auto"/>
              <w:rPr>
                <w:rFonts w:ascii="宋体" w:hAnsi="宋体" w:eastAsia="宋体"/>
                <w:sz w:val="21"/>
                <w:szCs w:val="21"/>
              </w:rPr>
            </w:pPr>
            <w:r>
              <w:rPr>
                <w:rFonts w:hint="eastAsia" w:ascii="宋体" w:hAnsi="宋体" w:eastAsia="宋体"/>
                <w:sz w:val="21"/>
                <w:szCs w:val="21"/>
              </w:rPr>
              <w:t xml:space="preserve">                                                                                          评审日期：20</w:t>
            </w:r>
            <w:r>
              <w:rPr>
                <w:rFonts w:hint="eastAsia" w:ascii="宋体" w:hAnsi="宋体" w:eastAsia="宋体"/>
                <w:sz w:val="21"/>
                <w:szCs w:val="21"/>
                <w:lang w:val="en-US" w:eastAsia="zh-CN"/>
              </w:rPr>
              <w:t>20</w:t>
            </w:r>
            <w:r>
              <w:rPr>
                <w:rFonts w:hint="eastAsia" w:ascii="宋体" w:hAnsi="宋体" w:eastAsia="宋体"/>
                <w:sz w:val="21"/>
                <w:szCs w:val="21"/>
              </w:rPr>
              <w:t>年</w:t>
            </w:r>
            <w:r>
              <w:rPr>
                <w:rFonts w:hint="eastAsia" w:ascii="宋体" w:hAnsi="宋体" w:eastAsia="宋体"/>
                <w:sz w:val="21"/>
                <w:szCs w:val="21"/>
                <w:lang w:val="en-US" w:eastAsia="zh-CN"/>
              </w:rPr>
              <w:t>9</w:t>
            </w:r>
            <w:r>
              <w:rPr>
                <w:rFonts w:hint="eastAsia" w:ascii="宋体" w:hAnsi="宋体" w:eastAsia="宋体"/>
                <w:sz w:val="21"/>
                <w:szCs w:val="21"/>
              </w:rPr>
              <w:t>月</w:t>
            </w:r>
            <w:r>
              <w:rPr>
                <w:rFonts w:hint="default" w:ascii="宋体" w:hAnsi="宋体" w:eastAsia="宋体"/>
                <w:sz w:val="21"/>
                <w:szCs w:val="21"/>
                <w:lang w:val="en-US" w:eastAsia="zh-CN"/>
              </w:rPr>
              <w:t>20</w:t>
            </w:r>
            <w:r>
              <w:rPr>
                <w:rFonts w:hint="eastAsia" w:ascii="宋体" w:hAnsi="宋体" w:eastAsia="宋体"/>
                <w:sz w:val="21"/>
                <w:szCs w:val="21"/>
              </w:rPr>
              <w:t>日</w:t>
            </w:r>
          </w:p>
        </w:tc>
      </w:tr>
    </w:tbl>
    <w:p>
      <w:pPr>
        <w:adjustRightInd w:val="0"/>
        <w:snapToGrid w:val="0"/>
        <w:spacing w:line="288" w:lineRule="auto"/>
        <w:rPr>
          <w:rFonts w:ascii="宋体" w:hAnsi="宋体" w:eastAsia="宋体"/>
          <w:sz w:val="21"/>
        </w:rPr>
      </w:pPr>
      <w:r>
        <w:rPr>
          <w:rFonts w:hint="eastAsia" w:ascii="宋体" w:hAnsi="宋体" w:eastAsia="宋体"/>
          <w:sz w:val="21"/>
        </w:rPr>
        <w:t>注：1.符合，指的是评审专家判定某一项指标所涉及的内容能够反映制定环境应急预案的企业开展了该项工作，且工作全面、深入、质量高；部分      符合，指的是评审专家判定企业开展了该项工作，但工作不全面、不深入或质量不高；不符合，指的是评审人员判定企业未开展该项工作，      或工作有重大疏漏、流于形式或质量差。</w:t>
      </w:r>
    </w:p>
    <w:p>
      <w:pPr>
        <w:adjustRightInd w:val="0"/>
        <w:snapToGrid w:val="0"/>
        <w:spacing w:line="288" w:lineRule="auto"/>
        <w:rPr>
          <w:rFonts w:hint="eastAsia" w:ascii="宋体" w:hAnsi="宋体" w:eastAsia="宋体"/>
          <w:sz w:val="21"/>
        </w:rPr>
      </w:pPr>
      <w:r>
        <w:rPr>
          <w:rFonts w:hint="eastAsia" w:ascii="宋体" w:hAnsi="宋体" w:eastAsia="宋体"/>
          <w:sz w:val="21"/>
        </w:rPr>
        <w:t xml:space="preserve">    2.赋分原则：“符合”得2分、“部分符合”得1分、“不符合”得0分；其中标注a的指标得分按“符合”得1分、“部分符合”得0.5分、“不      符合”得0分计，标注b的指标得分按“符合”得3分、“部分符合”得1.5分、“不符合”得0分计。</w:t>
      </w:r>
    </w:p>
    <w:p>
      <w:pPr>
        <w:adjustRightInd w:val="0"/>
        <w:snapToGrid w:val="0"/>
        <w:spacing w:line="288" w:lineRule="auto"/>
        <w:rPr>
          <w:rFonts w:ascii="宋体" w:hAnsi="宋体" w:eastAsia="宋体"/>
          <w:sz w:val="21"/>
        </w:rPr>
      </w:pPr>
      <w:r>
        <w:rPr>
          <w:rFonts w:hint="eastAsia" w:ascii="宋体" w:hAnsi="宋体" w:eastAsia="宋体"/>
          <w:sz w:val="21"/>
        </w:rPr>
        <w:t xml:space="preserve">    3.指标调整：标注</w:t>
      </w:r>
      <w:r>
        <w:rPr>
          <w:rFonts w:ascii="宋体" w:hAnsi="宋体" w:eastAsia="宋体"/>
          <w:sz w:val="21"/>
        </w:rPr>
        <w:t>c</w:t>
      </w:r>
      <w:r>
        <w:rPr>
          <w:rFonts w:hint="eastAsia" w:ascii="宋体" w:hAnsi="宋体" w:eastAsia="宋体"/>
          <w:sz w:val="21"/>
        </w:rPr>
        <w:t>的指标或项目中的部分指标，评审组可以对不适用的进行调整。</w:t>
      </w:r>
    </w:p>
    <w:p>
      <w:pPr>
        <w:adjustRightInd w:val="0"/>
        <w:snapToGrid w:val="0"/>
        <w:spacing w:line="288" w:lineRule="auto"/>
        <w:rPr>
          <w:rFonts w:ascii="宋体" w:hAnsi="宋体" w:eastAsia="宋体"/>
          <w:sz w:val="21"/>
        </w:rPr>
      </w:pPr>
      <w:r>
        <w:rPr>
          <w:rFonts w:hint="eastAsia" w:ascii="宋体" w:hAnsi="宋体" w:eastAsia="宋体"/>
          <w:sz w:val="21"/>
        </w:rPr>
        <w:t xml:space="preserve">    4.“一票否决”项不计入评审得分。</w:t>
      </w:r>
    </w:p>
    <w:p>
      <w:pPr>
        <w:adjustRightInd w:val="0"/>
        <w:snapToGrid w:val="0"/>
        <w:spacing w:line="288" w:lineRule="auto"/>
        <w:rPr>
          <w:rFonts w:ascii="宋体" w:hAnsi="宋体" w:eastAsia="宋体"/>
          <w:sz w:val="21"/>
        </w:rPr>
      </w:pPr>
      <w:r>
        <w:rPr>
          <w:rFonts w:hint="eastAsia" w:ascii="宋体" w:hAnsi="宋体" w:eastAsia="宋体"/>
          <w:sz w:val="21"/>
        </w:rPr>
        <w:t xml:space="preserve">    5.指标说明供参考。</w:t>
      </w:r>
    </w:p>
    <w:p>
      <w:pPr>
        <w:sectPr>
          <w:pgSz w:w="16838" w:h="11906" w:orient="landscape"/>
          <w:pgMar w:top="1134" w:right="1440" w:bottom="1276" w:left="1440" w:header="851" w:footer="992" w:gutter="0"/>
          <w:cols w:space="0" w:num="1"/>
          <w:rtlGutter w:val="0"/>
          <w:docGrid w:type="linesAndChars" w:linePitch="412" w:charSpace="1588"/>
        </w:sectPr>
      </w:pPr>
    </w:p>
    <w:p>
      <w:pPr>
        <w:autoSpaceDE w:val="0"/>
        <w:autoSpaceDN w:val="0"/>
        <w:adjustRightInd w:val="0"/>
        <w:snapToGrid w:val="0"/>
        <w:jc w:val="left"/>
        <w:rPr>
          <w:rFonts w:ascii="黑体" w:hAnsi="Times New Roman" w:eastAsia="黑体"/>
          <w:kern w:val="0"/>
        </w:rPr>
      </w:pPr>
      <w:r>
        <w:rPr>
          <w:rFonts w:hint="eastAsia" w:ascii="黑体" w:hAnsi="Times New Roman" w:eastAsia="黑体"/>
          <w:kern w:val="0"/>
        </w:rPr>
        <w:t>附表2</w:t>
      </w:r>
    </w:p>
    <w:p>
      <w:pPr>
        <w:adjustRightInd w:val="0"/>
        <w:snapToGrid w:val="0"/>
        <w:jc w:val="center"/>
        <w:rPr>
          <w:rFonts w:hint="eastAsia" w:ascii="方正小标宋_GBK" w:hAnsi="华文中宋" w:eastAsia="方正小标宋_GBK"/>
          <w:sz w:val="38"/>
          <w:szCs w:val="38"/>
        </w:rPr>
      </w:pPr>
      <w:r>
        <w:rPr>
          <w:rFonts w:hint="eastAsia" w:ascii="方正小标宋_GBK" w:hAnsi="Times New Roman" w:eastAsia="方正小标宋_GBK"/>
          <w:sz w:val="38"/>
          <w:szCs w:val="38"/>
          <w:u w:val="single"/>
        </w:rPr>
        <w:t xml:space="preserve">  </w:t>
      </w:r>
      <w:r>
        <w:rPr>
          <w:rFonts w:hint="eastAsia" w:ascii="方正小标宋_GBK" w:hAnsi="华文中宋" w:eastAsia="方正小标宋_GBK"/>
          <w:sz w:val="38"/>
          <w:szCs w:val="38"/>
          <w:u w:val="single"/>
        </w:rPr>
        <w:t xml:space="preserve"> </w:t>
      </w:r>
      <w:r>
        <w:rPr>
          <w:rFonts w:hint="eastAsia" w:ascii="方正小标宋_GBK" w:hAnsi="华文中宋" w:eastAsia="方正小标宋_GBK"/>
          <w:sz w:val="28"/>
          <w:szCs w:val="28"/>
          <w:u w:val="single"/>
          <w:lang w:val="en-US" w:eastAsia="zh-CN"/>
        </w:rPr>
        <w:t xml:space="preserve">南昌慧华高科混凝土有限公司 </w:t>
      </w:r>
      <w:r>
        <w:rPr>
          <w:rFonts w:hint="eastAsia" w:ascii="方正小标宋_GBK" w:hAnsi="华文中宋" w:eastAsia="方正小标宋_GBK"/>
          <w:sz w:val="38"/>
          <w:szCs w:val="38"/>
        </w:rPr>
        <w:t>突发环境事件</w:t>
      </w:r>
    </w:p>
    <w:p>
      <w:pPr>
        <w:adjustRightInd w:val="0"/>
        <w:snapToGrid w:val="0"/>
        <w:jc w:val="center"/>
        <w:rPr>
          <w:rFonts w:hint="eastAsia" w:ascii="方正小标宋_GBK" w:hAnsi="华文中宋" w:eastAsia="方正小标宋_GBK"/>
          <w:sz w:val="38"/>
          <w:szCs w:val="38"/>
        </w:rPr>
      </w:pPr>
      <w:r>
        <w:rPr>
          <w:rFonts w:hint="eastAsia" w:ascii="方正小标宋_GBK" w:hAnsi="华文中宋" w:eastAsia="方正小标宋_GBK"/>
          <w:sz w:val="38"/>
          <w:szCs w:val="38"/>
        </w:rPr>
        <w:t>应急预案评审意见表</w:t>
      </w:r>
    </w:p>
    <w:tbl>
      <w:tblPr>
        <w:tblStyle w:val="16"/>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5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956" w:type="dxa"/>
            <w:noWrap w:val="0"/>
            <w:vAlign w:val="center"/>
          </w:tcPr>
          <w:p>
            <w:pPr>
              <w:adjustRightInd w:val="0"/>
              <w:snapToGrid w:val="0"/>
              <w:jc w:val="left"/>
              <w:rPr>
                <w:rFonts w:ascii="宋体" w:hAnsi="宋体" w:eastAsia="宋体"/>
                <w:sz w:val="21"/>
                <w:szCs w:val="21"/>
                <w:u w:val="single"/>
              </w:rPr>
            </w:pPr>
            <w:r>
              <w:rPr>
                <w:rFonts w:hint="eastAsia" w:ascii="宋体" w:hAnsi="宋体" w:eastAsia="宋体"/>
                <w:sz w:val="21"/>
                <w:szCs w:val="21"/>
              </w:rPr>
              <w:t>评审时间</w:t>
            </w:r>
            <w:r>
              <w:rPr>
                <w:rFonts w:hint="eastAsia" w:ascii="宋体" w:hAnsi="宋体" w:eastAsia="宋体"/>
                <w:sz w:val="21"/>
                <w:szCs w:val="21"/>
                <w:u w:val="single"/>
              </w:rPr>
              <w:t>：</w:t>
            </w:r>
            <w:r>
              <w:rPr>
                <w:rFonts w:ascii="宋体" w:hAnsi="宋体" w:eastAsia="宋体"/>
                <w:sz w:val="21"/>
                <w:szCs w:val="21"/>
                <w:u w:val="single"/>
              </w:rPr>
              <w:t xml:space="preserve">   </w:t>
            </w:r>
            <w:r>
              <w:rPr>
                <w:rFonts w:hint="eastAsia" w:ascii="宋体" w:hAnsi="宋体" w:eastAsia="宋体"/>
                <w:sz w:val="21"/>
                <w:szCs w:val="21"/>
                <w:u w:val="single"/>
              </w:rPr>
              <w:t>20</w:t>
            </w:r>
            <w:r>
              <w:rPr>
                <w:rFonts w:hint="eastAsia" w:ascii="宋体" w:hAnsi="宋体" w:eastAsia="宋体"/>
                <w:sz w:val="21"/>
                <w:szCs w:val="21"/>
                <w:u w:val="single"/>
                <w:lang w:val="en-US" w:eastAsia="zh-CN"/>
              </w:rPr>
              <w:t>20</w:t>
            </w:r>
            <w:r>
              <w:rPr>
                <w:rFonts w:hint="eastAsia" w:ascii="宋体" w:hAnsi="宋体" w:eastAsia="宋体"/>
                <w:sz w:val="21"/>
                <w:szCs w:val="21"/>
                <w:u w:val="single"/>
              </w:rPr>
              <w:t>年</w:t>
            </w:r>
            <w:r>
              <w:rPr>
                <w:rFonts w:hint="eastAsia" w:ascii="宋体" w:hAnsi="宋体" w:eastAsia="宋体"/>
                <w:sz w:val="21"/>
                <w:szCs w:val="21"/>
                <w:u w:val="single"/>
                <w:lang w:val="en-US" w:eastAsia="zh-CN"/>
              </w:rPr>
              <w:t>9</w:t>
            </w:r>
            <w:r>
              <w:rPr>
                <w:rFonts w:hint="eastAsia" w:ascii="宋体" w:hAnsi="宋体" w:eastAsia="宋体"/>
                <w:sz w:val="21"/>
                <w:szCs w:val="21"/>
                <w:u w:val="single"/>
              </w:rPr>
              <w:t>月</w:t>
            </w:r>
            <w:r>
              <w:rPr>
                <w:rFonts w:hint="eastAsia" w:ascii="宋体" w:hAnsi="宋体" w:eastAsia="宋体"/>
                <w:sz w:val="21"/>
                <w:szCs w:val="21"/>
                <w:u w:val="single"/>
                <w:lang w:val="en-US" w:eastAsia="zh-CN"/>
              </w:rPr>
              <w:t>20</w:t>
            </w:r>
            <w:r>
              <w:rPr>
                <w:rFonts w:hint="eastAsia" w:ascii="宋体" w:hAnsi="宋体" w:eastAsia="宋体"/>
                <w:sz w:val="21"/>
                <w:szCs w:val="21"/>
                <w:u w:val="single"/>
              </w:rPr>
              <w:t>日</w:t>
            </w:r>
            <w:r>
              <w:rPr>
                <w:rFonts w:ascii="宋体" w:hAnsi="宋体" w:eastAsia="宋体"/>
                <w:sz w:val="21"/>
                <w:szCs w:val="21"/>
                <w:u w:val="single"/>
              </w:rPr>
              <w:t xml:space="preserve">              </w:t>
            </w:r>
            <w:r>
              <w:rPr>
                <w:rFonts w:hint="eastAsia" w:ascii="宋体" w:hAnsi="宋体" w:eastAsia="宋体"/>
                <w:sz w:val="21"/>
                <w:szCs w:val="21"/>
              </w:rPr>
              <w:t>地点：</w:t>
            </w:r>
            <w:r>
              <w:rPr>
                <w:rFonts w:ascii="宋体" w:hAnsi="宋体" w:eastAsia="宋体"/>
                <w:sz w:val="21"/>
                <w:szCs w:val="21"/>
                <w:u w:val="single"/>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95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评审方式：</w:t>
            </w:r>
            <w:r>
              <w:rPr>
                <w:rFonts w:hint="eastAsia" w:ascii="MS Gothic" w:hAnsi="MS Gothic" w:eastAsia="MS Gothic" w:cs="MS Gothic"/>
                <w:sz w:val="21"/>
                <w:szCs w:val="21"/>
              </w:rPr>
              <w:t>☑</w:t>
            </w:r>
            <w:r>
              <w:rPr>
                <w:rFonts w:hint="eastAsia" w:ascii="宋体" w:hAnsi="宋体" w:eastAsia="宋体"/>
                <w:sz w:val="21"/>
                <w:szCs w:val="21"/>
              </w:rPr>
              <w:t>函审，□会议评审，□函审、会议评审结合，□其他</w:t>
            </w:r>
            <w:r>
              <w:rPr>
                <w:rFonts w:ascii="宋体" w:hAnsi="宋体" w:eastAsia="宋体"/>
                <w:sz w:val="21"/>
                <w:szCs w:val="21"/>
                <w:u w:val="single"/>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95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评审结论：</w:t>
            </w:r>
            <w:r>
              <w:rPr>
                <w:rFonts w:hint="eastAsia" w:ascii="MS Gothic" w:hAnsi="MS Gothic" w:eastAsia="MS Gothic" w:cs="MS Gothic"/>
                <w:sz w:val="21"/>
                <w:szCs w:val="21"/>
              </w:rPr>
              <w:t>☑</w:t>
            </w:r>
            <w:r>
              <w:rPr>
                <w:rFonts w:hint="eastAsia" w:ascii="宋体" w:hAnsi="宋体" w:eastAsia="宋体"/>
                <w:sz w:val="21"/>
                <w:szCs w:val="21"/>
              </w:rPr>
              <w:t>通过评审，□原则通过但需进行修改复核，□未通过评审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895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评审过程：</w:t>
            </w:r>
          </w:p>
          <w:p>
            <w:pPr>
              <w:adjustRightInd w:val="0"/>
              <w:snapToGrid w:val="0"/>
              <w:rPr>
                <w:rFonts w:ascii="宋体" w:hAnsi="宋体" w:eastAsia="宋体"/>
                <w:sz w:val="21"/>
                <w:szCs w:val="21"/>
              </w:rPr>
            </w:pPr>
          </w:p>
          <w:p>
            <w:pPr>
              <w:adjustRightInd w:val="0"/>
              <w:snapToGrid w:val="0"/>
              <w:rPr>
                <w:rFonts w:ascii="宋体" w:hAnsi="宋体" w:eastAsia="宋体"/>
                <w:sz w:val="21"/>
                <w:szCs w:val="21"/>
              </w:rPr>
            </w:pPr>
            <w:r>
              <w:rPr>
                <w:rFonts w:hint="eastAsia" w:ascii="宋体" w:hAnsi="宋体" w:eastAsia="宋体"/>
                <w:sz w:val="21"/>
                <w:szCs w:val="21"/>
              </w:rPr>
              <w:t>总体评价：</w:t>
            </w:r>
          </w:p>
          <w:p>
            <w:pPr>
              <w:keepNext w:val="0"/>
              <w:keepLines w:val="0"/>
              <w:widowControl/>
              <w:suppressLineNumbers w:val="0"/>
              <w:ind w:firstLine="434" w:firstLineChars="200"/>
              <w:jc w:val="left"/>
              <w:rPr>
                <w:rFonts w:ascii="宋体" w:hAnsi="宋体" w:eastAsia="宋体"/>
                <w:sz w:val="21"/>
                <w:szCs w:val="21"/>
              </w:rPr>
            </w:pPr>
            <w:r>
              <w:rPr>
                <w:rFonts w:hint="eastAsia" w:ascii="宋体" w:hAnsi="宋体" w:eastAsia="宋体"/>
                <w:sz w:val="21"/>
                <w:szCs w:val="21"/>
              </w:rPr>
              <w:t>该预案的编制基本符合</w:t>
            </w:r>
            <w:r>
              <w:rPr>
                <w:rFonts w:ascii="宋体" w:hAnsi="宋体" w:eastAsia="宋体"/>
                <w:sz w:val="21"/>
                <w:szCs w:val="21"/>
              </w:rPr>
              <w:t>《</w:t>
            </w:r>
            <w:r>
              <w:rPr>
                <w:rFonts w:hint="eastAsia" w:ascii="宋体" w:hAnsi="宋体" w:eastAsia="宋体"/>
                <w:sz w:val="21"/>
                <w:szCs w:val="21"/>
              </w:rPr>
              <w:t>突发事件应对法</w:t>
            </w:r>
            <w:r>
              <w:rPr>
                <w:rFonts w:ascii="宋体" w:hAnsi="宋体" w:eastAsia="宋体"/>
                <w:sz w:val="21"/>
                <w:szCs w:val="21"/>
              </w:rPr>
              <w:t>》</w:t>
            </w:r>
            <w:r>
              <w:rPr>
                <w:rFonts w:hint="eastAsia" w:ascii="宋体" w:hAnsi="宋体" w:eastAsia="宋体"/>
                <w:sz w:val="21"/>
                <w:szCs w:val="21"/>
              </w:rPr>
              <w:t>、《突发事件应急预案管理办法》等法律法规、标准、文件规范。</w:t>
            </w:r>
            <w:r>
              <w:rPr>
                <w:rFonts w:ascii="宋体" w:hAnsi="宋体" w:eastAsia="宋体"/>
                <w:sz w:val="21"/>
                <w:szCs w:val="21"/>
              </w:rPr>
              <w:t>格式规范，内容较全面，保障措施基本可行，具有一定的实用性，</w:t>
            </w:r>
            <w:r>
              <w:rPr>
                <w:rFonts w:hint="eastAsia" w:ascii="宋体" w:hAnsi="宋体" w:eastAsia="宋体"/>
                <w:sz w:val="21"/>
                <w:szCs w:val="21"/>
              </w:rPr>
              <w:t>经修改后，可作为相关管理部门备案依据和企业今后生产安全事故应急工作的指导性文件。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65" w:hRule="atLeast"/>
        </w:trPr>
        <w:tc>
          <w:tcPr>
            <w:tcW w:w="895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问题清单：</w:t>
            </w:r>
          </w:p>
          <w:p>
            <w:pPr>
              <w:adjustRightInd w:val="0"/>
              <w:snapToGrid w:val="0"/>
              <w:rPr>
                <w:rFonts w:hint="eastAsia" w:ascii="宋体" w:hAnsi="宋体" w:eastAsia="宋体"/>
                <w:sz w:val="21"/>
                <w:szCs w:val="21"/>
              </w:rPr>
            </w:pPr>
          </w:p>
          <w:p>
            <w:pPr>
              <w:adjustRightInd w:val="0"/>
              <w:snapToGrid w:val="0"/>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6" w:hRule="atLeast"/>
        </w:trPr>
        <w:tc>
          <w:tcPr>
            <w:tcW w:w="8956" w:type="dxa"/>
            <w:noWrap w:val="0"/>
            <w:vAlign w:val="top"/>
          </w:tcPr>
          <w:p>
            <w:pPr>
              <w:adjustRightInd w:val="0"/>
              <w:snapToGrid w:val="0"/>
              <w:spacing w:before="249" w:beforeLines="80"/>
              <w:rPr>
                <w:rFonts w:ascii="宋体" w:hAnsi="宋体" w:eastAsia="宋体"/>
                <w:sz w:val="21"/>
                <w:szCs w:val="21"/>
              </w:rPr>
            </w:pPr>
            <w:r>
              <w:rPr>
                <w:rFonts w:hint="eastAsia" w:ascii="宋体" w:hAnsi="宋体" w:eastAsia="宋体"/>
                <w:sz w:val="21"/>
                <w:szCs w:val="21"/>
              </w:rPr>
              <w:t>修改意见和建议：</w:t>
            </w:r>
          </w:p>
          <w:p>
            <w:pPr>
              <w:numPr>
                <w:ilvl w:val="0"/>
                <w:numId w:val="19"/>
              </w:numPr>
              <w:adjustRightInd w:val="0"/>
              <w:snapToGrid w:val="0"/>
              <w:spacing w:line="360" w:lineRule="auto"/>
              <w:ind w:left="0" w:leftChars="0" w:firstLine="0" w:firstLineChars="0"/>
              <w:rPr>
                <w:rFonts w:hint="eastAsia" w:ascii="宋体" w:hAnsi="宋体" w:eastAsia="宋体"/>
                <w:sz w:val="21"/>
                <w:szCs w:val="21"/>
                <w:lang w:val="en-US" w:eastAsia="zh-CN"/>
              </w:rPr>
            </w:pPr>
            <w:r>
              <w:rPr>
                <w:rFonts w:hint="eastAsia" w:ascii="宋体" w:hAnsi="宋体" w:eastAsia="宋体"/>
                <w:sz w:val="21"/>
                <w:szCs w:val="21"/>
                <w:lang w:val="en-US" w:eastAsia="zh-CN"/>
              </w:rPr>
              <w:t>核实应急预案发布时间。</w:t>
            </w:r>
          </w:p>
          <w:p>
            <w:pPr>
              <w:numPr>
                <w:ilvl w:val="0"/>
                <w:numId w:val="0"/>
              </w:numPr>
              <w:adjustRightInd w:val="0"/>
              <w:snapToGrid w:val="0"/>
              <w:spacing w:line="360" w:lineRule="auto"/>
              <w:ind w:left="0" w:leftChars="0" w:firstLine="0" w:firstLineChars="0"/>
              <w:rPr>
                <w:rFonts w:hint="default" w:ascii="宋体" w:hAnsi="宋体" w:eastAsia="宋体"/>
                <w:sz w:val="24"/>
                <w:szCs w:val="24"/>
                <w:lang w:val="en-US" w:eastAsia="zh-CN"/>
              </w:rPr>
            </w:pPr>
            <w:r>
              <w:rPr>
                <w:rFonts w:hint="eastAsia" w:ascii="宋体" w:hAnsi="宋体" w:eastAsia="宋体"/>
                <w:sz w:val="21"/>
                <w:szCs w:val="21"/>
                <w:lang w:val="en-US" w:eastAsia="zh-CN"/>
              </w:rPr>
              <w:t>2、</w:t>
            </w:r>
            <w:r>
              <w:rPr>
                <w:rFonts w:hint="eastAsia" w:ascii="宋体" w:hAnsi="宋体" w:eastAsia="宋体"/>
                <w:sz w:val="21"/>
                <w:szCs w:val="21"/>
              </w:rPr>
              <w:t>以预案关系图的形式，说明本预案的组成及其组成之间的关系、与生产安全事故预案等其他预案的衔接关系、与地方人民政府环境应急预案的衔接关系。</w:t>
            </w:r>
          </w:p>
          <w:p>
            <w:pPr>
              <w:adjustRightInd w:val="0"/>
              <w:snapToGrid w:val="0"/>
              <w:spacing w:line="400" w:lineRule="exact"/>
              <w:ind w:left="0" w:leftChars="0" w:firstLine="0" w:firstLineChars="0"/>
              <w:rPr>
                <w:rFonts w:hint="eastAsia" w:ascii="宋体" w:hAnsi="宋体" w:eastAsia="宋体"/>
                <w:sz w:val="21"/>
                <w:szCs w:val="21"/>
              </w:rPr>
            </w:pPr>
            <w:r>
              <w:rPr>
                <w:rFonts w:hint="eastAsia" w:ascii="宋体" w:hAnsi="宋体" w:eastAsia="宋体"/>
                <w:sz w:val="21"/>
                <w:szCs w:val="21"/>
              </w:rPr>
              <w:t>3、</w:t>
            </w:r>
            <w:r>
              <w:rPr>
                <w:rFonts w:hint="eastAsia" w:ascii="宋体" w:hAnsi="宋体" w:eastAsia="宋体"/>
                <w:sz w:val="21"/>
                <w:szCs w:val="21"/>
                <w:lang w:val="en-US" w:eastAsia="zh-CN"/>
              </w:rPr>
              <w:t>核实污水排放路径，细化环保工程建设内容；完善</w:t>
            </w:r>
            <w:r>
              <w:rPr>
                <w:rFonts w:hint="eastAsia" w:ascii="宋体" w:hAnsi="宋体" w:eastAsia="宋体"/>
                <w:sz w:val="21"/>
                <w:szCs w:val="21"/>
              </w:rPr>
              <w:t>国内外同类企业的突发环境事件信息</w:t>
            </w:r>
            <w:r>
              <w:rPr>
                <w:rFonts w:hint="eastAsia" w:ascii="宋体" w:hAnsi="宋体" w:eastAsia="宋体"/>
                <w:sz w:val="21"/>
                <w:szCs w:val="21"/>
                <w:lang w:val="en-US" w:eastAsia="zh-CN"/>
              </w:rPr>
              <w:t>及历史经验教训总结；</w:t>
            </w:r>
            <w:r>
              <w:rPr>
                <w:rFonts w:hint="eastAsia" w:ascii="宋体" w:hAnsi="宋体" w:eastAsia="宋体"/>
                <w:sz w:val="21"/>
                <w:szCs w:val="21"/>
              </w:rPr>
              <w:t>完善源强分析、释放途径和危害后果分析。</w:t>
            </w:r>
          </w:p>
          <w:p>
            <w:pPr>
              <w:numPr>
                <w:ilvl w:val="0"/>
                <w:numId w:val="0"/>
              </w:numPr>
              <w:adjustRightInd w:val="0"/>
              <w:snapToGrid w:val="0"/>
              <w:spacing w:line="360" w:lineRule="auto"/>
              <w:ind w:left="0" w:leftChars="0" w:firstLine="0" w:firstLineChars="0"/>
              <w:rPr>
                <w:rFonts w:ascii="宋体" w:hAnsi="宋体" w:eastAsia="宋体"/>
                <w:sz w:val="21"/>
                <w:szCs w:val="21"/>
              </w:rPr>
            </w:pPr>
            <w:r>
              <w:rPr>
                <w:rFonts w:hint="eastAsia" w:ascii="宋体" w:hAnsi="宋体" w:eastAsia="宋体"/>
                <w:sz w:val="21"/>
                <w:szCs w:val="21"/>
                <w:lang w:val="en-US" w:eastAsia="zh-CN"/>
              </w:rPr>
              <w:t>4、</w:t>
            </w:r>
            <w:r>
              <w:rPr>
                <w:rFonts w:hint="eastAsia" w:ascii="宋体" w:hAnsi="宋体" w:eastAsia="宋体"/>
                <w:sz w:val="21"/>
                <w:szCs w:val="21"/>
              </w:rPr>
              <w:t>补充环境风险受体分布图、主要应急资源存放场所分布图；补充标准化文件</w:t>
            </w:r>
            <w:r>
              <w:rPr>
                <w:rFonts w:hint="eastAsia" w:ascii="宋体" w:hAnsi="宋体" w:eastAsia="宋体"/>
                <w:sz w:val="21"/>
                <w:szCs w:val="21"/>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37" w:hRule="atLeast"/>
        </w:trPr>
        <w:tc>
          <w:tcPr>
            <w:tcW w:w="8956" w:type="dxa"/>
            <w:noWrap w:val="0"/>
            <w:vAlign w:val="center"/>
          </w:tcPr>
          <w:p>
            <w:pPr>
              <w:adjustRightInd w:val="0"/>
              <w:snapToGrid w:val="0"/>
              <w:spacing w:line="360" w:lineRule="auto"/>
              <w:rPr>
                <w:rFonts w:hint="eastAsia" w:ascii="宋体" w:hAnsi="宋体" w:eastAsia="宋体"/>
                <w:sz w:val="21"/>
                <w:szCs w:val="21"/>
              </w:rPr>
            </w:pPr>
            <w:r>
              <w:rPr>
                <w:rFonts w:hint="eastAsia" w:ascii="宋体" w:hAnsi="宋体" w:eastAsia="宋体"/>
                <w:sz w:val="21"/>
                <w:szCs w:val="21"/>
              </w:rPr>
              <w:t>评审人员人数：</w:t>
            </w:r>
            <w:r>
              <w:rPr>
                <w:rFonts w:ascii="宋体" w:hAnsi="宋体" w:eastAsia="宋体"/>
                <w:sz w:val="21"/>
                <w:szCs w:val="21"/>
                <w:u w:val="single"/>
              </w:rPr>
              <w:t xml:space="preserve">         </w:t>
            </w:r>
            <w:r>
              <w:rPr>
                <w:rFonts w:ascii="宋体" w:hAnsi="宋体" w:eastAsia="宋体"/>
                <w:sz w:val="21"/>
                <w:szCs w:val="21"/>
              </w:rPr>
              <w:t xml:space="preserve"> </w:t>
            </w:r>
          </w:p>
          <w:p>
            <w:pPr>
              <w:adjustRightInd w:val="0"/>
              <w:snapToGrid w:val="0"/>
              <w:spacing w:line="360" w:lineRule="auto"/>
              <w:rPr>
                <w:rFonts w:ascii="宋体" w:hAnsi="宋体" w:eastAsia="宋体"/>
                <w:sz w:val="21"/>
                <w:szCs w:val="21"/>
              </w:rPr>
            </w:pPr>
            <w:r>
              <w:rPr>
                <w:rFonts w:hint="eastAsia" w:ascii="宋体" w:hAnsi="宋体" w:eastAsia="宋体"/>
                <w:sz w:val="21"/>
                <w:szCs w:val="21"/>
              </w:rPr>
              <w:t>评审组长签字：</w:t>
            </w:r>
            <w:r>
              <w:rPr>
                <w:rFonts w:ascii="宋体" w:hAnsi="宋体" w:eastAsia="宋体"/>
                <w:sz w:val="21"/>
                <w:szCs w:val="21"/>
                <w:u w:val="single"/>
              </w:rPr>
              <w:t xml:space="preserve">         </w:t>
            </w:r>
          </w:p>
          <w:p>
            <w:pPr>
              <w:adjustRightInd w:val="0"/>
              <w:snapToGrid w:val="0"/>
              <w:spacing w:line="360" w:lineRule="auto"/>
              <w:rPr>
                <w:rFonts w:ascii="宋体" w:hAnsi="宋体" w:eastAsia="宋体"/>
                <w:sz w:val="21"/>
                <w:szCs w:val="21"/>
              </w:rPr>
            </w:pPr>
            <w:r>
              <w:rPr>
                <w:rFonts w:hint="eastAsia" w:ascii="宋体" w:hAnsi="宋体" w:eastAsia="宋体"/>
                <w:sz w:val="21"/>
                <w:szCs w:val="21"/>
              </w:rPr>
              <w:t>其他评审人员签字：</w:t>
            </w:r>
            <w:r>
              <w:rPr>
                <w:rFonts w:ascii="宋体" w:hAnsi="宋体" w:eastAsia="宋体"/>
                <w:sz w:val="21"/>
                <w:szCs w:val="21"/>
                <w:u w:val="single"/>
              </w:rPr>
              <w:t xml:space="preserve">                     </w:t>
            </w:r>
            <w:r>
              <w:rPr>
                <w:rFonts w:ascii="楷体" w:hAnsi="楷体" w:eastAsia="楷体"/>
              </w:rPr>
              <w:drawing>
                <wp:inline distT="0" distB="0" distL="114300" distR="114300">
                  <wp:extent cx="746760" cy="495300"/>
                  <wp:effectExtent l="0" t="0" r="15240"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41">
                            <a:lum bright="19998"/>
                          </a:blip>
                          <a:stretch>
                            <a:fillRect/>
                          </a:stretch>
                        </pic:blipFill>
                        <pic:spPr>
                          <a:xfrm>
                            <a:off x="0" y="0"/>
                            <a:ext cx="746760" cy="495300"/>
                          </a:xfrm>
                          <a:prstGeom prst="rect">
                            <a:avLst/>
                          </a:prstGeom>
                          <a:noFill/>
                          <a:ln>
                            <a:noFill/>
                          </a:ln>
                        </pic:spPr>
                      </pic:pic>
                    </a:graphicData>
                  </a:graphic>
                </wp:inline>
              </w:drawing>
            </w:r>
            <w:r>
              <w:rPr>
                <w:rFonts w:ascii="宋体" w:hAnsi="宋体" w:eastAsia="宋体"/>
                <w:sz w:val="21"/>
                <w:szCs w:val="21"/>
                <w:u w:val="single"/>
              </w:rPr>
              <w:t xml:space="preserve">                                            </w:t>
            </w:r>
          </w:p>
          <w:p>
            <w:pPr>
              <w:adjustRightInd w:val="0"/>
              <w:snapToGrid w:val="0"/>
              <w:spacing w:line="360" w:lineRule="auto"/>
              <w:rPr>
                <w:rFonts w:ascii="宋体" w:hAnsi="宋体" w:eastAsia="宋体"/>
                <w:sz w:val="21"/>
                <w:szCs w:val="21"/>
              </w:rPr>
            </w:pPr>
            <w:r>
              <w:rPr>
                <w:rFonts w:hint="eastAsia" w:ascii="宋体" w:hAnsi="宋体" w:eastAsia="宋体"/>
                <w:sz w:val="21"/>
                <w:szCs w:val="21"/>
              </w:rPr>
              <w:t>企业负责人签字：</w:t>
            </w:r>
            <w:r>
              <w:rPr>
                <w:rFonts w:ascii="宋体" w:hAnsi="宋体" w:eastAsia="宋体"/>
                <w:sz w:val="21"/>
                <w:szCs w:val="21"/>
                <w:u w:val="single"/>
              </w:rPr>
              <w:t xml:space="preserve">                                                                   </w:t>
            </w:r>
          </w:p>
          <w:p>
            <w:pPr>
              <w:adjustRightInd w:val="0"/>
              <w:snapToGrid w:val="0"/>
              <w:spacing w:line="360" w:lineRule="auto"/>
              <w:jc w:val="right"/>
              <w:rPr>
                <w:rFonts w:ascii="宋体" w:hAnsi="宋体" w:eastAsia="宋体"/>
                <w:sz w:val="21"/>
                <w:szCs w:val="21"/>
              </w:rPr>
            </w:pPr>
            <w:r>
              <w:rPr>
                <w:rFonts w:ascii="宋体" w:hAnsi="宋体" w:eastAsia="宋体"/>
                <w:sz w:val="21"/>
                <w:szCs w:val="21"/>
                <w:u w:val="single"/>
              </w:rPr>
              <w:t xml:space="preserve">  </w:t>
            </w:r>
            <w:r>
              <w:rPr>
                <w:rFonts w:hint="eastAsia" w:ascii="宋体" w:hAnsi="宋体" w:eastAsia="宋体"/>
                <w:sz w:val="21"/>
                <w:szCs w:val="21"/>
                <w:u w:val="single"/>
              </w:rPr>
              <w:t>20</w:t>
            </w:r>
            <w:r>
              <w:rPr>
                <w:rFonts w:hint="eastAsia" w:ascii="宋体" w:hAnsi="宋体" w:eastAsia="宋体"/>
                <w:sz w:val="21"/>
                <w:szCs w:val="21"/>
                <w:u w:val="single"/>
                <w:lang w:val="en-US" w:eastAsia="zh-CN"/>
              </w:rPr>
              <w:t>20</w:t>
            </w:r>
            <w:r>
              <w:rPr>
                <w:rFonts w:ascii="宋体" w:hAnsi="宋体" w:eastAsia="宋体"/>
                <w:sz w:val="21"/>
                <w:szCs w:val="21"/>
                <w:u w:val="single"/>
              </w:rPr>
              <w:t xml:space="preserve"> </w:t>
            </w:r>
            <w:r>
              <w:rPr>
                <w:rFonts w:hint="eastAsia" w:ascii="宋体" w:hAnsi="宋体" w:eastAsia="宋体"/>
                <w:sz w:val="21"/>
                <w:szCs w:val="21"/>
              </w:rPr>
              <w:t>年</w:t>
            </w:r>
            <w:r>
              <w:rPr>
                <w:rFonts w:ascii="宋体" w:hAnsi="宋体" w:eastAsia="宋体"/>
                <w:sz w:val="21"/>
                <w:szCs w:val="21"/>
                <w:u w:val="single"/>
              </w:rPr>
              <w:t xml:space="preserve">   </w:t>
            </w:r>
            <w:r>
              <w:rPr>
                <w:rFonts w:hint="eastAsia" w:ascii="宋体" w:hAnsi="宋体" w:eastAsia="宋体"/>
                <w:sz w:val="21"/>
                <w:szCs w:val="21"/>
                <w:u w:val="single"/>
                <w:lang w:val="en-US" w:eastAsia="zh-CN"/>
              </w:rPr>
              <w:t>9</w:t>
            </w:r>
            <w:r>
              <w:rPr>
                <w:rFonts w:ascii="宋体" w:hAnsi="宋体" w:eastAsia="宋体"/>
                <w:sz w:val="21"/>
                <w:szCs w:val="21"/>
                <w:u w:val="single"/>
              </w:rPr>
              <w:t xml:space="preserve">  </w:t>
            </w:r>
            <w:r>
              <w:rPr>
                <w:rFonts w:hint="eastAsia" w:ascii="宋体" w:hAnsi="宋体" w:eastAsia="宋体"/>
                <w:sz w:val="21"/>
                <w:szCs w:val="21"/>
              </w:rPr>
              <w:t>月</w:t>
            </w:r>
            <w:r>
              <w:rPr>
                <w:rFonts w:ascii="宋体" w:hAnsi="宋体" w:eastAsia="宋体"/>
                <w:sz w:val="21"/>
                <w:szCs w:val="21"/>
                <w:u w:val="single"/>
              </w:rPr>
              <w:t xml:space="preserve"> </w:t>
            </w:r>
            <w:r>
              <w:rPr>
                <w:rFonts w:hint="eastAsia" w:ascii="宋体" w:hAnsi="宋体" w:eastAsia="宋体"/>
                <w:sz w:val="21"/>
                <w:szCs w:val="21"/>
                <w:u w:val="single"/>
                <w:lang w:val="en-US" w:eastAsia="zh-CN"/>
              </w:rPr>
              <w:t>20</w:t>
            </w:r>
            <w:r>
              <w:rPr>
                <w:rFonts w:ascii="宋体" w:hAnsi="宋体" w:eastAsia="宋体"/>
                <w:sz w:val="21"/>
                <w:szCs w:val="21"/>
                <w:u w:val="single"/>
              </w:rPr>
              <w:t xml:space="preserve"> </w:t>
            </w:r>
            <w:r>
              <w:rPr>
                <w:rFonts w:hint="eastAsia" w:ascii="宋体" w:hAnsi="宋体" w:eastAsia="宋体"/>
                <w:sz w:val="21"/>
                <w:szCs w:val="21"/>
              </w:rPr>
              <w:t>日</w:t>
            </w:r>
          </w:p>
        </w:tc>
      </w:tr>
    </w:tbl>
    <w:p>
      <w:pPr>
        <w:adjustRightInd w:val="0"/>
        <w:snapToGrid w:val="0"/>
        <w:spacing w:before="156" w:beforeLines="50"/>
        <w:sectPr>
          <w:pgSz w:w="11906" w:h="16838"/>
          <w:pgMar w:top="1440" w:right="1276" w:bottom="1440" w:left="1134" w:header="851" w:footer="992" w:gutter="0"/>
          <w:pgNumType w:fmt="decimal"/>
          <w:cols w:space="0" w:num="1"/>
          <w:rtlGutter w:val="0"/>
          <w:docGrid w:type="linesAndChars" w:linePitch="412" w:charSpace="1588"/>
        </w:sectPr>
      </w:pPr>
    </w:p>
    <w:p>
      <w:pPr>
        <w:adjustRightInd w:val="0"/>
        <w:snapToGrid w:val="0"/>
        <w:spacing w:line="348" w:lineRule="auto"/>
        <w:ind w:firstLine="0" w:firstLineChars="0"/>
        <w:rPr>
          <w:rFonts w:hint="eastAsia" w:ascii="黑体" w:hAnsi="Times New Roman" w:eastAsia="黑体" w:cs="Times New Roman"/>
          <w:kern w:val="0"/>
          <w:sz w:val="32"/>
          <w:szCs w:val="20"/>
        </w:rPr>
      </w:pPr>
      <w:r>
        <w:rPr>
          <w:rFonts w:hint="eastAsia" w:ascii="黑体" w:hAnsi="Times New Roman" w:eastAsia="黑体" w:cs="Times New Roman"/>
          <w:kern w:val="0"/>
          <w:sz w:val="32"/>
          <w:szCs w:val="20"/>
        </w:rPr>
        <w:t>附表1</w:t>
      </w:r>
    </w:p>
    <w:p>
      <w:pPr>
        <w:adjustRightInd w:val="0"/>
        <w:snapToGrid w:val="0"/>
        <w:spacing w:line="348" w:lineRule="auto"/>
        <w:ind w:firstLine="0" w:firstLineChars="0"/>
        <w:rPr>
          <w:rFonts w:hint="eastAsia" w:ascii="黑体" w:hAnsi="Times New Roman" w:eastAsia="黑体" w:cs="Times New Roman"/>
          <w:kern w:val="0"/>
          <w:sz w:val="32"/>
          <w:szCs w:val="20"/>
        </w:rPr>
      </w:pPr>
    </w:p>
    <w:p>
      <w:pPr>
        <w:adjustRightInd w:val="0"/>
        <w:snapToGrid w:val="0"/>
        <w:spacing w:line="240" w:lineRule="auto"/>
        <w:ind w:firstLine="0" w:firstLineChars="0"/>
        <w:jc w:val="center"/>
        <w:rPr>
          <w:rFonts w:hint="eastAsia" w:ascii="方正小标宋_GBK" w:hAnsi="华文中宋" w:eastAsia="方正小标宋_GBK" w:cs="Times New Roman"/>
          <w:sz w:val="38"/>
          <w:szCs w:val="38"/>
        </w:rPr>
      </w:pPr>
      <w:r>
        <w:rPr>
          <w:rFonts w:hint="eastAsia" w:ascii="方正小标宋_GBK" w:hAnsi="华文中宋" w:eastAsia="方正小标宋_GBK" w:cs="Times New Roman"/>
          <w:sz w:val="38"/>
          <w:szCs w:val="38"/>
        </w:rPr>
        <w:t>企业事业单位突发环境事件应急预案评审表</w:t>
      </w:r>
    </w:p>
    <w:tbl>
      <w:tblPr>
        <w:tblStyle w:val="16"/>
        <w:tblW w:w="1378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57" w:type="dxa"/>
          <w:bottom w:w="0" w:type="dxa"/>
          <w:right w:w="57" w:type="dxa"/>
        </w:tblCellMar>
      </w:tblPr>
      <w:tblGrid>
        <w:gridCol w:w="1134"/>
        <w:gridCol w:w="426"/>
        <w:gridCol w:w="4819"/>
        <w:gridCol w:w="1276"/>
        <w:gridCol w:w="567"/>
        <w:gridCol w:w="40"/>
        <w:gridCol w:w="669"/>
        <w:gridCol w:w="485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270" w:hRule="atLeast"/>
          <w:jc w:val="center"/>
        </w:trPr>
        <w:tc>
          <w:tcPr>
            <w:tcW w:w="13781" w:type="dxa"/>
            <w:gridSpan w:val="8"/>
            <w:noWrap w:val="0"/>
            <w:vAlign w:val="center"/>
          </w:tcPr>
          <w:p>
            <w:pPr>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预案编制单位：</w:t>
            </w:r>
            <w:r>
              <w:rPr>
                <w:rFonts w:ascii="宋体" w:hAnsi="宋体" w:eastAsia="宋体" w:cs="Times New Roman"/>
                <w:sz w:val="21"/>
                <w:szCs w:val="21"/>
                <w:u w:val="single"/>
              </w:rPr>
              <w:t xml:space="preserve">   </w:t>
            </w:r>
            <w:r>
              <w:rPr>
                <w:rFonts w:hint="eastAsia" w:ascii="Calibri" w:hAnsi="Calibri" w:eastAsia="宋体" w:cs="Times New Roman"/>
                <w:sz w:val="21"/>
                <w:szCs w:val="21"/>
                <w:u w:val="single"/>
                <w:lang w:val="en-US" w:eastAsia="zh-CN"/>
              </w:rPr>
              <w:t>南昌慧华高科混凝土有限公司</w:t>
            </w:r>
            <w:r>
              <w:rPr>
                <w:rFonts w:ascii="宋体" w:hAnsi="宋体" w:eastAsia="宋体" w:cs="Times New Roman"/>
                <w:sz w:val="21"/>
                <w:szCs w:val="21"/>
                <w:u w:val="single"/>
              </w:rPr>
              <w:t xml:space="preserve">                                    </w:t>
            </w:r>
          </w:p>
          <w:p>
            <w:pPr>
              <w:adjustRightInd w:val="0"/>
              <w:snapToGrid w:val="0"/>
              <w:spacing w:line="240" w:lineRule="auto"/>
              <w:ind w:firstLine="0" w:firstLineChars="0"/>
              <w:jc w:val="left"/>
              <w:rPr>
                <w:rFonts w:ascii="宋体" w:hAnsi="宋体" w:eastAsia="宋体" w:cs="Times New Roman"/>
                <w:sz w:val="21"/>
                <w:szCs w:val="21"/>
              </w:rPr>
            </w:pPr>
            <w:r>
              <w:rPr>
                <w:rFonts w:ascii="宋体" w:hAnsi="宋体" w:eastAsia="宋体" w:cs="Times New Roman"/>
                <w:sz w:val="21"/>
                <w:szCs w:val="21"/>
              </w:rPr>
              <w:t>(</w:t>
            </w:r>
            <w:r>
              <w:rPr>
                <w:rFonts w:hint="eastAsia" w:ascii="宋体" w:hAnsi="宋体" w:eastAsia="宋体" w:cs="Times New Roman"/>
                <w:sz w:val="21"/>
                <w:szCs w:val="21"/>
              </w:rPr>
              <w:t>专业技术服务机构：</w:t>
            </w:r>
            <w:r>
              <w:rPr>
                <w:rFonts w:ascii="宋体" w:hAnsi="宋体" w:eastAsia="宋体" w:cs="Times New Roman"/>
                <w:sz w:val="21"/>
                <w:szCs w:val="21"/>
                <w:u w:val="single"/>
              </w:rPr>
              <w:t xml:space="preserve">                                                           </w:t>
            </w:r>
            <w:r>
              <w:rPr>
                <w:rFonts w:ascii="宋体" w:hAnsi="宋体" w:eastAsia="宋体" w:cs="Times New Roman"/>
                <w:sz w:val="21"/>
                <w:szCs w:val="21"/>
              </w:rPr>
              <w:t>)</w:t>
            </w:r>
          </w:p>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企业环境风险级别：</w:t>
            </w:r>
            <w:r>
              <w:rPr>
                <w:rFonts w:hint="eastAsia" w:ascii="MS Gothic" w:hAnsi="MS Gothic" w:eastAsia="宋体" w:cs="MS Gothic"/>
                <w:sz w:val="21"/>
                <w:szCs w:val="21"/>
                <w:lang w:eastAsia="zh-CN"/>
              </w:rPr>
              <w:sym w:font="Wingdings 2" w:char="0052"/>
            </w:r>
            <w:r>
              <w:rPr>
                <w:rFonts w:hint="eastAsia" w:ascii="宋体" w:hAnsi="宋体" w:eastAsia="宋体" w:cs="Times New Roman"/>
                <w:sz w:val="21"/>
                <w:szCs w:val="21"/>
              </w:rPr>
              <w:t>一般；</w:t>
            </w:r>
            <w:r>
              <w:rPr>
                <w:rFonts w:hint="eastAsia" w:ascii="宋体" w:hAnsi="宋体" w:eastAsia="宋体" w:cs="Times New Roman"/>
                <w:sz w:val="21"/>
                <w:szCs w:val="21"/>
              </w:rPr>
              <w:sym w:font="Wingdings 2" w:char="00A3"/>
            </w:r>
            <w:r>
              <w:rPr>
                <w:rFonts w:hint="eastAsia" w:ascii="宋体" w:hAnsi="宋体" w:eastAsia="宋体" w:cs="Times New Roman"/>
                <w:sz w:val="21"/>
                <w:szCs w:val="21"/>
              </w:rPr>
              <w:t>较大；□重大</w:t>
            </w:r>
          </w:p>
          <w:p>
            <w:pPr>
              <w:adjustRightInd w:val="0"/>
              <w:snapToGrid w:val="0"/>
              <w:spacing w:after="173" w:afterLines="30" w:line="240" w:lineRule="auto"/>
              <w:ind w:firstLine="0" w:firstLineChars="0"/>
              <w:jc w:val="right"/>
              <w:rPr>
                <w:rFonts w:hint="eastAsia" w:ascii="仿宋_GB2312" w:hAnsi="宋体" w:eastAsia="宋体" w:cs="Times New Roman"/>
                <w:b/>
                <w:sz w:val="24"/>
                <w:szCs w:val="24"/>
              </w:rPr>
            </w:pPr>
            <w:r>
              <w:rPr>
                <w:rFonts w:hint="eastAsia" w:ascii="仿宋_GB2312" w:hAnsi="宋体" w:eastAsia="宋体" w:cs="Times New Roman"/>
                <w:b/>
                <w:sz w:val="24"/>
                <w:szCs w:val="24"/>
              </w:rPr>
              <w:t>（本栏由企业填写）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13781" w:type="dxa"/>
            <w:gridSpan w:val="8"/>
            <w:noWrap w:val="0"/>
            <w:vAlign w:val="center"/>
          </w:tcPr>
          <w:p>
            <w:pPr>
              <w:adjustRightInd w:val="0"/>
              <w:snapToGrid w:val="0"/>
              <w:spacing w:line="240" w:lineRule="auto"/>
              <w:ind w:firstLine="0" w:firstLineChars="0"/>
              <w:jc w:val="center"/>
              <w:rPr>
                <w:rFonts w:ascii="黑体" w:hAnsi="黑体" w:eastAsia="黑体" w:cs="Times New Roman"/>
                <w:sz w:val="21"/>
                <w:szCs w:val="21"/>
              </w:rPr>
            </w:pPr>
            <w:r>
              <w:rPr>
                <w:rFonts w:hint="eastAsia" w:ascii="黑体" w:hAnsi="黑体" w:eastAsia="黑体" w:cs="Times New Roman"/>
                <w:sz w:val="21"/>
                <w:szCs w:val="21"/>
              </w:rPr>
              <w:t>“一票否决”项（以下三项中任意一项判定为“不符合”，则评审结论为“未通过”）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275" w:hRule="atLeast"/>
          <w:jc w:val="center"/>
        </w:trPr>
        <w:tc>
          <w:tcPr>
            <w:tcW w:w="6379" w:type="dxa"/>
            <w:gridSpan w:val="3"/>
            <w:vMerge w:val="restart"/>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评 审 指 标</w:t>
            </w:r>
          </w:p>
        </w:tc>
        <w:tc>
          <w:tcPr>
            <w:tcW w:w="2552" w:type="dxa"/>
            <w:gridSpan w:val="4"/>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评审意见</w:t>
            </w:r>
          </w:p>
        </w:tc>
        <w:tc>
          <w:tcPr>
            <w:tcW w:w="4850" w:type="dxa"/>
            <w:vMerge w:val="restart"/>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指 标 说 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96" w:hRule="atLeast"/>
          <w:jc w:val="center"/>
        </w:trPr>
        <w:tc>
          <w:tcPr>
            <w:tcW w:w="6379" w:type="dxa"/>
            <w:gridSpan w:val="3"/>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1276"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判  定</w:t>
            </w:r>
          </w:p>
        </w:tc>
        <w:tc>
          <w:tcPr>
            <w:tcW w:w="1276" w:type="dxa"/>
            <w:gridSpan w:val="3"/>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说  明</w:t>
            </w:r>
          </w:p>
        </w:tc>
        <w:tc>
          <w:tcPr>
            <w:tcW w:w="4850" w:type="dxa"/>
            <w:vMerge w:val="continue"/>
            <w:noWrap w:val="0"/>
            <w:vAlign w:val="center"/>
          </w:tcPr>
          <w:p>
            <w:pPr>
              <w:adjustRightInd w:val="0"/>
              <w:snapToGrid w:val="0"/>
              <w:spacing w:line="240" w:lineRule="auto"/>
              <w:ind w:firstLine="0" w:firstLineChars="0"/>
              <w:jc w:val="left"/>
              <w:rPr>
                <w:rFonts w:ascii="宋体" w:hAnsi="宋体" w:eastAsia="宋体"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44" w:hRule="atLeast"/>
          <w:jc w:val="center"/>
        </w:trPr>
        <w:tc>
          <w:tcPr>
            <w:tcW w:w="6379" w:type="dxa"/>
            <w:gridSpan w:val="3"/>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有单独的环境风险评估报告和环境应急资源调查报告（表）</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1276" w:type="dxa"/>
            <w:gridSpan w:val="3"/>
            <w:noWrap w:val="0"/>
            <w:vAlign w:val="center"/>
          </w:tcPr>
          <w:p>
            <w:pPr>
              <w:adjustRightInd w:val="0"/>
              <w:snapToGrid w:val="0"/>
              <w:spacing w:line="240" w:lineRule="auto"/>
              <w:ind w:firstLine="0" w:firstLineChars="0"/>
              <w:jc w:val="left"/>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hint="eastAsia" w:ascii="宋体" w:hAnsi="宋体" w:eastAsia="宋体" w:cs="Times New Roman"/>
                <w:sz w:val="21"/>
                <w:szCs w:val="21"/>
              </w:rPr>
            </w:pPr>
            <w:r>
              <w:rPr>
                <w:rFonts w:hint="eastAsia" w:ascii="宋体" w:hAnsi="宋体" w:eastAsia="宋体" w:cs="Times New Roman"/>
                <w:sz w:val="21"/>
                <w:szCs w:val="21"/>
              </w:rPr>
              <w:t>突发事件应急预案管理办法有关规定；</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备案管理办法第十条要求，应当在开展环境风险评估和环境应急资源调查的基础上编制环境应急预案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20" w:hRule="atLeast"/>
          <w:jc w:val="center"/>
        </w:trPr>
        <w:tc>
          <w:tcPr>
            <w:tcW w:w="6379" w:type="dxa"/>
            <w:gridSpan w:val="3"/>
            <w:noWrap w:val="0"/>
            <w:vAlign w:val="center"/>
          </w:tcPr>
          <w:p>
            <w:pPr>
              <w:adjustRightInd w:val="0"/>
              <w:snapToGrid w:val="0"/>
              <w:spacing w:line="240" w:lineRule="auto"/>
              <w:ind w:firstLine="0" w:firstLineChars="0"/>
              <w:jc w:val="left"/>
              <w:rPr>
                <w:rFonts w:ascii="宋体" w:hAnsi="宋体" w:eastAsia="宋体" w:cs="Times New Roman"/>
                <w:spacing w:val="-4"/>
                <w:sz w:val="21"/>
                <w:szCs w:val="21"/>
              </w:rPr>
            </w:pPr>
            <w:r>
              <w:rPr>
                <w:rFonts w:hint="eastAsia" w:ascii="宋体" w:hAnsi="宋体" w:eastAsia="宋体" w:cs="Times New Roman"/>
                <w:spacing w:val="-4"/>
                <w:sz w:val="21"/>
                <w:szCs w:val="21"/>
              </w:rPr>
              <w:t>从可能的突发环境事件情景出发编制且典型突发环境事件情景无缺失</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1276" w:type="dxa"/>
            <w:gridSpan w:val="3"/>
            <w:noWrap w:val="0"/>
            <w:vAlign w:val="center"/>
          </w:tcPr>
          <w:p>
            <w:pPr>
              <w:adjustRightInd w:val="0"/>
              <w:snapToGrid w:val="0"/>
              <w:spacing w:line="240" w:lineRule="auto"/>
              <w:ind w:firstLine="0" w:firstLineChars="0"/>
              <w:jc w:val="left"/>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hint="eastAsia" w:ascii="宋体" w:hAnsi="宋体" w:eastAsia="宋体" w:cs="Times New Roman"/>
                <w:sz w:val="21"/>
                <w:szCs w:val="21"/>
              </w:rPr>
            </w:pPr>
            <w:r>
              <w:rPr>
                <w:rFonts w:hint="eastAsia" w:ascii="宋体" w:hAnsi="宋体" w:eastAsia="宋体" w:cs="Times New Roman"/>
                <w:sz w:val="21"/>
                <w:szCs w:val="21"/>
              </w:rPr>
              <w:t>突发事件应对法有关规定；</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备案管理办法第九、十条，均对企业从可能的突发环境事件情景出发编制环境应急预案提出了要求；</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典型突发环境事件情景基于真实事件与预期风险凝练、集合而成，体现各类事件的共性与规律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26" w:hRule="atLeast"/>
          <w:jc w:val="center"/>
        </w:trPr>
        <w:tc>
          <w:tcPr>
            <w:tcW w:w="6379" w:type="dxa"/>
            <w:gridSpan w:val="3"/>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能够让周边居民和单位获得事件信息</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1276" w:type="dxa"/>
            <w:gridSpan w:val="3"/>
            <w:noWrap w:val="0"/>
            <w:vAlign w:val="center"/>
          </w:tcPr>
          <w:p>
            <w:pPr>
              <w:adjustRightInd w:val="0"/>
              <w:snapToGrid w:val="0"/>
              <w:spacing w:line="240" w:lineRule="auto"/>
              <w:ind w:firstLine="0" w:firstLineChars="0"/>
              <w:jc w:val="left"/>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环境保护法第四十七条规定，在发生或可能发生突发环境事件时，企业应当及时通报可能受到危害的单位和居民。备案管理办法第十条也提出了相应要求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36" w:hRule="atLeast"/>
          <w:jc w:val="center"/>
        </w:trPr>
        <w:tc>
          <w:tcPr>
            <w:tcW w:w="13781" w:type="dxa"/>
            <w:gridSpan w:val="8"/>
            <w:noWrap w:val="0"/>
            <w:vAlign w:val="center"/>
          </w:tcPr>
          <w:p>
            <w:pPr>
              <w:adjustRightInd w:val="0"/>
              <w:snapToGrid w:val="0"/>
              <w:spacing w:line="240" w:lineRule="auto"/>
              <w:ind w:firstLine="0" w:firstLineChars="0"/>
              <w:jc w:val="center"/>
              <w:rPr>
                <w:rFonts w:ascii="黑体" w:hAnsi="黑体" w:eastAsia="黑体" w:cs="Times New Roman"/>
                <w:sz w:val="21"/>
                <w:szCs w:val="21"/>
              </w:rPr>
            </w:pPr>
            <w:r>
              <w:rPr>
                <w:rFonts w:hint="eastAsia" w:ascii="黑体" w:hAnsi="黑体" w:eastAsia="黑体" w:cs="Times New Roman"/>
                <w:sz w:val="21"/>
                <w:szCs w:val="21"/>
              </w:rPr>
              <w:t>环境应急预案及相关文件的基本形式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02" w:hRule="atLeast"/>
          <w:jc w:val="center"/>
        </w:trPr>
        <w:tc>
          <w:tcPr>
            <w:tcW w:w="1134" w:type="dxa"/>
            <w:vMerge w:val="restart"/>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评审项目</w:t>
            </w:r>
          </w:p>
        </w:tc>
        <w:tc>
          <w:tcPr>
            <w:tcW w:w="5245" w:type="dxa"/>
            <w:gridSpan w:val="2"/>
            <w:vMerge w:val="restart"/>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评 审 指 标</w:t>
            </w:r>
          </w:p>
        </w:tc>
        <w:tc>
          <w:tcPr>
            <w:tcW w:w="2552" w:type="dxa"/>
            <w:gridSpan w:val="4"/>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评审意见</w:t>
            </w:r>
          </w:p>
        </w:tc>
        <w:tc>
          <w:tcPr>
            <w:tcW w:w="4850" w:type="dxa"/>
            <w:vMerge w:val="restart"/>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指 标 说 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21"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5245" w:type="dxa"/>
            <w:gridSpan w:val="2"/>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1276"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判定</w:t>
            </w:r>
          </w:p>
        </w:tc>
        <w:tc>
          <w:tcPr>
            <w:tcW w:w="567"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得分</w:t>
            </w:r>
          </w:p>
        </w:tc>
        <w:tc>
          <w:tcPr>
            <w:tcW w:w="709" w:type="dxa"/>
            <w:gridSpan w:val="2"/>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说明</w:t>
            </w:r>
          </w:p>
        </w:tc>
        <w:tc>
          <w:tcPr>
            <w:tcW w:w="4850"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812"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封面目录</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vertAlign w:val="superscript"/>
                <w:lang w:val="en-US" w:eastAsia="zh-CN" w:bidi="ar-SA"/>
              </w:rPr>
            </w:pPr>
            <w:r>
              <w:rPr>
                <w:rFonts w:hint="eastAsia" w:ascii="宋体" w:hAnsi="宋体" w:eastAsia="宋体" w:cs="Times New Roman"/>
                <w:kern w:val="2"/>
                <w:sz w:val="21"/>
                <w:szCs w:val="21"/>
                <w:lang w:val="en-US" w:eastAsia="zh-CN" w:bidi="ar-SA"/>
              </w:rPr>
              <w:t>1</w:t>
            </w:r>
            <w:r>
              <w:rPr>
                <w:rFonts w:hint="eastAsia" w:ascii="宋体" w:hAnsi="宋体" w:eastAsia="宋体" w:cs="Times New Roman"/>
                <w:kern w:val="2"/>
                <w:sz w:val="21"/>
                <w:szCs w:val="21"/>
                <w:vertAlign w:val="superscript"/>
                <w:lang w:val="en-US" w:eastAsia="zh-CN" w:bidi="ar-SA"/>
              </w:rPr>
              <w:t>a</w:t>
            </w:r>
          </w:p>
        </w:tc>
        <w:tc>
          <w:tcPr>
            <w:tcW w:w="4819"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封面有环境应急预案、预案编制单位名称，预留正式发布预案的版本号、发布日期等设计；</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目录有编号、标题和页码，一般至少设置两级目录</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567"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709" w:type="dxa"/>
            <w:gridSpan w:val="2"/>
            <w:noWrap w:val="0"/>
            <w:vAlign w:val="top"/>
          </w:tcPr>
          <w:p>
            <w:pPr>
              <w:keepNext/>
              <w:keepLines/>
              <w:adjustRightInd w:val="0"/>
              <w:snapToGrid w:val="0"/>
              <w:spacing w:line="240" w:lineRule="auto"/>
              <w:ind w:firstLine="0" w:firstLineChars="0"/>
              <w:jc w:val="center"/>
              <w:rPr>
                <w:rFonts w:hint="eastAsia"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预案版本号指为便于索引、回溯而在发布时赋予预案的标识号，企业可以按照内部技术文件版本号管理要求执行；</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预案各章节可以有多级标题，但在目录中至少列出两级标题，便于查找</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951"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结构</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2</w:t>
            </w:r>
            <w:r>
              <w:rPr>
                <w:rFonts w:hint="eastAsia" w:ascii="宋体" w:hAnsi="宋体" w:eastAsia="宋体" w:cs="Times New Roman"/>
                <w:kern w:val="2"/>
                <w:sz w:val="21"/>
                <w:szCs w:val="21"/>
                <w:vertAlign w:val="superscript"/>
                <w:lang w:val="en-US" w:eastAsia="zh-CN" w:bidi="ar-SA"/>
              </w:rPr>
              <w:t>a</w:t>
            </w:r>
          </w:p>
        </w:tc>
        <w:tc>
          <w:tcPr>
            <w:tcW w:w="4819"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结构完整，格式规范</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567"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709"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结构完整指预案文件布局合理、层次分明，无错漏章节、段落；正文对附件的引用、说明等，与附件索引、附件一致；</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格式规范指预案文件符合企业内部公文格式标准，或文件字体、字号、版式、层次等遵循一定的规范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2803"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行文</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w:t>
            </w:r>
            <w:r>
              <w:rPr>
                <w:rFonts w:hint="eastAsia" w:ascii="宋体" w:hAnsi="宋体" w:eastAsia="宋体" w:cs="Times New Roman"/>
                <w:kern w:val="2"/>
                <w:sz w:val="21"/>
                <w:szCs w:val="21"/>
                <w:vertAlign w:val="superscript"/>
                <w:lang w:val="en-US" w:eastAsia="zh-CN" w:bidi="ar-SA"/>
              </w:rPr>
              <w:t>a</w:t>
            </w:r>
          </w:p>
        </w:tc>
        <w:tc>
          <w:tcPr>
            <w:tcW w:w="4819"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文字准确，语言通顺，内容简明</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567"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709"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文字准确是指无明显错别字、多字、漏字、语句错误、数据错误、时间错误等现象；</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语言通顺是指语言规范、连贯、易懂，合乎事理逻辑，关键内容不会产生歧义等；</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内容简明是指环境应急预案、环境风险评估报告、环境应急资源调查报告独立成文，预案正文和附件内容分配合理，应对措施等重点信息容易找到，内容上无简单重复、大量互相引用等现象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97" w:hRule="atLeast"/>
          <w:jc w:val="center"/>
        </w:trPr>
        <w:tc>
          <w:tcPr>
            <w:tcW w:w="13781" w:type="dxa"/>
            <w:gridSpan w:val="8"/>
            <w:noWrap w:val="0"/>
            <w:vAlign w:val="center"/>
          </w:tcPr>
          <w:p>
            <w:pPr>
              <w:adjustRightInd w:val="0"/>
              <w:snapToGrid w:val="0"/>
              <w:spacing w:line="240" w:lineRule="auto"/>
              <w:ind w:firstLine="0" w:firstLineChars="0"/>
              <w:jc w:val="center"/>
              <w:rPr>
                <w:rFonts w:ascii="黑体" w:hAnsi="黑体" w:eastAsia="黑体" w:cs="Times New Roman"/>
                <w:sz w:val="21"/>
                <w:szCs w:val="21"/>
              </w:rPr>
            </w:pPr>
            <w:r>
              <w:rPr>
                <w:rFonts w:hint="eastAsia" w:ascii="黑体" w:hAnsi="黑体" w:eastAsia="黑体" w:cs="Times New Roman"/>
                <w:sz w:val="21"/>
                <w:szCs w:val="21"/>
              </w:rPr>
              <w:t>环境应急预案编制说明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03"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过程说明</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w:t>
            </w:r>
            <w:r>
              <w:rPr>
                <w:rFonts w:hint="eastAsia" w:ascii="宋体" w:hAnsi="宋体" w:eastAsia="宋体" w:cs="Times New Roman"/>
                <w:kern w:val="2"/>
                <w:sz w:val="21"/>
                <w:szCs w:val="21"/>
                <w:vertAlign w:val="superscript"/>
                <w:lang w:val="en-US" w:eastAsia="zh-CN" w:bidi="ar-SA"/>
              </w:rPr>
              <w:t>a</w:t>
            </w:r>
          </w:p>
        </w:tc>
        <w:tc>
          <w:tcPr>
            <w:tcW w:w="4819"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说清预案编修过程</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567"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709"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编制过程主要包括成立环境应急预案编制工作组、开展环境风险评估和环境应急资源调查、征求关键岗位员工和可能受影响的居民、单位代表的意见、组织对预案内容进行推演等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03"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问题说明</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5</w:t>
            </w:r>
            <w:r>
              <w:rPr>
                <w:rFonts w:hint="eastAsia" w:ascii="宋体" w:hAnsi="宋体" w:eastAsia="宋体" w:cs="Times New Roman"/>
                <w:kern w:val="2"/>
                <w:sz w:val="21"/>
                <w:szCs w:val="21"/>
                <w:vertAlign w:val="superscript"/>
                <w:lang w:val="en-US" w:eastAsia="zh-CN" w:bidi="ar-SA"/>
              </w:rPr>
              <w:t>a</w:t>
            </w:r>
          </w:p>
        </w:tc>
        <w:tc>
          <w:tcPr>
            <w:tcW w:w="4819" w:type="dxa"/>
            <w:noWrap w:val="0"/>
            <w:vAlign w:val="center"/>
          </w:tcPr>
          <w:p>
            <w:pPr>
              <w:adjustRightInd w:val="0"/>
              <w:snapToGrid w:val="0"/>
              <w:spacing w:line="240" w:lineRule="auto"/>
              <w:ind w:firstLine="0" w:firstLineChars="0"/>
              <w:rPr>
                <w:rFonts w:ascii="宋体" w:hAnsi="宋体" w:eastAsia="宋体" w:cs="Times New Roman"/>
                <w:spacing w:val="-2"/>
                <w:sz w:val="21"/>
                <w:szCs w:val="21"/>
              </w:rPr>
            </w:pPr>
            <w:r>
              <w:rPr>
                <w:rFonts w:hint="eastAsia" w:ascii="宋体" w:hAnsi="宋体" w:eastAsia="宋体" w:cs="Times New Roman"/>
                <w:spacing w:val="-2"/>
                <w:sz w:val="21"/>
                <w:szCs w:val="21"/>
              </w:rPr>
              <w:t>说明意见建议及采纳情况、演练暴露问题及解决措施</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567"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0.5</w:t>
            </w:r>
          </w:p>
        </w:tc>
        <w:tc>
          <w:tcPr>
            <w:tcW w:w="709"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一般应有意见建议清单，并说明采纳情况及未采纳理由；演练（一般为检验性的桌面推演）暴露问题清单及解决措施，并体现在预案中</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41" w:hRule="atLeast"/>
          <w:jc w:val="center"/>
        </w:trPr>
        <w:tc>
          <w:tcPr>
            <w:tcW w:w="13781" w:type="dxa"/>
            <w:gridSpan w:val="8"/>
            <w:noWrap w:val="0"/>
            <w:vAlign w:val="center"/>
          </w:tcPr>
          <w:p>
            <w:pPr>
              <w:adjustRightInd w:val="0"/>
              <w:snapToGrid w:val="0"/>
              <w:spacing w:line="240" w:lineRule="auto"/>
              <w:ind w:firstLine="0" w:firstLineChars="0"/>
              <w:jc w:val="center"/>
              <w:rPr>
                <w:rFonts w:ascii="黑体" w:hAnsi="黑体" w:eastAsia="黑体" w:cs="Times New Roman"/>
                <w:sz w:val="21"/>
                <w:szCs w:val="21"/>
              </w:rPr>
            </w:pPr>
            <w:r>
              <w:rPr>
                <w:rFonts w:hint="eastAsia" w:ascii="黑体" w:hAnsi="黑体" w:eastAsia="黑体" w:cs="Times New Roman"/>
                <w:sz w:val="21"/>
                <w:szCs w:val="21"/>
              </w:rPr>
              <w:t>环境应急预案文本</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330"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编制目的</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6</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pacing w:val="-2"/>
                <w:sz w:val="21"/>
                <w:szCs w:val="21"/>
              </w:rPr>
            </w:pPr>
            <w:r>
              <w:rPr>
                <w:rFonts w:hint="eastAsia" w:ascii="宋体" w:hAnsi="宋体" w:eastAsia="宋体" w:cs="Times New Roman"/>
                <w:spacing w:val="-2"/>
                <w:sz w:val="21"/>
                <w:szCs w:val="21"/>
              </w:rPr>
              <w:t>体现：规范事发后的应对工作，提高事件应对能力，避免或减轻事件影响，加强企业与政府应对工作衔接</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vMerge w:val="restart"/>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此三项为预案的总纲。</w:t>
            </w:r>
          </w:p>
          <w:p>
            <w:pPr>
              <w:adjustRightInd w:val="0"/>
              <w:snapToGrid w:val="0"/>
              <w:spacing w:line="240" w:lineRule="auto"/>
              <w:ind w:firstLine="0" w:firstLineChars="0"/>
              <w:rPr>
                <w:rFonts w:ascii="宋体" w:hAnsi="宋体" w:eastAsia="宋体" w:cs="Times New Roman"/>
                <w:sz w:val="21"/>
                <w:szCs w:val="21"/>
              </w:rPr>
            </w:pP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关于“规范事发后的应对工作”，《突发事件应急预案管理办法》强调应急预案重在“应对”，适当向前延伸至“预警”，向后延伸至“恢复”。关于“加强企业与政府应对衔接”，根据备案管理办法，实行企业环境应急预案备案管理，其中一个重要作用是环保部门收集信息，服务于政府环境应急预案编修；另外，由于权限、职责、工作范围的不同，企业环境应急预案应该在指挥、措施、程序等方面留有“接口”，确保与政府预案有机衔接。</w:t>
            </w:r>
          </w:p>
          <w:p>
            <w:pPr>
              <w:adjustRightInd w:val="0"/>
              <w:snapToGrid w:val="0"/>
              <w:spacing w:line="240" w:lineRule="auto"/>
              <w:ind w:firstLine="0" w:firstLineChars="0"/>
              <w:rPr>
                <w:rFonts w:ascii="宋体" w:hAnsi="宋体" w:eastAsia="宋体" w:cs="Times New Roman"/>
                <w:sz w:val="21"/>
                <w:szCs w:val="21"/>
              </w:rPr>
            </w:pPr>
          </w:p>
          <w:p>
            <w:pPr>
              <w:adjustRightInd w:val="0"/>
              <w:snapToGrid w:val="0"/>
              <w:spacing w:line="240" w:lineRule="auto"/>
              <w:ind w:firstLine="0" w:firstLineChars="0"/>
              <w:rPr>
                <w:rFonts w:hint="eastAsia" w:ascii="宋体" w:hAnsi="宋体" w:eastAsia="宋体" w:cs="Times New Roman"/>
                <w:sz w:val="21"/>
                <w:szCs w:val="21"/>
              </w:rPr>
            </w:pPr>
            <w:r>
              <w:rPr>
                <w:rFonts w:hint="eastAsia" w:ascii="宋体" w:hAnsi="宋体" w:eastAsia="宋体" w:cs="Times New Roman"/>
                <w:sz w:val="21"/>
                <w:szCs w:val="21"/>
              </w:rPr>
              <w:t>适用主体，指组织实施预案的责任单位；地理或管理范围，如某公司内、某公司及周边环境敏感区域内；事件类别，如生产废水事故排放、化学品泄漏、燃烧或爆炸次生环境事件等；工作内容，可包括预警、处置、监测等。</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坚持环境优先，是因为环境一旦受到污染，修复难度大且成本高；应急工作与岗位职责相结合，强调应急任务要细化落实到具体工作岗位</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适用范围</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7</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明确：预案适用的主体、地理或管理范围、事件类别、工作内容</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vMerge w:val="continue"/>
            <w:noWrap w:val="0"/>
            <w:vAlign w:val="top"/>
          </w:tcPr>
          <w:p>
            <w:pPr>
              <w:adjustRightInd w:val="0"/>
              <w:snapToGrid w:val="0"/>
              <w:spacing w:line="240" w:lineRule="auto"/>
              <w:ind w:firstLine="0" w:firstLineChars="0"/>
              <w:rPr>
                <w:rFonts w:ascii="宋体" w:hAnsi="宋体" w:eastAsia="宋体"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工作原则</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8</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pacing w:val="-2"/>
                <w:sz w:val="21"/>
                <w:szCs w:val="21"/>
              </w:rPr>
            </w:pPr>
            <w:r>
              <w:rPr>
                <w:rFonts w:hint="eastAsia" w:ascii="宋体" w:hAnsi="宋体" w:eastAsia="宋体" w:cs="Times New Roman"/>
                <w:spacing w:val="-2"/>
                <w:sz w:val="21"/>
                <w:szCs w:val="21"/>
              </w:rPr>
              <w:t>体现：符合国家有关规定和要求，结合本单位实际；救人第一、环境优先；先期处置、防止危害扩大；快速响应、科学应对；应急工作与岗位职责相结合等</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vMerge w:val="continue"/>
            <w:noWrap w:val="0"/>
            <w:vAlign w:val="top"/>
          </w:tcPr>
          <w:p>
            <w:pPr>
              <w:adjustRightInd w:val="0"/>
              <w:snapToGrid w:val="0"/>
              <w:spacing w:line="240" w:lineRule="auto"/>
              <w:ind w:firstLine="0" w:firstLineChars="0"/>
              <w:rPr>
                <w:rFonts w:ascii="宋体" w:hAnsi="宋体" w:eastAsia="宋体"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3103" w:hRule="atLeast"/>
          <w:jc w:val="center"/>
        </w:trPr>
        <w:tc>
          <w:tcPr>
            <w:tcW w:w="1134" w:type="dxa"/>
            <w:vMerge w:val="restart"/>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应急预案</w:t>
            </w:r>
          </w:p>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体系</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9</w:t>
            </w:r>
            <w:r>
              <w:rPr>
                <w:rFonts w:hint="eastAsia" w:ascii="宋体" w:hAnsi="宋体" w:eastAsia="宋体" w:cs="Times New Roman"/>
                <w:kern w:val="2"/>
                <w:sz w:val="21"/>
                <w:szCs w:val="21"/>
                <w:vertAlign w:val="superscript"/>
                <w:lang w:val="en-US" w:eastAsia="zh-CN" w:bidi="ar-SA"/>
              </w:rPr>
              <w:t>b</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以预案关系图的形式，说明本预案的组成及其组成之间的关系、与生产安全事故预案等其他预案的衔接关系、与地方人民政府环境应急预案的衔接关系，辅以必要的重点内容说明</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宋体" w:cs="MS Gothic"/>
                <w:sz w:val="21"/>
                <w:szCs w:val="21"/>
                <w:lang w:eastAsia="zh-CN"/>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sym w:font="Wingdings 2" w:char="0052"/>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1.5</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vMerge w:val="restart"/>
            <w:noWrap w:val="0"/>
            <w:vAlign w:val="top"/>
          </w:tcPr>
          <w:p>
            <w:pPr>
              <w:adjustRightInd w:val="0"/>
              <w:snapToGrid w:val="0"/>
              <w:spacing w:line="240" w:lineRule="auto"/>
              <w:ind w:firstLine="0" w:firstLineChars="0"/>
              <w:rPr>
                <w:rFonts w:hint="eastAsia" w:ascii="宋体" w:hAnsi="宋体" w:eastAsia="宋体" w:cs="Times New Roman"/>
                <w:sz w:val="21"/>
                <w:szCs w:val="21"/>
              </w:rPr>
            </w:pPr>
            <w:r>
              <w:rPr>
                <w:rFonts w:hint="eastAsia" w:ascii="宋体" w:hAnsi="宋体" w:eastAsia="宋体" w:cs="Times New Roman"/>
                <w:sz w:val="21"/>
                <w:szCs w:val="21"/>
              </w:rPr>
              <w:t>本项目的三项指标，主要考察企业在环境应急预案编制过程中能否清晰把握预案体系。具体衔接方式、内容在应对流程和措施等部分体现。</w:t>
            </w:r>
          </w:p>
          <w:p>
            <w:pPr>
              <w:adjustRightInd w:val="0"/>
              <w:snapToGrid w:val="0"/>
              <w:spacing w:line="240" w:lineRule="auto"/>
              <w:ind w:firstLine="0" w:firstLineChars="0"/>
              <w:rPr>
                <w:rFonts w:hint="eastAsia" w:ascii="宋体" w:hAnsi="宋体" w:eastAsia="宋体" w:cs="Times New Roman"/>
                <w:sz w:val="21"/>
                <w:szCs w:val="21"/>
              </w:rPr>
            </w:pPr>
            <w:r>
              <w:rPr>
                <w:rFonts w:hint="eastAsia" w:ascii="宋体" w:hAnsi="宋体" w:eastAsia="宋体" w:cs="Times New Roman"/>
                <w:sz w:val="21"/>
                <w:szCs w:val="21"/>
              </w:rPr>
              <w:t>有的企业环境应急预案包括综合预案、专项预案、现场预案或其他组成，应说明这些组成之间的衔接关系，确保各个组成清晰界定、有机衔接。企业环境应急预案一般应以现场处置预案为主，有针对性地提出各类事件情景下的污染防控措施，明确责任人员、工作流程、具体措施，落实到应急处置卡上。确需分类编制的，综合预案侧重明确应对原则、组织机构与职责、基本程序与要求，说明预案体系构成；专项预案侧重针对某一类事件，明确应急程序和处置措施。如不涉及以上情况，可以说明预案的主体框架。</w:t>
            </w:r>
          </w:p>
          <w:p>
            <w:pPr>
              <w:adjustRightInd w:val="0"/>
              <w:snapToGrid w:val="0"/>
              <w:spacing w:line="240" w:lineRule="auto"/>
              <w:ind w:firstLine="0" w:firstLineChars="0"/>
              <w:rPr>
                <w:rFonts w:hint="eastAsia" w:ascii="宋体" w:hAnsi="宋体" w:eastAsia="宋体" w:cs="Times New Roman"/>
                <w:sz w:val="21"/>
                <w:szCs w:val="21"/>
              </w:rPr>
            </w:pPr>
            <w:r>
              <w:rPr>
                <w:rFonts w:hint="eastAsia" w:ascii="宋体" w:hAnsi="宋体" w:eastAsia="宋体" w:cs="Times New Roman"/>
                <w:sz w:val="21"/>
                <w:szCs w:val="21"/>
              </w:rPr>
              <w:t>环境应急预案定位于控制并减轻、消除污染，与企业内部生产安全事故预案等其他预案清晰界定、相互支持。</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企业突发环境事件一般会对外环境造成污染，其预案应与所在地政府环境应急预案协调一致、相互配合。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vMerge w:val="continue"/>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10</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预案体系构成合理，以现场处置预案为主，确有必要编制综合预案、专项预案，且定位清晰、有机衔接</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vMerge w:val="continue"/>
            <w:noWrap w:val="0"/>
            <w:vAlign w:val="top"/>
          </w:tcPr>
          <w:p>
            <w:pPr>
              <w:adjustRightInd w:val="0"/>
              <w:snapToGrid w:val="0"/>
              <w:spacing w:line="240" w:lineRule="auto"/>
              <w:ind w:firstLine="0" w:firstLineChars="0"/>
              <w:rPr>
                <w:rFonts w:ascii="宋体" w:hAnsi="宋体" w:eastAsia="宋体"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vMerge w:val="continue"/>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11</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预案整体定位清晰，与内部生产安全事故预案等其他预案清晰界定、相互支持，与地方人民政府环境应急预案有机衔接</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vMerge w:val="continue"/>
            <w:noWrap w:val="0"/>
            <w:vAlign w:val="top"/>
          </w:tcPr>
          <w:p>
            <w:pPr>
              <w:adjustRightInd w:val="0"/>
              <w:snapToGrid w:val="0"/>
              <w:spacing w:line="240" w:lineRule="auto"/>
              <w:ind w:firstLine="0" w:firstLineChars="0"/>
              <w:rPr>
                <w:rFonts w:ascii="宋体" w:hAnsi="宋体" w:eastAsia="宋体"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531" w:hRule="atLeast"/>
          <w:jc w:val="center"/>
        </w:trPr>
        <w:tc>
          <w:tcPr>
            <w:tcW w:w="1134" w:type="dxa"/>
            <w:vMerge w:val="restart"/>
            <w:noWrap w:val="0"/>
            <w:vAlign w:val="center"/>
          </w:tcPr>
          <w:p>
            <w:pPr>
              <w:adjustRightInd w:val="0"/>
              <w:snapToGrid w:val="0"/>
              <w:spacing w:line="240" w:lineRule="auto"/>
              <w:ind w:firstLine="0" w:firstLineChars="0"/>
              <w:jc w:val="center"/>
              <w:rPr>
                <w:rFonts w:ascii="宋体" w:hAnsi="宋体" w:eastAsia="宋体" w:cs="Times New Roman"/>
                <w:kern w:val="0"/>
                <w:sz w:val="21"/>
                <w:szCs w:val="21"/>
                <w:lang w:val="zh-CN"/>
              </w:rPr>
            </w:pPr>
            <w:r>
              <w:rPr>
                <w:rFonts w:hint="eastAsia" w:ascii="宋体" w:hAnsi="宋体" w:eastAsia="宋体" w:cs="Times New Roman"/>
                <w:sz w:val="21"/>
                <w:szCs w:val="21"/>
              </w:rPr>
              <w:t>组织指挥机制</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12</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以应急组织体系结构图、应急响应流程图的形式，说明组织体系构成、应急指挥运行机制，配有应急队伍成员名单和联系方式表</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以图表形式，说明应急组织体系构成、运行机制、联系人及联系方式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531"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13</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明确组织体系的构成及其职责。一般包括应急指挥部及其办事机构、现场处置组、环境应急监测组、应急保障组以及其他必要的行动组</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企业根据突发环境事件应急工作特点，建立由负责人和成员组成的、工作职责明确的环境应急组织指挥机构。注意与企业突发事件应急预案以及生产安全等预案中组织指挥体系的衔接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295" w:hRule="atLeast"/>
          <w:jc w:val="center"/>
        </w:trPr>
        <w:tc>
          <w:tcPr>
            <w:tcW w:w="1134" w:type="dxa"/>
            <w:vMerge w:val="restart"/>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组织指挥机制</w:t>
            </w:r>
          </w:p>
        </w:tc>
        <w:tc>
          <w:tcPr>
            <w:tcW w:w="426" w:type="dxa"/>
            <w:noWrap w:val="0"/>
            <w:vAlign w:val="center"/>
          </w:tcPr>
          <w:p>
            <w:pPr>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14</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明确应急状态下指挥运行机制，建立统一的应急指挥、协调和决策程序</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指挥运行机制，指的是总指挥与各行动小组相互作用的程序和方式，能够对突发环境事件状态进行评估，迅速有效进行应急响应决策，指挥和协调各行动小组活动，合理高效地调配和使用应急资源</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55" w:hRule="atLeast"/>
          <w:jc w:val="center"/>
        </w:trPr>
        <w:tc>
          <w:tcPr>
            <w:tcW w:w="1134" w:type="dxa"/>
            <w:vMerge w:val="continue"/>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15</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根据突发环境事件的危害程度、影响范围、周边环境敏感点、企业应急响应能力等，建立分级应急响应机制，明确不同应急响应级别对应的指挥权限</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例如有的企业将环境应急分为车间级、企业级、社会级，明确相应的指挥权限：车间负责人、企业负责人、接受当地政府统一指挥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30" w:hRule="atLeast"/>
          <w:jc w:val="center"/>
        </w:trPr>
        <w:tc>
          <w:tcPr>
            <w:tcW w:w="1134" w:type="dxa"/>
            <w:vMerge w:val="continue"/>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16</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说明企业与政府及其有关部门之间的关系。明确政府及其有关部门介入后，企业内部指挥协调、配合处置、参与应急保障等工作任务和责任人</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例如政府及其有关部门介入后，环境应急指挥权的移交及企业内部的调整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54" w:hRule="atLeast"/>
          <w:jc w:val="center"/>
        </w:trPr>
        <w:tc>
          <w:tcPr>
            <w:tcW w:w="1134" w:type="dxa"/>
            <w:vMerge w:val="restart"/>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监测预警</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17</w:t>
            </w:r>
          </w:p>
        </w:tc>
        <w:tc>
          <w:tcPr>
            <w:tcW w:w="4819"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建立企业内部监控预警方案</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根据</w:t>
            </w:r>
            <w:r>
              <w:rPr>
                <w:rFonts w:ascii="宋体" w:hAnsi="宋体" w:eastAsia="宋体" w:cs="Times New Roman"/>
                <w:sz w:val="21"/>
                <w:szCs w:val="21"/>
              </w:rPr>
              <w:t>企业</w:t>
            </w:r>
            <w:r>
              <w:rPr>
                <w:rFonts w:hint="eastAsia" w:ascii="宋体" w:hAnsi="宋体" w:eastAsia="宋体" w:cs="Times New Roman"/>
                <w:sz w:val="21"/>
                <w:szCs w:val="21"/>
              </w:rPr>
              <w:t>可能面临事件情景</w:t>
            </w:r>
            <w:r>
              <w:rPr>
                <w:rFonts w:ascii="宋体" w:hAnsi="宋体" w:eastAsia="宋体" w:cs="Times New Roman"/>
                <w:sz w:val="21"/>
                <w:szCs w:val="21"/>
              </w:rPr>
              <w:t>，</w:t>
            </w:r>
            <w:r>
              <w:rPr>
                <w:rFonts w:hint="eastAsia" w:ascii="宋体" w:hAnsi="宋体" w:eastAsia="宋体" w:cs="Times New Roman"/>
                <w:sz w:val="21"/>
                <w:szCs w:val="21"/>
              </w:rPr>
              <w:t>结合事件危害程度、紧急程度和发展态势</w:t>
            </w:r>
            <w:r>
              <w:rPr>
                <w:rFonts w:ascii="宋体" w:hAnsi="宋体" w:eastAsia="宋体" w:cs="Times New Roman"/>
                <w:sz w:val="21"/>
                <w:szCs w:val="21"/>
              </w:rPr>
              <w:t>，</w:t>
            </w:r>
            <w:r>
              <w:rPr>
                <w:rFonts w:hint="eastAsia" w:ascii="宋体" w:hAnsi="宋体" w:eastAsia="宋体" w:cs="Times New Roman"/>
                <w:sz w:val="21"/>
                <w:szCs w:val="21"/>
              </w:rPr>
              <w:t>对企业内部预警级别、预警发布与解除、预警措施进行总体安排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06"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18</w:t>
            </w:r>
          </w:p>
        </w:tc>
        <w:tc>
          <w:tcPr>
            <w:tcW w:w="4819"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明确监控信息的获得途径和分析研判的方式方法</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监控信息的获得途径，例如极端天气等自然灾害、生产安全事故等事故灾难、相关监控监测信息等；</w:t>
            </w:r>
          </w:p>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分析研判的方式方法，例如根据相关信息和应急能力等，结合企业自身实际进行分析研判</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2090"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19</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明确企业内部预警条件，预警等级，预警信息发布、接收、调整、解除程序、发布内容、责任人</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一般根据企业突发环境事件类型情景和自身的应急能力等，结合周边环境情况，确定预警等级，做到早发现、早报告、早发布；</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红色预警一般为企业自身力量难以应对；橙色预警一般为企业需要调集内部绝大部分力量参与应对；黄色、蓝色预警根据企业实际需求确定</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56" w:hRule="atLeast"/>
          <w:jc w:val="center"/>
        </w:trPr>
        <w:tc>
          <w:tcPr>
            <w:tcW w:w="1134" w:type="dxa"/>
            <w:vMerge w:val="restart"/>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信息报告</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20</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明确企业内部事件信息传递的责任人、程序、时限、方式、内容等，包括向协议应急救援单位传递信息的方式方法</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从事件第一发现人至事件指挥人之间信息传递的方式、方法及内容，内容一般包括事件的时间、地点、涉及物质、简要经过、已造成或者可能造成的污染情况、已采取的措施等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21</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明确企业向当地人民政府及其环保等部门报告的责任人、程序、时限方式、内容等，辅以信息报告格式规范</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sym w:font="Wingdings 2" w:char="0052"/>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从企业报告决策人、报告负责人到当地人民政府及其环保部门负责人（单位）之间信息传递的方式、方法及内容，内容一般包括企业及周边概况、事件的时间、地点、涉及物质、简要经过、已造成或者可能造成的污染情况、已采取的措施、请求支持的内容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22</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明确企业向可能受影响的居民、单位通报的责任人、程序、时限、方式、内容等</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从企业通报决策人、通报负责人到周边居民、单位负责人之间信息传递的方式、方法及内容，内容一般包括事件已造成或者可能造成的污染情况、居民或单位避险措施等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restart"/>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应急监测</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23</w:t>
            </w:r>
            <w:r>
              <w:rPr>
                <w:rFonts w:hint="eastAsia" w:ascii="宋体" w:hAnsi="宋体" w:eastAsia="宋体" w:cs="Times New Roman"/>
                <w:kern w:val="2"/>
                <w:sz w:val="21"/>
                <w:szCs w:val="21"/>
                <w:vertAlign w:val="superscript"/>
                <w:lang w:val="en-US" w:eastAsia="zh-CN" w:bidi="ar-SA"/>
              </w:rPr>
              <w:t>c</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涉大气污染的，说明排放口和厂界气体监测的一般原则</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按照《突发环境事件应急监测技术规范》等有关要求，确定排放口和厂界气体监测一般原则，为针对具体事件情景制定监测方案提供指导；</w:t>
            </w:r>
          </w:p>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排放口为突发环境事件中污染物的排放出口，包括按照相关环境保护标准设置的排放口</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24</w:t>
            </w:r>
            <w:r>
              <w:rPr>
                <w:rFonts w:hint="eastAsia" w:ascii="宋体" w:hAnsi="宋体" w:eastAsia="宋体" w:cs="Times New Roman"/>
                <w:kern w:val="2"/>
                <w:sz w:val="21"/>
                <w:szCs w:val="21"/>
                <w:vertAlign w:val="superscript"/>
                <w:lang w:val="en-US" w:eastAsia="zh-CN" w:bidi="ar-SA"/>
              </w:rPr>
              <w:t>c</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涉水污染的，说明废水排放口、雨水排放口、清净下水排放口等可能外排渠道监测的一般原则</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按照《突发环境事件应急监测技术规范》等有关要求，确定可能外排渠道监测的一般原则，为针对具体事件情景制定监测方案提供指导</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2"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25</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监测方案一般应明确监测项目、采样（监测）人员、监测设备、监测频次等</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针对具体事件情景制定监测方案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26</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明确监测执行单位；自身没有监测能力的，说明协议监测方案，并附协议</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自身没有监测能力的，应与当地环境监测机构或其他机构衔接，确保能够迅速获得环境检测支持</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restart"/>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应对流程和措施</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27</w:t>
            </w:r>
            <w:r>
              <w:rPr>
                <w:rFonts w:hint="eastAsia" w:ascii="宋体" w:hAnsi="宋体" w:eastAsia="宋体" w:cs="Times New Roman"/>
                <w:kern w:val="2"/>
                <w:sz w:val="21"/>
                <w:szCs w:val="21"/>
                <w:vertAlign w:val="superscript"/>
                <w:lang w:val="en-US" w:eastAsia="zh-CN" w:bidi="ar-SA"/>
              </w:rPr>
              <w:t>b</w:t>
            </w:r>
          </w:p>
        </w:tc>
        <w:tc>
          <w:tcPr>
            <w:tcW w:w="4819" w:type="dxa"/>
            <w:tcBorders>
              <w:bottom w:val="single" w:color="auto" w:sz="4" w:space="0"/>
            </w:tcBorders>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根据环境风险评估报告中的风险分析和情景构建内容，说明应对流程和措施，体现：企业内部控制污染源</w:t>
            </w:r>
            <w:r>
              <w:rPr>
                <w:rFonts w:ascii="宋体" w:hAnsi="宋体" w:eastAsia="宋体" w:cs="Times New Roman"/>
                <w:sz w:val="21"/>
                <w:szCs w:val="21"/>
              </w:rPr>
              <w:t>-</w:t>
            </w:r>
            <w:r>
              <w:rPr>
                <w:rFonts w:hint="eastAsia" w:ascii="宋体" w:hAnsi="宋体" w:eastAsia="宋体" w:cs="Times New Roman"/>
                <w:sz w:val="21"/>
                <w:szCs w:val="21"/>
              </w:rPr>
              <w:t>研判污染范围</w:t>
            </w:r>
            <w:r>
              <w:rPr>
                <w:rFonts w:ascii="宋体" w:hAnsi="宋体" w:eastAsia="宋体" w:cs="Times New Roman"/>
                <w:sz w:val="21"/>
                <w:szCs w:val="21"/>
              </w:rPr>
              <w:t>-</w:t>
            </w:r>
            <w:r>
              <w:rPr>
                <w:rFonts w:hint="eastAsia" w:ascii="宋体" w:hAnsi="宋体" w:eastAsia="宋体" w:cs="Times New Roman"/>
                <w:sz w:val="21"/>
                <w:szCs w:val="21"/>
              </w:rPr>
              <w:t>控制污染扩散</w:t>
            </w:r>
            <w:r>
              <w:rPr>
                <w:rFonts w:ascii="宋体" w:hAnsi="宋体" w:eastAsia="宋体" w:cs="Times New Roman"/>
                <w:sz w:val="21"/>
                <w:szCs w:val="21"/>
              </w:rPr>
              <w:t>-</w:t>
            </w:r>
            <w:r>
              <w:rPr>
                <w:rFonts w:hint="eastAsia" w:ascii="宋体" w:hAnsi="宋体" w:eastAsia="宋体" w:cs="Times New Roman"/>
                <w:sz w:val="21"/>
                <w:szCs w:val="21"/>
              </w:rPr>
              <w:t>污染处置应对流程和措施</w:t>
            </w:r>
          </w:p>
        </w:tc>
        <w:tc>
          <w:tcPr>
            <w:tcW w:w="1276" w:type="dxa"/>
            <w:tcBorders>
              <w:bottom w:val="single" w:color="auto" w:sz="4" w:space="0"/>
            </w:tcBorders>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tcBorders>
              <w:bottom w:val="single" w:color="auto" w:sz="4" w:space="0"/>
            </w:tcBorders>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3</w:t>
            </w:r>
          </w:p>
        </w:tc>
        <w:tc>
          <w:tcPr>
            <w:tcW w:w="669" w:type="dxa"/>
            <w:tcBorders>
              <w:bottom w:val="single" w:color="auto" w:sz="4" w:space="0"/>
            </w:tcBorders>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企业内部应对突发环境事件的原则性措施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28</w:t>
            </w:r>
            <w:r>
              <w:rPr>
                <w:rFonts w:hint="eastAsia" w:ascii="宋体" w:hAnsi="宋体" w:eastAsia="宋体" w:cs="Times New Roman"/>
                <w:kern w:val="2"/>
                <w:sz w:val="21"/>
                <w:szCs w:val="21"/>
                <w:vertAlign w:val="superscript"/>
                <w:lang w:val="en-US" w:eastAsia="zh-CN" w:bidi="ar-SA"/>
              </w:rPr>
              <w:t>b</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体现必要的企业外部应急措施、配合当地人民政府的响应措施及对当地人民政府应急措施的建议</w:t>
            </w:r>
          </w:p>
        </w:tc>
        <w:tc>
          <w:tcPr>
            <w:tcW w:w="1276" w:type="dxa"/>
            <w:tcBorders>
              <w:top w:val="single" w:color="auto" w:sz="4" w:space="0"/>
            </w:tcBorders>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tcBorders>
              <w:top w:val="single" w:color="auto" w:sz="4" w:space="0"/>
            </w:tcBorders>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3</w:t>
            </w:r>
          </w:p>
        </w:tc>
        <w:tc>
          <w:tcPr>
            <w:tcW w:w="669" w:type="dxa"/>
            <w:tcBorders>
              <w:top w:val="single" w:color="auto" w:sz="4" w:space="0"/>
            </w:tcBorders>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突发环境事件可能或已经对企业外部环境产生影响时，企业在外部可以采取的原则性措施、对当地人民政府的建议性措施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71"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29</w:t>
            </w:r>
            <w:r>
              <w:rPr>
                <w:rFonts w:hint="eastAsia" w:ascii="宋体" w:hAnsi="宋体" w:eastAsia="宋体" w:cs="Times New Roman"/>
                <w:kern w:val="2"/>
                <w:sz w:val="21"/>
                <w:szCs w:val="21"/>
                <w:vertAlign w:val="superscript"/>
                <w:lang w:val="en-US" w:eastAsia="zh-CN" w:bidi="ar-SA"/>
              </w:rPr>
              <w:t>c</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涉及大气污染的，应重点说明受威胁范围、组织公众避险的方式方法，涉及疏散的一般应辅以疏散路线图；如果装备风向标，应配有风向标分布图</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hint="eastAsia" w:ascii="宋体" w:hAnsi="宋体" w:eastAsia="宋体" w:cs="Times New Roman"/>
                <w:sz w:val="21"/>
                <w:szCs w:val="21"/>
              </w:rPr>
            </w:pPr>
            <w:r>
              <w:rPr>
                <w:rFonts w:hint="eastAsia" w:ascii="宋体" w:hAnsi="宋体" w:eastAsia="宋体" w:cs="Times New Roman"/>
                <w:sz w:val="21"/>
                <w:szCs w:val="21"/>
              </w:rPr>
              <w:t>2</w:t>
            </w:r>
          </w:p>
          <w:p>
            <w:pPr>
              <w:keepNext/>
              <w:keepLines/>
              <w:adjustRightInd w:val="0"/>
              <w:snapToGrid w:val="0"/>
              <w:spacing w:line="240" w:lineRule="auto"/>
              <w:ind w:firstLine="0" w:firstLineChars="0"/>
              <w:rPr>
                <w:rFonts w:ascii="宋体" w:hAnsi="宋体" w:eastAsia="宋体" w:cs="Times New Roman"/>
                <w:sz w:val="21"/>
                <w:szCs w:val="21"/>
              </w:rPr>
            </w:pP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避险的方式包括疏散、防护等，说明避险措施的原则性安排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21" w:hRule="atLeast"/>
          <w:jc w:val="center"/>
        </w:trPr>
        <w:tc>
          <w:tcPr>
            <w:tcW w:w="1134" w:type="dxa"/>
            <w:vMerge w:val="continue"/>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30</w:t>
            </w:r>
            <w:r>
              <w:rPr>
                <w:rFonts w:hint="eastAsia" w:ascii="宋体" w:hAnsi="宋体" w:eastAsia="宋体" w:cs="Times New Roman"/>
                <w:kern w:val="2"/>
                <w:sz w:val="21"/>
                <w:szCs w:val="21"/>
                <w:vertAlign w:val="superscript"/>
                <w:lang w:val="en-US" w:eastAsia="zh-CN" w:bidi="ar-SA"/>
              </w:rPr>
              <w:t>c</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涉及水污染的，应重点说明企业内收集、封堵、处置污染物的方式方法，适当延伸至企业外防控方式方法；配有废水、雨水、清净下水管网及重要阀门设置图</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宋体" w:cs="MS Gothic"/>
                <w:sz w:val="21"/>
                <w:szCs w:val="21"/>
                <w:lang w:eastAsia="zh-CN"/>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sym w:font="Wingdings 2" w:char="0052"/>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hint="eastAsia" w:ascii="宋体" w:hAnsi="宋体" w:eastAsia="宋体" w:cs="Times New Roman"/>
                <w:sz w:val="21"/>
                <w:szCs w:val="21"/>
                <w:lang w:eastAsia="zh-CN"/>
              </w:rPr>
            </w:pPr>
            <w:r>
              <w:rPr>
                <w:rFonts w:hint="eastAsia" w:ascii="宋体" w:hAnsi="宋体" w:eastAsia="宋体" w:cs="Times New Roman"/>
                <w:sz w:val="21"/>
                <w:szCs w:val="21"/>
                <w:lang w:val="en-US" w:eastAsia="zh-CN"/>
              </w:rPr>
              <w:t>1</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说明控制水污染的原则性安排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60" w:hRule="atLeast"/>
          <w:jc w:val="center"/>
        </w:trPr>
        <w:tc>
          <w:tcPr>
            <w:tcW w:w="1134" w:type="dxa"/>
            <w:vMerge w:val="continue"/>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31</w:t>
            </w:r>
            <w:r>
              <w:rPr>
                <w:rFonts w:hint="eastAsia" w:ascii="宋体" w:hAnsi="宋体" w:eastAsia="宋体" w:cs="Times New Roman"/>
                <w:kern w:val="2"/>
                <w:sz w:val="21"/>
                <w:szCs w:val="21"/>
                <w:vertAlign w:val="superscript"/>
                <w:lang w:val="en-US" w:eastAsia="zh-CN" w:bidi="ar-SA"/>
              </w:rPr>
              <w:t>b</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分别说明可能的事件情景及应急处置方案，明确相关岗位人员采取措施的时间、地点、内容、方式、目标等</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宋体" w:cs="MS Gothic"/>
                <w:sz w:val="21"/>
                <w:szCs w:val="21"/>
                <w:lang w:eastAsia="zh-CN"/>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sym w:font="Wingdings 2" w:char="0052"/>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1.5</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按照以上原则性措施，针对具体事件情景，按岗位细化各项应对措施，并纳入岗位职责范围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21" w:hRule="atLeast"/>
          <w:jc w:val="center"/>
        </w:trPr>
        <w:tc>
          <w:tcPr>
            <w:tcW w:w="1134" w:type="dxa"/>
            <w:vMerge w:val="continue"/>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32</w:t>
            </w:r>
            <w:r>
              <w:rPr>
                <w:rFonts w:hint="eastAsia" w:ascii="宋体" w:hAnsi="宋体" w:eastAsia="宋体" w:cs="Times New Roman"/>
                <w:kern w:val="2"/>
                <w:sz w:val="21"/>
                <w:szCs w:val="21"/>
                <w:vertAlign w:val="superscript"/>
                <w:lang w:val="en-US" w:eastAsia="zh-CN" w:bidi="ar-SA"/>
              </w:rPr>
              <w:t>b</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将应急措施细化、落实到岗位，形成应急处置卡</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1.5</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关键岗位的应急处置卡无遗漏，事件情景特征、处理步骤、应急物资、注意事项等叙述清晰</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37"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33</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配有厂区平面布置图，应急物资表</w:t>
            </w:r>
            <w:r>
              <w:rPr>
                <w:rFonts w:ascii="宋体" w:hAnsi="宋体" w:eastAsia="宋体" w:cs="Times New Roman"/>
                <w:sz w:val="21"/>
                <w:szCs w:val="21"/>
              </w:rPr>
              <w:t>/</w:t>
            </w:r>
            <w:r>
              <w:rPr>
                <w:rFonts w:hint="eastAsia" w:ascii="宋体" w:hAnsi="宋体" w:eastAsia="宋体" w:cs="Times New Roman"/>
                <w:sz w:val="21"/>
                <w:szCs w:val="21"/>
              </w:rPr>
              <w:t>分布图</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90"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应急终止</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34</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结合本单位实际，说明应急终止的条件和发布程序</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列明应急终止的基本条件，明确应急终止的决策、指令内容及传递程序等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95"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事后恢复</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35</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说明事后恢复的工作内容和责任人，一般包括：现场污染物的后续处理；环境应急相关设施、设备、场所的维护；配合开展环境损害评估、赔偿、事件调查处理等</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《突发事件应急预案管理办法》强调应急预案重在“应对”，适当向后延伸至“恢复”，即企业从突发环境事件应对的“非常规状态”过渡到“常规状态”的相关工作安排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75"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保障措施</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36</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说明环境应急预案涉及的人力资源、财力、物资以及其他技术、重要设施的保障</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对各类保障措施进行总体安排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16" w:hRule="atLeast"/>
          <w:jc w:val="center"/>
        </w:trPr>
        <w:tc>
          <w:tcPr>
            <w:tcW w:w="1134" w:type="dxa"/>
            <w:vMerge w:val="restart"/>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预案管理</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37</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安排有关环境应急预案的培训和演练</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对预案培训、演练进行总体安排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30"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38</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明确环境应急预案的评估修订要求</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对预案评估修订进行总体安排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25" w:hRule="atLeast"/>
          <w:jc w:val="center"/>
        </w:trPr>
        <w:tc>
          <w:tcPr>
            <w:tcW w:w="13781" w:type="dxa"/>
            <w:gridSpan w:val="8"/>
            <w:noWrap w:val="0"/>
            <w:vAlign w:val="center"/>
          </w:tcPr>
          <w:p>
            <w:pPr>
              <w:adjustRightInd w:val="0"/>
              <w:snapToGrid w:val="0"/>
              <w:spacing w:line="240" w:lineRule="auto"/>
              <w:ind w:firstLine="0" w:firstLineChars="0"/>
              <w:jc w:val="center"/>
              <w:rPr>
                <w:rFonts w:ascii="黑体" w:hAnsi="黑体" w:eastAsia="黑体" w:cs="Times New Roman"/>
                <w:sz w:val="21"/>
                <w:szCs w:val="21"/>
              </w:rPr>
            </w:pPr>
            <w:r>
              <w:rPr>
                <w:rFonts w:hint="eastAsia" w:ascii="黑体" w:hAnsi="黑体" w:eastAsia="黑体" w:cs="Times New Roman"/>
                <w:sz w:val="21"/>
                <w:szCs w:val="21"/>
              </w:rPr>
              <w:t>环境风险评估报告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237" w:hRule="atLeast"/>
          <w:jc w:val="center"/>
        </w:trPr>
        <w:tc>
          <w:tcPr>
            <w:tcW w:w="1134" w:type="dxa"/>
            <w:vMerge w:val="restart"/>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风险分析</w:t>
            </w:r>
            <w:r>
              <w:rPr>
                <w:rFonts w:hint="eastAsia" w:ascii="宋体" w:hAnsi="宋体" w:eastAsia="宋体" w:cs="Times New Roman"/>
                <w:sz w:val="21"/>
                <w:szCs w:val="21"/>
                <w:vertAlign w:val="superscript"/>
              </w:rPr>
              <w:t>c</w:t>
            </w:r>
          </w:p>
        </w:tc>
        <w:tc>
          <w:tcPr>
            <w:tcW w:w="426" w:type="dxa"/>
            <w:noWrap w:val="0"/>
            <w:vAlign w:val="center"/>
          </w:tcPr>
          <w:p>
            <w:pPr>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39</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识别出所有重要的环境风险物质；列表，至少列出重要环境风险物质的名称、数量（最大存在总量）、位置</w:t>
            </w:r>
            <w:r>
              <w:rPr>
                <w:rFonts w:ascii="宋体" w:hAnsi="宋体" w:eastAsia="宋体" w:cs="Times New Roman"/>
                <w:sz w:val="21"/>
                <w:szCs w:val="21"/>
              </w:rPr>
              <w:t>/</w:t>
            </w:r>
            <w:r>
              <w:rPr>
                <w:rFonts w:hint="eastAsia" w:ascii="宋体" w:hAnsi="宋体" w:eastAsia="宋体" w:cs="Times New Roman"/>
                <w:sz w:val="21"/>
                <w:szCs w:val="21"/>
              </w:rPr>
              <w:t>所在装置；环境风险物质数量大于临界量的，辨识重要环境风险单元</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对照企业突发环境事件风险评估相关文件，识别出所有重要的物质；对于数量大于临界量的，应辨识环境风险物质在企业哪些环境风险单元集中分布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72"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40</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重点核对生产工艺、环境风险防控措施各项指标的赋值是否合理</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宋体" w:cs="MS Gothic"/>
                <w:sz w:val="21"/>
                <w:szCs w:val="21"/>
                <w:lang w:eastAsia="zh-CN"/>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sym w:font="Wingdings 2" w:char="0052"/>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1</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按照企业突发环境事件风险评估相关文件的赋分规则审查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18" w:hRule="atLeast"/>
          <w:jc w:val="center"/>
        </w:trPr>
        <w:tc>
          <w:tcPr>
            <w:tcW w:w="1134" w:type="dxa"/>
            <w:vMerge w:val="continue"/>
            <w:noWrap w:val="0"/>
            <w:vAlign w:val="center"/>
          </w:tcPr>
          <w:p>
            <w:pPr>
              <w:spacing w:line="240" w:lineRule="auto"/>
              <w:ind w:firstLine="0" w:firstLineChars="0"/>
              <w:rPr>
                <w:rFonts w:ascii="Calibri" w:hAnsi="Calibri" w:eastAsia="宋体" w:cs="Times New Roman"/>
                <w:sz w:val="32"/>
                <w:szCs w:val="20"/>
              </w:rPr>
            </w:pPr>
          </w:p>
        </w:tc>
        <w:tc>
          <w:tcPr>
            <w:tcW w:w="426"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41</w:t>
            </w:r>
          </w:p>
        </w:tc>
        <w:tc>
          <w:tcPr>
            <w:tcW w:w="4819"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环境风险受体类型的确定是否合理</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按照企业突发环境事件风险评估相关文件的受体划分依据审查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93" w:hRule="atLeast"/>
          <w:jc w:val="center"/>
        </w:trPr>
        <w:tc>
          <w:tcPr>
            <w:tcW w:w="1134" w:type="dxa"/>
            <w:vMerge w:val="continue"/>
            <w:noWrap w:val="0"/>
            <w:vAlign w:val="center"/>
          </w:tcPr>
          <w:p>
            <w:pPr>
              <w:spacing w:line="240" w:lineRule="auto"/>
              <w:ind w:firstLine="0" w:firstLineChars="0"/>
              <w:rPr>
                <w:rFonts w:ascii="Calibri" w:hAnsi="Calibri" w:eastAsia="宋体" w:cs="Times New Roman"/>
                <w:sz w:val="32"/>
                <w:szCs w:val="20"/>
              </w:rPr>
            </w:pPr>
          </w:p>
        </w:tc>
        <w:tc>
          <w:tcPr>
            <w:tcW w:w="426"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42</w:t>
            </w:r>
          </w:p>
        </w:tc>
        <w:tc>
          <w:tcPr>
            <w:tcW w:w="4819"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环境风险等级划分是否正确</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按照企业突发环境事件风险评估相关文件审查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378" w:hRule="atLeast"/>
          <w:jc w:val="center"/>
        </w:trPr>
        <w:tc>
          <w:tcPr>
            <w:tcW w:w="1134" w:type="dxa"/>
            <w:vMerge w:val="restart"/>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情景构建</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43</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列明国内外同类企业的突发环境事件信息，提出本企业可能发生的突发环境事件情景</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宋体" w:cs="MS Gothic"/>
                <w:sz w:val="21"/>
                <w:szCs w:val="21"/>
                <w:lang w:eastAsia="zh-CN"/>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sym w:font="Wingdings 2" w:char="0052"/>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hint="eastAsia" w:ascii="宋体" w:hAnsi="宋体" w:eastAsia="宋体" w:cs="Times New Roman"/>
                <w:sz w:val="21"/>
                <w:szCs w:val="21"/>
                <w:lang w:eastAsia="zh-CN"/>
              </w:rPr>
            </w:pPr>
            <w:r>
              <w:rPr>
                <w:rFonts w:hint="eastAsia" w:ascii="宋体" w:hAnsi="宋体" w:eastAsia="宋体" w:cs="Times New Roman"/>
                <w:sz w:val="21"/>
                <w:szCs w:val="21"/>
                <w:lang w:val="en-US" w:eastAsia="zh-CN"/>
              </w:rPr>
              <w:t>1</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列表说明事件的日期、地点、引发原因、事件影响等内容，按照企业突发环境事件风险评估相关文件，结合企业实际列出事件情景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532" w:hRule="atLeast"/>
          <w:jc w:val="center"/>
        </w:trPr>
        <w:tc>
          <w:tcPr>
            <w:tcW w:w="1134" w:type="dxa"/>
            <w:vMerge w:val="continue"/>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44</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源强分析，重点分析释放环境风险物质的种类、释放速率、持续时间</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针对每种典型事件情景进行源强分析，至少包括释放环境风险物质的种类、释放速率、持续时间三个要素，可以参考《建设项目环境风险评价技术导则》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89"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45</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释放途径分析，重点分析环境风险物质从释放源头到受体之间的过程</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对于可能造成水污染的，分析环境风险物质从释放源头，经厂界内到厂界外，最终影响到环境风险受体的可能的路径；对于可能造成大气污染的，分析从泄漏源头释放至风险受体的路径</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98" w:hRule="atLeast"/>
          <w:jc w:val="center"/>
        </w:trPr>
        <w:tc>
          <w:tcPr>
            <w:tcW w:w="1134" w:type="dxa"/>
            <w:vMerge w:val="continue"/>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46</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危害后果分析，重点分析环境风险物质的影响范围和程度</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针对每种情景的重点环境风险物质，计算浓度分布情况，说明影响范围和程度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53" w:hRule="atLeast"/>
          <w:jc w:val="center"/>
        </w:trPr>
        <w:tc>
          <w:tcPr>
            <w:tcW w:w="1134" w:type="dxa"/>
            <w:vMerge w:val="continue"/>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47</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明确在最坏情景下，大气环境风险物质影响最远距离内的人口数量及位置等，水环境敏感受体的数量及位置等信息，并附有相关示意图</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sym w:font="Wingdings 2" w:char="00A3"/>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宋体" w:cs="MS Gothic"/>
                <w:sz w:val="21"/>
                <w:szCs w:val="21"/>
                <w:lang w:eastAsia="zh-CN"/>
              </w:rPr>
              <w:sym w:font="Wingdings 2" w:char="0052"/>
            </w:r>
            <w:r>
              <w:rPr>
                <w:rFonts w:hint="eastAsia" w:ascii="宋体" w:hAnsi="宋体" w:eastAsia="宋体" w:cs="Times New Roman"/>
                <w:sz w:val="21"/>
                <w:szCs w:val="21"/>
              </w:rPr>
              <w:t>部分符合</w:t>
            </w:r>
          </w:p>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1</w:t>
            </w:r>
          </w:p>
        </w:tc>
        <w:tc>
          <w:tcPr>
            <w:tcW w:w="669" w:type="dxa"/>
            <w:noWrap w:val="0"/>
            <w:vAlign w:val="top"/>
          </w:tcPr>
          <w:p>
            <w:pPr>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针对最坏情景的计算结果，列出受影响的大气和水环境保护目标，附图示说明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33"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完善计划</w:t>
            </w:r>
          </w:p>
        </w:tc>
        <w:tc>
          <w:tcPr>
            <w:tcW w:w="426" w:type="dxa"/>
            <w:noWrap w:val="0"/>
            <w:vAlign w:val="center"/>
          </w:tcPr>
          <w:p>
            <w:pPr>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48</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分析现有环境风险防控与应急措施所存在的差距，制定环境风险防控整改完善计划</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top"/>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对现有环境风险防控与应急措施的完备性、可靠性和有效性进行分析论证，找出差距、问题。针对需要整改的短期、中期和长期项目，分别制定完善环境风险防控和应急措施的实施计划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67" w:hRule="atLeast"/>
          <w:jc w:val="center"/>
        </w:trPr>
        <w:tc>
          <w:tcPr>
            <w:tcW w:w="13781" w:type="dxa"/>
            <w:gridSpan w:val="8"/>
            <w:noWrap w:val="0"/>
            <w:vAlign w:val="center"/>
          </w:tcPr>
          <w:p>
            <w:pPr>
              <w:adjustRightInd w:val="0"/>
              <w:snapToGrid w:val="0"/>
              <w:spacing w:line="240" w:lineRule="auto"/>
              <w:ind w:firstLine="0" w:firstLineChars="0"/>
              <w:jc w:val="center"/>
              <w:rPr>
                <w:rFonts w:ascii="黑体" w:hAnsi="黑体" w:eastAsia="黑体" w:cs="Times New Roman"/>
                <w:sz w:val="21"/>
                <w:szCs w:val="21"/>
              </w:rPr>
            </w:pPr>
            <w:r>
              <w:rPr>
                <w:rFonts w:hint="eastAsia" w:ascii="黑体" w:hAnsi="黑体" w:eastAsia="黑体" w:cs="Times New Roman"/>
                <w:sz w:val="21"/>
                <w:szCs w:val="21"/>
              </w:rPr>
              <w:t>环境应急资源调查报告（表）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713"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调查内容</w:t>
            </w:r>
          </w:p>
        </w:tc>
        <w:tc>
          <w:tcPr>
            <w:tcW w:w="426" w:type="dxa"/>
            <w:noWrap w:val="0"/>
            <w:vAlign w:val="center"/>
          </w:tcPr>
          <w:p>
            <w:pPr>
              <w:keepNext/>
              <w:keepLines/>
              <w:widowControl w:val="0"/>
              <w:tabs>
                <w:tab w:val="left" w:pos="0"/>
              </w:tabs>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49</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pacing w:val="-2"/>
                <w:sz w:val="21"/>
                <w:szCs w:val="21"/>
              </w:rPr>
            </w:pPr>
            <w:r>
              <w:rPr>
                <w:rFonts w:hint="eastAsia" w:ascii="宋体" w:hAnsi="宋体" w:eastAsia="宋体" w:cs="Times New Roman"/>
                <w:spacing w:val="-2"/>
                <w:sz w:val="21"/>
                <w:szCs w:val="21"/>
              </w:rPr>
              <w:t>第一时间可调用的环境应急队伍、装备、物资、场所</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□部分符合</w:t>
            </w: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center"/>
          </w:tcPr>
          <w:p>
            <w:pPr>
              <w:keepNext/>
              <w:keepLines/>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2</w:t>
            </w:r>
          </w:p>
        </w:tc>
        <w:tc>
          <w:tcPr>
            <w:tcW w:w="669" w:type="dxa"/>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p>
        </w:tc>
        <w:tc>
          <w:tcPr>
            <w:tcW w:w="4850" w:type="dxa"/>
            <w:noWrap w:val="0"/>
            <w:vAlign w:val="center"/>
          </w:tcPr>
          <w:p>
            <w:pPr>
              <w:keepNext/>
              <w:keepLines/>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重点调查可以直接使用的环境应急资源，包括：专职和兼职应急队伍；自储、代储、协议储备的环境应急装备；自储、代储、协议储备环境应急物资；应急处置场所、应急物资或装备存放场所、应急指挥场所。预案中的应急措施使用的环境应急资源与现有资源一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42" w:hRule="atLeast"/>
          <w:jc w:val="center"/>
        </w:trPr>
        <w:tc>
          <w:tcPr>
            <w:tcW w:w="1134"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调查结果</w:t>
            </w:r>
          </w:p>
        </w:tc>
        <w:tc>
          <w:tcPr>
            <w:tcW w:w="426" w:type="dxa"/>
            <w:noWrap w:val="0"/>
            <w:vAlign w:val="center"/>
          </w:tcPr>
          <w:p>
            <w:pPr>
              <w:keepNext/>
              <w:keepLines/>
              <w:widowControl w:val="0"/>
              <w:adjustRightInd w:val="0"/>
              <w:snapToGrid w:val="0"/>
              <w:ind w:firstLine="0" w:firstLineChars="0"/>
              <w:jc w:val="center"/>
              <w:rPr>
                <w:rFonts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50</w:t>
            </w:r>
          </w:p>
        </w:tc>
        <w:tc>
          <w:tcPr>
            <w:tcW w:w="4819"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针对环境应急资源清单，抽查数据的可信性</w:t>
            </w:r>
          </w:p>
        </w:tc>
        <w:tc>
          <w:tcPr>
            <w:tcW w:w="127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□符合</w:t>
            </w:r>
            <w:r>
              <w:rPr>
                <w:rFonts w:ascii="宋体" w:hAnsi="宋体" w:eastAsia="宋体" w:cs="Times New Roman"/>
                <w:sz w:val="21"/>
                <w:szCs w:val="21"/>
              </w:rPr>
              <w:t xml:space="preserve"> </w:t>
            </w:r>
          </w:p>
          <w:p>
            <w:pPr>
              <w:adjustRightInd w:val="0"/>
              <w:snapToGrid w:val="0"/>
              <w:spacing w:line="240" w:lineRule="auto"/>
              <w:ind w:firstLine="0" w:firstLineChars="0"/>
              <w:rPr>
                <w:rFonts w:ascii="宋体" w:hAnsi="宋体" w:eastAsia="宋体" w:cs="Times New Roman"/>
                <w:sz w:val="21"/>
                <w:szCs w:val="21"/>
              </w:rPr>
            </w:pPr>
            <w:r>
              <w:rPr>
                <w:rFonts w:hint="eastAsia" w:ascii="MS Gothic" w:hAnsi="MS Gothic" w:eastAsia="MS Gothic" w:cs="MS Gothic"/>
                <w:sz w:val="21"/>
                <w:szCs w:val="21"/>
              </w:rPr>
              <w:t>☑</w:t>
            </w:r>
            <w:r>
              <w:rPr>
                <w:rFonts w:hint="eastAsia" w:ascii="宋体" w:hAnsi="宋体" w:eastAsia="宋体" w:cs="Times New Roman"/>
                <w:sz w:val="21"/>
                <w:szCs w:val="21"/>
              </w:rPr>
              <w:t>部分符合</w:t>
            </w:r>
          </w:p>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□不符合</w:t>
            </w:r>
          </w:p>
        </w:tc>
        <w:tc>
          <w:tcPr>
            <w:tcW w:w="607" w:type="dxa"/>
            <w:gridSpan w:val="2"/>
            <w:noWrap w:val="0"/>
            <w:vAlign w:val="center"/>
          </w:tcPr>
          <w:p>
            <w:pPr>
              <w:adjustRightInd w:val="0"/>
              <w:snapToGrid w:val="0"/>
              <w:spacing w:line="240" w:lineRule="auto"/>
              <w:ind w:firstLine="0" w:firstLineChars="0"/>
              <w:jc w:val="center"/>
              <w:rPr>
                <w:rFonts w:ascii="宋体" w:hAnsi="宋体" w:eastAsia="宋体" w:cs="Times New Roman"/>
                <w:sz w:val="21"/>
                <w:szCs w:val="21"/>
              </w:rPr>
            </w:pPr>
            <w:r>
              <w:rPr>
                <w:rFonts w:hint="eastAsia" w:ascii="宋体" w:hAnsi="宋体" w:eastAsia="宋体" w:cs="Times New Roman"/>
                <w:sz w:val="21"/>
                <w:szCs w:val="21"/>
              </w:rPr>
              <w:t>1</w:t>
            </w:r>
          </w:p>
        </w:tc>
        <w:tc>
          <w:tcPr>
            <w:tcW w:w="669" w:type="dxa"/>
            <w:noWrap w:val="0"/>
            <w:vAlign w:val="center"/>
          </w:tcPr>
          <w:p>
            <w:pPr>
              <w:adjustRightInd w:val="0"/>
              <w:snapToGrid w:val="0"/>
              <w:spacing w:line="240" w:lineRule="auto"/>
              <w:ind w:firstLine="0" w:firstLineChars="0"/>
              <w:jc w:val="center"/>
              <w:rPr>
                <w:rFonts w:ascii="宋体" w:hAnsi="宋体" w:eastAsia="宋体" w:cs="Times New Roman"/>
                <w:sz w:val="21"/>
                <w:szCs w:val="21"/>
              </w:rPr>
            </w:pPr>
          </w:p>
        </w:tc>
        <w:tc>
          <w:tcPr>
            <w:tcW w:w="4850" w:type="dxa"/>
            <w:noWrap w:val="0"/>
            <w:vAlign w:val="center"/>
          </w:tcPr>
          <w:p>
            <w:pPr>
              <w:adjustRightInd w:val="0"/>
              <w:snapToGrid w:val="0"/>
              <w:spacing w:line="240" w:lineRule="auto"/>
              <w:ind w:firstLine="0" w:firstLineChars="0"/>
              <w:jc w:val="left"/>
              <w:rPr>
                <w:rFonts w:ascii="宋体" w:hAnsi="宋体" w:eastAsia="宋体" w:cs="Times New Roman"/>
                <w:sz w:val="21"/>
                <w:szCs w:val="21"/>
              </w:rPr>
            </w:pPr>
            <w:r>
              <w:rPr>
                <w:rFonts w:hint="eastAsia" w:ascii="宋体" w:hAnsi="宋体" w:eastAsia="宋体" w:cs="Times New Roman"/>
                <w:sz w:val="21"/>
                <w:szCs w:val="21"/>
              </w:rPr>
              <w:t>通过逻辑分析、现场抽查等方式对调查数据进行查验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74" w:hRule="atLeast"/>
          <w:jc w:val="center"/>
        </w:trPr>
        <w:tc>
          <w:tcPr>
            <w:tcW w:w="7655" w:type="dxa"/>
            <w:gridSpan w:val="4"/>
            <w:noWrap w:val="0"/>
            <w:vAlign w:val="center"/>
          </w:tcPr>
          <w:p>
            <w:pPr>
              <w:adjustRightInd w:val="0"/>
              <w:snapToGrid w:val="0"/>
              <w:spacing w:line="240" w:lineRule="auto"/>
              <w:ind w:firstLine="0" w:firstLineChars="0"/>
              <w:jc w:val="center"/>
              <w:rPr>
                <w:rFonts w:ascii="宋体" w:hAnsi="宋体" w:eastAsia="宋体" w:cs="Times New Roman"/>
                <w:b/>
                <w:sz w:val="21"/>
                <w:szCs w:val="21"/>
              </w:rPr>
            </w:pPr>
            <w:r>
              <w:rPr>
                <w:rFonts w:hint="eastAsia" w:ascii="宋体" w:hAnsi="宋体" w:eastAsia="宋体" w:cs="Times New Roman"/>
                <w:b/>
                <w:sz w:val="21"/>
                <w:szCs w:val="21"/>
              </w:rPr>
              <w:t>合  计</w:t>
            </w:r>
          </w:p>
        </w:tc>
        <w:tc>
          <w:tcPr>
            <w:tcW w:w="607" w:type="dxa"/>
            <w:gridSpan w:val="2"/>
            <w:noWrap w:val="0"/>
            <w:vAlign w:val="center"/>
          </w:tcPr>
          <w:p>
            <w:pPr>
              <w:adjustRightInd w:val="0"/>
              <w:snapToGrid w:val="0"/>
              <w:spacing w:line="240" w:lineRule="auto"/>
              <w:ind w:firstLine="0" w:firstLineChars="0"/>
              <w:jc w:val="center"/>
              <w:rPr>
                <w:rFonts w:ascii="宋体" w:hAnsi="宋体" w:eastAsia="宋体" w:cs="Times New Roman"/>
                <w:b/>
                <w:sz w:val="21"/>
                <w:szCs w:val="21"/>
              </w:rPr>
            </w:pPr>
            <w:r>
              <w:rPr>
                <w:rFonts w:hint="eastAsia" w:ascii="宋体" w:hAnsi="宋体" w:eastAsia="宋体" w:cs="Times New Roman"/>
                <w:b/>
                <w:sz w:val="21"/>
                <w:szCs w:val="21"/>
              </w:rPr>
              <w:t>8</w:t>
            </w:r>
            <w:r>
              <w:rPr>
                <w:rFonts w:hint="eastAsia" w:ascii="宋体" w:hAnsi="宋体" w:eastAsia="宋体" w:cs="Times New Roman"/>
                <w:b/>
                <w:sz w:val="21"/>
                <w:szCs w:val="21"/>
                <w:lang w:val="en-US" w:eastAsia="zh-CN"/>
              </w:rPr>
              <w:t>1</w:t>
            </w:r>
            <w:r>
              <w:rPr>
                <w:rFonts w:hint="eastAsia" w:ascii="宋体" w:hAnsi="宋体" w:eastAsia="宋体" w:cs="Times New Roman"/>
                <w:b/>
                <w:sz w:val="21"/>
                <w:szCs w:val="21"/>
              </w:rPr>
              <w:t>.5</w:t>
            </w:r>
          </w:p>
        </w:tc>
        <w:tc>
          <w:tcPr>
            <w:tcW w:w="669" w:type="dxa"/>
            <w:noWrap w:val="0"/>
            <w:vAlign w:val="center"/>
          </w:tcPr>
          <w:p>
            <w:pPr>
              <w:adjustRightInd w:val="0"/>
              <w:snapToGrid w:val="0"/>
              <w:spacing w:line="240" w:lineRule="auto"/>
              <w:ind w:firstLine="0" w:firstLineChars="0"/>
              <w:jc w:val="center"/>
              <w:rPr>
                <w:rFonts w:ascii="宋体" w:hAnsi="宋体" w:eastAsia="宋体" w:cs="Times New Roman"/>
                <w:b/>
                <w:sz w:val="21"/>
                <w:szCs w:val="21"/>
              </w:rPr>
            </w:pPr>
            <w:r>
              <w:rPr>
                <w:rFonts w:hint="eastAsia" w:ascii="宋体" w:hAnsi="宋体" w:eastAsia="宋体" w:cs="Times New Roman"/>
                <w:b/>
                <w:sz w:val="21"/>
                <w:szCs w:val="21"/>
              </w:rPr>
              <w:t>-</w:t>
            </w:r>
          </w:p>
        </w:tc>
        <w:tc>
          <w:tcPr>
            <w:tcW w:w="4850" w:type="dxa"/>
            <w:noWrap w:val="0"/>
            <w:vAlign w:val="center"/>
          </w:tcPr>
          <w:p>
            <w:pPr>
              <w:adjustRightInd w:val="0"/>
              <w:snapToGrid w:val="0"/>
              <w:spacing w:line="240" w:lineRule="auto"/>
              <w:ind w:firstLine="0" w:firstLineChars="0"/>
              <w:jc w:val="center"/>
              <w:rPr>
                <w:rFonts w:ascii="宋体" w:hAnsi="宋体" w:eastAsia="宋体" w:cs="Times New Roman"/>
                <w:b/>
                <w:sz w:val="21"/>
                <w:szCs w:val="21"/>
              </w:rPr>
            </w:pPr>
            <w:r>
              <w:rPr>
                <w:rFonts w:hint="eastAsia" w:ascii="宋体" w:hAnsi="宋体" w:eastAsia="宋体" w:cs="Times New Roman"/>
                <w:b/>
                <w:sz w:val="21"/>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42" w:hRule="atLeast"/>
          <w:jc w:val="center"/>
        </w:trPr>
        <w:tc>
          <w:tcPr>
            <w:tcW w:w="13781" w:type="dxa"/>
            <w:gridSpan w:val="8"/>
            <w:noWrap w:val="0"/>
            <w:vAlign w:val="center"/>
          </w:tcPr>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drawing>
                <wp:anchor distT="0" distB="0" distL="114300" distR="114300" simplePos="0" relativeHeight="251659264" behindDoc="0" locked="0" layoutInCell="1" allowOverlap="1">
                  <wp:simplePos x="0" y="0"/>
                  <wp:positionH relativeFrom="column">
                    <wp:posOffset>1514475</wp:posOffset>
                  </wp:positionH>
                  <wp:positionV relativeFrom="paragraph">
                    <wp:posOffset>141605</wp:posOffset>
                  </wp:positionV>
                  <wp:extent cx="529590" cy="332740"/>
                  <wp:effectExtent l="0" t="0" r="3810" b="10160"/>
                  <wp:wrapNone/>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42"/>
                          <a:stretch>
                            <a:fillRect/>
                          </a:stretch>
                        </pic:blipFill>
                        <pic:spPr>
                          <a:xfrm>
                            <a:off x="0" y="0"/>
                            <a:ext cx="529590" cy="332740"/>
                          </a:xfrm>
                          <a:prstGeom prst="rect">
                            <a:avLst/>
                          </a:prstGeom>
                          <a:noFill/>
                          <a:ln>
                            <a:noFill/>
                          </a:ln>
                        </pic:spPr>
                      </pic:pic>
                    </a:graphicData>
                  </a:graphic>
                </wp:anchor>
              </w:drawing>
            </w:r>
            <w:r>
              <w:rPr>
                <w:rFonts w:hint="eastAsia" w:ascii="宋体" w:hAnsi="宋体" w:eastAsia="宋体" w:cs="Times New Roman"/>
                <w:sz w:val="21"/>
                <w:szCs w:val="21"/>
              </w:rPr>
              <w:t>评审人员（签字）：</w:t>
            </w:r>
          </w:p>
          <w:p>
            <w:pPr>
              <w:keepNext/>
              <w:keepLines/>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 xml:space="preserve">                                                                                          评审日期：20</w:t>
            </w:r>
            <w:r>
              <w:rPr>
                <w:rFonts w:hint="eastAsia" w:ascii="宋体" w:hAnsi="宋体" w:eastAsia="宋体" w:cs="Times New Roman"/>
                <w:sz w:val="21"/>
                <w:szCs w:val="21"/>
                <w:lang w:val="en-US" w:eastAsia="zh-CN"/>
              </w:rPr>
              <w:t>20</w:t>
            </w:r>
            <w:r>
              <w:rPr>
                <w:rFonts w:hint="eastAsia" w:ascii="宋体" w:hAnsi="宋体" w:eastAsia="宋体" w:cs="Times New Roman"/>
                <w:sz w:val="21"/>
                <w:szCs w:val="21"/>
              </w:rPr>
              <w:t>年</w:t>
            </w:r>
            <w:r>
              <w:rPr>
                <w:rFonts w:hint="eastAsia" w:ascii="宋体" w:hAnsi="宋体" w:eastAsia="宋体" w:cs="Times New Roman"/>
                <w:sz w:val="21"/>
                <w:szCs w:val="21"/>
                <w:lang w:val="en-US" w:eastAsia="zh-CN"/>
              </w:rPr>
              <w:t>9</w:t>
            </w:r>
            <w:r>
              <w:rPr>
                <w:rFonts w:hint="eastAsia" w:ascii="宋体" w:hAnsi="宋体" w:eastAsia="宋体" w:cs="Times New Roman"/>
                <w:sz w:val="21"/>
                <w:szCs w:val="21"/>
              </w:rPr>
              <w:t>月</w:t>
            </w:r>
            <w:r>
              <w:rPr>
                <w:rFonts w:hint="eastAsia" w:ascii="宋体" w:hAnsi="宋体" w:eastAsia="宋体" w:cs="Times New Roman"/>
                <w:sz w:val="21"/>
                <w:szCs w:val="21"/>
                <w:lang w:val="en-US" w:eastAsia="zh-CN"/>
              </w:rPr>
              <w:t>20</w:t>
            </w:r>
            <w:r>
              <w:rPr>
                <w:rFonts w:hint="eastAsia" w:ascii="宋体" w:hAnsi="宋体" w:eastAsia="宋体" w:cs="Times New Roman"/>
                <w:sz w:val="21"/>
                <w:szCs w:val="21"/>
              </w:rPr>
              <w:t>日</w:t>
            </w:r>
          </w:p>
        </w:tc>
      </w:tr>
    </w:tbl>
    <w:p>
      <w:pPr>
        <w:adjustRightInd w:val="0"/>
        <w:snapToGrid w:val="0"/>
        <w:spacing w:line="288" w:lineRule="auto"/>
        <w:ind w:firstLine="0" w:firstLineChars="0"/>
        <w:rPr>
          <w:rFonts w:hint="eastAsia" w:ascii="宋体" w:hAnsi="宋体" w:eastAsia="宋体" w:cs="Times New Roman"/>
          <w:sz w:val="21"/>
          <w:szCs w:val="20"/>
        </w:rPr>
      </w:pPr>
      <w:r>
        <w:rPr>
          <w:rFonts w:hint="eastAsia" w:ascii="宋体" w:hAnsi="宋体" w:eastAsia="宋体" w:cs="Times New Roman"/>
          <w:sz w:val="21"/>
          <w:szCs w:val="20"/>
        </w:rPr>
        <w:t>注：1.符合，指的是评审专家判定某一项指标所涉及的内容能够反映制定环境应急预案的企业开展了该项工作，且工作全面、深入、质量高；部分</w:t>
      </w:r>
    </w:p>
    <w:p>
      <w:pPr>
        <w:adjustRightInd w:val="0"/>
        <w:snapToGrid w:val="0"/>
        <w:spacing w:line="288" w:lineRule="auto"/>
        <w:ind w:firstLine="0" w:firstLineChars="0"/>
        <w:rPr>
          <w:rFonts w:hint="eastAsia" w:ascii="宋体" w:hAnsi="宋体" w:eastAsia="宋体" w:cs="Times New Roman"/>
          <w:sz w:val="21"/>
          <w:szCs w:val="20"/>
        </w:rPr>
      </w:pPr>
      <w:r>
        <w:rPr>
          <w:rFonts w:hint="eastAsia" w:ascii="宋体" w:hAnsi="宋体" w:eastAsia="宋体" w:cs="Times New Roman"/>
          <w:sz w:val="21"/>
          <w:szCs w:val="20"/>
        </w:rPr>
        <w:t xml:space="preserve">      符合，指的是评审专家判定企业开展了该项工作，但工作不全面、不深入或质量不高；不符合，指的是评审人员判定企业未开展该项工作，</w:t>
      </w:r>
    </w:p>
    <w:p>
      <w:pPr>
        <w:adjustRightInd w:val="0"/>
        <w:snapToGrid w:val="0"/>
        <w:spacing w:line="288" w:lineRule="auto"/>
        <w:ind w:firstLine="0" w:firstLineChars="0"/>
        <w:rPr>
          <w:rFonts w:ascii="宋体" w:hAnsi="宋体" w:eastAsia="宋体" w:cs="Times New Roman"/>
          <w:sz w:val="21"/>
          <w:szCs w:val="20"/>
        </w:rPr>
      </w:pPr>
      <w:r>
        <w:rPr>
          <w:rFonts w:hint="eastAsia" w:ascii="宋体" w:hAnsi="宋体" w:eastAsia="宋体" w:cs="Times New Roman"/>
          <w:sz w:val="21"/>
          <w:szCs w:val="20"/>
        </w:rPr>
        <w:t xml:space="preserve">      或工作有重大疏漏、流于形式或质量差。</w:t>
      </w:r>
    </w:p>
    <w:p>
      <w:pPr>
        <w:adjustRightInd w:val="0"/>
        <w:snapToGrid w:val="0"/>
        <w:spacing w:line="288" w:lineRule="auto"/>
        <w:ind w:firstLine="0" w:firstLineChars="0"/>
        <w:rPr>
          <w:rFonts w:hint="eastAsia" w:ascii="宋体" w:hAnsi="宋体" w:eastAsia="宋体" w:cs="Times New Roman"/>
          <w:sz w:val="21"/>
          <w:szCs w:val="20"/>
        </w:rPr>
      </w:pPr>
      <w:r>
        <w:rPr>
          <w:rFonts w:hint="eastAsia" w:ascii="宋体" w:hAnsi="宋体" w:eastAsia="宋体" w:cs="Times New Roman"/>
          <w:sz w:val="21"/>
          <w:szCs w:val="20"/>
        </w:rPr>
        <w:t xml:space="preserve">    2.赋分原则：“符合”得2分、“部分符合”得1分、“不符合”得0分；其中标注a的指标得分按“符合”得1分、“部分符合”得0.5分、“不</w:t>
      </w:r>
    </w:p>
    <w:p>
      <w:pPr>
        <w:adjustRightInd w:val="0"/>
        <w:snapToGrid w:val="0"/>
        <w:spacing w:line="288" w:lineRule="auto"/>
        <w:ind w:firstLine="0" w:firstLineChars="0"/>
        <w:rPr>
          <w:rFonts w:hint="eastAsia" w:ascii="宋体" w:hAnsi="宋体" w:eastAsia="宋体" w:cs="Times New Roman"/>
          <w:sz w:val="21"/>
          <w:szCs w:val="20"/>
        </w:rPr>
      </w:pPr>
      <w:r>
        <w:rPr>
          <w:rFonts w:hint="eastAsia" w:ascii="宋体" w:hAnsi="宋体" w:eastAsia="宋体" w:cs="Times New Roman"/>
          <w:sz w:val="21"/>
          <w:szCs w:val="20"/>
        </w:rPr>
        <w:t xml:space="preserve">      符合”得0分计，标注b的指标得分按“符合”得3分、“部分符合”得1.5分、“不符合”得0分计。</w:t>
      </w:r>
    </w:p>
    <w:p>
      <w:pPr>
        <w:adjustRightInd w:val="0"/>
        <w:snapToGrid w:val="0"/>
        <w:spacing w:line="288" w:lineRule="auto"/>
        <w:ind w:firstLine="0" w:firstLineChars="0"/>
        <w:rPr>
          <w:rFonts w:ascii="宋体" w:hAnsi="宋体" w:eastAsia="宋体" w:cs="Times New Roman"/>
          <w:sz w:val="21"/>
          <w:szCs w:val="20"/>
        </w:rPr>
      </w:pPr>
      <w:r>
        <w:rPr>
          <w:rFonts w:hint="eastAsia" w:ascii="宋体" w:hAnsi="宋体" w:eastAsia="宋体" w:cs="Times New Roman"/>
          <w:sz w:val="21"/>
          <w:szCs w:val="20"/>
        </w:rPr>
        <w:t xml:space="preserve">    3.指标调整：标注</w:t>
      </w:r>
      <w:r>
        <w:rPr>
          <w:rFonts w:ascii="宋体" w:hAnsi="宋体" w:eastAsia="宋体" w:cs="Times New Roman"/>
          <w:sz w:val="21"/>
          <w:szCs w:val="20"/>
        </w:rPr>
        <w:t>c</w:t>
      </w:r>
      <w:r>
        <w:rPr>
          <w:rFonts w:hint="eastAsia" w:ascii="宋体" w:hAnsi="宋体" w:eastAsia="宋体" w:cs="Times New Roman"/>
          <w:sz w:val="21"/>
          <w:szCs w:val="20"/>
        </w:rPr>
        <w:t>的指标或项目中的部分指标，评审组可以对不适用的进行调整。</w:t>
      </w:r>
    </w:p>
    <w:p>
      <w:pPr>
        <w:adjustRightInd w:val="0"/>
        <w:snapToGrid w:val="0"/>
        <w:spacing w:line="288" w:lineRule="auto"/>
        <w:ind w:firstLine="0" w:firstLineChars="0"/>
        <w:rPr>
          <w:rFonts w:ascii="宋体" w:hAnsi="宋体" w:eastAsia="宋体" w:cs="Times New Roman"/>
          <w:sz w:val="21"/>
          <w:szCs w:val="20"/>
        </w:rPr>
      </w:pPr>
      <w:r>
        <w:rPr>
          <w:rFonts w:hint="eastAsia" w:ascii="宋体" w:hAnsi="宋体" w:eastAsia="宋体" w:cs="Times New Roman"/>
          <w:sz w:val="21"/>
          <w:szCs w:val="20"/>
        </w:rPr>
        <w:t xml:space="preserve">    4.“一票否决”项不计入评审得分。</w:t>
      </w:r>
    </w:p>
    <w:p>
      <w:pPr>
        <w:adjustRightInd w:val="0"/>
        <w:snapToGrid w:val="0"/>
        <w:spacing w:line="288" w:lineRule="auto"/>
        <w:ind w:firstLine="0" w:firstLineChars="0"/>
        <w:rPr>
          <w:rFonts w:ascii="宋体" w:hAnsi="宋体" w:eastAsia="宋体" w:cs="Times New Roman"/>
          <w:sz w:val="21"/>
          <w:szCs w:val="20"/>
        </w:rPr>
      </w:pPr>
      <w:r>
        <w:rPr>
          <w:rFonts w:hint="eastAsia" w:ascii="宋体" w:hAnsi="宋体" w:eastAsia="宋体" w:cs="Times New Roman"/>
          <w:sz w:val="21"/>
          <w:szCs w:val="20"/>
        </w:rPr>
        <w:t xml:space="preserve">    5.指标说明供参考。</w:t>
      </w:r>
    </w:p>
    <w:p>
      <w:pPr>
        <w:sectPr>
          <w:footerReference r:id="rId17" w:type="default"/>
          <w:pgSz w:w="16838" w:h="11906" w:orient="landscape"/>
          <w:pgMar w:top="1701" w:right="1701" w:bottom="1701" w:left="1701" w:header="851" w:footer="1418" w:gutter="0"/>
          <w:cols w:space="720" w:num="1"/>
          <w:docGrid w:type="lines" w:linePitch="579" w:charSpace="-849"/>
        </w:sectPr>
      </w:pPr>
    </w:p>
    <w:p>
      <w:pPr>
        <w:autoSpaceDE w:val="0"/>
        <w:autoSpaceDN w:val="0"/>
        <w:adjustRightInd w:val="0"/>
        <w:snapToGrid w:val="0"/>
        <w:spacing w:line="240" w:lineRule="auto"/>
        <w:ind w:firstLine="0" w:firstLineChars="0"/>
        <w:jc w:val="left"/>
        <w:rPr>
          <w:rFonts w:ascii="黑体" w:hAnsi="Times New Roman" w:eastAsia="黑体" w:cs="Times New Roman"/>
          <w:kern w:val="0"/>
          <w:sz w:val="32"/>
          <w:szCs w:val="20"/>
        </w:rPr>
      </w:pPr>
      <w:r>
        <w:rPr>
          <w:rFonts w:hint="eastAsia" w:ascii="黑体" w:hAnsi="Times New Roman" w:eastAsia="黑体" w:cs="Times New Roman"/>
          <w:kern w:val="0"/>
          <w:sz w:val="32"/>
          <w:szCs w:val="20"/>
        </w:rPr>
        <w:t>附表2</w:t>
      </w:r>
    </w:p>
    <w:p>
      <w:pPr>
        <w:adjustRightInd w:val="0"/>
        <w:snapToGrid w:val="0"/>
        <w:spacing w:line="240" w:lineRule="auto"/>
        <w:ind w:firstLine="0" w:firstLineChars="0"/>
        <w:jc w:val="center"/>
        <w:rPr>
          <w:rFonts w:hint="eastAsia" w:ascii="宋体" w:hAnsi="宋体" w:eastAsia="宋体" w:cs="宋体"/>
          <w:b/>
          <w:bCs/>
          <w:sz w:val="38"/>
          <w:szCs w:val="38"/>
          <w:u w:val="none"/>
          <w:lang w:val="en-US" w:eastAsia="zh-CN"/>
        </w:rPr>
      </w:pPr>
      <w:r>
        <w:rPr>
          <w:rFonts w:hint="eastAsia" w:ascii="宋体" w:hAnsi="宋体" w:eastAsia="宋体" w:cs="宋体"/>
          <w:b/>
          <w:bCs/>
          <w:sz w:val="38"/>
          <w:szCs w:val="38"/>
          <w:u w:val="none"/>
          <w:lang w:val="en-US" w:eastAsia="zh-CN"/>
        </w:rPr>
        <w:t>南昌慧华高科混凝土有限公司</w:t>
      </w:r>
    </w:p>
    <w:p>
      <w:pPr>
        <w:adjustRightInd w:val="0"/>
        <w:snapToGrid w:val="0"/>
        <w:spacing w:line="240" w:lineRule="auto"/>
        <w:ind w:firstLine="0" w:firstLineChars="0"/>
        <w:jc w:val="center"/>
        <w:rPr>
          <w:rFonts w:hint="eastAsia" w:ascii="宋体" w:hAnsi="宋体" w:eastAsia="宋体" w:cs="宋体"/>
          <w:b/>
          <w:bCs/>
          <w:sz w:val="38"/>
          <w:szCs w:val="38"/>
          <w:u w:val="none"/>
        </w:rPr>
      </w:pPr>
      <w:r>
        <w:rPr>
          <w:rFonts w:hint="eastAsia" w:ascii="宋体" w:hAnsi="宋体" w:eastAsia="宋体" w:cs="宋体"/>
          <w:b/>
          <w:bCs/>
          <w:sz w:val="38"/>
          <w:szCs w:val="38"/>
          <w:u w:val="none"/>
        </w:rPr>
        <w:t>突发环境事件应急预案评审意见表</w:t>
      </w:r>
    </w:p>
    <w:tbl>
      <w:tblPr>
        <w:tblStyle w:val="16"/>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5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956" w:type="dxa"/>
            <w:noWrap w:val="0"/>
            <w:vAlign w:val="center"/>
          </w:tcPr>
          <w:p>
            <w:pPr>
              <w:adjustRightInd w:val="0"/>
              <w:snapToGrid w:val="0"/>
              <w:spacing w:line="240" w:lineRule="auto"/>
              <w:ind w:firstLine="0" w:firstLineChars="0"/>
              <w:jc w:val="left"/>
              <w:rPr>
                <w:rFonts w:ascii="宋体" w:hAnsi="宋体" w:eastAsia="宋体" w:cs="Times New Roman"/>
                <w:sz w:val="21"/>
                <w:szCs w:val="21"/>
                <w:u w:val="single"/>
              </w:rPr>
            </w:pPr>
            <w:r>
              <w:rPr>
                <w:rFonts w:hint="eastAsia" w:ascii="宋体" w:hAnsi="宋体" w:eastAsia="宋体" w:cs="Times New Roman"/>
                <w:sz w:val="21"/>
                <w:szCs w:val="21"/>
              </w:rPr>
              <w:t>评审时间</w:t>
            </w:r>
            <w:r>
              <w:rPr>
                <w:rFonts w:hint="eastAsia" w:ascii="宋体" w:hAnsi="宋体" w:eastAsia="宋体" w:cs="Times New Roman"/>
                <w:sz w:val="21"/>
                <w:szCs w:val="21"/>
                <w:u w:val="single"/>
              </w:rPr>
              <w:t>：</w:t>
            </w:r>
            <w:r>
              <w:rPr>
                <w:rFonts w:ascii="宋体" w:hAnsi="宋体" w:eastAsia="宋体" w:cs="Times New Roman"/>
                <w:sz w:val="21"/>
                <w:szCs w:val="21"/>
                <w:u w:val="single"/>
              </w:rPr>
              <w:t xml:space="preserve">   </w:t>
            </w:r>
            <w:r>
              <w:rPr>
                <w:rFonts w:hint="eastAsia" w:ascii="宋体" w:hAnsi="宋体" w:eastAsia="宋体" w:cs="Times New Roman"/>
                <w:sz w:val="21"/>
                <w:szCs w:val="21"/>
                <w:u w:val="single"/>
              </w:rPr>
              <w:t>20</w:t>
            </w:r>
            <w:r>
              <w:rPr>
                <w:rFonts w:hint="eastAsia" w:ascii="宋体" w:hAnsi="宋体" w:eastAsia="宋体" w:cs="Times New Roman"/>
                <w:sz w:val="21"/>
                <w:szCs w:val="21"/>
                <w:u w:val="single"/>
                <w:lang w:val="en-US" w:eastAsia="zh-CN"/>
              </w:rPr>
              <w:t>20</w:t>
            </w:r>
            <w:r>
              <w:rPr>
                <w:rFonts w:hint="eastAsia" w:ascii="宋体" w:hAnsi="宋体" w:eastAsia="宋体" w:cs="Times New Roman"/>
                <w:sz w:val="21"/>
                <w:szCs w:val="21"/>
                <w:u w:val="single"/>
              </w:rPr>
              <w:t>年</w:t>
            </w:r>
            <w:r>
              <w:rPr>
                <w:rFonts w:hint="eastAsia" w:ascii="宋体" w:hAnsi="宋体" w:eastAsia="宋体" w:cs="Times New Roman"/>
                <w:sz w:val="21"/>
                <w:szCs w:val="21"/>
                <w:u w:val="single"/>
                <w:lang w:val="en-US" w:eastAsia="zh-CN"/>
              </w:rPr>
              <w:t>9</w:t>
            </w:r>
            <w:r>
              <w:rPr>
                <w:rFonts w:hint="eastAsia" w:ascii="宋体" w:hAnsi="宋体" w:eastAsia="宋体" w:cs="Times New Roman"/>
                <w:sz w:val="21"/>
                <w:szCs w:val="21"/>
                <w:u w:val="single"/>
              </w:rPr>
              <w:t>月</w:t>
            </w:r>
            <w:r>
              <w:rPr>
                <w:rFonts w:hint="eastAsia" w:ascii="宋体" w:hAnsi="宋体" w:eastAsia="宋体" w:cs="Times New Roman"/>
                <w:sz w:val="21"/>
                <w:szCs w:val="21"/>
                <w:u w:val="single"/>
                <w:lang w:val="en-US" w:eastAsia="zh-CN"/>
              </w:rPr>
              <w:t>20</w:t>
            </w:r>
            <w:r>
              <w:rPr>
                <w:rFonts w:hint="eastAsia" w:ascii="宋体" w:hAnsi="宋体" w:eastAsia="宋体" w:cs="Times New Roman"/>
                <w:sz w:val="21"/>
                <w:szCs w:val="21"/>
                <w:u w:val="single"/>
              </w:rPr>
              <w:t>日</w:t>
            </w:r>
            <w:r>
              <w:rPr>
                <w:rFonts w:ascii="宋体" w:hAnsi="宋体" w:eastAsia="宋体" w:cs="Times New Roman"/>
                <w:sz w:val="21"/>
                <w:szCs w:val="21"/>
                <w:u w:val="single"/>
              </w:rPr>
              <w:t xml:space="preserve">              </w:t>
            </w:r>
            <w:r>
              <w:rPr>
                <w:rFonts w:hint="eastAsia" w:ascii="宋体" w:hAnsi="宋体" w:eastAsia="宋体" w:cs="Times New Roman"/>
                <w:sz w:val="21"/>
                <w:szCs w:val="21"/>
              </w:rPr>
              <w:t>地点：</w:t>
            </w:r>
            <w:r>
              <w:rPr>
                <w:rFonts w:ascii="宋体" w:hAnsi="宋体" w:eastAsia="宋体" w:cs="Times New Roman"/>
                <w:sz w:val="21"/>
                <w:szCs w:val="21"/>
                <w:u w:val="single"/>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95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评审方式：</w:t>
            </w:r>
            <w:r>
              <w:rPr>
                <w:rFonts w:hint="eastAsia" w:ascii="MS Gothic" w:hAnsi="MS Gothic" w:eastAsia="MS Gothic" w:cs="MS Gothic"/>
                <w:sz w:val="21"/>
                <w:szCs w:val="21"/>
              </w:rPr>
              <w:t>☑</w:t>
            </w:r>
            <w:r>
              <w:rPr>
                <w:rFonts w:hint="eastAsia" w:ascii="宋体" w:hAnsi="宋体" w:eastAsia="宋体" w:cs="Times New Roman"/>
                <w:sz w:val="21"/>
                <w:szCs w:val="21"/>
              </w:rPr>
              <w:t>函审，□会议评审，□函审、会议评审结合，□其他</w:t>
            </w:r>
            <w:r>
              <w:rPr>
                <w:rFonts w:ascii="宋体" w:hAnsi="宋体" w:eastAsia="宋体" w:cs="Times New Roman"/>
                <w:sz w:val="21"/>
                <w:szCs w:val="21"/>
                <w:u w:val="single"/>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95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评审结论：</w:t>
            </w:r>
            <w:r>
              <w:rPr>
                <w:rFonts w:hint="eastAsia" w:ascii="MS Gothic" w:hAnsi="MS Gothic" w:eastAsia="MS Gothic" w:cs="MS Gothic"/>
                <w:sz w:val="21"/>
                <w:szCs w:val="21"/>
              </w:rPr>
              <w:t>☑</w:t>
            </w:r>
            <w:r>
              <w:rPr>
                <w:rFonts w:hint="eastAsia" w:ascii="宋体" w:hAnsi="宋体" w:eastAsia="宋体" w:cs="Times New Roman"/>
                <w:sz w:val="21"/>
                <w:szCs w:val="21"/>
              </w:rPr>
              <w:t>通过评审，□原则通过但需进行修改复核，□未通过评审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895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评审过程：</w:t>
            </w:r>
          </w:p>
          <w:p>
            <w:pPr>
              <w:adjustRightInd w:val="0"/>
              <w:snapToGrid w:val="0"/>
              <w:spacing w:line="240" w:lineRule="auto"/>
              <w:ind w:firstLine="0" w:firstLineChars="0"/>
              <w:rPr>
                <w:rFonts w:ascii="宋体" w:hAnsi="宋体" w:eastAsia="宋体" w:cs="Times New Roman"/>
                <w:sz w:val="21"/>
                <w:szCs w:val="21"/>
              </w:rPr>
            </w:pPr>
          </w:p>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总体评价：</w:t>
            </w:r>
          </w:p>
          <w:p>
            <w:pPr>
              <w:keepNext w:val="0"/>
              <w:keepLines w:val="0"/>
              <w:widowControl/>
              <w:suppressLineNumbers w:val="0"/>
              <w:spacing w:line="240" w:lineRule="auto"/>
              <w:ind w:firstLine="434" w:firstLineChars="200"/>
              <w:jc w:val="left"/>
              <w:rPr>
                <w:rFonts w:ascii="宋体" w:hAnsi="宋体" w:eastAsia="宋体" w:cs="Times New Roman"/>
                <w:sz w:val="21"/>
                <w:szCs w:val="21"/>
              </w:rPr>
            </w:pPr>
            <w:r>
              <w:rPr>
                <w:rFonts w:hint="eastAsia" w:ascii="宋体" w:hAnsi="宋体" w:eastAsia="宋体" w:cs="Times New Roman"/>
                <w:sz w:val="21"/>
                <w:szCs w:val="21"/>
              </w:rPr>
              <w:t>该预案的编制基本符合</w:t>
            </w:r>
            <w:r>
              <w:rPr>
                <w:rFonts w:ascii="宋体" w:hAnsi="宋体" w:eastAsia="宋体" w:cs="Times New Roman"/>
                <w:sz w:val="21"/>
                <w:szCs w:val="21"/>
              </w:rPr>
              <w:t>《</w:t>
            </w:r>
            <w:r>
              <w:rPr>
                <w:rFonts w:hint="eastAsia" w:ascii="宋体" w:hAnsi="宋体" w:eastAsia="宋体" w:cs="Times New Roman"/>
                <w:sz w:val="21"/>
                <w:szCs w:val="21"/>
              </w:rPr>
              <w:t>突发事件应对法</w:t>
            </w:r>
            <w:r>
              <w:rPr>
                <w:rFonts w:ascii="宋体" w:hAnsi="宋体" w:eastAsia="宋体" w:cs="Times New Roman"/>
                <w:sz w:val="21"/>
                <w:szCs w:val="21"/>
              </w:rPr>
              <w:t>》</w:t>
            </w:r>
            <w:r>
              <w:rPr>
                <w:rFonts w:hint="eastAsia" w:ascii="宋体" w:hAnsi="宋体" w:eastAsia="宋体" w:cs="Times New Roman"/>
                <w:sz w:val="21"/>
                <w:szCs w:val="21"/>
              </w:rPr>
              <w:t>、《突发事件应急预案管理办法》等法律法规、标准、文件规范。</w:t>
            </w:r>
            <w:r>
              <w:rPr>
                <w:rFonts w:ascii="宋体" w:hAnsi="宋体" w:eastAsia="宋体" w:cs="Times New Roman"/>
                <w:sz w:val="21"/>
                <w:szCs w:val="21"/>
              </w:rPr>
              <w:t>格式规范，内容较全面，保障措施基本可行，具有一定的实用性，</w:t>
            </w:r>
            <w:r>
              <w:rPr>
                <w:rFonts w:hint="eastAsia" w:ascii="宋体" w:hAnsi="宋体" w:eastAsia="宋体" w:cs="Times New Roman"/>
                <w:sz w:val="21"/>
                <w:szCs w:val="21"/>
              </w:rPr>
              <w:t>经修改后，可作为相关管理部门备案依据和企业今后生产安全事故应急工作的指导性文件。</w:t>
            </w:r>
          </w:p>
          <w:p>
            <w:pPr>
              <w:adjustRightInd w:val="0"/>
              <w:snapToGrid w:val="0"/>
              <w:spacing w:line="240" w:lineRule="auto"/>
              <w:ind w:firstLine="0" w:firstLineChars="0"/>
              <w:rPr>
                <w:rFonts w:hint="eastAsia" w:ascii="宋体" w:hAnsi="宋体" w:eastAsia="宋体" w:cs="Times New Roman"/>
                <w:sz w:val="21"/>
                <w:szCs w:val="21"/>
              </w:rPr>
            </w:pPr>
          </w:p>
          <w:p>
            <w:pPr>
              <w:adjustRightInd w:val="0"/>
              <w:snapToGrid w:val="0"/>
              <w:spacing w:line="240" w:lineRule="auto"/>
              <w:ind w:firstLine="0" w:firstLineChars="0"/>
              <w:rPr>
                <w:rFonts w:ascii="宋体" w:hAnsi="宋体" w:eastAsia="宋体"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8956" w:type="dxa"/>
            <w:noWrap w:val="0"/>
            <w:vAlign w:val="center"/>
          </w:tcPr>
          <w:p>
            <w:pPr>
              <w:adjustRightInd w:val="0"/>
              <w:snapToGrid w:val="0"/>
              <w:spacing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问题清单：</w:t>
            </w:r>
          </w:p>
          <w:p>
            <w:pPr>
              <w:adjustRightInd w:val="0"/>
              <w:snapToGrid w:val="0"/>
              <w:spacing w:line="240" w:lineRule="auto"/>
              <w:ind w:firstLine="0" w:firstLineChars="0"/>
              <w:rPr>
                <w:rFonts w:hint="eastAsia" w:ascii="宋体" w:hAnsi="宋体" w:eastAsia="宋体" w:cs="Times New Roman"/>
                <w:sz w:val="21"/>
                <w:szCs w:val="21"/>
              </w:rPr>
            </w:pPr>
          </w:p>
          <w:p>
            <w:pPr>
              <w:adjustRightInd w:val="0"/>
              <w:snapToGrid w:val="0"/>
              <w:spacing w:line="240" w:lineRule="auto"/>
              <w:ind w:firstLine="0" w:firstLineChars="0"/>
              <w:rPr>
                <w:rFonts w:hint="eastAsia" w:ascii="宋体" w:hAnsi="宋体" w:eastAsia="宋体" w:cs="Times New Roman"/>
                <w:sz w:val="21"/>
                <w:szCs w:val="21"/>
              </w:rPr>
            </w:pPr>
          </w:p>
          <w:p>
            <w:pPr>
              <w:adjustRightInd w:val="0"/>
              <w:snapToGrid w:val="0"/>
              <w:spacing w:line="240" w:lineRule="auto"/>
              <w:ind w:firstLine="0" w:firstLineChars="0"/>
              <w:rPr>
                <w:rFonts w:ascii="宋体" w:hAnsi="宋体" w:eastAsia="宋体"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6" w:hRule="atLeast"/>
        </w:trPr>
        <w:tc>
          <w:tcPr>
            <w:tcW w:w="8956" w:type="dxa"/>
            <w:noWrap w:val="0"/>
            <w:vAlign w:val="top"/>
          </w:tcPr>
          <w:p>
            <w:pPr>
              <w:adjustRightInd w:val="0"/>
              <w:snapToGrid w:val="0"/>
              <w:spacing w:before="249" w:beforeLines="80" w:line="24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修改意见和建议：</w:t>
            </w:r>
          </w:p>
          <w:p>
            <w:pPr>
              <w:numPr>
                <w:ilvl w:val="0"/>
                <w:numId w:val="19"/>
              </w:numPr>
              <w:adjustRightInd w:val="0"/>
              <w:snapToGrid w:val="0"/>
              <w:spacing w:line="360" w:lineRule="auto"/>
              <w:ind w:firstLine="434" w:firstLineChars="200"/>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核实应急预案发布时间。</w:t>
            </w:r>
          </w:p>
          <w:p>
            <w:pPr>
              <w:numPr>
                <w:ilvl w:val="0"/>
                <w:numId w:val="19"/>
              </w:numPr>
              <w:adjustRightInd w:val="0"/>
              <w:snapToGrid w:val="0"/>
              <w:spacing w:line="360" w:lineRule="auto"/>
              <w:ind w:firstLine="434" w:firstLineChars="200"/>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核实风险评估报告的内容，</w:t>
            </w:r>
            <w:r>
              <w:rPr>
                <w:rFonts w:hint="eastAsia" w:ascii="宋体" w:hAnsi="宋体" w:eastAsia="宋体" w:cs="Times New Roman"/>
                <w:sz w:val="21"/>
                <w:szCs w:val="21"/>
              </w:rPr>
              <w:t>同类企业的突发环境事件信息</w:t>
            </w:r>
            <w:r>
              <w:rPr>
                <w:rFonts w:hint="eastAsia" w:ascii="宋体" w:hAnsi="宋体" w:eastAsia="宋体" w:cs="Times New Roman"/>
                <w:sz w:val="21"/>
                <w:szCs w:val="21"/>
                <w:lang w:val="en-US" w:eastAsia="zh-CN"/>
              </w:rPr>
              <w:t>列举了乙炔事故，与本项目无关，应关注废气、废水事故排放问题，核实</w:t>
            </w:r>
            <w:r>
              <w:rPr>
                <w:rFonts w:hint="eastAsia" w:ascii="宋体" w:hAnsi="宋体" w:eastAsia="宋体" w:cs="Times New Roman"/>
                <w:sz w:val="21"/>
                <w:szCs w:val="21"/>
              </w:rPr>
              <w:t>水环境风险防控措施及突发大气环境事件发生情况评估表</w:t>
            </w:r>
            <w:r>
              <w:rPr>
                <w:rFonts w:hint="eastAsia" w:ascii="宋体" w:hAnsi="宋体" w:eastAsia="宋体" w:cs="Times New Roman"/>
                <w:sz w:val="21"/>
                <w:szCs w:val="21"/>
                <w:lang w:eastAsia="zh-CN"/>
              </w:rPr>
              <w:t>内容（项目区域废水应已接入市政管网）。</w:t>
            </w:r>
          </w:p>
          <w:p>
            <w:pPr>
              <w:numPr>
                <w:ilvl w:val="0"/>
                <w:numId w:val="19"/>
              </w:numPr>
              <w:adjustRightInd w:val="0"/>
              <w:snapToGrid w:val="0"/>
              <w:spacing w:line="360" w:lineRule="auto"/>
              <w:ind w:firstLine="434" w:firstLineChars="200"/>
              <w:rPr>
                <w:rFonts w:hint="eastAsia" w:ascii="宋体" w:hAnsi="宋体" w:eastAsia="宋体" w:cs="Times New Roman"/>
                <w:sz w:val="21"/>
                <w:szCs w:val="21"/>
                <w:lang w:val="en-US" w:eastAsia="zh-CN"/>
              </w:rPr>
            </w:pPr>
            <w:r>
              <w:rPr>
                <w:rFonts w:hint="eastAsia" w:ascii="宋体" w:hAnsi="宋体" w:eastAsia="宋体" w:cs="Times New Roman"/>
                <w:sz w:val="21"/>
                <w:szCs w:val="21"/>
                <w:lang w:eastAsia="zh-CN"/>
              </w:rPr>
              <w:t>补充初期雨水收集管网及沉淀池位置、大小；</w:t>
            </w:r>
            <w:r>
              <w:rPr>
                <w:rFonts w:hint="eastAsia" w:ascii="宋体" w:hAnsi="宋体" w:eastAsia="宋体" w:cs="Times New Roman"/>
                <w:sz w:val="21"/>
                <w:szCs w:val="21"/>
                <w:lang w:val="en-US" w:eastAsia="zh-CN"/>
              </w:rPr>
              <w:t>补充信息接收、处理、上报等方面的规范化格式文件。</w:t>
            </w:r>
          </w:p>
          <w:p>
            <w:pPr>
              <w:numPr>
                <w:ilvl w:val="0"/>
                <w:numId w:val="19"/>
              </w:numPr>
              <w:adjustRightInd w:val="0"/>
              <w:snapToGrid w:val="0"/>
              <w:spacing w:line="360" w:lineRule="auto"/>
              <w:ind w:firstLine="434" w:firstLineChars="200"/>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补充附图中项目所在地位置，完善平面布置图（如排水沟、集水池等位置）。</w:t>
            </w:r>
          </w:p>
          <w:p>
            <w:pPr>
              <w:spacing w:line="240" w:lineRule="auto"/>
              <w:ind w:firstLine="0" w:firstLineChars="0"/>
              <w:jc w:val="left"/>
              <w:rPr>
                <w:rFonts w:ascii="宋体" w:hAnsi="宋体" w:eastAsia="宋体"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37" w:hRule="atLeast"/>
        </w:trPr>
        <w:tc>
          <w:tcPr>
            <w:tcW w:w="8956" w:type="dxa"/>
            <w:noWrap w:val="0"/>
            <w:vAlign w:val="center"/>
          </w:tcPr>
          <w:p>
            <w:pPr>
              <w:adjustRightInd w:val="0"/>
              <w:snapToGrid w:val="0"/>
              <w:spacing w:line="360" w:lineRule="auto"/>
              <w:ind w:firstLine="0" w:firstLineChars="0"/>
              <w:rPr>
                <w:rFonts w:hint="eastAsia" w:ascii="宋体" w:hAnsi="宋体" w:eastAsia="宋体" w:cs="Times New Roman"/>
                <w:sz w:val="21"/>
                <w:szCs w:val="21"/>
              </w:rPr>
            </w:pPr>
            <w:r>
              <w:rPr>
                <w:rFonts w:ascii="宋体" w:hAnsi="宋体" w:eastAsia="宋体" w:cs="Times New Roman"/>
                <w:sz w:val="21"/>
                <w:szCs w:val="21"/>
              </w:rPr>
              <w:drawing>
                <wp:anchor distT="0" distB="0" distL="114300" distR="114300" simplePos="0" relativeHeight="251660288" behindDoc="0" locked="0" layoutInCell="1" allowOverlap="1">
                  <wp:simplePos x="0" y="0"/>
                  <wp:positionH relativeFrom="column">
                    <wp:posOffset>2089150</wp:posOffset>
                  </wp:positionH>
                  <wp:positionV relativeFrom="paragraph">
                    <wp:posOffset>237490</wp:posOffset>
                  </wp:positionV>
                  <wp:extent cx="667385" cy="419100"/>
                  <wp:effectExtent l="0" t="0" r="18415" b="0"/>
                  <wp:wrapNone/>
                  <wp:docPr id="2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9"/>
                          <pic:cNvPicPr>
                            <a:picLocks noChangeAspect="1"/>
                          </pic:cNvPicPr>
                        </pic:nvPicPr>
                        <pic:blipFill>
                          <a:blip r:embed="rId42"/>
                          <a:stretch>
                            <a:fillRect/>
                          </a:stretch>
                        </pic:blipFill>
                        <pic:spPr>
                          <a:xfrm>
                            <a:off x="0" y="0"/>
                            <a:ext cx="667385" cy="419100"/>
                          </a:xfrm>
                          <a:prstGeom prst="rect">
                            <a:avLst/>
                          </a:prstGeom>
                          <a:noFill/>
                          <a:ln>
                            <a:noFill/>
                          </a:ln>
                        </pic:spPr>
                      </pic:pic>
                    </a:graphicData>
                  </a:graphic>
                </wp:anchor>
              </w:drawing>
            </w:r>
            <w:r>
              <w:rPr>
                <w:rFonts w:hint="eastAsia" w:ascii="宋体" w:hAnsi="宋体" w:eastAsia="宋体" w:cs="Times New Roman"/>
                <w:sz w:val="21"/>
                <w:szCs w:val="21"/>
              </w:rPr>
              <w:t>评审人员人数：</w:t>
            </w:r>
            <w:r>
              <w:rPr>
                <w:rFonts w:ascii="宋体" w:hAnsi="宋体" w:eastAsia="宋体" w:cs="Times New Roman"/>
                <w:sz w:val="21"/>
                <w:szCs w:val="21"/>
                <w:u w:val="single"/>
              </w:rPr>
              <w:t xml:space="preserve">         </w:t>
            </w:r>
            <w:r>
              <w:rPr>
                <w:rFonts w:ascii="宋体" w:hAnsi="宋体" w:eastAsia="宋体" w:cs="Times New Roman"/>
                <w:sz w:val="21"/>
                <w:szCs w:val="21"/>
              </w:rPr>
              <w:t xml:space="preserve"> </w:t>
            </w:r>
          </w:p>
          <w:p>
            <w:pPr>
              <w:adjustRightInd w:val="0"/>
              <w:snapToGrid w:val="0"/>
              <w:spacing w:line="36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评审组长签字：</w:t>
            </w:r>
            <w:r>
              <w:rPr>
                <w:rFonts w:ascii="宋体" w:hAnsi="宋体" w:eastAsia="宋体" w:cs="Times New Roman"/>
                <w:sz w:val="21"/>
                <w:szCs w:val="21"/>
                <w:u w:val="single"/>
              </w:rPr>
              <w:t xml:space="preserve">         </w:t>
            </w:r>
          </w:p>
          <w:p>
            <w:pPr>
              <w:adjustRightInd w:val="0"/>
              <w:snapToGrid w:val="0"/>
              <w:spacing w:line="36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其他评审人员签字：</w:t>
            </w:r>
            <w:r>
              <w:rPr>
                <w:rFonts w:ascii="宋体" w:hAnsi="宋体" w:eastAsia="宋体" w:cs="Times New Roman"/>
                <w:sz w:val="21"/>
                <w:szCs w:val="21"/>
                <w:u w:val="single"/>
              </w:rPr>
              <w:t xml:space="preserve">                                                                 </w:t>
            </w:r>
          </w:p>
          <w:p>
            <w:pPr>
              <w:adjustRightInd w:val="0"/>
              <w:snapToGrid w:val="0"/>
              <w:spacing w:line="360" w:lineRule="auto"/>
              <w:ind w:firstLine="0" w:firstLineChars="0"/>
              <w:rPr>
                <w:rFonts w:ascii="宋体" w:hAnsi="宋体" w:eastAsia="宋体" w:cs="Times New Roman"/>
                <w:sz w:val="21"/>
                <w:szCs w:val="21"/>
              </w:rPr>
            </w:pPr>
            <w:r>
              <w:rPr>
                <w:rFonts w:hint="eastAsia" w:ascii="宋体" w:hAnsi="宋体" w:eastAsia="宋体" w:cs="Times New Roman"/>
                <w:sz w:val="21"/>
                <w:szCs w:val="21"/>
              </w:rPr>
              <w:t>企业负责人签字：</w:t>
            </w:r>
            <w:r>
              <w:rPr>
                <w:rFonts w:ascii="宋体" w:hAnsi="宋体" w:eastAsia="宋体" w:cs="Times New Roman"/>
                <w:sz w:val="21"/>
                <w:szCs w:val="21"/>
                <w:u w:val="single"/>
              </w:rPr>
              <w:t xml:space="preserve">                                                                   </w:t>
            </w:r>
          </w:p>
          <w:p>
            <w:pPr>
              <w:adjustRightInd w:val="0"/>
              <w:snapToGrid w:val="0"/>
              <w:spacing w:line="360" w:lineRule="auto"/>
              <w:ind w:firstLine="0" w:firstLineChars="0"/>
              <w:jc w:val="right"/>
              <w:rPr>
                <w:rFonts w:ascii="宋体" w:hAnsi="宋体" w:eastAsia="宋体" w:cs="Times New Roman"/>
                <w:sz w:val="21"/>
                <w:szCs w:val="21"/>
              </w:rPr>
            </w:pPr>
            <w:r>
              <w:rPr>
                <w:rFonts w:ascii="宋体" w:hAnsi="宋体" w:eastAsia="宋体" w:cs="Times New Roman"/>
                <w:sz w:val="21"/>
                <w:szCs w:val="21"/>
                <w:u w:val="single"/>
              </w:rPr>
              <w:t xml:space="preserve">  </w:t>
            </w:r>
            <w:r>
              <w:rPr>
                <w:rFonts w:hint="eastAsia" w:ascii="宋体" w:hAnsi="宋体" w:eastAsia="宋体" w:cs="Times New Roman"/>
                <w:sz w:val="21"/>
                <w:szCs w:val="21"/>
                <w:u w:val="single"/>
              </w:rPr>
              <w:t>20</w:t>
            </w:r>
            <w:r>
              <w:rPr>
                <w:rFonts w:hint="eastAsia" w:ascii="宋体" w:hAnsi="宋体" w:eastAsia="宋体" w:cs="Times New Roman"/>
                <w:sz w:val="21"/>
                <w:szCs w:val="21"/>
                <w:u w:val="single"/>
                <w:lang w:val="en-US" w:eastAsia="zh-CN"/>
              </w:rPr>
              <w:t>20</w:t>
            </w:r>
            <w:r>
              <w:rPr>
                <w:rFonts w:ascii="宋体" w:hAnsi="宋体" w:eastAsia="宋体" w:cs="Times New Roman"/>
                <w:sz w:val="21"/>
                <w:szCs w:val="21"/>
                <w:u w:val="single"/>
              </w:rPr>
              <w:t xml:space="preserve"> </w:t>
            </w:r>
            <w:r>
              <w:rPr>
                <w:rFonts w:hint="eastAsia" w:ascii="宋体" w:hAnsi="宋体" w:eastAsia="宋体" w:cs="Times New Roman"/>
                <w:sz w:val="21"/>
                <w:szCs w:val="21"/>
              </w:rPr>
              <w:t>年</w:t>
            </w:r>
            <w:r>
              <w:rPr>
                <w:rFonts w:ascii="宋体" w:hAnsi="宋体" w:eastAsia="宋体" w:cs="Times New Roman"/>
                <w:sz w:val="21"/>
                <w:szCs w:val="21"/>
                <w:u w:val="single"/>
              </w:rPr>
              <w:t xml:space="preserve">   </w:t>
            </w:r>
            <w:r>
              <w:rPr>
                <w:rFonts w:hint="eastAsia" w:ascii="宋体" w:hAnsi="宋体" w:eastAsia="宋体" w:cs="Times New Roman"/>
                <w:sz w:val="21"/>
                <w:szCs w:val="21"/>
                <w:u w:val="single"/>
                <w:lang w:val="en-US" w:eastAsia="zh-CN"/>
              </w:rPr>
              <w:t>9</w:t>
            </w:r>
            <w:r>
              <w:rPr>
                <w:rFonts w:ascii="宋体" w:hAnsi="宋体" w:eastAsia="宋体" w:cs="Times New Roman"/>
                <w:sz w:val="21"/>
                <w:szCs w:val="21"/>
                <w:u w:val="single"/>
              </w:rPr>
              <w:t xml:space="preserve">  </w:t>
            </w:r>
            <w:r>
              <w:rPr>
                <w:rFonts w:hint="eastAsia" w:ascii="宋体" w:hAnsi="宋体" w:eastAsia="宋体" w:cs="Times New Roman"/>
                <w:sz w:val="21"/>
                <w:szCs w:val="21"/>
              </w:rPr>
              <w:t>月</w:t>
            </w:r>
            <w:r>
              <w:rPr>
                <w:rFonts w:hint="eastAsia" w:ascii="宋体" w:hAnsi="宋体" w:eastAsia="宋体" w:cs="Times New Roman"/>
                <w:sz w:val="21"/>
                <w:szCs w:val="21"/>
                <w:u w:val="single"/>
                <w:lang w:val="en-US" w:eastAsia="zh-CN"/>
              </w:rPr>
              <w:t>20</w:t>
            </w:r>
            <w:r>
              <w:rPr>
                <w:rFonts w:ascii="宋体" w:hAnsi="宋体" w:eastAsia="宋体" w:cs="Times New Roman"/>
                <w:sz w:val="21"/>
                <w:szCs w:val="21"/>
                <w:u w:val="single"/>
              </w:rPr>
              <w:t xml:space="preserve"> </w:t>
            </w:r>
            <w:r>
              <w:rPr>
                <w:rFonts w:hint="eastAsia" w:ascii="宋体" w:hAnsi="宋体" w:eastAsia="宋体" w:cs="Times New Roman"/>
                <w:sz w:val="21"/>
                <w:szCs w:val="21"/>
              </w:rPr>
              <w:t>日</w:t>
            </w:r>
          </w:p>
        </w:tc>
      </w:tr>
    </w:tbl>
    <w:p>
      <w:pPr>
        <w:pStyle w:val="2"/>
      </w:pPr>
    </w:p>
    <w:p>
      <w:pPr>
        <w:pStyle w:val="2"/>
      </w:pPr>
    </w:p>
    <w:p>
      <w:pPr>
        <w:adjustRightInd w:val="0"/>
        <w:snapToGrid w:val="0"/>
        <w:jc w:val="center"/>
        <w:rPr>
          <w:rFonts w:hint="eastAsia" w:ascii="宋体" w:hAnsi="宋体" w:eastAsia="宋体" w:cs="宋体"/>
          <w:b/>
          <w:bCs/>
          <w:sz w:val="32"/>
          <w:szCs w:val="32"/>
          <w:u w:val="none"/>
        </w:rPr>
      </w:pPr>
      <w:r>
        <w:rPr>
          <w:rFonts w:hint="eastAsia" w:ascii="宋体" w:hAnsi="宋体" w:eastAsia="宋体" w:cs="宋体"/>
          <w:b/>
          <w:bCs/>
          <w:sz w:val="32"/>
          <w:szCs w:val="32"/>
          <w:u w:val="none"/>
          <w:lang w:eastAsia="zh-CN"/>
        </w:rPr>
        <w:t>南昌慧华高科混凝土有限公司</w:t>
      </w:r>
    </w:p>
    <w:p>
      <w:pPr>
        <w:adjustRightInd w:val="0"/>
        <w:snapToGrid w:val="0"/>
        <w:jc w:val="center"/>
        <w:rPr>
          <w:rFonts w:hint="eastAsia" w:ascii="宋体" w:hAnsi="宋体" w:eastAsia="宋体" w:cs="宋体"/>
          <w:b/>
          <w:bCs/>
          <w:sz w:val="32"/>
          <w:szCs w:val="32"/>
          <w:u w:val="none"/>
        </w:rPr>
      </w:pPr>
      <w:r>
        <w:rPr>
          <w:rFonts w:hint="eastAsia" w:ascii="宋体" w:hAnsi="宋体" w:eastAsia="宋体" w:cs="宋体"/>
          <w:b/>
          <w:bCs/>
          <w:sz w:val="32"/>
          <w:szCs w:val="32"/>
          <w:u w:val="none"/>
        </w:rPr>
        <w:t>突发环境事件应急预案修改清单</w:t>
      </w:r>
    </w:p>
    <w:tbl>
      <w:tblPr>
        <w:tblStyle w:val="17"/>
        <w:tblW w:w="9546" w:type="dxa"/>
        <w:tblInd w:w="-4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48"/>
        <w:gridCol w:w="30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trPr>
        <w:tc>
          <w:tcPr>
            <w:tcW w:w="6448" w:type="dxa"/>
            <w:vAlign w:val="top"/>
          </w:tcPr>
          <w:p>
            <w:pPr>
              <w:numPr>
                <w:ilvl w:val="0"/>
                <w:numId w:val="0"/>
              </w:numPr>
              <w:adjustRightInd w:val="0"/>
              <w:snapToGrid w:val="0"/>
              <w:spacing w:line="240" w:lineRule="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w:t>
            </w:r>
            <w:r>
              <w:rPr>
                <w:rFonts w:hint="eastAsia" w:ascii="宋体" w:hAnsi="宋体" w:eastAsia="宋体"/>
                <w:sz w:val="21"/>
                <w:szCs w:val="21"/>
                <w:lang w:val="en-US" w:eastAsia="zh-CN"/>
              </w:rPr>
              <w:t>核实应急预案发布时间。</w:t>
            </w:r>
          </w:p>
        </w:tc>
        <w:tc>
          <w:tcPr>
            <w:tcW w:w="3098" w:type="dxa"/>
            <w:vAlign w:val="top"/>
          </w:tcPr>
          <w:p>
            <w:pPr>
              <w:spacing w:line="240" w:lineRule="auto"/>
              <w:ind w:left="0" w:leftChars="0" w:firstLine="0" w:firstLineChars="0"/>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1）已完善.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7" w:hRule="atLeast"/>
        </w:trPr>
        <w:tc>
          <w:tcPr>
            <w:tcW w:w="6448" w:type="dxa"/>
            <w:vAlign w:val="top"/>
          </w:tcPr>
          <w:p>
            <w:pPr>
              <w:numPr>
                <w:ilvl w:val="0"/>
                <w:numId w:val="0"/>
              </w:numPr>
              <w:adjustRightInd w:val="0"/>
              <w:snapToGrid w:val="0"/>
              <w:spacing w:line="240" w:lineRule="auto"/>
              <w:rPr>
                <w:rFonts w:hint="eastAsia" w:ascii="宋体" w:hAnsi="宋体" w:eastAsia="宋体" w:cs="宋体"/>
                <w:sz w:val="21"/>
                <w:szCs w:val="21"/>
                <w:lang w:val="zh-CN" w:eastAsia="zh-CN"/>
              </w:rPr>
            </w:pPr>
            <w:r>
              <w:rPr>
                <w:rFonts w:hint="eastAsia" w:ascii="宋体" w:hAnsi="宋体" w:eastAsia="宋体" w:cs="宋体"/>
                <w:sz w:val="21"/>
                <w:szCs w:val="21"/>
                <w:lang w:val="en-US" w:eastAsia="zh-CN"/>
              </w:rPr>
              <w:t>2、</w:t>
            </w:r>
            <w:r>
              <w:rPr>
                <w:rFonts w:hint="eastAsia" w:ascii="宋体" w:hAnsi="宋体" w:eastAsia="宋体"/>
                <w:sz w:val="21"/>
                <w:szCs w:val="21"/>
              </w:rPr>
              <w:t>以预案关系图的形式，说明本预案的组成及其组成之间的关系、与生产安全事故预案等其他预案的衔接关系、与地方人民政府环境应急预案的衔接关系</w:t>
            </w:r>
            <w:r>
              <w:rPr>
                <w:rFonts w:hint="eastAsia" w:ascii="宋体" w:hAnsi="宋体" w:eastAsia="宋体"/>
                <w:sz w:val="21"/>
                <w:szCs w:val="21"/>
                <w:lang w:eastAsia="zh-CN"/>
              </w:rPr>
              <w:t>；</w:t>
            </w:r>
          </w:p>
        </w:tc>
        <w:tc>
          <w:tcPr>
            <w:tcW w:w="3098" w:type="dxa"/>
            <w:vAlign w:val="top"/>
          </w:tcPr>
          <w:p>
            <w:pPr>
              <w:pStyle w:val="28"/>
              <w:spacing w:line="24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1）已完善，具体见</w:t>
            </w:r>
            <w:r>
              <w:rPr>
                <w:rFonts w:hint="eastAsia" w:ascii="宋体" w:hAnsi="宋体" w:cs="宋体"/>
                <w:sz w:val="21"/>
                <w:szCs w:val="21"/>
                <w:lang w:val="en-US" w:eastAsia="zh-CN"/>
              </w:rPr>
              <w:t>P</w:t>
            </w:r>
            <w:r>
              <w:rPr>
                <w:rFonts w:hint="default" w:ascii="宋体" w:hAnsi="宋体" w:cs="宋体"/>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trPr>
        <w:tc>
          <w:tcPr>
            <w:tcW w:w="6448" w:type="dxa"/>
            <w:vAlign w:val="top"/>
          </w:tcPr>
          <w:p>
            <w:pPr>
              <w:adjustRightInd w:val="0"/>
              <w:snapToGrid w:val="0"/>
              <w:spacing w:line="240" w:lineRule="auto"/>
              <w:rPr>
                <w:rFonts w:hint="eastAsia" w:ascii="宋体" w:hAnsi="宋体" w:eastAsia="宋体"/>
                <w:sz w:val="21"/>
                <w:szCs w:val="21"/>
              </w:rPr>
            </w:pPr>
            <w:r>
              <w:rPr>
                <w:rFonts w:hint="eastAsia" w:ascii="宋体" w:hAnsi="宋体" w:eastAsia="宋体" w:cs="宋体"/>
                <w:sz w:val="21"/>
                <w:szCs w:val="21"/>
                <w:lang w:val="en-US" w:eastAsia="zh-CN"/>
              </w:rPr>
              <w:t>3、</w:t>
            </w:r>
            <w:r>
              <w:rPr>
                <w:rFonts w:hint="eastAsia" w:ascii="宋体" w:hAnsi="宋体" w:eastAsia="宋体"/>
                <w:sz w:val="21"/>
                <w:szCs w:val="21"/>
                <w:lang w:val="en-US" w:eastAsia="zh-CN"/>
              </w:rPr>
              <w:t>核实污水排放路径，细化环保工程建设内容；完善</w:t>
            </w:r>
            <w:r>
              <w:rPr>
                <w:rFonts w:hint="eastAsia" w:ascii="宋体" w:hAnsi="宋体" w:eastAsia="宋体"/>
                <w:sz w:val="21"/>
                <w:szCs w:val="21"/>
              </w:rPr>
              <w:t>国内外同类企业的突发环境事件信息</w:t>
            </w:r>
            <w:r>
              <w:rPr>
                <w:rFonts w:hint="eastAsia" w:ascii="宋体" w:hAnsi="宋体" w:eastAsia="宋体"/>
                <w:sz w:val="21"/>
                <w:szCs w:val="21"/>
                <w:lang w:val="en-US" w:eastAsia="zh-CN"/>
              </w:rPr>
              <w:t>及历史经验教训总结；</w:t>
            </w:r>
            <w:r>
              <w:rPr>
                <w:rFonts w:hint="eastAsia" w:ascii="宋体" w:hAnsi="宋体" w:eastAsia="宋体"/>
                <w:sz w:val="21"/>
                <w:szCs w:val="21"/>
              </w:rPr>
              <w:t>完善源强分析、释放途径和危害后果分析。</w:t>
            </w:r>
          </w:p>
          <w:p>
            <w:pPr>
              <w:spacing w:line="240" w:lineRule="auto"/>
              <w:jc w:val="left"/>
              <w:rPr>
                <w:rFonts w:hint="eastAsia" w:ascii="宋体" w:hAnsi="宋体" w:eastAsia="宋体" w:cs="宋体"/>
                <w:sz w:val="21"/>
                <w:szCs w:val="21"/>
                <w:lang w:val="zh-CN" w:eastAsia="zh-CN"/>
              </w:rPr>
            </w:pPr>
          </w:p>
        </w:tc>
        <w:tc>
          <w:tcPr>
            <w:tcW w:w="3098" w:type="dxa"/>
            <w:vAlign w:val="top"/>
          </w:tcPr>
          <w:p>
            <w:pPr>
              <w:spacing w:line="240" w:lineRule="auto"/>
              <w:ind w:left="0" w:leftChars="0" w:firstLine="0" w:firstLineChars="0"/>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1）已完善，具体见风险评估P</w:t>
            </w:r>
            <w:r>
              <w:rPr>
                <w:rFonts w:hint="default" w:ascii="宋体" w:hAnsi="宋体" w:eastAsia="宋体" w:cs="宋体"/>
                <w:sz w:val="21"/>
                <w:szCs w:val="21"/>
                <w:lang w:val="en-US" w:eastAsia="zh-CN"/>
              </w:rPr>
              <w:t>16</w:t>
            </w:r>
            <w:r>
              <w:rPr>
                <w:rFonts w:hint="eastAsia" w:ascii="宋体" w:hAnsi="宋体" w:eastAsia="宋体" w:cs="宋体"/>
                <w:sz w:val="21"/>
                <w:szCs w:val="21"/>
                <w:lang w:val="en-US" w:eastAsia="zh-CN"/>
              </w:rPr>
              <w:t>、己</w:t>
            </w:r>
            <w:r>
              <w:rPr>
                <w:rFonts w:hint="eastAsia" w:ascii="宋体" w:hAnsi="宋体" w:eastAsia="宋体"/>
                <w:sz w:val="21"/>
                <w:szCs w:val="21"/>
                <w:lang w:val="en-US" w:eastAsia="zh-CN"/>
              </w:rPr>
              <w:t>完善</w:t>
            </w:r>
            <w:r>
              <w:rPr>
                <w:rFonts w:hint="eastAsia" w:ascii="宋体" w:hAnsi="宋体" w:eastAsia="宋体"/>
                <w:sz w:val="21"/>
                <w:szCs w:val="21"/>
              </w:rPr>
              <w:t>国内外同类企业的突发环境事件信息</w:t>
            </w:r>
            <w:r>
              <w:rPr>
                <w:rFonts w:hint="eastAsia" w:ascii="宋体" w:hAnsi="宋体" w:eastAsia="宋体"/>
                <w:sz w:val="21"/>
                <w:szCs w:val="21"/>
                <w:lang w:val="en-US" w:eastAsia="zh-CN"/>
              </w:rPr>
              <w:t>P24及历史经验教训总结P</w:t>
            </w:r>
            <w:r>
              <w:rPr>
                <w:rFonts w:hint="eastAsia" w:ascii="宋体" w:hAnsi="宋体" w:eastAsia="宋体" w:cs="宋体"/>
                <w:sz w:val="21"/>
                <w:szCs w:val="21"/>
                <w:lang w:val="en-US" w:eastAsia="zh-CN"/>
              </w:rPr>
              <w:t>25-27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1" w:hRule="atLeast"/>
        </w:trPr>
        <w:tc>
          <w:tcPr>
            <w:tcW w:w="6448" w:type="dxa"/>
            <w:vAlign w:val="top"/>
          </w:tcPr>
          <w:p>
            <w:pPr>
              <w:spacing w:line="240" w:lineRule="auto"/>
              <w:jc w:val="left"/>
              <w:rPr>
                <w:rFonts w:hint="eastAsia" w:ascii="宋体" w:hAnsi="宋体" w:eastAsia="宋体" w:cs="宋体"/>
                <w:sz w:val="21"/>
                <w:szCs w:val="21"/>
                <w:lang w:val="zh-CN" w:eastAsia="zh-CN"/>
              </w:rPr>
            </w:pPr>
            <w:r>
              <w:rPr>
                <w:rFonts w:hint="eastAsia" w:ascii="宋体" w:hAnsi="宋体" w:eastAsia="宋体" w:cs="宋体"/>
                <w:sz w:val="21"/>
                <w:szCs w:val="21"/>
                <w:lang w:val="en-US" w:eastAsia="zh-CN"/>
              </w:rPr>
              <w:t>4、</w:t>
            </w:r>
            <w:r>
              <w:rPr>
                <w:rFonts w:hint="eastAsia" w:ascii="宋体" w:hAnsi="宋体" w:eastAsia="宋体"/>
                <w:sz w:val="21"/>
                <w:szCs w:val="21"/>
              </w:rPr>
              <w:t>补充环境风险受体分布图、主要应急资源存放场所分布图；补充标准化文件</w:t>
            </w:r>
          </w:p>
        </w:tc>
        <w:tc>
          <w:tcPr>
            <w:tcW w:w="3098" w:type="dxa"/>
            <w:vAlign w:val="top"/>
          </w:tcPr>
          <w:p>
            <w:pPr>
              <w:spacing w:line="240" w:lineRule="auto"/>
              <w:ind w:left="0" w:leftChars="0" w:firstLine="0" w:firstLineChars="0"/>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1）己补充，具体见附件P61、P64、P72-79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48" w:type="dxa"/>
            <w:vAlign w:val="top"/>
          </w:tcPr>
          <w:p>
            <w:pPr>
              <w:adjustRightInd w:val="0"/>
              <w:snapToGrid w:val="0"/>
              <w:spacing w:line="240" w:lineRule="auto"/>
              <w:rPr>
                <w:rFonts w:hint="eastAsia" w:ascii="宋体" w:hAnsi="宋体" w:eastAsia="宋体" w:cs="宋体"/>
                <w:sz w:val="21"/>
                <w:szCs w:val="21"/>
                <w:lang w:val="zh-CN" w:eastAsia="zh-CN"/>
              </w:rPr>
            </w:pPr>
            <w:r>
              <w:rPr>
                <w:rFonts w:hint="eastAsia" w:ascii="宋体" w:hAnsi="宋体" w:eastAsia="宋体"/>
                <w:sz w:val="21"/>
                <w:szCs w:val="21"/>
                <w:lang w:val="en-US" w:eastAsia="zh-CN"/>
              </w:rPr>
              <w:t>5、核实应急预案发布时间</w:t>
            </w:r>
          </w:p>
        </w:tc>
        <w:tc>
          <w:tcPr>
            <w:tcW w:w="3098" w:type="dxa"/>
            <w:vAlign w:val="top"/>
          </w:tcPr>
          <w:p>
            <w:pPr>
              <w:spacing w:line="240" w:lineRule="auto"/>
              <w:ind w:left="0" w:leftChars="0" w:firstLine="0" w:firstLineChars="0"/>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1）己修改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48" w:type="dxa"/>
            <w:vAlign w:val="top"/>
          </w:tcPr>
          <w:p>
            <w:pPr>
              <w:adjustRightInd w:val="0"/>
              <w:snapToGrid w:val="0"/>
              <w:spacing w:line="240" w:lineRule="auto"/>
              <w:rPr>
                <w:rFonts w:hint="eastAsia" w:ascii="宋体" w:hAnsi="宋体" w:eastAsia="宋体" w:cs="宋体"/>
                <w:sz w:val="21"/>
                <w:szCs w:val="21"/>
                <w:lang w:val="zh-CN" w:eastAsia="zh-CN"/>
              </w:rPr>
            </w:pPr>
            <w:r>
              <w:rPr>
                <w:rFonts w:hint="eastAsia" w:ascii="宋体" w:hAnsi="宋体" w:eastAsia="宋体"/>
                <w:sz w:val="21"/>
                <w:szCs w:val="21"/>
                <w:lang w:val="en-US" w:eastAsia="zh-CN"/>
              </w:rPr>
              <w:t>6、核实风险评估报告的内容，</w:t>
            </w:r>
            <w:r>
              <w:rPr>
                <w:rFonts w:hint="eastAsia" w:ascii="宋体" w:hAnsi="宋体" w:eastAsia="宋体"/>
                <w:sz w:val="21"/>
                <w:szCs w:val="21"/>
              </w:rPr>
              <w:t>同类企业的突发环境事件信息</w:t>
            </w:r>
            <w:r>
              <w:rPr>
                <w:rFonts w:hint="eastAsia" w:ascii="宋体" w:hAnsi="宋体" w:eastAsia="宋体"/>
                <w:sz w:val="21"/>
                <w:szCs w:val="21"/>
                <w:lang w:val="en-US" w:eastAsia="zh-CN"/>
              </w:rPr>
              <w:t>列举了乙炔事故，与本项目无关，应关注废气、废水事故排放问题，核实</w:t>
            </w:r>
            <w:r>
              <w:rPr>
                <w:rFonts w:hint="eastAsia" w:ascii="宋体" w:hAnsi="宋体" w:eastAsia="宋体"/>
                <w:sz w:val="21"/>
                <w:szCs w:val="21"/>
              </w:rPr>
              <w:t>水环境风险防控措施及突发大气环境事件发生情况评估表</w:t>
            </w:r>
            <w:r>
              <w:rPr>
                <w:rFonts w:hint="eastAsia" w:ascii="宋体" w:hAnsi="宋体" w:eastAsia="宋体"/>
                <w:sz w:val="21"/>
                <w:szCs w:val="21"/>
                <w:lang w:eastAsia="zh-CN"/>
              </w:rPr>
              <w:t>内容（项目区域废水应已接入市政管网）</w:t>
            </w:r>
          </w:p>
        </w:tc>
        <w:tc>
          <w:tcPr>
            <w:tcW w:w="3098" w:type="dxa"/>
            <w:vAlign w:val="top"/>
          </w:tcPr>
          <w:p>
            <w:pPr>
              <w:spacing w:line="240" w:lineRule="auto"/>
              <w:ind w:left="0" w:leftChars="0" w:firstLine="0" w:firstLineChars="0"/>
              <w:jc w:val="left"/>
              <w:rPr>
                <w:rFonts w:hint="eastAsia"/>
                <w:sz w:val="21"/>
                <w:szCs w:val="21"/>
                <w:lang w:val="en-US" w:eastAsia="zh-CN"/>
              </w:rPr>
            </w:pPr>
            <w:r>
              <w:rPr>
                <w:rFonts w:hint="eastAsia"/>
                <w:sz w:val="21"/>
                <w:szCs w:val="21"/>
                <w:lang w:val="en-US" w:eastAsia="zh-CN"/>
              </w:rPr>
              <w:t>1）己补充完善并修改，重点关注废水和废气事故排放，见P20</w:t>
            </w:r>
          </w:p>
          <w:p>
            <w:pPr>
              <w:pStyle w:val="2"/>
              <w:spacing w:line="240" w:lineRule="auto"/>
              <w:ind w:left="0" w:leftChars="0" w:firstLine="0" w:firstLineChars="0"/>
              <w:rPr>
                <w:rFonts w:hint="default"/>
                <w:sz w:val="21"/>
                <w:szCs w:val="21"/>
                <w:lang w:val="en-US" w:eastAsia="zh-CN"/>
              </w:rPr>
            </w:pPr>
            <w:r>
              <w:rPr>
                <w:rFonts w:hint="eastAsia"/>
                <w:sz w:val="21"/>
                <w:szCs w:val="21"/>
                <w:lang w:val="en-US" w:eastAsia="zh-CN"/>
              </w:rPr>
              <w:t>2）己</w:t>
            </w:r>
            <w:r>
              <w:rPr>
                <w:rFonts w:hint="eastAsia" w:ascii="宋体" w:hAnsi="宋体" w:eastAsia="宋体"/>
                <w:sz w:val="21"/>
                <w:szCs w:val="21"/>
                <w:lang w:val="en-US" w:eastAsia="zh-CN"/>
              </w:rPr>
              <w:t>核实</w:t>
            </w:r>
            <w:r>
              <w:rPr>
                <w:rFonts w:hint="eastAsia" w:ascii="宋体" w:hAnsi="宋体" w:eastAsia="宋体"/>
                <w:sz w:val="21"/>
                <w:szCs w:val="21"/>
              </w:rPr>
              <w:t>水环境风险防控措施及突发大气环境事件发生情况评估表</w:t>
            </w:r>
            <w:r>
              <w:rPr>
                <w:rFonts w:hint="eastAsia" w:ascii="宋体" w:hAnsi="宋体" w:eastAsia="宋体"/>
                <w:sz w:val="21"/>
                <w:szCs w:val="21"/>
                <w:lang w:eastAsia="zh-CN"/>
              </w:rPr>
              <w:t>内</w:t>
            </w:r>
            <w:r>
              <w:rPr>
                <w:rFonts w:hint="eastAsia" w:ascii="宋体" w:hAnsi="宋体" w:eastAsia="宋体"/>
                <w:sz w:val="21"/>
                <w:szCs w:val="21"/>
                <w:lang w:val="en-US" w:eastAsia="zh-CN"/>
              </w:rPr>
              <w:t>P22-24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48" w:type="dxa"/>
            <w:vAlign w:val="top"/>
          </w:tcPr>
          <w:p>
            <w:pPr>
              <w:numPr>
                <w:ilvl w:val="0"/>
                <w:numId w:val="0"/>
              </w:numPr>
              <w:adjustRightInd w:val="0"/>
              <w:snapToGrid w:val="0"/>
              <w:spacing w:line="240" w:lineRule="auto"/>
              <w:rPr>
                <w:rFonts w:hint="eastAsia" w:ascii="宋体" w:hAnsi="宋体" w:eastAsia="宋体" w:cs="宋体"/>
                <w:sz w:val="21"/>
                <w:szCs w:val="21"/>
                <w:lang w:val="en-US" w:eastAsia="zh-CN"/>
              </w:rPr>
            </w:pPr>
            <w:r>
              <w:rPr>
                <w:rFonts w:hint="eastAsia" w:ascii="宋体" w:hAnsi="宋体" w:eastAsia="宋体"/>
                <w:sz w:val="21"/>
                <w:szCs w:val="21"/>
                <w:lang w:val="en-US" w:eastAsia="zh-CN"/>
              </w:rPr>
              <w:t>7、</w:t>
            </w:r>
            <w:r>
              <w:rPr>
                <w:rFonts w:hint="eastAsia" w:ascii="宋体" w:hAnsi="宋体" w:eastAsia="宋体"/>
                <w:sz w:val="21"/>
                <w:szCs w:val="21"/>
                <w:lang w:eastAsia="zh-CN"/>
              </w:rPr>
              <w:t>补充初期雨水收集管网及沉淀池位置、大小；</w:t>
            </w:r>
            <w:r>
              <w:rPr>
                <w:rFonts w:hint="eastAsia" w:ascii="宋体" w:hAnsi="宋体" w:eastAsia="宋体"/>
                <w:sz w:val="21"/>
                <w:szCs w:val="21"/>
                <w:lang w:val="en-US" w:eastAsia="zh-CN"/>
              </w:rPr>
              <w:t>补充信息接收、处理、上报等方面的规范化格式文件。</w:t>
            </w:r>
          </w:p>
        </w:tc>
        <w:tc>
          <w:tcPr>
            <w:tcW w:w="3098" w:type="dxa"/>
            <w:vAlign w:val="top"/>
          </w:tcPr>
          <w:p>
            <w:pPr>
              <w:spacing w:line="240" w:lineRule="auto"/>
              <w:ind w:left="0" w:leftChars="0" w:firstLine="0" w:firstLineChars="0"/>
              <w:jc w:val="left"/>
              <w:rPr>
                <w:rFonts w:hint="eastAsia" w:ascii="宋体" w:hAnsi="宋体"/>
                <w:sz w:val="21"/>
                <w:szCs w:val="21"/>
                <w:lang w:val="en-US" w:eastAsia="zh-CN"/>
              </w:rPr>
            </w:pPr>
            <w:r>
              <w:rPr>
                <w:rFonts w:hint="eastAsia" w:ascii="宋体" w:hAnsi="宋体"/>
                <w:sz w:val="21"/>
                <w:szCs w:val="21"/>
                <w:lang w:val="en-US" w:eastAsia="zh-CN"/>
              </w:rPr>
              <w:t>1</w:t>
            </w:r>
          </w:p>
          <w:p>
            <w:pPr>
              <w:numPr>
                <w:ilvl w:val="0"/>
                <w:numId w:val="20"/>
              </w:numPr>
              <w:spacing w:line="240" w:lineRule="auto"/>
              <w:ind w:left="0" w:leftChars="0" w:firstLine="0" w:firstLineChars="0"/>
              <w:jc w:val="left"/>
              <w:rPr>
                <w:rFonts w:hint="eastAsia" w:ascii="宋体" w:hAnsi="宋体" w:eastAsia="宋体"/>
                <w:sz w:val="21"/>
                <w:szCs w:val="21"/>
                <w:lang w:val="en-US" w:eastAsia="zh-CN"/>
              </w:rPr>
            </w:pPr>
            <w:r>
              <w:rPr>
                <w:rFonts w:hint="eastAsia" w:ascii="宋体" w:hAnsi="宋体" w:eastAsia="宋体"/>
                <w:sz w:val="21"/>
                <w:szCs w:val="21"/>
                <w:lang w:val="en-US" w:eastAsia="zh-CN"/>
              </w:rPr>
              <w:t>已完善</w:t>
            </w:r>
            <w:r>
              <w:rPr>
                <w:rFonts w:hint="eastAsia" w:ascii="宋体" w:hAnsi="宋体" w:eastAsia="宋体"/>
                <w:sz w:val="21"/>
                <w:szCs w:val="21"/>
                <w:lang w:eastAsia="zh-CN"/>
              </w:rPr>
              <w:t>初期雨水收集管网及沉淀池大小</w:t>
            </w:r>
            <w:r>
              <w:rPr>
                <w:rFonts w:hint="eastAsia" w:ascii="宋体" w:hAnsi="宋体" w:eastAsia="宋体"/>
                <w:sz w:val="21"/>
                <w:szCs w:val="21"/>
                <w:lang w:val="en-US" w:eastAsia="zh-CN"/>
              </w:rPr>
              <w:t>，具体见P</w:t>
            </w:r>
            <w:r>
              <w:rPr>
                <w:rFonts w:hint="default" w:ascii="宋体" w:hAnsi="宋体" w:eastAsia="宋体"/>
                <w:sz w:val="21"/>
                <w:szCs w:val="21"/>
                <w:lang w:val="en-US" w:eastAsia="zh-CN"/>
              </w:rPr>
              <w:t>14</w:t>
            </w:r>
            <w:r>
              <w:rPr>
                <w:rFonts w:hint="eastAsia" w:ascii="宋体" w:hAnsi="宋体" w:eastAsia="宋体"/>
                <w:sz w:val="21"/>
                <w:szCs w:val="21"/>
                <w:lang w:val="en-US" w:eastAsia="zh-CN"/>
              </w:rPr>
              <w:t>.</w:t>
            </w:r>
          </w:p>
          <w:p>
            <w:pPr>
              <w:numPr>
                <w:ilvl w:val="0"/>
                <w:numId w:val="20"/>
              </w:numPr>
              <w:spacing w:line="240" w:lineRule="auto"/>
              <w:ind w:left="0" w:leftChars="0" w:firstLine="0" w:firstLineChars="0"/>
              <w:jc w:val="left"/>
              <w:rPr>
                <w:rFonts w:hint="default"/>
                <w:sz w:val="21"/>
                <w:szCs w:val="21"/>
                <w:lang w:val="en-US" w:eastAsia="zh-CN"/>
              </w:rPr>
            </w:pPr>
            <w:r>
              <w:rPr>
                <w:rFonts w:hint="eastAsia" w:ascii="宋体" w:hAnsi="宋体"/>
                <w:sz w:val="21"/>
                <w:szCs w:val="21"/>
                <w:lang w:val="en-US" w:eastAsia="zh-CN"/>
              </w:rPr>
              <w:t>2）</w:t>
            </w:r>
            <w:r>
              <w:rPr>
                <w:rFonts w:hint="eastAsia" w:ascii="宋体" w:hAnsi="宋体" w:eastAsia="宋体"/>
                <w:sz w:val="21"/>
                <w:szCs w:val="21"/>
                <w:lang w:val="en-US" w:eastAsia="zh-CN"/>
              </w:rPr>
              <w:t>己补充信息接收、处理、上报等方面的规范化格式文件P71。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6448" w:type="dxa"/>
            <w:vAlign w:val="top"/>
          </w:tcPr>
          <w:p>
            <w:pPr>
              <w:numPr>
                <w:ilvl w:val="0"/>
                <w:numId w:val="0"/>
              </w:numPr>
              <w:adjustRightInd w:val="0"/>
              <w:snapToGrid w:val="0"/>
              <w:spacing w:line="240" w:lineRule="auto"/>
              <w:rPr>
                <w:rFonts w:hint="eastAsia" w:ascii="宋体" w:hAnsi="宋体" w:eastAsia="宋体"/>
                <w:sz w:val="21"/>
                <w:szCs w:val="21"/>
                <w:lang w:val="en-US" w:eastAsia="zh-CN"/>
              </w:rPr>
            </w:pPr>
            <w:r>
              <w:rPr>
                <w:rFonts w:hint="eastAsia" w:ascii="宋体" w:hAnsi="宋体" w:eastAsia="宋体"/>
                <w:sz w:val="21"/>
                <w:szCs w:val="21"/>
                <w:lang w:val="en-US" w:eastAsia="zh-CN"/>
              </w:rPr>
              <w:t>8</w:t>
            </w:r>
            <w:r>
              <w:rPr>
                <w:rFonts w:hint="eastAsia" w:ascii="宋体" w:hAnsi="宋体" w:eastAsia="宋体"/>
                <w:sz w:val="21"/>
                <w:szCs w:val="21"/>
              </w:rPr>
              <w:t>、</w:t>
            </w:r>
            <w:r>
              <w:rPr>
                <w:rFonts w:hint="eastAsia" w:ascii="宋体" w:hAnsi="宋体" w:eastAsia="宋体"/>
                <w:sz w:val="21"/>
                <w:szCs w:val="21"/>
                <w:lang w:val="en-US" w:eastAsia="zh-CN"/>
              </w:rPr>
              <w:t>补充附图中项目所在地位置，完善平面布置图（如排水沟、集水池等位置）。</w:t>
            </w:r>
          </w:p>
        </w:tc>
        <w:tc>
          <w:tcPr>
            <w:tcW w:w="3098" w:type="dxa"/>
            <w:vAlign w:val="top"/>
          </w:tcPr>
          <w:p>
            <w:pPr>
              <w:spacing w:line="240" w:lineRule="auto"/>
              <w:ind w:left="0" w:leftChars="0" w:firstLine="0" w:firstLineChars="0"/>
              <w:jc w:val="left"/>
              <w:rPr>
                <w:rFonts w:hint="default" w:ascii="宋体" w:hAnsi="宋体" w:eastAsia="宋体"/>
                <w:sz w:val="21"/>
                <w:szCs w:val="21"/>
                <w:lang w:val="en-US" w:eastAsia="zh-CN"/>
              </w:rPr>
            </w:pPr>
            <w:r>
              <w:rPr>
                <w:rFonts w:hint="eastAsia" w:ascii="宋体" w:hAnsi="宋体" w:eastAsia="宋体"/>
                <w:sz w:val="21"/>
                <w:szCs w:val="21"/>
                <w:lang w:val="en-US" w:eastAsia="zh-CN"/>
              </w:rPr>
              <w:t>1）</w:t>
            </w:r>
            <w:r>
              <w:rPr>
                <w:rFonts w:hint="eastAsia" w:ascii="宋体" w:hAnsi="宋体" w:eastAsia="宋体" w:cs="宋体"/>
                <w:sz w:val="21"/>
                <w:szCs w:val="21"/>
                <w:lang w:val="en-US" w:eastAsia="zh-CN"/>
              </w:rPr>
              <w:t>已完善</w:t>
            </w:r>
            <w:r>
              <w:rPr>
                <w:rFonts w:hint="eastAsia" w:ascii="宋体" w:hAnsi="宋体" w:eastAsia="宋体"/>
                <w:sz w:val="21"/>
                <w:szCs w:val="21"/>
                <w:lang w:val="en-US" w:eastAsia="zh-CN"/>
              </w:rPr>
              <w:t>附图中项目所在地位置，完善平面布置图具体见P58.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6448" w:type="dxa"/>
            <w:vAlign w:val="top"/>
          </w:tcPr>
          <w:p>
            <w:pPr>
              <w:spacing w:line="240" w:lineRule="auto"/>
              <w:jc w:val="left"/>
              <w:rPr>
                <w:rFonts w:hint="eastAsia" w:ascii="宋体" w:hAnsi="宋体" w:eastAsia="宋体"/>
                <w:sz w:val="21"/>
                <w:szCs w:val="21"/>
              </w:rPr>
            </w:pPr>
            <w:r>
              <w:rPr>
                <w:rFonts w:hint="eastAsia" w:ascii="宋体" w:hAnsi="宋体" w:eastAsia="宋体"/>
                <w:sz w:val="21"/>
                <w:szCs w:val="21"/>
                <w:lang w:val="en-US" w:eastAsia="zh-CN"/>
              </w:rPr>
              <w:t>9、</w:t>
            </w:r>
            <w:r>
              <w:rPr>
                <w:rFonts w:hint="eastAsia" w:ascii="宋体" w:hAnsi="宋体" w:eastAsia="宋体"/>
                <w:sz w:val="21"/>
                <w:szCs w:val="21"/>
              </w:rPr>
              <w:t>完善主要应急物资分布图、应急疏散图，补充规范性表格。</w:t>
            </w:r>
          </w:p>
        </w:tc>
        <w:tc>
          <w:tcPr>
            <w:tcW w:w="3098" w:type="dxa"/>
            <w:vAlign w:val="top"/>
          </w:tcPr>
          <w:p>
            <w:pPr>
              <w:spacing w:line="240" w:lineRule="auto"/>
              <w:ind w:left="0" w:leftChars="0" w:firstLine="0" w:firstLineChars="0"/>
              <w:jc w:val="left"/>
              <w:rPr>
                <w:rFonts w:hint="eastAsia" w:ascii="宋体" w:hAnsi="宋体" w:eastAsia="宋体"/>
                <w:sz w:val="21"/>
                <w:szCs w:val="21"/>
                <w:lang w:val="en-US" w:eastAsia="zh-CN"/>
              </w:rPr>
            </w:pPr>
            <w:r>
              <w:rPr>
                <w:rFonts w:hint="eastAsia" w:ascii="宋体" w:hAnsi="宋体" w:eastAsia="宋体" w:cs="宋体"/>
                <w:sz w:val="21"/>
                <w:szCs w:val="21"/>
                <w:lang w:val="en-US" w:eastAsia="zh-CN"/>
              </w:rPr>
              <w:t>1）己补充，具体见附件P64、P65、P72-79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6448" w:type="dxa"/>
            <w:vAlign w:val="top"/>
          </w:tcPr>
          <w:p>
            <w:pPr>
              <w:spacing w:line="240" w:lineRule="auto"/>
              <w:jc w:val="left"/>
              <w:rPr>
                <w:rFonts w:hint="default" w:ascii="宋体" w:hAnsi="宋体" w:eastAsia="宋体"/>
                <w:sz w:val="21"/>
                <w:szCs w:val="21"/>
                <w:lang w:val="en-US" w:eastAsia="zh-CN"/>
              </w:rPr>
            </w:pPr>
            <w:r>
              <w:rPr>
                <w:rFonts w:hint="eastAsia" w:ascii="宋体" w:hAnsi="宋体" w:eastAsia="宋体"/>
                <w:sz w:val="21"/>
                <w:szCs w:val="21"/>
                <w:lang w:val="en-US" w:eastAsia="zh-CN"/>
              </w:rPr>
              <w:t>10、核实预案适用范围；</w:t>
            </w:r>
            <w:r>
              <w:rPr>
                <w:rFonts w:hint="eastAsia" w:ascii="宋体" w:hAnsi="宋体" w:eastAsia="宋体"/>
                <w:sz w:val="21"/>
                <w:szCs w:val="21"/>
              </w:rPr>
              <w:t>明确政府及其有关部门介入后，企业内部指挥协调、配合处置、参与应急保障等工作任务和责任人。</w:t>
            </w:r>
          </w:p>
        </w:tc>
        <w:tc>
          <w:tcPr>
            <w:tcW w:w="3098" w:type="dxa"/>
            <w:vAlign w:val="top"/>
          </w:tcPr>
          <w:p>
            <w:pPr>
              <w:spacing w:line="240" w:lineRule="auto"/>
              <w:ind w:left="0" w:leftChars="0" w:firstLine="0" w:firstLineChars="0"/>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1）己修改适用范围P4；</w:t>
            </w:r>
            <w:r>
              <w:rPr>
                <w:rFonts w:hint="eastAsia" w:ascii="宋体" w:hAnsi="宋体" w:eastAsia="宋体"/>
                <w:sz w:val="21"/>
                <w:szCs w:val="21"/>
              </w:rPr>
              <w:t>明确政府及其有关部门介入后，企业内部指挥协调、配合处置、参与应急保障等工作任务和责任人</w:t>
            </w:r>
            <w:r>
              <w:rPr>
                <w:rFonts w:hint="eastAsia" w:ascii="宋体" w:hAnsi="宋体" w:eastAsia="宋体"/>
                <w:sz w:val="21"/>
                <w:szCs w:val="21"/>
                <w:lang w:val="en-US" w:eastAsia="zh-CN"/>
              </w:rPr>
              <w:t>,P6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6448" w:type="dxa"/>
            <w:vAlign w:val="top"/>
          </w:tcPr>
          <w:p>
            <w:pPr>
              <w:adjustRightInd w:val="0"/>
              <w:snapToGrid w:val="0"/>
              <w:spacing w:line="240" w:lineRule="auto"/>
              <w:rPr>
                <w:rFonts w:hint="default" w:ascii="宋体" w:hAnsi="宋体" w:eastAsia="宋体"/>
                <w:sz w:val="21"/>
                <w:szCs w:val="21"/>
                <w:lang w:val="en-US" w:eastAsia="zh-CN"/>
              </w:rPr>
            </w:pPr>
            <w:r>
              <w:rPr>
                <w:rFonts w:hint="eastAsia" w:ascii="宋体" w:hAnsi="宋体" w:eastAsia="宋体"/>
                <w:sz w:val="21"/>
                <w:szCs w:val="21"/>
                <w:lang w:val="en-US" w:eastAsia="zh-CN"/>
              </w:rPr>
              <w:t>11</w:t>
            </w:r>
            <w:r>
              <w:rPr>
                <w:rFonts w:hint="eastAsia" w:ascii="宋体" w:hAnsi="宋体" w:eastAsia="宋体"/>
                <w:sz w:val="21"/>
                <w:szCs w:val="21"/>
              </w:rPr>
              <w:t>、明确企业向可能受影响的居民、单位通报的责任人、程序、时限、方式、内容等</w:t>
            </w:r>
            <w:r>
              <w:rPr>
                <w:rFonts w:hint="eastAsia" w:ascii="宋体" w:hAnsi="宋体" w:eastAsia="宋体"/>
                <w:sz w:val="21"/>
                <w:szCs w:val="21"/>
                <w:lang w:eastAsia="zh-CN"/>
              </w:rPr>
              <w:t>，</w:t>
            </w:r>
            <w:r>
              <w:rPr>
                <w:rFonts w:hint="eastAsia" w:ascii="宋体" w:hAnsi="宋体" w:eastAsia="宋体"/>
                <w:sz w:val="21"/>
                <w:szCs w:val="21"/>
                <w:lang w:val="en-US" w:eastAsia="zh-CN"/>
              </w:rPr>
              <w:t>完善信息报告内容；</w:t>
            </w:r>
            <w:r>
              <w:rPr>
                <w:rFonts w:hint="eastAsia" w:ascii="宋体" w:hAnsi="宋体" w:eastAsia="宋体"/>
                <w:sz w:val="21"/>
                <w:szCs w:val="21"/>
              </w:rPr>
              <w:t>完善应急监测方案，明确监测执行单位。</w:t>
            </w:r>
          </w:p>
          <w:p>
            <w:pPr>
              <w:adjustRightInd w:val="0"/>
              <w:snapToGrid w:val="0"/>
              <w:spacing w:line="240" w:lineRule="auto"/>
              <w:rPr>
                <w:rFonts w:hint="default" w:ascii="宋体" w:hAnsi="宋体" w:eastAsia="宋体"/>
                <w:sz w:val="21"/>
                <w:szCs w:val="21"/>
                <w:lang w:val="en-US" w:eastAsia="zh-CN"/>
              </w:rPr>
            </w:pPr>
          </w:p>
          <w:p>
            <w:pPr>
              <w:spacing w:line="240" w:lineRule="auto"/>
              <w:jc w:val="left"/>
              <w:rPr>
                <w:rFonts w:hint="eastAsia" w:ascii="宋体" w:hAnsi="宋体" w:eastAsia="宋体"/>
                <w:sz w:val="21"/>
                <w:szCs w:val="21"/>
                <w:lang w:val="en-US" w:eastAsia="zh-CN"/>
              </w:rPr>
            </w:pPr>
          </w:p>
        </w:tc>
        <w:tc>
          <w:tcPr>
            <w:tcW w:w="3098" w:type="dxa"/>
            <w:vAlign w:val="top"/>
          </w:tcPr>
          <w:p>
            <w:pPr>
              <w:adjustRightInd w:val="0"/>
              <w:snapToGrid w:val="0"/>
              <w:spacing w:line="240" w:lineRule="auto"/>
              <w:ind w:left="0" w:leftChars="0" w:firstLine="0" w:firstLineChars="0"/>
              <w:rPr>
                <w:rFonts w:hint="default" w:ascii="宋体" w:hAnsi="宋体" w:eastAsia="宋体" w:cs="宋体"/>
                <w:sz w:val="21"/>
                <w:szCs w:val="21"/>
                <w:lang w:val="en-US" w:eastAsia="zh-CN"/>
              </w:rPr>
            </w:pPr>
            <w:r>
              <w:rPr>
                <w:rFonts w:hint="eastAsia" w:ascii="宋体" w:hAnsi="宋体" w:eastAsia="宋体"/>
                <w:sz w:val="21"/>
                <w:szCs w:val="21"/>
                <w:lang w:eastAsia="zh-CN"/>
              </w:rPr>
              <w:t>己</w:t>
            </w:r>
            <w:r>
              <w:rPr>
                <w:rFonts w:hint="eastAsia" w:ascii="宋体" w:hAnsi="宋体" w:eastAsia="宋体"/>
                <w:sz w:val="21"/>
                <w:szCs w:val="21"/>
              </w:rPr>
              <w:t>明确企业向可能受影响的居民、单位通报的责任人、程序、时限、方式、内容等</w:t>
            </w:r>
            <w:r>
              <w:rPr>
                <w:rFonts w:hint="eastAsia" w:ascii="宋体" w:hAnsi="宋体" w:eastAsia="宋体"/>
                <w:sz w:val="21"/>
                <w:szCs w:val="21"/>
                <w:lang w:eastAsia="zh-CN"/>
              </w:rPr>
              <w:t>，</w:t>
            </w:r>
            <w:r>
              <w:rPr>
                <w:rFonts w:hint="eastAsia" w:ascii="宋体" w:hAnsi="宋体" w:eastAsia="宋体"/>
                <w:sz w:val="21"/>
                <w:szCs w:val="21"/>
                <w:lang w:val="en-US" w:eastAsia="zh-CN"/>
              </w:rPr>
              <w:t>P35</w:t>
            </w:r>
            <w:r>
              <w:rPr>
                <w:rFonts w:hint="eastAsia" w:ascii="宋体" w:hAnsi="宋体" w:eastAsia="宋体"/>
                <w:sz w:val="21"/>
                <w:szCs w:val="21"/>
                <w:lang w:eastAsia="zh-CN"/>
              </w:rPr>
              <w:t>，</w:t>
            </w:r>
            <w:r>
              <w:rPr>
                <w:rFonts w:hint="eastAsia" w:ascii="宋体" w:hAnsi="宋体" w:eastAsia="宋体"/>
                <w:sz w:val="21"/>
                <w:szCs w:val="21"/>
                <w:lang w:val="en-US" w:eastAsia="zh-CN"/>
              </w:rPr>
              <w:t>完善信息报告内容P27;</w:t>
            </w:r>
            <w:r>
              <w:rPr>
                <w:rFonts w:hint="eastAsia" w:ascii="宋体" w:hAnsi="宋体" w:eastAsia="宋体"/>
                <w:sz w:val="21"/>
                <w:szCs w:val="21"/>
              </w:rPr>
              <w:t>完善应急监测方案，明确监测执行单位</w:t>
            </w:r>
            <w:r>
              <w:rPr>
                <w:rFonts w:hint="eastAsia" w:ascii="宋体" w:hAnsi="宋体" w:eastAsia="宋体"/>
                <w:sz w:val="21"/>
                <w:szCs w:val="21"/>
                <w:lang w:val="en-US" w:eastAsia="zh-CN"/>
              </w:rPr>
              <w:t>P39</w:t>
            </w:r>
            <w:r>
              <w:rPr>
                <w:rFonts w:hint="eastAsia" w:ascii="宋体" w:hAnsi="宋体" w:eastAsia="宋体"/>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6" w:hRule="atLeast"/>
        </w:trPr>
        <w:tc>
          <w:tcPr>
            <w:tcW w:w="6448" w:type="dxa"/>
            <w:vAlign w:val="top"/>
          </w:tcPr>
          <w:p>
            <w:pPr>
              <w:adjustRightInd w:val="0"/>
              <w:snapToGrid w:val="0"/>
              <w:spacing w:line="240" w:lineRule="auto"/>
              <w:rPr>
                <w:rFonts w:hint="eastAsia" w:ascii="宋体" w:hAnsi="宋体" w:eastAsia="宋体"/>
                <w:sz w:val="21"/>
                <w:szCs w:val="21"/>
              </w:rPr>
            </w:pPr>
            <w:r>
              <w:rPr>
                <w:rFonts w:hint="eastAsia" w:ascii="宋体" w:hAnsi="宋体" w:eastAsia="宋体"/>
                <w:sz w:val="21"/>
                <w:szCs w:val="21"/>
              </w:rPr>
              <w:t>3、</w:t>
            </w:r>
            <w:r>
              <w:rPr>
                <w:rFonts w:hint="eastAsia" w:ascii="宋体" w:hAnsi="宋体" w:eastAsia="宋体"/>
                <w:sz w:val="21"/>
                <w:szCs w:val="21"/>
                <w:lang w:val="en-US" w:eastAsia="zh-CN"/>
              </w:rPr>
              <w:t>核实污水排放路径，细化环保工程建设内容，补充减水剂成份及理化性质；完善</w:t>
            </w:r>
            <w:r>
              <w:rPr>
                <w:rFonts w:hint="eastAsia" w:ascii="宋体" w:hAnsi="宋体" w:eastAsia="宋体"/>
                <w:sz w:val="21"/>
                <w:szCs w:val="21"/>
              </w:rPr>
              <w:t>国内外同类企业的突发环境事件信息</w:t>
            </w:r>
            <w:r>
              <w:rPr>
                <w:rFonts w:hint="eastAsia" w:ascii="宋体" w:hAnsi="宋体" w:eastAsia="宋体"/>
                <w:sz w:val="21"/>
                <w:szCs w:val="21"/>
                <w:lang w:val="en-US" w:eastAsia="zh-CN"/>
              </w:rPr>
              <w:t>及历史经验教训总结；</w:t>
            </w:r>
            <w:r>
              <w:rPr>
                <w:rFonts w:hint="eastAsia" w:ascii="宋体" w:hAnsi="宋体" w:eastAsia="宋体"/>
                <w:sz w:val="21"/>
                <w:szCs w:val="21"/>
              </w:rPr>
              <w:t>完善源强分析、释放途径和危害后果分析。</w:t>
            </w:r>
          </w:p>
          <w:p>
            <w:pPr>
              <w:spacing w:line="240" w:lineRule="auto"/>
              <w:jc w:val="left"/>
              <w:rPr>
                <w:rFonts w:hint="eastAsia" w:ascii="宋体" w:hAnsi="宋体" w:eastAsia="宋体"/>
                <w:sz w:val="21"/>
                <w:szCs w:val="21"/>
                <w:lang w:val="en-US" w:eastAsia="zh-CN"/>
              </w:rPr>
            </w:pPr>
          </w:p>
        </w:tc>
        <w:tc>
          <w:tcPr>
            <w:tcW w:w="3098" w:type="dxa"/>
            <w:vAlign w:val="top"/>
          </w:tcPr>
          <w:p>
            <w:pPr>
              <w:numPr>
                <w:ilvl w:val="0"/>
                <w:numId w:val="21"/>
              </w:numPr>
              <w:spacing w:line="240" w:lineRule="auto"/>
              <w:ind w:left="0" w:leftChars="0" w:firstLine="0" w:firstLineChars="0"/>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已完善，具体见风险评估P</w:t>
            </w:r>
            <w:r>
              <w:rPr>
                <w:rFonts w:hint="default" w:ascii="宋体" w:hAnsi="宋体" w:eastAsia="宋体" w:cs="宋体"/>
                <w:sz w:val="21"/>
                <w:szCs w:val="21"/>
                <w:lang w:val="en-US" w:eastAsia="zh-CN"/>
              </w:rPr>
              <w:t>16</w:t>
            </w:r>
            <w:r>
              <w:rPr>
                <w:rFonts w:hint="eastAsia" w:ascii="宋体" w:hAnsi="宋体" w:eastAsia="宋体" w:cs="宋体"/>
                <w:sz w:val="21"/>
                <w:szCs w:val="21"/>
                <w:lang w:val="en-US" w:eastAsia="zh-CN"/>
              </w:rPr>
              <w:t>、</w:t>
            </w:r>
          </w:p>
          <w:p>
            <w:pPr>
              <w:numPr>
                <w:ilvl w:val="0"/>
                <w:numId w:val="21"/>
              </w:numPr>
              <w:spacing w:line="240" w:lineRule="auto"/>
              <w:ind w:left="0" w:leftChars="0" w:firstLine="0" w:firstLineChars="0"/>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己补充减水剂理化特性P14</w:t>
            </w:r>
          </w:p>
          <w:p>
            <w:pPr>
              <w:numPr>
                <w:ilvl w:val="0"/>
                <w:numId w:val="0"/>
              </w:numPr>
              <w:spacing w:line="240" w:lineRule="auto"/>
              <w:ind w:left="0" w:leftChars="0" w:firstLine="0" w:firstLineChars="0"/>
              <w:jc w:val="left"/>
              <w:rPr>
                <w:rFonts w:hint="eastAsia" w:ascii="宋体" w:hAnsi="宋体" w:eastAsia="宋体" w:cs="宋体"/>
                <w:kern w:val="2"/>
                <w:sz w:val="21"/>
                <w:szCs w:val="21"/>
                <w:lang w:val="en-US" w:eastAsia="zh-CN" w:bidi="ar-SA"/>
              </w:rPr>
            </w:pPr>
            <w:r>
              <w:rPr>
                <w:rFonts w:hint="eastAsia" w:ascii="宋体" w:hAnsi="宋体" w:eastAsia="宋体"/>
                <w:sz w:val="21"/>
                <w:szCs w:val="21"/>
                <w:lang w:val="en-US" w:eastAsia="zh-CN"/>
              </w:rPr>
              <w:t>3)完善</w:t>
            </w:r>
            <w:r>
              <w:rPr>
                <w:rFonts w:hint="eastAsia" w:ascii="宋体" w:hAnsi="宋体" w:eastAsia="宋体"/>
                <w:sz w:val="21"/>
                <w:szCs w:val="21"/>
              </w:rPr>
              <w:t>国内外同类企业的突发环境事件信息</w:t>
            </w:r>
            <w:r>
              <w:rPr>
                <w:rFonts w:hint="eastAsia" w:ascii="宋体" w:hAnsi="宋体" w:eastAsia="宋体"/>
                <w:sz w:val="21"/>
                <w:szCs w:val="21"/>
                <w:lang w:val="en-US" w:eastAsia="zh-CN"/>
              </w:rPr>
              <w:t>P24及历史经验教训总结P</w:t>
            </w:r>
            <w:r>
              <w:rPr>
                <w:rFonts w:hint="eastAsia" w:ascii="宋体" w:hAnsi="宋体" w:eastAsia="宋体" w:cs="宋体"/>
                <w:sz w:val="21"/>
                <w:szCs w:val="21"/>
                <w:lang w:val="en-US" w:eastAsia="zh-CN"/>
              </w:rPr>
              <w:t>25-27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6448" w:type="dxa"/>
            <w:vAlign w:val="top"/>
          </w:tcPr>
          <w:p>
            <w:pPr>
              <w:spacing w:line="240" w:lineRule="auto"/>
              <w:jc w:val="left"/>
              <w:rPr>
                <w:rFonts w:hint="eastAsia" w:ascii="宋体" w:hAnsi="宋体" w:eastAsia="宋体"/>
                <w:sz w:val="21"/>
                <w:szCs w:val="21"/>
                <w:lang w:val="en-US" w:eastAsia="zh-CN"/>
              </w:rPr>
            </w:pPr>
            <w:r>
              <w:rPr>
                <w:rFonts w:hint="eastAsia" w:ascii="宋体" w:hAnsi="宋体" w:eastAsia="宋体"/>
                <w:sz w:val="21"/>
                <w:szCs w:val="21"/>
                <w:lang w:val="en-US" w:eastAsia="zh-CN"/>
              </w:rPr>
              <w:t>4</w:t>
            </w:r>
            <w:r>
              <w:rPr>
                <w:rFonts w:hint="eastAsia" w:ascii="宋体" w:hAnsi="宋体" w:eastAsia="宋体"/>
                <w:sz w:val="21"/>
                <w:szCs w:val="21"/>
              </w:rPr>
              <w:t>、充实周边应急救援资源调查，确保第一时间可调用的环境应急队伍、装备、物资、场所。</w:t>
            </w:r>
          </w:p>
        </w:tc>
        <w:tc>
          <w:tcPr>
            <w:tcW w:w="3098" w:type="dxa"/>
            <w:vAlign w:val="top"/>
          </w:tcPr>
          <w:p>
            <w:pPr>
              <w:spacing w:line="240" w:lineRule="auto"/>
              <w:ind w:left="0" w:leftChars="0" w:firstLine="0" w:firstLineChars="0"/>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己补充南昌华力超硬材料发展有限公司应急设施清单</w:t>
            </w:r>
          </w:p>
        </w:tc>
      </w:tr>
    </w:tbl>
    <w:p>
      <w:pPr>
        <w:pStyle w:val="2"/>
      </w:pPr>
    </w:p>
    <w:sectPr>
      <w:pgSz w:w="11906" w:h="16838"/>
      <w:pgMar w:top="1440" w:right="1276" w:bottom="1440" w:left="1134" w:header="851" w:footer="992" w:gutter="0"/>
      <w:pgNumType w:fmt="decimal"/>
      <w:cols w:space="0" w:num="1"/>
      <w:rtlGutter w:val="0"/>
      <w:docGrid w:type="linesAndChars" w:linePitch="412" w:charSpace="158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AFF" w:usb1="C0007841" w:usb2="00000009" w:usb3="00000000" w:csb0="400001FF" w:csb1="FFFF0000"/>
  </w:font>
  <w:font w:name="宋体">
    <w:panose1 w:val="02010600030101010101"/>
    <w:charset w:val="80"/>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0000000000000000000"/>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MicrosoftYaHei">
    <w:altName w:val="Segoe Print"/>
    <w:panose1 w:val="00000000000000000000"/>
    <w:charset w:val="00"/>
    <w:family w:val="auto"/>
    <w:pitch w:val="default"/>
    <w:sig w:usb0="00000000" w:usb1="00000000" w:usb2="00000000" w:usb3="00000000" w:csb0="00040001" w:csb1="00000000"/>
  </w:font>
  <w:font w:name="仿宋">
    <w:panose1 w:val="02010609060101010101"/>
    <w:charset w:val="86"/>
    <w:family w:val="auto"/>
    <w:pitch w:val="default"/>
    <w:sig w:usb0="800002BF" w:usb1="38CF7CFA" w:usb2="00000016" w:usb3="00000000" w:csb0="00040001" w:csb1="00000000"/>
  </w:font>
  <w:font w:name="方正小标宋_GBK">
    <w:altName w:val="宋体"/>
    <w:panose1 w:val="00000000000000000000"/>
    <w:charset w:val="86"/>
    <w:family w:val="script"/>
    <w:pitch w:val="default"/>
    <w:sig w:usb0="00000000" w:usb1="00000000" w:usb2="0000001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Wingdings 2">
    <w:altName w:val="Wingdings"/>
    <w:panose1 w:val="05020102010507070707"/>
    <w:charset w:val="00"/>
    <w:family w:val="auto"/>
    <w:pitch w:val="default"/>
    <w:sig w:usb0="00000000" w:usb1="00000000" w:usb2="00000000" w:usb3="00000000" w:csb0="80000000" w:csb1="00000000"/>
  </w:font>
  <w:font w:name="楷体_GB2312">
    <w:altName w:val="楷体"/>
    <w:panose1 w:val="02010609030101010101"/>
    <w:charset w:val="86"/>
    <w:family w:val="modern"/>
    <w:pitch w:val="default"/>
    <w:sig w:usb0="00000000" w:usb1="00000000" w:usb2="00000000" w:usb3="00000000" w:csb0="00040000" w:csb1="00000000"/>
  </w:font>
  <w:font w:name="MS Gothic">
    <w:panose1 w:val="020B0609070205080204"/>
    <w:charset w:val="80"/>
    <w:family w:val="modern"/>
    <w:pitch w:val="default"/>
    <w:sig w:usb0="E00002FF" w:usb1="6AC7FDFB" w:usb2="00000012" w:usb3="00000000" w:csb0="4002009F" w:csb1="DFD70000"/>
  </w:font>
  <w:font w:name="楷体">
    <w:panose1 w:val="02010609060101010101"/>
    <w:charset w:val="86"/>
    <w:family w:val="auto"/>
    <w:pitch w:val="default"/>
    <w:sig w:usb0="800002BF" w:usb1="38CF7CFA" w:usb2="00000016" w:usb3="00000000" w:csb0="00040001" w:csb1="00000000"/>
  </w:font>
  <w:font w:name="等线">
    <w:altName w:val="微软雅黑"/>
    <w:panose1 w:val="00000000000000000000"/>
    <w:charset w:val="00"/>
    <w:family w:val="auto"/>
    <w:pitch w:val="default"/>
    <w:sig w:usb0="00000000" w:usb1="00000000" w:usb2="00000000" w:usb3="00000000" w:csb0="00000000" w:csb1="00000000"/>
  </w:font>
  <w:font w:name="Wingdings">
    <w:panose1 w:val="05000000000000000000"/>
    <w:charset w:val="00"/>
    <w:family w:val="auto"/>
    <w:pitch w:val="default"/>
    <w:sig w:usb0="00000000" w:usb1="00000000" w:usb2="00000000" w:usb3="00000000" w:csb0="8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0" w:firstLineChars="0"/>
      <w:rPr>
        <w:rFonts w:hint="eastAsia" w:eastAsia="宋体"/>
        <w:lang w:val="en-US" w:eastAsia="zh-CN"/>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center" w:y="1"/>
      <w:rPr>
        <w:rStyle w:val="19"/>
        <w:rFonts w:hint="eastAsia" w:ascii="宋体" w:hAnsi="宋体" w:eastAsia="宋体"/>
        <w:sz w:val="28"/>
        <w:szCs w:val="28"/>
      </w:rPr>
    </w:pPr>
    <w:r>
      <w:rPr>
        <w:rStyle w:val="19"/>
        <w:rFonts w:hint="eastAsia" w:ascii="宋体" w:hAnsi="宋体" w:eastAsia="宋体"/>
        <w:sz w:val="28"/>
        <w:szCs w:val="28"/>
      </w:rPr>
      <w:t>—</w:t>
    </w:r>
    <w:r>
      <w:rPr>
        <w:rStyle w:val="19"/>
        <w:rFonts w:hint="eastAsia" w:ascii="宋体" w:hAnsi="宋体" w:eastAsia="宋体"/>
        <w:sz w:val="20"/>
        <w:szCs w:val="20"/>
      </w:rPr>
      <w:t xml:space="preserve">  </w:t>
    </w:r>
    <w:r>
      <w:rPr>
        <w:rFonts w:ascii="宋体" w:hAnsi="宋体" w:eastAsia="宋体"/>
        <w:sz w:val="26"/>
        <w:szCs w:val="26"/>
      </w:rPr>
      <w:fldChar w:fldCharType="begin"/>
    </w:r>
    <w:r>
      <w:rPr>
        <w:rStyle w:val="19"/>
        <w:rFonts w:ascii="宋体" w:hAnsi="宋体" w:eastAsia="宋体"/>
        <w:sz w:val="26"/>
        <w:szCs w:val="26"/>
      </w:rPr>
      <w:instrText xml:space="preserve">PAGE  </w:instrText>
    </w:r>
    <w:r>
      <w:rPr>
        <w:rFonts w:ascii="宋体" w:hAnsi="宋体" w:eastAsia="宋体"/>
        <w:sz w:val="26"/>
        <w:szCs w:val="26"/>
      </w:rPr>
      <w:fldChar w:fldCharType="separate"/>
    </w:r>
    <w:r>
      <w:rPr>
        <w:rStyle w:val="19"/>
        <w:rFonts w:ascii="宋体" w:hAnsi="宋体" w:eastAsia="宋体"/>
        <w:sz w:val="26"/>
        <w:szCs w:val="26"/>
      </w:rPr>
      <w:t>1</w:t>
    </w:r>
    <w:r>
      <w:rPr>
        <w:rFonts w:ascii="宋体" w:hAnsi="宋体" w:eastAsia="宋体"/>
        <w:sz w:val="26"/>
        <w:szCs w:val="26"/>
      </w:rPr>
      <w:fldChar w:fldCharType="end"/>
    </w:r>
    <w:r>
      <w:rPr>
        <w:rStyle w:val="19"/>
        <w:rFonts w:hint="eastAsia" w:ascii="宋体" w:hAnsi="宋体" w:eastAsia="宋体"/>
        <w:sz w:val="20"/>
        <w:szCs w:val="20"/>
      </w:rPr>
      <w:t xml:space="preserve">  </w:t>
    </w:r>
    <w:r>
      <w:rPr>
        <w:rStyle w:val="19"/>
        <w:rFonts w:hint="eastAsia" w:ascii="宋体" w:hAnsi="宋体" w:eastAsia="宋体"/>
        <w:sz w:val="28"/>
        <w:szCs w:val="28"/>
      </w:rPr>
      <w:t>—</w:t>
    </w:r>
  </w:p>
  <w:p>
    <w:pPr>
      <w:pStyle w:val="11"/>
      <w:ind w:right="360" w:firstLine="360"/>
      <w:jc w:val="center"/>
      <w:rPr>
        <w:rFonts w:hint="eastAsia"/>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wrap="around" w:vAnchor="text" w:hAnchor="margin" w:xAlign="center" w:y="1"/>
      <w:widowControl w:val="0"/>
      <w:snapToGrid w:val="0"/>
      <w:jc w:val="left"/>
      <w:rPr>
        <w:rStyle w:val="19"/>
        <w:rFonts w:hint="eastAsia" w:ascii="宋体" w:hAnsi="宋体" w:eastAsia="宋体" w:cs="Times New Roman"/>
        <w:kern w:val="0"/>
        <w:sz w:val="28"/>
        <w:szCs w:val="28"/>
        <w:lang w:val="en-US" w:eastAsia="zh-CN" w:bidi="ar-SA"/>
      </w:rPr>
    </w:pPr>
    <w:r>
      <w:rPr>
        <w:rStyle w:val="19"/>
        <w:rFonts w:hint="eastAsia" w:ascii="宋体" w:hAnsi="宋体" w:eastAsia="宋体" w:cs="Times New Roman"/>
        <w:kern w:val="0"/>
        <w:sz w:val="28"/>
        <w:szCs w:val="28"/>
        <w:lang w:val="en-US" w:eastAsia="zh-CN" w:bidi="ar-SA"/>
      </w:rPr>
      <w:t>—</w:t>
    </w:r>
    <w:r>
      <w:rPr>
        <w:rStyle w:val="19"/>
        <w:rFonts w:hint="eastAsia" w:ascii="宋体" w:hAnsi="宋体" w:eastAsia="宋体" w:cs="Times New Roman"/>
        <w:kern w:val="0"/>
        <w:sz w:val="20"/>
        <w:szCs w:val="20"/>
        <w:lang w:val="en-US" w:eastAsia="zh-CN" w:bidi="ar-SA"/>
      </w:rPr>
      <w:t xml:space="preserve">  </w:t>
    </w:r>
    <w:r>
      <w:rPr>
        <w:rFonts w:ascii="宋体" w:hAnsi="宋体" w:eastAsia="宋体" w:cs="Times New Roman"/>
        <w:kern w:val="0"/>
        <w:sz w:val="26"/>
        <w:szCs w:val="26"/>
        <w:lang w:val="en-US" w:eastAsia="zh-CN" w:bidi="ar-SA"/>
      </w:rPr>
      <w:fldChar w:fldCharType="begin"/>
    </w:r>
    <w:r>
      <w:rPr>
        <w:rStyle w:val="19"/>
        <w:rFonts w:ascii="宋体" w:hAnsi="宋体" w:eastAsia="宋体" w:cs="Times New Roman"/>
        <w:kern w:val="0"/>
        <w:sz w:val="26"/>
        <w:szCs w:val="26"/>
        <w:lang w:val="en-US" w:eastAsia="zh-CN" w:bidi="ar-SA"/>
      </w:rPr>
      <w:instrText xml:space="preserve">PAGE  </w:instrText>
    </w:r>
    <w:r>
      <w:rPr>
        <w:rFonts w:ascii="宋体" w:hAnsi="宋体" w:eastAsia="宋体" w:cs="Times New Roman"/>
        <w:kern w:val="0"/>
        <w:sz w:val="26"/>
        <w:szCs w:val="26"/>
        <w:lang w:val="en-US" w:eastAsia="zh-CN" w:bidi="ar-SA"/>
      </w:rPr>
      <w:fldChar w:fldCharType="separate"/>
    </w:r>
    <w:r>
      <w:rPr>
        <w:rStyle w:val="19"/>
        <w:rFonts w:ascii="宋体" w:hAnsi="宋体" w:eastAsia="宋体" w:cs="Times New Roman"/>
        <w:kern w:val="0"/>
        <w:sz w:val="26"/>
        <w:szCs w:val="26"/>
        <w:lang w:val="en-US" w:eastAsia="zh-CN" w:bidi="ar-SA"/>
      </w:rPr>
      <w:t>1</w:t>
    </w:r>
    <w:r>
      <w:rPr>
        <w:rFonts w:ascii="宋体" w:hAnsi="宋体" w:eastAsia="宋体" w:cs="Times New Roman"/>
        <w:kern w:val="0"/>
        <w:sz w:val="26"/>
        <w:szCs w:val="26"/>
        <w:lang w:val="en-US" w:eastAsia="zh-CN" w:bidi="ar-SA"/>
      </w:rPr>
      <w:fldChar w:fldCharType="end"/>
    </w:r>
    <w:r>
      <w:rPr>
        <w:rStyle w:val="19"/>
        <w:rFonts w:hint="eastAsia" w:ascii="宋体" w:hAnsi="宋体" w:eastAsia="宋体" w:cs="Times New Roman"/>
        <w:kern w:val="0"/>
        <w:sz w:val="20"/>
        <w:szCs w:val="20"/>
        <w:lang w:val="en-US" w:eastAsia="zh-CN" w:bidi="ar-SA"/>
      </w:rPr>
      <w:t xml:space="preserve">  </w:t>
    </w:r>
    <w:r>
      <w:rPr>
        <w:rStyle w:val="19"/>
        <w:rFonts w:hint="eastAsia" w:ascii="宋体" w:hAnsi="宋体" w:eastAsia="宋体" w:cs="Times New Roman"/>
        <w:kern w:val="0"/>
        <w:sz w:val="28"/>
        <w:szCs w:val="28"/>
        <w:lang w:val="en-US" w:eastAsia="zh-CN" w:bidi="ar-SA"/>
      </w:rPr>
      <w:t>—</w:t>
    </w:r>
  </w:p>
  <w:p>
    <w:pPr>
      <w:widowControl w:val="0"/>
      <w:snapToGrid w:val="0"/>
      <w:ind w:right="360" w:firstLine="360"/>
      <w:jc w:val="center"/>
      <w:rPr>
        <w:rFonts w:hint="eastAsia" w:ascii="Calibri" w:hAnsi="Calibri" w:eastAsia="宋体" w:cs="Times New Roman"/>
        <w:kern w:val="0"/>
        <w:sz w:val="18"/>
        <w:szCs w:val="18"/>
        <w:lang w:val="en-US" w:eastAsia="zh-CN" w:bidi="ar-S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0" w:firstLineChars="0"/>
      <w:rPr>
        <w:rFonts w:hint="eastAsia" w:eastAsia="宋体"/>
        <w:lang w:val="en-US" w:eastAsia="zh-CN"/>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0" w:firstLineChars="0"/>
      <w:rPr>
        <w:rFonts w:hint="eastAsia" w:eastAsia="宋体"/>
        <w:lang w:val="en-US" w:eastAsia="zh-CN"/>
      </w:rPr>
    </w:pPr>
    <w:r>
      <w:rPr>
        <w:sz w:val="18"/>
      </w:rPr>
      <w:pict>
        <v:shape id="_x0000_s4109" o:spid="_x0000_s4109" o:spt="202" type="#_x0000_t202" style="position:absolute;left:0pt;margin-top:0pt;height:144pt;width:144pt;mso-position-horizontal:center;mso-position-horizontal-relative:margin;mso-wrap-style:none;z-index:251808768;mso-width-relative:page;mso-height-relative:page;" filled="f" stroked="f" coordsize="21600,21600">
          <v:path/>
          <v:fill on="f" focussize="0,0"/>
          <v:stroke on="f"/>
          <v:imagedata o:title=""/>
          <o:lock v:ext="edit" aspectratio="f"/>
          <v:textbox inset="0mm,0mm,0mm,0mm" style="mso-fit-shape-to-text:t;">
            <w:txbxContent>
              <w:p>
                <w:pPr>
                  <w:pStyle w:val="11"/>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top w:val="thickThinSmallGap" w:color="auto" w:sz="24" w:space="1"/>
      </w:pBdr>
      <w:spacing w:line="200" w:lineRule="exact"/>
      <w:ind w:firstLine="0" w:firstLineChars="0"/>
    </w:pPr>
    <w:r>
      <w:rPr>
        <w:sz w:val="18"/>
      </w:rPr>
      <w:pict>
        <v:shape id="_x0000_s4097" o:spid="_x0000_s4097"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pPr>
                  <w:pStyle w:val="11"/>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8</w:t>
                </w:r>
                <w:r>
                  <w:rPr>
                    <w:rFonts w:hint="eastAsia"/>
                    <w:lang w:eastAsia="zh-CN"/>
                  </w:rPr>
                  <w:fldChar w:fldCharType="end"/>
                </w:r>
              </w:p>
            </w:txbxContent>
          </v:textbox>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top w:val="thickThinSmallGap" w:color="auto" w:sz="24" w:space="1"/>
      </w:pBdr>
      <w:spacing w:line="200" w:lineRule="exact"/>
      <w:ind w:firstLine="0" w:firstLineChars="0"/>
    </w:pPr>
    <w:r>
      <w:rPr>
        <w:sz w:val="18"/>
      </w:rPr>
      <w:pict>
        <v:shape id="_x0000_s4105" o:spid="_x0000_s4105" o:spt="202" type="#_x0000_t202" style="position:absolute;left:0pt;margin-top:0pt;height:144pt;width:144pt;mso-position-horizontal:center;mso-position-horizontal-relative:margin;mso-wrap-style:none;z-index:251731968;mso-width-relative:page;mso-height-relative:page;" filled="f" stroked="f" coordsize="21600,21600">
          <v:path/>
          <v:fill on="f" focussize="0,0"/>
          <v:stroke on="f"/>
          <v:imagedata o:title=""/>
          <o:lock v:ext="edit" aspectratio="f"/>
          <v:textbox inset="0mm,0mm,0mm,0mm" style="mso-fit-shape-to-text:t;">
            <w:txbxContent>
              <w:p>
                <w:pPr>
                  <w:pStyle w:val="11"/>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86</w:t>
                </w:r>
                <w:r>
                  <w:rPr>
                    <w:rFonts w:hint="eastAsia"/>
                    <w:lang w:eastAsia="zh-CN"/>
                  </w:rPr>
                  <w:fldChar w:fldCharType="end"/>
                </w:r>
              </w:p>
            </w:txbxContent>
          </v:textbox>
        </v:shape>
      </w:pict>
    </w:r>
    <w:r>
      <w:rPr>
        <w:sz w:val="18"/>
      </w:rPr>
      <w:pict>
        <v:shape id="_x0000_s4103" o:spid="_x0000_s4103" o:spt="202" type="#_x0000_t202" style="position:absolute;left:0pt;margin-top:0pt;height:144pt;width:144pt;mso-position-horizontal:center;mso-position-horizontal-relative:margin;mso-wrap-style:none;z-index:251729920;mso-width-relative:page;mso-height-relative:page;" filled="f" stroked="f" coordsize="21600,21600">
          <v:path/>
          <v:fill on="f" focussize="0,0"/>
          <v:stroke on="f"/>
          <v:imagedata o:title=""/>
          <o:lock v:ext="edit" aspectratio="f"/>
          <v:textbox inset="0mm,0mm,0mm,0mm" style="mso-fit-shape-to-text:t;">
            <w:txbxContent>
              <w:p>
                <w:pPr>
                  <w:pStyle w:val="11"/>
                  <w:rPr>
                    <w:rFonts w:hint="eastAsia" w:eastAsia="宋体"/>
                    <w:lang w:eastAsia="zh-CN"/>
                  </w:rPr>
                </w:pPr>
              </w:p>
            </w:txbxContent>
          </v:textbox>
        </v:shape>
      </w:pic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top w:val="thickThinSmallGap" w:color="auto" w:sz="24" w:space="1"/>
      </w:pBdr>
      <w:tabs>
        <w:tab w:val="center" w:pos="4748"/>
        <w:tab w:val="clear" w:pos="4153"/>
      </w:tabs>
      <w:spacing w:line="200" w:lineRule="exact"/>
      <w:ind w:firstLine="0" w:firstLineChars="0"/>
    </w:pPr>
    <w:r>
      <w:rPr>
        <w:sz w:val="18"/>
      </w:rPr>
      <w:pict>
        <v:shape id="_x0000_s4107" o:spid="_x0000_s4107" o:spt="202" type="#_x0000_t202" style="position:absolute;left:0pt;margin-top:0pt;height:144pt;width:144pt;mso-position-horizontal:center;mso-position-horizontal-relative:margin;mso-wrap-style:none;z-index:251734016;mso-width-relative:page;mso-height-relative:page;" filled="f" stroked="f" coordsize="21600,21600">
          <v:path/>
          <v:fill on="f" focussize="0,0"/>
          <v:stroke on="f"/>
          <v:imagedata o:title=""/>
          <o:lock v:ext="edit" aspectratio="f"/>
          <v:textbox inset="0mm,0mm,0mm,0mm" style="mso-fit-shape-to-text:t;">
            <w:txbxContent>
              <w:p>
                <w:pPr>
                  <w:pStyle w:val="11"/>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93</w:t>
                </w:r>
                <w:r>
                  <w:rPr>
                    <w:rFonts w:hint="eastAsia"/>
                    <w:lang w:eastAsia="zh-CN"/>
                  </w:rPr>
                  <w:fldChar w:fldCharType="end"/>
                </w:r>
              </w:p>
            </w:txbxContent>
          </v:textbox>
        </v:shape>
      </w:pict>
    </w:r>
    <w:r>
      <w:rPr>
        <w:sz w:val="18"/>
      </w:rPr>
      <w:pict>
        <v:shape id="_x0000_s4100" o:spid="_x0000_s4100" o:spt="202" type="#_x0000_t202" style="position:absolute;left:0pt;margin-top:0pt;height:144pt;width:144pt;mso-position-horizontal:center;mso-position-horizontal-relative:margin;mso-wrap-style:none;z-index:251689984;mso-width-relative:page;mso-height-relative:page;" filled="f" stroked="f" coordsize="21600,21600">
          <v:path/>
          <v:fill on="f" focussize="0,0"/>
          <v:stroke on="f"/>
          <v:imagedata o:title=""/>
          <o:lock v:ext="edit" aspectratio="f"/>
          <v:textbox inset="0mm,0mm,0mm,0mm" style="mso-fit-shape-to-text:t;">
            <w:txbxContent>
              <w:p>
                <w:pPr>
                  <w:pStyle w:val="11"/>
                  <w:rPr>
                    <w:rFonts w:hint="default" w:eastAsia="宋体"/>
                    <w:lang w:val="en-US" w:eastAsia="zh-CN"/>
                  </w:rPr>
                </w:pPr>
              </w:p>
            </w:txbxContent>
          </v:textbox>
        </v:shape>
      </w:pict>
    </w:r>
    <w:r>
      <w:rPr>
        <w:rFonts w:hint="eastAsia"/>
        <w:lang w:eastAsia="zh-CN"/>
      </w:rPr>
      <w:tab/>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tabs>
        <w:tab w:val="left" w:pos="6390"/>
        <w:tab w:val="clear" w:pos="4153"/>
      </w:tabs>
      <w:ind w:right="360"/>
    </w:pPr>
    <w:r>
      <w:rPr>
        <w:sz w:val="18"/>
      </w:rPr>
      <w:pict>
        <v:shape id="_x0000_s4108" o:spid="_x0000_s4108" o:spt="202" type="#_x0000_t202" style="position:absolute;left:0pt;margin-top:0pt;height:144pt;width:144pt;mso-position-horizontal:center;mso-position-horizontal-relative:margin;mso-wrap-style:none;z-index:251735040;mso-width-relative:page;mso-height-relative:page;" filled="f" stroked="f" coordsize="21600,21600">
          <v:path/>
          <v:fill on="f" focussize="0,0"/>
          <v:stroke on="f"/>
          <v:imagedata o:title=""/>
          <o:lock v:ext="edit" aspectratio="f"/>
          <v:textbox inset="0mm,0mm,0mm,0mm" style="mso-fit-shape-to-text:t;">
            <w:txbxContent>
              <w:p>
                <w:pPr>
                  <w:pStyle w:val="11"/>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101</w:t>
                </w:r>
                <w:r>
                  <w:rPr>
                    <w:rFonts w:hint="eastAsia"/>
                    <w:lang w:eastAsia="zh-CN"/>
                  </w:rPr>
                  <w:fldChar w:fldCharType="end"/>
                </w:r>
              </w:p>
            </w:txbxContent>
          </v:textbox>
        </v:shape>
      </w:pict>
    </w:r>
    <w:r>
      <w:rPr>
        <w:rStyle w:val="19"/>
      </w:rPr>
      <w:t xml:space="preserve">  </w:t>
    </w:r>
    <w:r>
      <w:rPr>
        <w:szCs w:val="28"/>
      </w:rPr>
      <w:t xml:space="preserve">                     </w:t>
    </w:r>
    <w:r>
      <w:rPr>
        <w:rFonts w:hint="eastAsia"/>
        <w:szCs w:val="28"/>
      </w:rPr>
      <w:t xml:space="preserve">                         </w:t>
    </w:r>
  </w:p>
  <w:p>
    <w:pPr>
      <w:pStyle w:val="11"/>
      <w:tabs>
        <w:tab w:val="left" w:pos="6300"/>
        <w:tab w:val="clear" w:pos="4153"/>
        <w:tab w:val="clear" w:pos="8306"/>
      </w:tabs>
      <w:ind w:right="360"/>
      <w:rPr>
        <w:color w:val="FF000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thinThickSmallGap" w:color="auto" w:sz="24" w:space="1"/>
      </w:pBdr>
      <w:ind w:firstLine="360"/>
      <w:rPr>
        <w:rFonts w:hint="eastAsia" w:eastAsia="宋体"/>
        <w:lang w:eastAsia="zh-CN"/>
      </w:rPr>
    </w:pPr>
    <w:r>
      <w:rPr>
        <w:rFonts w:hint="eastAsia"/>
        <w:lang w:eastAsia="zh-CN"/>
      </w:rPr>
      <w:t>南昌慧华高科混凝土有限公司</w:t>
    </w:r>
    <w:r>
      <w:rPr>
        <w:rFonts w:hint="eastAsia"/>
      </w:rPr>
      <w:t>突发环境事件</w:t>
    </w:r>
    <w:r>
      <w:rPr>
        <w:rFonts w:hint="eastAsia"/>
        <w:lang w:eastAsia="zh-CN"/>
      </w:rPr>
      <w:t>应急预案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2815D8D"/>
    <w:multiLevelType w:val="singleLevel"/>
    <w:tmpl w:val="82815D8D"/>
    <w:lvl w:ilvl="0" w:tentative="0">
      <w:start w:val="1"/>
      <w:numFmt w:val="decimal"/>
      <w:lvlText w:val="(%1)"/>
      <w:lvlJc w:val="left"/>
      <w:pPr>
        <w:tabs>
          <w:tab w:val="left" w:pos="312"/>
        </w:tabs>
      </w:pPr>
    </w:lvl>
  </w:abstractNum>
  <w:abstractNum w:abstractNumId="1">
    <w:nsid w:val="8BB58247"/>
    <w:multiLevelType w:val="singleLevel"/>
    <w:tmpl w:val="8BB58247"/>
    <w:lvl w:ilvl="0" w:tentative="0">
      <w:start w:val="1"/>
      <w:numFmt w:val="decimal"/>
      <w:suff w:val="nothing"/>
      <w:lvlText w:val="%1）"/>
      <w:lvlJc w:val="left"/>
    </w:lvl>
  </w:abstractNum>
  <w:abstractNum w:abstractNumId="2">
    <w:nsid w:val="90BC2123"/>
    <w:multiLevelType w:val="singleLevel"/>
    <w:tmpl w:val="90BC2123"/>
    <w:lvl w:ilvl="0" w:tentative="0">
      <w:start w:val="1"/>
      <w:numFmt w:val="decimal"/>
      <w:lvlText w:val="(%1)"/>
      <w:lvlJc w:val="left"/>
      <w:pPr>
        <w:tabs>
          <w:tab w:val="left" w:pos="312"/>
        </w:tabs>
      </w:pPr>
    </w:lvl>
  </w:abstractNum>
  <w:abstractNum w:abstractNumId="3">
    <w:nsid w:val="951730A9"/>
    <w:multiLevelType w:val="singleLevel"/>
    <w:tmpl w:val="951730A9"/>
    <w:lvl w:ilvl="0" w:tentative="0">
      <w:start w:val="2"/>
      <w:numFmt w:val="decimal"/>
      <w:lvlText w:val="(%1)"/>
      <w:lvlJc w:val="left"/>
      <w:pPr>
        <w:tabs>
          <w:tab w:val="left" w:pos="312"/>
        </w:tabs>
      </w:pPr>
    </w:lvl>
  </w:abstractNum>
  <w:abstractNum w:abstractNumId="4">
    <w:nsid w:val="96A61DD5"/>
    <w:multiLevelType w:val="singleLevel"/>
    <w:tmpl w:val="96A61DD5"/>
    <w:lvl w:ilvl="0" w:tentative="0">
      <w:start w:val="1"/>
      <w:numFmt w:val="decimal"/>
      <w:lvlText w:val="(%1)"/>
      <w:lvlJc w:val="left"/>
      <w:pPr>
        <w:tabs>
          <w:tab w:val="left" w:pos="312"/>
        </w:tabs>
      </w:pPr>
    </w:lvl>
  </w:abstractNum>
  <w:abstractNum w:abstractNumId="5">
    <w:nsid w:val="A5CAAED4"/>
    <w:multiLevelType w:val="singleLevel"/>
    <w:tmpl w:val="A5CAAED4"/>
    <w:lvl w:ilvl="0" w:tentative="0">
      <w:start w:val="1"/>
      <w:numFmt w:val="decimal"/>
      <w:suff w:val="nothing"/>
      <w:lvlText w:val="（%1）"/>
      <w:lvlJc w:val="left"/>
    </w:lvl>
  </w:abstractNum>
  <w:abstractNum w:abstractNumId="6">
    <w:nsid w:val="B9E8047F"/>
    <w:multiLevelType w:val="singleLevel"/>
    <w:tmpl w:val="B9E8047F"/>
    <w:lvl w:ilvl="0" w:tentative="0">
      <w:start w:val="1"/>
      <w:numFmt w:val="decimal"/>
      <w:suff w:val="nothing"/>
      <w:lvlText w:val="%1）"/>
      <w:lvlJc w:val="left"/>
    </w:lvl>
  </w:abstractNum>
  <w:abstractNum w:abstractNumId="7">
    <w:nsid w:val="EA3F2734"/>
    <w:multiLevelType w:val="singleLevel"/>
    <w:tmpl w:val="EA3F2734"/>
    <w:lvl w:ilvl="0" w:tentative="0">
      <w:start w:val="1"/>
      <w:numFmt w:val="decimal"/>
      <w:suff w:val="nothing"/>
      <w:lvlText w:val="%1）"/>
      <w:lvlJc w:val="left"/>
    </w:lvl>
  </w:abstractNum>
  <w:abstractNum w:abstractNumId="8">
    <w:nsid w:val="EDF93401"/>
    <w:multiLevelType w:val="singleLevel"/>
    <w:tmpl w:val="EDF93401"/>
    <w:lvl w:ilvl="0" w:tentative="0">
      <w:start w:val="1"/>
      <w:numFmt w:val="decimal"/>
      <w:suff w:val="nothing"/>
      <w:lvlText w:val="%1、"/>
      <w:lvlJc w:val="left"/>
    </w:lvl>
  </w:abstractNum>
  <w:abstractNum w:abstractNumId="9">
    <w:nsid w:val="F80FDB6B"/>
    <w:multiLevelType w:val="singleLevel"/>
    <w:tmpl w:val="F80FDB6B"/>
    <w:lvl w:ilvl="0" w:tentative="0">
      <w:start w:val="1"/>
      <w:numFmt w:val="decimal"/>
      <w:lvlText w:val="(%1)"/>
      <w:lvlJc w:val="left"/>
      <w:pPr>
        <w:ind w:left="425" w:hanging="425"/>
      </w:pPr>
      <w:rPr>
        <w:rFonts w:hint="default"/>
      </w:rPr>
    </w:lvl>
  </w:abstractNum>
  <w:abstractNum w:abstractNumId="10">
    <w:nsid w:val="0000000B"/>
    <w:multiLevelType w:val="multilevel"/>
    <w:tmpl w:val="0000000B"/>
    <w:lvl w:ilvl="0" w:tentative="0">
      <w:start w:val="1"/>
      <w:numFmt w:val="decimal"/>
      <w:lvlText w:val="%1"/>
      <w:lvlJc w:val="left"/>
      <w:pPr>
        <w:tabs>
          <w:tab w:val="left" w:pos="375"/>
        </w:tabs>
        <w:ind w:left="375" w:hanging="375"/>
      </w:pPr>
    </w:lvl>
    <w:lvl w:ilvl="1" w:tentative="0">
      <w:start w:val="0"/>
      <w:numFmt w:val="none"/>
      <w:lvlText w:val=""/>
      <w:lvlJc w:val="left"/>
      <w:pPr>
        <w:tabs>
          <w:tab w:val="left" w:pos="360"/>
        </w:tabs>
      </w:pPr>
    </w:lvl>
    <w:lvl w:ilvl="2" w:tentative="0">
      <w:start w:val="0"/>
      <w:numFmt w:val="none"/>
      <w:lvlText w:val=""/>
      <w:lvlJc w:val="left"/>
      <w:pPr>
        <w:tabs>
          <w:tab w:val="left" w:pos="360"/>
        </w:tabs>
      </w:pPr>
    </w:lvl>
    <w:lvl w:ilvl="3" w:tentative="0">
      <w:start w:val="0"/>
      <w:numFmt w:val="none"/>
      <w:lvlText w:val=""/>
      <w:lvlJc w:val="left"/>
      <w:pPr>
        <w:tabs>
          <w:tab w:val="left" w:pos="360"/>
        </w:tabs>
      </w:pPr>
    </w:lvl>
    <w:lvl w:ilvl="4" w:tentative="0">
      <w:start w:val="0"/>
      <w:numFmt w:val="none"/>
      <w:lvlText w:val=""/>
      <w:lvlJc w:val="left"/>
      <w:pPr>
        <w:tabs>
          <w:tab w:val="left" w:pos="360"/>
        </w:tabs>
      </w:pPr>
    </w:lvl>
    <w:lvl w:ilvl="5" w:tentative="0">
      <w:start w:val="0"/>
      <w:numFmt w:val="none"/>
      <w:lvlText w:val=""/>
      <w:lvlJc w:val="left"/>
      <w:pPr>
        <w:tabs>
          <w:tab w:val="left" w:pos="360"/>
        </w:tabs>
      </w:pPr>
    </w:lvl>
    <w:lvl w:ilvl="6" w:tentative="0">
      <w:start w:val="0"/>
      <w:numFmt w:val="none"/>
      <w:lvlText w:val=""/>
      <w:lvlJc w:val="left"/>
      <w:pPr>
        <w:tabs>
          <w:tab w:val="left" w:pos="360"/>
        </w:tabs>
      </w:pPr>
    </w:lvl>
    <w:lvl w:ilvl="7" w:tentative="0">
      <w:start w:val="0"/>
      <w:numFmt w:val="none"/>
      <w:lvlText w:val=""/>
      <w:lvlJc w:val="left"/>
      <w:pPr>
        <w:tabs>
          <w:tab w:val="left" w:pos="360"/>
        </w:tabs>
      </w:pPr>
    </w:lvl>
    <w:lvl w:ilvl="8" w:tentative="0">
      <w:start w:val="0"/>
      <w:numFmt w:val="none"/>
      <w:lvlText w:val=""/>
      <w:lvlJc w:val="left"/>
      <w:pPr>
        <w:tabs>
          <w:tab w:val="left" w:pos="360"/>
        </w:tabs>
      </w:pPr>
    </w:lvl>
  </w:abstractNum>
  <w:abstractNum w:abstractNumId="11">
    <w:nsid w:val="0000000C"/>
    <w:multiLevelType w:val="multilevel"/>
    <w:tmpl w:val="0000000C"/>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2">
    <w:nsid w:val="1075AB2D"/>
    <w:multiLevelType w:val="singleLevel"/>
    <w:tmpl w:val="1075AB2D"/>
    <w:lvl w:ilvl="0" w:tentative="0">
      <w:start w:val="1"/>
      <w:numFmt w:val="decimal"/>
      <w:lvlText w:val="(%1)"/>
      <w:lvlJc w:val="left"/>
      <w:pPr>
        <w:tabs>
          <w:tab w:val="left" w:pos="312"/>
        </w:tabs>
      </w:pPr>
    </w:lvl>
  </w:abstractNum>
  <w:abstractNum w:abstractNumId="13">
    <w:nsid w:val="17330FDD"/>
    <w:multiLevelType w:val="singleLevel"/>
    <w:tmpl w:val="17330FDD"/>
    <w:lvl w:ilvl="0" w:tentative="0">
      <w:start w:val="1"/>
      <w:numFmt w:val="decimal"/>
      <w:lvlText w:val="(%1)"/>
      <w:lvlJc w:val="left"/>
      <w:pPr>
        <w:tabs>
          <w:tab w:val="left" w:pos="312"/>
        </w:tabs>
      </w:pPr>
    </w:lvl>
  </w:abstractNum>
  <w:abstractNum w:abstractNumId="14">
    <w:nsid w:val="1CF6D7B7"/>
    <w:multiLevelType w:val="singleLevel"/>
    <w:tmpl w:val="1CF6D7B7"/>
    <w:lvl w:ilvl="0" w:tentative="0">
      <w:start w:val="1"/>
      <w:numFmt w:val="decimal"/>
      <w:lvlText w:val="(%1)"/>
      <w:lvlJc w:val="left"/>
      <w:pPr>
        <w:tabs>
          <w:tab w:val="left" w:pos="312"/>
        </w:tabs>
      </w:pPr>
    </w:lvl>
  </w:abstractNum>
  <w:abstractNum w:abstractNumId="15">
    <w:nsid w:val="21DCADD6"/>
    <w:multiLevelType w:val="singleLevel"/>
    <w:tmpl w:val="21DCADD6"/>
    <w:lvl w:ilvl="0" w:tentative="0">
      <w:start w:val="1"/>
      <w:numFmt w:val="decimal"/>
      <w:suff w:val="nothing"/>
      <w:lvlText w:val="%1、"/>
      <w:lvlJc w:val="left"/>
    </w:lvl>
  </w:abstractNum>
  <w:abstractNum w:abstractNumId="16">
    <w:nsid w:val="2F667519"/>
    <w:multiLevelType w:val="singleLevel"/>
    <w:tmpl w:val="2F667519"/>
    <w:lvl w:ilvl="0" w:tentative="0">
      <w:start w:val="1"/>
      <w:numFmt w:val="decimal"/>
      <w:lvlText w:val="(%1)"/>
      <w:lvlJc w:val="left"/>
      <w:pPr>
        <w:tabs>
          <w:tab w:val="left" w:pos="312"/>
        </w:tabs>
      </w:pPr>
    </w:lvl>
  </w:abstractNum>
  <w:abstractNum w:abstractNumId="17">
    <w:nsid w:val="363FFF84"/>
    <w:multiLevelType w:val="singleLevel"/>
    <w:tmpl w:val="363FFF84"/>
    <w:lvl w:ilvl="0" w:tentative="0">
      <w:start w:val="1"/>
      <w:numFmt w:val="decimal"/>
      <w:suff w:val="nothing"/>
      <w:lvlText w:val="%1、"/>
      <w:lvlJc w:val="left"/>
    </w:lvl>
  </w:abstractNum>
  <w:abstractNum w:abstractNumId="18">
    <w:nsid w:val="498C39C0"/>
    <w:multiLevelType w:val="multilevel"/>
    <w:tmpl w:val="498C39C0"/>
    <w:lvl w:ilvl="0" w:tentative="0">
      <w:start w:val="1"/>
      <w:numFmt w:val="decimal"/>
      <w:pStyle w:val="3"/>
      <w:suff w:val="space"/>
      <w:lvlText w:val="%1"/>
      <w:lvlJc w:val="left"/>
      <w:pPr>
        <w:ind w:left="425" w:hanging="425"/>
      </w:pPr>
      <w:rPr>
        <w:rFonts w:hint="default" w:ascii="Times New Roman" w:hAnsi="Times New Roman" w:eastAsia="宋体"/>
        <w:b/>
        <w:i w:val="0"/>
        <w:sz w:val="32"/>
      </w:rPr>
    </w:lvl>
    <w:lvl w:ilvl="1" w:tentative="0">
      <w:start w:val="1"/>
      <w:numFmt w:val="decimal"/>
      <w:pStyle w:val="4"/>
      <w:suff w:val="space"/>
      <w:lvlText w:val="%1.%2"/>
      <w:lvlJc w:val="left"/>
      <w:pPr>
        <w:ind w:left="992" w:hanging="992"/>
      </w:pPr>
      <w:rPr>
        <w:rFonts w:hint="default" w:ascii="Times New Roman" w:hAnsi="Times New Roman" w:eastAsia="宋体"/>
        <w:b/>
        <w:i w:val="0"/>
        <w:sz w:val="30"/>
        <w:szCs w:val="30"/>
      </w:rPr>
    </w:lvl>
    <w:lvl w:ilvl="2" w:tentative="0">
      <w:start w:val="1"/>
      <w:numFmt w:val="decimal"/>
      <w:pStyle w:val="5"/>
      <w:suff w:val="space"/>
      <w:lvlText w:val="%1.%2.%3"/>
      <w:lvlJc w:val="left"/>
      <w:pPr>
        <w:ind w:left="1418" w:hanging="1418"/>
      </w:pPr>
      <w:rPr>
        <w:rFonts w:hint="default" w:ascii="Times New Roman" w:hAnsi="Times New Roman" w:eastAsia="宋体"/>
        <w:b/>
        <w:i w:val="0"/>
        <w:sz w:val="28"/>
      </w:rPr>
    </w:lvl>
    <w:lvl w:ilvl="3" w:tentative="0">
      <w:start w:val="1"/>
      <w:numFmt w:val="decimal"/>
      <w:pStyle w:val="6"/>
      <w:suff w:val="space"/>
      <w:lvlText w:val="%1.%2.%3.%4"/>
      <w:lvlJc w:val="left"/>
      <w:pPr>
        <w:ind w:left="1984" w:hanging="1984"/>
      </w:pPr>
      <w:rPr>
        <w:rFonts w:hint="default" w:ascii="Times New Roman" w:hAnsi="Times New Roman" w:eastAsia="宋体"/>
        <w:b/>
        <w:i w:val="0"/>
        <w:sz w:val="28"/>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E256450"/>
    <w:multiLevelType w:val="singleLevel"/>
    <w:tmpl w:val="5E256450"/>
    <w:lvl w:ilvl="0" w:tentative="0">
      <w:start w:val="1"/>
      <w:numFmt w:val="decimal"/>
      <w:suff w:val="nothing"/>
      <w:lvlText w:val="%1、"/>
      <w:lvlJc w:val="left"/>
    </w:lvl>
  </w:abstractNum>
  <w:abstractNum w:abstractNumId="20">
    <w:nsid w:val="7766B03C"/>
    <w:multiLevelType w:val="singleLevel"/>
    <w:tmpl w:val="7766B03C"/>
    <w:lvl w:ilvl="0" w:tentative="0">
      <w:start w:val="1"/>
      <w:numFmt w:val="decimal"/>
      <w:suff w:val="nothing"/>
      <w:lvlText w:val="（%1）"/>
      <w:lvlJc w:val="left"/>
    </w:lvl>
  </w:abstractNum>
  <w:num w:numId="1">
    <w:abstractNumId w:val="18"/>
  </w:num>
  <w:num w:numId="2">
    <w:abstractNumId w:val="19"/>
  </w:num>
  <w:num w:numId="3">
    <w:abstractNumId w:val="17"/>
  </w:num>
  <w:num w:numId="4">
    <w:abstractNumId w:val="6"/>
  </w:num>
  <w:num w:numId="5">
    <w:abstractNumId w:val="0"/>
  </w:num>
  <w:num w:numId="6">
    <w:abstractNumId w:val="9"/>
  </w:num>
  <w:num w:numId="7">
    <w:abstractNumId w:val="4"/>
  </w:num>
  <w:num w:numId="8">
    <w:abstractNumId w:val="3"/>
  </w:num>
  <w:num w:numId="9">
    <w:abstractNumId w:val="12"/>
  </w:num>
  <w:num w:numId="10">
    <w:abstractNumId w:val="20"/>
  </w:num>
  <w:num w:numId="11">
    <w:abstractNumId w:val="16"/>
  </w:num>
  <w:num w:numId="12">
    <w:abstractNumId w:val="13"/>
  </w:num>
  <w:num w:numId="13">
    <w:abstractNumId w:val="14"/>
  </w:num>
  <w:num w:numId="14">
    <w:abstractNumId w:val="2"/>
  </w:num>
  <w:num w:numId="15">
    <w:abstractNumId w:val="15"/>
  </w:num>
  <w:num w:numId="16">
    <w:abstractNumId w:val="5"/>
  </w:num>
  <w:num w:numId="17">
    <w:abstractNumId w:val="11"/>
  </w:num>
  <w:num w:numId="18">
    <w:abstractNumId w:val="10"/>
    <w:lvlOverride w:ilvl="0">
      <w:startOverride w:val="1"/>
    </w:lvlOverride>
  </w:num>
  <w:num w:numId="19">
    <w:abstractNumId w:val="8"/>
  </w:num>
  <w:num w:numId="20">
    <w:abstractNumId w:val="1"/>
  </w:num>
  <w:num w:numId="21">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微软用户">
    <w15:presenceInfo w15:providerId="None" w15:userId="微软用户"/>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0"/>
  <w:bordersDoNotSurroundFooter w:val="0"/>
  <w:documentProtection w:enforcement="0"/>
  <w:defaultTabStop w:val="420"/>
  <w:drawingGridHorizontalSpacing w:val="144"/>
  <w:drawingGridVerticalSpacing w:val="206"/>
  <w:displayHorizontalDrawingGridEvery w:val="2"/>
  <w:displayVerticalDrawingGridEvery w:val="2"/>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637C3E"/>
    <w:rsid w:val="0000061E"/>
    <w:rsid w:val="000068A1"/>
    <w:rsid w:val="00007FA4"/>
    <w:rsid w:val="00010D8F"/>
    <w:rsid w:val="00013D35"/>
    <w:rsid w:val="000155C3"/>
    <w:rsid w:val="00016D4A"/>
    <w:rsid w:val="000176CD"/>
    <w:rsid w:val="00023160"/>
    <w:rsid w:val="00024EF6"/>
    <w:rsid w:val="00027D93"/>
    <w:rsid w:val="00030360"/>
    <w:rsid w:val="000342F1"/>
    <w:rsid w:val="00034412"/>
    <w:rsid w:val="0003466F"/>
    <w:rsid w:val="0003561F"/>
    <w:rsid w:val="000418BB"/>
    <w:rsid w:val="00043DCC"/>
    <w:rsid w:val="00047277"/>
    <w:rsid w:val="00047499"/>
    <w:rsid w:val="00051B25"/>
    <w:rsid w:val="00052330"/>
    <w:rsid w:val="000534C8"/>
    <w:rsid w:val="00054EDE"/>
    <w:rsid w:val="00061B87"/>
    <w:rsid w:val="00063E85"/>
    <w:rsid w:val="00064387"/>
    <w:rsid w:val="00065393"/>
    <w:rsid w:val="00065F6F"/>
    <w:rsid w:val="0006655F"/>
    <w:rsid w:val="00066858"/>
    <w:rsid w:val="00066C15"/>
    <w:rsid w:val="00070505"/>
    <w:rsid w:val="00071D28"/>
    <w:rsid w:val="000733B9"/>
    <w:rsid w:val="00073F92"/>
    <w:rsid w:val="0007404E"/>
    <w:rsid w:val="00074B2A"/>
    <w:rsid w:val="00075688"/>
    <w:rsid w:val="00075E80"/>
    <w:rsid w:val="000827CC"/>
    <w:rsid w:val="00085F13"/>
    <w:rsid w:val="000872CD"/>
    <w:rsid w:val="0009113F"/>
    <w:rsid w:val="00091B17"/>
    <w:rsid w:val="0009284B"/>
    <w:rsid w:val="00093DD0"/>
    <w:rsid w:val="000A1848"/>
    <w:rsid w:val="000A1D86"/>
    <w:rsid w:val="000A5D37"/>
    <w:rsid w:val="000A75B3"/>
    <w:rsid w:val="000B0487"/>
    <w:rsid w:val="000B07C2"/>
    <w:rsid w:val="000B0B57"/>
    <w:rsid w:val="000B0FA0"/>
    <w:rsid w:val="000B270D"/>
    <w:rsid w:val="000B2FF1"/>
    <w:rsid w:val="000B4E35"/>
    <w:rsid w:val="000B7169"/>
    <w:rsid w:val="000C1857"/>
    <w:rsid w:val="000C1EC1"/>
    <w:rsid w:val="000C4095"/>
    <w:rsid w:val="000C5EAE"/>
    <w:rsid w:val="000D07A4"/>
    <w:rsid w:val="000D3DB0"/>
    <w:rsid w:val="000D5813"/>
    <w:rsid w:val="000D6A42"/>
    <w:rsid w:val="000D761C"/>
    <w:rsid w:val="000D7C63"/>
    <w:rsid w:val="000E17CB"/>
    <w:rsid w:val="000E1EA1"/>
    <w:rsid w:val="000E2541"/>
    <w:rsid w:val="000E2A26"/>
    <w:rsid w:val="000E3226"/>
    <w:rsid w:val="000E375A"/>
    <w:rsid w:val="000E430D"/>
    <w:rsid w:val="000E46BF"/>
    <w:rsid w:val="000E6B83"/>
    <w:rsid w:val="000F31BE"/>
    <w:rsid w:val="000F3D80"/>
    <w:rsid w:val="000F49CC"/>
    <w:rsid w:val="000F739F"/>
    <w:rsid w:val="00100141"/>
    <w:rsid w:val="00100766"/>
    <w:rsid w:val="00101889"/>
    <w:rsid w:val="00101978"/>
    <w:rsid w:val="00101D17"/>
    <w:rsid w:val="001028E7"/>
    <w:rsid w:val="00106419"/>
    <w:rsid w:val="00106CF4"/>
    <w:rsid w:val="00106EBF"/>
    <w:rsid w:val="001077A0"/>
    <w:rsid w:val="00107D91"/>
    <w:rsid w:val="00110B0F"/>
    <w:rsid w:val="00111500"/>
    <w:rsid w:val="0011172A"/>
    <w:rsid w:val="00112F55"/>
    <w:rsid w:val="00114F2C"/>
    <w:rsid w:val="00115326"/>
    <w:rsid w:val="00115DB3"/>
    <w:rsid w:val="00120228"/>
    <w:rsid w:val="0012076D"/>
    <w:rsid w:val="00120E5E"/>
    <w:rsid w:val="00121A9C"/>
    <w:rsid w:val="00124424"/>
    <w:rsid w:val="001250AD"/>
    <w:rsid w:val="001270B7"/>
    <w:rsid w:val="001273F1"/>
    <w:rsid w:val="00131777"/>
    <w:rsid w:val="00132091"/>
    <w:rsid w:val="001356F1"/>
    <w:rsid w:val="00136C84"/>
    <w:rsid w:val="001371EC"/>
    <w:rsid w:val="00137ADA"/>
    <w:rsid w:val="001402C2"/>
    <w:rsid w:val="0014253E"/>
    <w:rsid w:val="001430CD"/>
    <w:rsid w:val="00144C6B"/>
    <w:rsid w:val="001453A6"/>
    <w:rsid w:val="001463DE"/>
    <w:rsid w:val="001466B9"/>
    <w:rsid w:val="001466BC"/>
    <w:rsid w:val="001467E8"/>
    <w:rsid w:val="00147580"/>
    <w:rsid w:val="00151C59"/>
    <w:rsid w:val="00151FE1"/>
    <w:rsid w:val="00152129"/>
    <w:rsid w:val="0015236F"/>
    <w:rsid w:val="00152BF9"/>
    <w:rsid w:val="001535FB"/>
    <w:rsid w:val="00153BB0"/>
    <w:rsid w:val="00154C98"/>
    <w:rsid w:val="00154F10"/>
    <w:rsid w:val="0015671B"/>
    <w:rsid w:val="001620B5"/>
    <w:rsid w:val="00162FCB"/>
    <w:rsid w:val="00163CDF"/>
    <w:rsid w:val="0016457C"/>
    <w:rsid w:val="00170A2C"/>
    <w:rsid w:val="00176CB7"/>
    <w:rsid w:val="001805E0"/>
    <w:rsid w:val="001815E2"/>
    <w:rsid w:val="00182EB5"/>
    <w:rsid w:val="00183A0A"/>
    <w:rsid w:val="00183FAE"/>
    <w:rsid w:val="0018694F"/>
    <w:rsid w:val="00187120"/>
    <w:rsid w:val="00191046"/>
    <w:rsid w:val="00194FC0"/>
    <w:rsid w:val="0019529E"/>
    <w:rsid w:val="001966C2"/>
    <w:rsid w:val="0019713A"/>
    <w:rsid w:val="001A79D2"/>
    <w:rsid w:val="001B0292"/>
    <w:rsid w:val="001B0A0A"/>
    <w:rsid w:val="001B0DA4"/>
    <w:rsid w:val="001B1392"/>
    <w:rsid w:val="001B24C0"/>
    <w:rsid w:val="001B2EE0"/>
    <w:rsid w:val="001B7105"/>
    <w:rsid w:val="001B71BE"/>
    <w:rsid w:val="001C2068"/>
    <w:rsid w:val="001C358C"/>
    <w:rsid w:val="001C4286"/>
    <w:rsid w:val="001C6842"/>
    <w:rsid w:val="001C6C08"/>
    <w:rsid w:val="001C7365"/>
    <w:rsid w:val="001D01C7"/>
    <w:rsid w:val="001D0575"/>
    <w:rsid w:val="001D2B66"/>
    <w:rsid w:val="001D38ED"/>
    <w:rsid w:val="001D39BD"/>
    <w:rsid w:val="001D533D"/>
    <w:rsid w:val="001D5481"/>
    <w:rsid w:val="001E0674"/>
    <w:rsid w:val="001E12A7"/>
    <w:rsid w:val="001E19C6"/>
    <w:rsid w:val="001E1D6B"/>
    <w:rsid w:val="001E2113"/>
    <w:rsid w:val="001E31AA"/>
    <w:rsid w:val="001E5471"/>
    <w:rsid w:val="001E5B2C"/>
    <w:rsid w:val="001E63A2"/>
    <w:rsid w:val="001E66C5"/>
    <w:rsid w:val="001E7C9E"/>
    <w:rsid w:val="001F4384"/>
    <w:rsid w:val="001F4B74"/>
    <w:rsid w:val="001F5969"/>
    <w:rsid w:val="00200292"/>
    <w:rsid w:val="002025F2"/>
    <w:rsid w:val="002029B7"/>
    <w:rsid w:val="0020711D"/>
    <w:rsid w:val="002073B3"/>
    <w:rsid w:val="00215650"/>
    <w:rsid w:val="00216C23"/>
    <w:rsid w:val="00220D4E"/>
    <w:rsid w:val="002210AA"/>
    <w:rsid w:val="002224BA"/>
    <w:rsid w:val="00222AC8"/>
    <w:rsid w:val="00223A07"/>
    <w:rsid w:val="0022444B"/>
    <w:rsid w:val="00226B3A"/>
    <w:rsid w:val="00231CC7"/>
    <w:rsid w:val="00232531"/>
    <w:rsid w:val="00232F88"/>
    <w:rsid w:val="00233E7D"/>
    <w:rsid w:val="0023515A"/>
    <w:rsid w:val="002404B1"/>
    <w:rsid w:val="00243080"/>
    <w:rsid w:val="00243FAB"/>
    <w:rsid w:val="00244DBC"/>
    <w:rsid w:val="002479B3"/>
    <w:rsid w:val="00251069"/>
    <w:rsid w:val="002536FE"/>
    <w:rsid w:val="002574A9"/>
    <w:rsid w:val="00257640"/>
    <w:rsid w:val="002712FD"/>
    <w:rsid w:val="00271720"/>
    <w:rsid w:val="00272701"/>
    <w:rsid w:val="00272B9C"/>
    <w:rsid w:val="00273119"/>
    <w:rsid w:val="00274505"/>
    <w:rsid w:val="00274718"/>
    <w:rsid w:val="002776FA"/>
    <w:rsid w:val="002778D3"/>
    <w:rsid w:val="00277A64"/>
    <w:rsid w:val="00280274"/>
    <w:rsid w:val="00282C8C"/>
    <w:rsid w:val="00283161"/>
    <w:rsid w:val="00283B17"/>
    <w:rsid w:val="0028619C"/>
    <w:rsid w:val="002861C4"/>
    <w:rsid w:val="002862C8"/>
    <w:rsid w:val="00290174"/>
    <w:rsid w:val="00290F50"/>
    <w:rsid w:val="0029374A"/>
    <w:rsid w:val="002942CE"/>
    <w:rsid w:val="00294CF7"/>
    <w:rsid w:val="00295458"/>
    <w:rsid w:val="002A0B29"/>
    <w:rsid w:val="002A2EC8"/>
    <w:rsid w:val="002A30CC"/>
    <w:rsid w:val="002A6F4C"/>
    <w:rsid w:val="002B2418"/>
    <w:rsid w:val="002B2EF7"/>
    <w:rsid w:val="002B2F3E"/>
    <w:rsid w:val="002B381B"/>
    <w:rsid w:val="002B5EFA"/>
    <w:rsid w:val="002B75E0"/>
    <w:rsid w:val="002C20D4"/>
    <w:rsid w:val="002C2D0A"/>
    <w:rsid w:val="002C3975"/>
    <w:rsid w:val="002C53F8"/>
    <w:rsid w:val="002C62F8"/>
    <w:rsid w:val="002C79FB"/>
    <w:rsid w:val="002D086D"/>
    <w:rsid w:val="002D134D"/>
    <w:rsid w:val="002D515E"/>
    <w:rsid w:val="002D51E3"/>
    <w:rsid w:val="002E385D"/>
    <w:rsid w:val="002E56D5"/>
    <w:rsid w:val="002E62D0"/>
    <w:rsid w:val="002E6649"/>
    <w:rsid w:val="002E699E"/>
    <w:rsid w:val="002E72D4"/>
    <w:rsid w:val="002F6549"/>
    <w:rsid w:val="00302A60"/>
    <w:rsid w:val="00303B94"/>
    <w:rsid w:val="00307022"/>
    <w:rsid w:val="003113D2"/>
    <w:rsid w:val="00312E2F"/>
    <w:rsid w:val="003141CD"/>
    <w:rsid w:val="00314479"/>
    <w:rsid w:val="00314534"/>
    <w:rsid w:val="00316352"/>
    <w:rsid w:val="00317580"/>
    <w:rsid w:val="00320616"/>
    <w:rsid w:val="0032086E"/>
    <w:rsid w:val="00320A2D"/>
    <w:rsid w:val="0033161B"/>
    <w:rsid w:val="00334962"/>
    <w:rsid w:val="00337D81"/>
    <w:rsid w:val="00340DA4"/>
    <w:rsid w:val="003435C0"/>
    <w:rsid w:val="00344819"/>
    <w:rsid w:val="0034596D"/>
    <w:rsid w:val="003460C5"/>
    <w:rsid w:val="003535D8"/>
    <w:rsid w:val="00353755"/>
    <w:rsid w:val="003551EF"/>
    <w:rsid w:val="00356CE7"/>
    <w:rsid w:val="00356D4D"/>
    <w:rsid w:val="00357128"/>
    <w:rsid w:val="00360CB1"/>
    <w:rsid w:val="00361301"/>
    <w:rsid w:val="00361E25"/>
    <w:rsid w:val="0036395E"/>
    <w:rsid w:val="003646DB"/>
    <w:rsid w:val="00365294"/>
    <w:rsid w:val="00366C5A"/>
    <w:rsid w:val="003671D5"/>
    <w:rsid w:val="00367E26"/>
    <w:rsid w:val="00371394"/>
    <w:rsid w:val="00371D47"/>
    <w:rsid w:val="00374E07"/>
    <w:rsid w:val="00375F41"/>
    <w:rsid w:val="0037741D"/>
    <w:rsid w:val="00380EDD"/>
    <w:rsid w:val="00382ED6"/>
    <w:rsid w:val="00383D7D"/>
    <w:rsid w:val="0038519B"/>
    <w:rsid w:val="00385A8B"/>
    <w:rsid w:val="00390E5F"/>
    <w:rsid w:val="0039165B"/>
    <w:rsid w:val="003935AD"/>
    <w:rsid w:val="003947DB"/>
    <w:rsid w:val="0039789D"/>
    <w:rsid w:val="003A06AF"/>
    <w:rsid w:val="003A1B92"/>
    <w:rsid w:val="003A2A3F"/>
    <w:rsid w:val="003A417D"/>
    <w:rsid w:val="003A43C7"/>
    <w:rsid w:val="003A4734"/>
    <w:rsid w:val="003A4D6E"/>
    <w:rsid w:val="003A5524"/>
    <w:rsid w:val="003B5AB8"/>
    <w:rsid w:val="003B7F78"/>
    <w:rsid w:val="003C35F0"/>
    <w:rsid w:val="003C4181"/>
    <w:rsid w:val="003C5D42"/>
    <w:rsid w:val="003D1285"/>
    <w:rsid w:val="003D2A51"/>
    <w:rsid w:val="003D441B"/>
    <w:rsid w:val="003D583B"/>
    <w:rsid w:val="003D5AAE"/>
    <w:rsid w:val="003D74C1"/>
    <w:rsid w:val="003D76D0"/>
    <w:rsid w:val="003E35F6"/>
    <w:rsid w:val="003E3AA5"/>
    <w:rsid w:val="003E3CF6"/>
    <w:rsid w:val="003E4899"/>
    <w:rsid w:val="003E61B4"/>
    <w:rsid w:val="003E7E4E"/>
    <w:rsid w:val="003F2751"/>
    <w:rsid w:val="003F45E7"/>
    <w:rsid w:val="003F47D9"/>
    <w:rsid w:val="00401D01"/>
    <w:rsid w:val="004032C5"/>
    <w:rsid w:val="0040418A"/>
    <w:rsid w:val="0040558D"/>
    <w:rsid w:val="0041193B"/>
    <w:rsid w:val="0041256E"/>
    <w:rsid w:val="00413BEB"/>
    <w:rsid w:val="00413FF3"/>
    <w:rsid w:val="00415AE7"/>
    <w:rsid w:val="004171D8"/>
    <w:rsid w:val="00417874"/>
    <w:rsid w:val="0042073A"/>
    <w:rsid w:val="00421EAF"/>
    <w:rsid w:val="004221D7"/>
    <w:rsid w:val="0043004B"/>
    <w:rsid w:val="004306B7"/>
    <w:rsid w:val="00432096"/>
    <w:rsid w:val="0043262B"/>
    <w:rsid w:val="004335A5"/>
    <w:rsid w:val="0043397D"/>
    <w:rsid w:val="0043529F"/>
    <w:rsid w:val="0044333A"/>
    <w:rsid w:val="004438CB"/>
    <w:rsid w:val="00444602"/>
    <w:rsid w:val="00444D28"/>
    <w:rsid w:val="00445508"/>
    <w:rsid w:val="004476A1"/>
    <w:rsid w:val="00447E2E"/>
    <w:rsid w:val="00451614"/>
    <w:rsid w:val="00451C0E"/>
    <w:rsid w:val="0045338F"/>
    <w:rsid w:val="00455322"/>
    <w:rsid w:val="0045792C"/>
    <w:rsid w:val="00461996"/>
    <w:rsid w:val="00462835"/>
    <w:rsid w:val="0046691A"/>
    <w:rsid w:val="00471559"/>
    <w:rsid w:val="00471695"/>
    <w:rsid w:val="00473C90"/>
    <w:rsid w:val="004742EE"/>
    <w:rsid w:val="00474E51"/>
    <w:rsid w:val="00476E95"/>
    <w:rsid w:val="00480B7B"/>
    <w:rsid w:val="0048361F"/>
    <w:rsid w:val="00483D61"/>
    <w:rsid w:val="0048445A"/>
    <w:rsid w:val="00493326"/>
    <w:rsid w:val="00495316"/>
    <w:rsid w:val="004961E7"/>
    <w:rsid w:val="00497318"/>
    <w:rsid w:val="004A30BD"/>
    <w:rsid w:val="004A6060"/>
    <w:rsid w:val="004A6696"/>
    <w:rsid w:val="004B1D54"/>
    <w:rsid w:val="004B1F33"/>
    <w:rsid w:val="004B3616"/>
    <w:rsid w:val="004B48B1"/>
    <w:rsid w:val="004B54C2"/>
    <w:rsid w:val="004B5C3F"/>
    <w:rsid w:val="004C2466"/>
    <w:rsid w:val="004C27D5"/>
    <w:rsid w:val="004C46E0"/>
    <w:rsid w:val="004D09FD"/>
    <w:rsid w:val="004D2EAB"/>
    <w:rsid w:val="004D3CB2"/>
    <w:rsid w:val="004D52FB"/>
    <w:rsid w:val="004D5872"/>
    <w:rsid w:val="004D5F33"/>
    <w:rsid w:val="004D6D37"/>
    <w:rsid w:val="004D74E3"/>
    <w:rsid w:val="004E47B4"/>
    <w:rsid w:val="004E495A"/>
    <w:rsid w:val="004E7E48"/>
    <w:rsid w:val="004F1648"/>
    <w:rsid w:val="004F19FF"/>
    <w:rsid w:val="004F336D"/>
    <w:rsid w:val="004F6B7B"/>
    <w:rsid w:val="004F7F82"/>
    <w:rsid w:val="00501499"/>
    <w:rsid w:val="005027D6"/>
    <w:rsid w:val="00503240"/>
    <w:rsid w:val="00504032"/>
    <w:rsid w:val="00505744"/>
    <w:rsid w:val="0050695F"/>
    <w:rsid w:val="00506B8A"/>
    <w:rsid w:val="00506E72"/>
    <w:rsid w:val="0051160F"/>
    <w:rsid w:val="00511D50"/>
    <w:rsid w:val="00513DEF"/>
    <w:rsid w:val="00515D2E"/>
    <w:rsid w:val="00524D2A"/>
    <w:rsid w:val="0052502A"/>
    <w:rsid w:val="00525A2C"/>
    <w:rsid w:val="005342C3"/>
    <w:rsid w:val="00535C05"/>
    <w:rsid w:val="00535F0C"/>
    <w:rsid w:val="005365D0"/>
    <w:rsid w:val="0053660C"/>
    <w:rsid w:val="005374F9"/>
    <w:rsid w:val="0053783C"/>
    <w:rsid w:val="005379AE"/>
    <w:rsid w:val="005427DD"/>
    <w:rsid w:val="00544450"/>
    <w:rsid w:val="005449C5"/>
    <w:rsid w:val="00544B2C"/>
    <w:rsid w:val="00544C4A"/>
    <w:rsid w:val="005450F9"/>
    <w:rsid w:val="00547140"/>
    <w:rsid w:val="00547FF9"/>
    <w:rsid w:val="00550EAB"/>
    <w:rsid w:val="00551E85"/>
    <w:rsid w:val="005523E3"/>
    <w:rsid w:val="00554FA5"/>
    <w:rsid w:val="00555600"/>
    <w:rsid w:val="005602F4"/>
    <w:rsid w:val="00560F5E"/>
    <w:rsid w:val="00565D13"/>
    <w:rsid w:val="0056632F"/>
    <w:rsid w:val="00571A0F"/>
    <w:rsid w:val="0057308C"/>
    <w:rsid w:val="005731D7"/>
    <w:rsid w:val="00574FCB"/>
    <w:rsid w:val="005751EB"/>
    <w:rsid w:val="0058055B"/>
    <w:rsid w:val="005809C5"/>
    <w:rsid w:val="00581645"/>
    <w:rsid w:val="005817DF"/>
    <w:rsid w:val="00581A14"/>
    <w:rsid w:val="00581EAD"/>
    <w:rsid w:val="00582B76"/>
    <w:rsid w:val="00582F0F"/>
    <w:rsid w:val="005832E7"/>
    <w:rsid w:val="005855DC"/>
    <w:rsid w:val="00586599"/>
    <w:rsid w:val="00586BE3"/>
    <w:rsid w:val="005903A3"/>
    <w:rsid w:val="00590E40"/>
    <w:rsid w:val="00592524"/>
    <w:rsid w:val="005A34EA"/>
    <w:rsid w:val="005A5DEA"/>
    <w:rsid w:val="005B2E3D"/>
    <w:rsid w:val="005B38CC"/>
    <w:rsid w:val="005B69D1"/>
    <w:rsid w:val="005C1537"/>
    <w:rsid w:val="005C42E5"/>
    <w:rsid w:val="005C6168"/>
    <w:rsid w:val="005C6555"/>
    <w:rsid w:val="005C7BE7"/>
    <w:rsid w:val="005D0CEE"/>
    <w:rsid w:val="005D18F3"/>
    <w:rsid w:val="005D2A5E"/>
    <w:rsid w:val="005D4742"/>
    <w:rsid w:val="005D5F44"/>
    <w:rsid w:val="005D621B"/>
    <w:rsid w:val="005D6BC2"/>
    <w:rsid w:val="005D7D4D"/>
    <w:rsid w:val="005E2068"/>
    <w:rsid w:val="005E49AC"/>
    <w:rsid w:val="005E6635"/>
    <w:rsid w:val="005E7166"/>
    <w:rsid w:val="005E777F"/>
    <w:rsid w:val="005F1750"/>
    <w:rsid w:val="005F2276"/>
    <w:rsid w:val="005F2680"/>
    <w:rsid w:val="005F26AB"/>
    <w:rsid w:val="005F2A7B"/>
    <w:rsid w:val="005F41DF"/>
    <w:rsid w:val="005F48C9"/>
    <w:rsid w:val="00601EEF"/>
    <w:rsid w:val="00607275"/>
    <w:rsid w:val="00612577"/>
    <w:rsid w:val="00612763"/>
    <w:rsid w:val="006129D9"/>
    <w:rsid w:val="00612A38"/>
    <w:rsid w:val="00615E99"/>
    <w:rsid w:val="00620AD4"/>
    <w:rsid w:val="00622D10"/>
    <w:rsid w:val="00623720"/>
    <w:rsid w:val="006326D7"/>
    <w:rsid w:val="00634760"/>
    <w:rsid w:val="00637C3E"/>
    <w:rsid w:val="0064099F"/>
    <w:rsid w:val="006424B3"/>
    <w:rsid w:val="00644793"/>
    <w:rsid w:val="00644CA4"/>
    <w:rsid w:val="0064617E"/>
    <w:rsid w:val="00651A02"/>
    <w:rsid w:val="00652620"/>
    <w:rsid w:val="00652756"/>
    <w:rsid w:val="006536BA"/>
    <w:rsid w:val="006540AF"/>
    <w:rsid w:val="0065479C"/>
    <w:rsid w:val="006564B8"/>
    <w:rsid w:val="00656BC2"/>
    <w:rsid w:val="00660F7A"/>
    <w:rsid w:val="00663779"/>
    <w:rsid w:val="00663A2A"/>
    <w:rsid w:val="0066622E"/>
    <w:rsid w:val="0066730B"/>
    <w:rsid w:val="006677C5"/>
    <w:rsid w:val="00667E5D"/>
    <w:rsid w:val="0067394E"/>
    <w:rsid w:val="006739A0"/>
    <w:rsid w:val="00674255"/>
    <w:rsid w:val="00674E73"/>
    <w:rsid w:val="006765A9"/>
    <w:rsid w:val="00676649"/>
    <w:rsid w:val="00677852"/>
    <w:rsid w:val="00680C37"/>
    <w:rsid w:val="006812C5"/>
    <w:rsid w:val="0068278D"/>
    <w:rsid w:val="00683A2E"/>
    <w:rsid w:val="006840D0"/>
    <w:rsid w:val="00684C5E"/>
    <w:rsid w:val="0068649A"/>
    <w:rsid w:val="00690223"/>
    <w:rsid w:val="006913AA"/>
    <w:rsid w:val="006927D1"/>
    <w:rsid w:val="00693385"/>
    <w:rsid w:val="00694948"/>
    <w:rsid w:val="006953A5"/>
    <w:rsid w:val="006969E2"/>
    <w:rsid w:val="00697C01"/>
    <w:rsid w:val="006A0EFE"/>
    <w:rsid w:val="006A3303"/>
    <w:rsid w:val="006A3A83"/>
    <w:rsid w:val="006A58CF"/>
    <w:rsid w:val="006A61F8"/>
    <w:rsid w:val="006A6454"/>
    <w:rsid w:val="006B2580"/>
    <w:rsid w:val="006B5C79"/>
    <w:rsid w:val="006B7B96"/>
    <w:rsid w:val="006C0013"/>
    <w:rsid w:val="006C1315"/>
    <w:rsid w:val="006C1352"/>
    <w:rsid w:val="006C16AC"/>
    <w:rsid w:val="006C2618"/>
    <w:rsid w:val="006C4188"/>
    <w:rsid w:val="006C49A1"/>
    <w:rsid w:val="006C4A18"/>
    <w:rsid w:val="006C74AF"/>
    <w:rsid w:val="006C7F63"/>
    <w:rsid w:val="006D051A"/>
    <w:rsid w:val="006D7568"/>
    <w:rsid w:val="006E0886"/>
    <w:rsid w:val="006E264B"/>
    <w:rsid w:val="006E3CE1"/>
    <w:rsid w:val="006E7EA2"/>
    <w:rsid w:val="006F6075"/>
    <w:rsid w:val="00700A5E"/>
    <w:rsid w:val="00701CA6"/>
    <w:rsid w:val="00703456"/>
    <w:rsid w:val="007047CB"/>
    <w:rsid w:val="0070649B"/>
    <w:rsid w:val="00707C08"/>
    <w:rsid w:val="007109EE"/>
    <w:rsid w:val="00715793"/>
    <w:rsid w:val="00722910"/>
    <w:rsid w:val="007263E0"/>
    <w:rsid w:val="00731684"/>
    <w:rsid w:val="00732CB0"/>
    <w:rsid w:val="00734BD0"/>
    <w:rsid w:val="00735E8C"/>
    <w:rsid w:val="00736944"/>
    <w:rsid w:val="00736FB1"/>
    <w:rsid w:val="00740C09"/>
    <w:rsid w:val="0074108B"/>
    <w:rsid w:val="00742EC4"/>
    <w:rsid w:val="0074583F"/>
    <w:rsid w:val="00745E30"/>
    <w:rsid w:val="007467B9"/>
    <w:rsid w:val="00746DB1"/>
    <w:rsid w:val="00746FC0"/>
    <w:rsid w:val="00750470"/>
    <w:rsid w:val="00750BEC"/>
    <w:rsid w:val="00751001"/>
    <w:rsid w:val="007512AF"/>
    <w:rsid w:val="00752643"/>
    <w:rsid w:val="007531DD"/>
    <w:rsid w:val="00754275"/>
    <w:rsid w:val="007575D0"/>
    <w:rsid w:val="00763A47"/>
    <w:rsid w:val="0076544B"/>
    <w:rsid w:val="00765E94"/>
    <w:rsid w:val="0076604D"/>
    <w:rsid w:val="0076612A"/>
    <w:rsid w:val="00766533"/>
    <w:rsid w:val="0076748C"/>
    <w:rsid w:val="00767863"/>
    <w:rsid w:val="00771FC5"/>
    <w:rsid w:val="007737D9"/>
    <w:rsid w:val="00775AEC"/>
    <w:rsid w:val="007777E2"/>
    <w:rsid w:val="0078089D"/>
    <w:rsid w:val="00783F5D"/>
    <w:rsid w:val="0078636E"/>
    <w:rsid w:val="00786557"/>
    <w:rsid w:val="0079073E"/>
    <w:rsid w:val="007915B2"/>
    <w:rsid w:val="00795080"/>
    <w:rsid w:val="00796C6A"/>
    <w:rsid w:val="007A1396"/>
    <w:rsid w:val="007A4ADB"/>
    <w:rsid w:val="007B1365"/>
    <w:rsid w:val="007B1F25"/>
    <w:rsid w:val="007B2ADF"/>
    <w:rsid w:val="007B3740"/>
    <w:rsid w:val="007B5A39"/>
    <w:rsid w:val="007B60CE"/>
    <w:rsid w:val="007B7405"/>
    <w:rsid w:val="007C4C46"/>
    <w:rsid w:val="007C5110"/>
    <w:rsid w:val="007C6F6F"/>
    <w:rsid w:val="007D1EAE"/>
    <w:rsid w:val="007D1F10"/>
    <w:rsid w:val="007D428B"/>
    <w:rsid w:val="007D50C1"/>
    <w:rsid w:val="007D6147"/>
    <w:rsid w:val="007D655B"/>
    <w:rsid w:val="007D7E6D"/>
    <w:rsid w:val="007E0646"/>
    <w:rsid w:val="007E07BD"/>
    <w:rsid w:val="007E3DDA"/>
    <w:rsid w:val="007E41C5"/>
    <w:rsid w:val="007E4201"/>
    <w:rsid w:val="007E4A48"/>
    <w:rsid w:val="007E6058"/>
    <w:rsid w:val="007E6290"/>
    <w:rsid w:val="007E73C7"/>
    <w:rsid w:val="007F17A1"/>
    <w:rsid w:val="007F2368"/>
    <w:rsid w:val="007F318E"/>
    <w:rsid w:val="007F3CBD"/>
    <w:rsid w:val="007F55E3"/>
    <w:rsid w:val="007F7F9C"/>
    <w:rsid w:val="00800BAE"/>
    <w:rsid w:val="00800F96"/>
    <w:rsid w:val="00800FA3"/>
    <w:rsid w:val="00800FC1"/>
    <w:rsid w:val="00804FE7"/>
    <w:rsid w:val="00811569"/>
    <w:rsid w:val="00813A21"/>
    <w:rsid w:val="00814669"/>
    <w:rsid w:val="00815532"/>
    <w:rsid w:val="00815EFD"/>
    <w:rsid w:val="008178D7"/>
    <w:rsid w:val="00822477"/>
    <w:rsid w:val="0082322B"/>
    <w:rsid w:val="00823808"/>
    <w:rsid w:val="008267B7"/>
    <w:rsid w:val="00826884"/>
    <w:rsid w:val="008309C0"/>
    <w:rsid w:val="00830C4C"/>
    <w:rsid w:val="00831ACF"/>
    <w:rsid w:val="0083320D"/>
    <w:rsid w:val="0083342A"/>
    <w:rsid w:val="00835709"/>
    <w:rsid w:val="008374CF"/>
    <w:rsid w:val="0084130F"/>
    <w:rsid w:val="00841B72"/>
    <w:rsid w:val="0084241B"/>
    <w:rsid w:val="00842BFA"/>
    <w:rsid w:val="0084786A"/>
    <w:rsid w:val="00847B21"/>
    <w:rsid w:val="008514DC"/>
    <w:rsid w:val="008555D0"/>
    <w:rsid w:val="0085577C"/>
    <w:rsid w:val="00855F6B"/>
    <w:rsid w:val="00856383"/>
    <w:rsid w:val="0086005A"/>
    <w:rsid w:val="00860AE8"/>
    <w:rsid w:val="00862607"/>
    <w:rsid w:val="00862822"/>
    <w:rsid w:val="00866BC3"/>
    <w:rsid w:val="00872D2E"/>
    <w:rsid w:val="00875473"/>
    <w:rsid w:val="00875ECC"/>
    <w:rsid w:val="00880567"/>
    <w:rsid w:val="00880E98"/>
    <w:rsid w:val="00881AE5"/>
    <w:rsid w:val="0088467A"/>
    <w:rsid w:val="008859F1"/>
    <w:rsid w:val="00891027"/>
    <w:rsid w:val="0089103D"/>
    <w:rsid w:val="008910B4"/>
    <w:rsid w:val="00891F92"/>
    <w:rsid w:val="008923D2"/>
    <w:rsid w:val="00893FC8"/>
    <w:rsid w:val="00896694"/>
    <w:rsid w:val="00896A38"/>
    <w:rsid w:val="00896D8C"/>
    <w:rsid w:val="008974D9"/>
    <w:rsid w:val="008A0C9A"/>
    <w:rsid w:val="008A141D"/>
    <w:rsid w:val="008A1C1F"/>
    <w:rsid w:val="008A1F22"/>
    <w:rsid w:val="008A7AE2"/>
    <w:rsid w:val="008B2599"/>
    <w:rsid w:val="008B27C8"/>
    <w:rsid w:val="008B51A8"/>
    <w:rsid w:val="008B56A5"/>
    <w:rsid w:val="008C2141"/>
    <w:rsid w:val="008C271B"/>
    <w:rsid w:val="008C3099"/>
    <w:rsid w:val="008D0FFC"/>
    <w:rsid w:val="008D1283"/>
    <w:rsid w:val="008D2935"/>
    <w:rsid w:val="008D5765"/>
    <w:rsid w:val="008D6085"/>
    <w:rsid w:val="008D6AEB"/>
    <w:rsid w:val="008D6EC8"/>
    <w:rsid w:val="008D7534"/>
    <w:rsid w:val="008E1576"/>
    <w:rsid w:val="008E2F9C"/>
    <w:rsid w:val="008E41AD"/>
    <w:rsid w:val="008E6072"/>
    <w:rsid w:val="008E6428"/>
    <w:rsid w:val="008E6F86"/>
    <w:rsid w:val="008E76BE"/>
    <w:rsid w:val="008F0B9A"/>
    <w:rsid w:val="008F4233"/>
    <w:rsid w:val="008F4235"/>
    <w:rsid w:val="00900416"/>
    <w:rsid w:val="00901E21"/>
    <w:rsid w:val="0090223D"/>
    <w:rsid w:val="009035D6"/>
    <w:rsid w:val="0090469A"/>
    <w:rsid w:val="00906A2F"/>
    <w:rsid w:val="00912C34"/>
    <w:rsid w:val="0091347C"/>
    <w:rsid w:val="00913B18"/>
    <w:rsid w:val="009144C8"/>
    <w:rsid w:val="0091591F"/>
    <w:rsid w:val="00916D95"/>
    <w:rsid w:val="00917E70"/>
    <w:rsid w:val="00917ED8"/>
    <w:rsid w:val="0092371E"/>
    <w:rsid w:val="00923E1E"/>
    <w:rsid w:val="00924DAC"/>
    <w:rsid w:val="00926D4B"/>
    <w:rsid w:val="00927C30"/>
    <w:rsid w:val="00927D61"/>
    <w:rsid w:val="00932630"/>
    <w:rsid w:val="0093272C"/>
    <w:rsid w:val="0093342B"/>
    <w:rsid w:val="009351DD"/>
    <w:rsid w:val="009354C6"/>
    <w:rsid w:val="009357C1"/>
    <w:rsid w:val="00936286"/>
    <w:rsid w:val="00936B07"/>
    <w:rsid w:val="00936FDC"/>
    <w:rsid w:val="00937F96"/>
    <w:rsid w:val="009412E1"/>
    <w:rsid w:val="00944737"/>
    <w:rsid w:val="00944869"/>
    <w:rsid w:val="00945403"/>
    <w:rsid w:val="009516FA"/>
    <w:rsid w:val="00952C00"/>
    <w:rsid w:val="00953B5A"/>
    <w:rsid w:val="00953E6C"/>
    <w:rsid w:val="00956376"/>
    <w:rsid w:val="009573DD"/>
    <w:rsid w:val="0095743F"/>
    <w:rsid w:val="009662C0"/>
    <w:rsid w:val="009669ED"/>
    <w:rsid w:val="00966C29"/>
    <w:rsid w:val="00973854"/>
    <w:rsid w:val="00975878"/>
    <w:rsid w:val="0098027A"/>
    <w:rsid w:val="009802E4"/>
    <w:rsid w:val="00983B16"/>
    <w:rsid w:val="00984C25"/>
    <w:rsid w:val="00985A61"/>
    <w:rsid w:val="009930BE"/>
    <w:rsid w:val="0099336E"/>
    <w:rsid w:val="00995D86"/>
    <w:rsid w:val="009A157A"/>
    <w:rsid w:val="009A1A8B"/>
    <w:rsid w:val="009A226D"/>
    <w:rsid w:val="009A36B8"/>
    <w:rsid w:val="009A4AE8"/>
    <w:rsid w:val="009A5435"/>
    <w:rsid w:val="009B0DB0"/>
    <w:rsid w:val="009B2705"/>
    <w:rsid w:val="009B4838"/>
    <w:rsid w:val="009B4F73"/>
    <w:rsid w:val="009B730A"/>
    <w:rsid w:val="009C29B0"/>
    <w:rsid w:val="009C6C4C"/>
    <w:rsid w:val="009C74D0"/>
    <w:rsid w:val="009D18A4"/>
    <w:rsid w:val="009D38CC"/>
    <w:rsid w:val="009D59FF"/>
    <w:rsid w:val="009D7179"/>
    <w:rsid w:val="009E172D"/>
    <w:rsid w:val="009E413E"/>
    <w:rsid w:val="009E4DC8"/>
    <w:rsid w:val="009E6185"/>
    <w:rsid w:val="009E776E"/>
    <w:rsid w:val="009E7BFB"/>
    <w:rsid w:val="009F0410"/>
    <w:rsid w:val="009F27B3"/>
    <w:rsid w:val="009F329D"/>
    <w:rsid w:val="009F679E"/>
    <w:rsid w:val="00A00135"/>
    <w:rsid w:val="00A00DEC"/>
    <w:rsid w:val="00A01235"/>
    <w:rsid w:val="00A034A0"/>
    <w:rsid w:val="00A1244E"/>
    <w:rsid w:val="00A14B78"/>
    <w:rsid w:val="00A15401"/>
    <w:rsid w:val="00A2091B"/>
    <w:rsid w:val="00A2619C"/>
    <w:rsid w:val="00A32729"/>
    <w:rsid w:val="00A37518"/>
    <w:rsid w:val="00A37DA9"/>
    <w:rsid w:val="00A408E3"/>
    <w:rsid w:val="00A41755"/>
    <w:rsid w:val="00A42264"/>
    <w:rsid w:val="00A468BE"/>
    <w:rsid w:val="00A46DBC"/>
    <w:rsid w:val="00A47628"/>
    <w:rsid w:val="00A50BD7"/>
    <w:rsid w:val="00A5106B"/>
    <w:rsid w:val="00A56CCE"/>
    <w:rsid w:val="00A6044F"/>
    <w:rsid w:val="00A6327D"/>
    <w:rsid w:val="00A64F7F"/>
    <w:rsid w:val="00A652C3"/>
    <w:rsid w:val="00A66F16"/>
    <w:rsid w:val="00A67551"/>
    <w:rsid w:val="00A67CB6"/>
    <w:rsid w:val="00A7055B"/>
    <w:rsid w:val="00A718D0"/>
    <w:rsid w:val="00A71C53"/>
    <w:rsid w:val="00A7236F"/>
    <w:rsid w:val="00A73562"/>
    <w:rsid w:val="00A743F3"/>
    <w:rsid w:val="00A74784"/>
    <w:rsid w:val="00A74CBD"/>
    <w:rsid w:val="00A772CC"/>
    <w:rsid w:val="00A775C8"/>
    <w:rsid w:val="00A778DB"/>
    <w:rsid w:val="00A80A9C"/>
    <w:rsid w:val="00A82A2B"/>
    <w:rsid w:val="00A85379"/>
    <w:rsid w:val="00A85C9F"/>
    <w:rsid w:val="00A85E6E"/>
    <w:rsid w:val="00A8733B"/>
    <w:rsid w:val="00A90E65"/>
    <w:rsid w:val="00A90FF4"/>
    <w:rsid w:val="00A9154F"/>
    <w:rsid w:val="00A92060"/>
    <w:rsid w:val="00A93B0D"/>
    <w:rsid w:val="00A9590E"/>
    <w:rsid w:val="00AA2511"/>
    <w:rsid w:val="00AA2C9C"/>
    <w:rsid w:val="00AA3D11"/>
    <w:rsid w:val="00AA76E8"/>
    <w:rsid w:val="00AB0337"/>
    <w:rsid w:val="00AB0771"/>
    <w:rsid w:val="00AB13E0"/>
    <w:rsid w:val="00AB5687"/>
    <w:rsid w:val="00AB5E19"/>
    <w:rsid w:val="00AC14C0"/>
    <w:rsid w:val="00AC315C"/>
    <w:rsid w:val="00AC3CEA"/>
    <w:rsid w:val="00AC3F5A"/>
    <w:rsid w:val="00AC5BA4"/>
    <w:rsid w:val="00AD00D5"/>
    <w:rsid w:val="00AD0462"/>
    <w:rsid w:val="00AD06A9"/>
    <w:rsid w:val="00AD123B"/>
    <w:rsid w:val="00AD34B8"/>
    <w:rsid w:val="00AD6BA4"/>
    <w:rsid w:val="00AE1E70"/>
    <w:rsid w:val="00AE2219"/>
    <w:rsid w:val="00AE250D"/>
    <w:rsid w:val="00AE3236"/>
    <w:rsid w:val="00AE3BDD"/>
    <w:rsid w:val="00AE64AF"/>
    <w:rsid w:val="00AF0137"/>
    <w:rsid w:val="00AF0445"/>
    <w:rsid w:val="00AF07D6"/>
    <w:rsid w:val="00AF355A"/>
    <w:rsid w:val="00AF4619"/>
    <w:rsid w:val="00AF46E8"/>
    <w:rsid w:val="00AF4C80"/>
    <w:rsid w:val="00AF5D7A"/>
    <w:rsid w:val="00AF692B"/>
    <w:rsid w:val="00B00C0B"/>
    <w:rsid w:val="00B00F5E"/>
    <w:rsid w:val="00B04131"/>
    <w:rsid w:val="00B0428D"/>
    <w:rsid w:val="00B14C1B"/>
    <w:rsid w:val="00B14D1B"/>
    <w:rsid w:val="00B159FE"/>
    <w:rsid w:val="00B2233D"/>
    <w:rsid w:val="00B225DC"/>
    <w:rsid w:val="00B2492A"/>
    <w:rsid w:val="00B30ACA"/>
    <w:rsid w:val="00B33D39"/>
    <w:rsid w:val="00B35EC7"/>
    <w:rsid w:val="00B36C04"/>
    <w:rsid w:val="00B36FF0"/>
    <w:rsid w:val="00B37837"/>
    <w:rsid w:val="00B41C6E"/>
    <w:rsid w:val="00B4208A"/>
    <w:rsid w:val="00B42FF6"/>
    <w:rsid w:val="00B4727E"/>
    <w:rsid w:val="00B47A35"/>
    <w:rsid w:val="00B510C3"/>
    <w:rsid w:val="00B51C1A"/>
    <w:rsid w:val="00B528C5"/>
    <w:rsid w:val="00B52B53"/>
    <w:rsid w:val="00B52CB9"/>
    <w:rsid w:val="00B52D0F"/>
    <w:rsid w:val="00B53F2C"/>
    <w:rsid w:val="00B55817"/>
    <w:rsid w:val="00B56F17"/>
    <w:rsid w:val="00B57CD4"/>
    <w:rsid w:val="00B57DF1"/>
    <w:rsid w:val="00B60319"/>
    <w:rsid w:val="00B61056"/>
    <w:rsid w:val="00B6130F"/>
    <w:rsid w:val="00B63F73"/>
    <w:rsid w:val="00B66F0B"/>
    <w:rsid w:val="00B67326"/>
    <w:rsid w:val="00B701B2"/>
    <w:rsid w:val="00B71804"/>
    <w:rsid w:val="00B729CC"/>
    <w:rsid w:val="00B731B5"/>
    <w:rsid w:val="00B80A96"/>
    <w:rsid w:val="00B823B5"/>
    <w:rsid w:val="00B82EA4"/>
    <w:rsid w:val="00B853B3"/>
    <w:rsid w:val="00B8643D"/>
    <w:rsid w:val="00B90C76"/>
    <w:rsid w:val="00B90FB8"/>
    <w:rsid w:val="00B9115C"/>
    <w:rsid w:val="00B91AF2"/>
    <w:rsid w:val="00B92672"/>
    <w:rsid w:val="00B95119"/>
    <w:rsid w:val="00B97A2F"/>
    <w:rsid w:val="00BA0205"/>
    <w:rsid w:val="00BA3909"/>
    <w:rsid w:val="00BA423B"/>
    <w:rsid w:val="00BA48F6"/>
    <w:rsid w:val="00BA5DF6"/>
    <w:rsid w:val="00BA7C3D"/>
    <w:rsid w:val="00BB1423"/>
    <w:rsid w:val="00BB156B"/>
    <w:rsid w:val="00BB3694"/>
    <w:rsid w:val="00BB6855"/>
    <w:rsid w:val="00BB753E"/>
    <w:rsid w:val="00BC24F8"/>
    <w:rsid w:val="00BC2D83"/>
    <w:rsid w:val="00BC2EA4"/>
    <w:rsid w:val="00BC38C1"/>
    <w:rsid w:val="00BC3B9B"/>
    <w:rsid w:val="00BD0E6A"/>
    <w:rsid w:val="00BD2282"/>
    <w:rsid w:val="00BD351E"/>
    <w:rsid w:val="00BD38DE"/>
    <w:rsid w:val="00BD4576"/>
    <w:rsid w:val="00BD571D"/>
    <w:rsid w:val="00BF175B"/>
    <w:rsid w:val="00BF1ECB"/>
    <w:rsid w:val="00BF3A6A"/>
    <w:rsid w:val="00BF7CAD"/>
    <w:rsid w:val="00C0141F"/>
    <w:rsid w:val="00C02156"/>
    <w:rsid w:val="00C04841"/>
    <w:rsid w:val="00C05332"/>
    <w:rsid w:val="00C06BF9"/>
    <w:rsid w:val="00C07232"/>
    <w:rsid w:val="00C0745D"/>
    <w:rsid w:val="00C07A2F"/>
    <w:rsid w:val="00C07C94"/>
    <w:rsid w:val="00C108D0"/>
    <w:rsid w:val="00C11A97"/>
    <w:rsid w:val="00C12FF6"/>
    <w:rsid w:val="00C16D50"/>
    <w:rsid w:val="00C2530F"/>
    <w:rsid w:val="00C35E2B"/>
    <w:rsid w:val="00C35F2C"/>
    <w:rsid w:val="00C37000"/>
    <w:rsid w:val="00C374A0"/>
    <w:rsid w:val="00C43A8B"/>
    <w:rsid w:val="00C45302"/>
    <w:rsid w:val="00C46843"/>
    <w:rsid w:val="00C46B87"/>
    <w:rsid w:val="00C50F5C"/>
    <w:rsid w:val="00C53E01"/>
    <w:rsid w:val="00C5433D"/>
    <w:rsid w:val="00C5537F"/>
    <w:rsid w:val="00C553B3"/>
    <w:rsid w:val="00C61222"/>
    <w:rsid w:val="00C61BD5"/>
    <w:rsid w:val="00C64D3F"/>
    <w:rsid w:val="00C65D68"/>
    <w:rsid w:val="00C665A5"/>
    <w:rsid w:val="00C66F95"/>
    <w:rsid w:val="00C708C8"/>
    <w:rsid w:val="00C719A9"/>
    <w:rsid w:val="00C769A1"/>
    <w:rsid w:val="00C81815"/>
    <w:rsid w:val="00C82BC9"/>
    <w:rsid w:val="00C84555"/>
    <w:rsid w:val="00C85247"/>
    <w:rsid w:val="00C85488"/>
    <w:rsid w:val="00C87212"/>
    <w:rsid w:val="00C87FC0"/>
    <w:rsid w:val="00C90BCC"/>
    <w:rsid w:val="00C93721"/>
    <w:rsid w:val="00C94B0F"/>
    <w:rsid w:val="00C973E2"/>
    <w:rsid w:val="00CA27A4"/>
    <w:rsid w:val="00CA2BD0"/>
    <w:rsid w:val="00CA32BF"/>
    <w:rsid w:val="00CA32CD"/>
    <w:rsid w:val="00CA7693"/>
    <w:rsid w:val="00CB0F26"/>
    <w:rsid w:val="00CB1BB0"/>
    <w:rsid w:val="00CB2DC7"/>
    <w:rsid w:val="00CB4ED2"/>
    <w:rsid w:val="00CB5157"/>
    <w:rsid w:val="00CB5255"/>
    <w:rsid w:val="00CB6452"/>
    <w:rsid w:val="00CC0732"/>
    <w:rsid w:val="00CC096E"/>
    <w:rsid w:val="00CC713E"/>
    <w:rsid w:val="00CD011F"/>
    <w:rsid w:val="00CD540E"/>
    <w:rsid w:val="00CE0F5C"/>
    <w:rsid w:val="00CE6721"/>
    <w:rsid w:val="00CE7610"/>
    <w:rsid w:val="00CF226E"/>
    <w:rsid w:val="00CF3753"/>
    <w:rsid w:val="00CF4E74"/>
    <w:rsid w:val="00CF7514"/>
    <w:rsid w:val="00CF7A09"/>
    <w:rsid w:val="00D01DCC"/>
    <w:rsid w:val="00D04D23"/>
    <w:rsid w:val="00D0604E"/>
    <w:rsid w:val="00D07352"/>
    <w:rsid w:val="00D0778A"/>
    <w:rsid w:val="00D07FE8"/>
    <w:rsid w:val="00D10189"/>
    <w:rsid w:val="00D11ECE"/>
    <w:rsid w:val="00D1378D"/>
    <w:rsid w:val="00D23318"/>
    <w:rsid w:val="00D23CA2"/>
    <w:rsid w:val="00D24B38"/>
    <w:rsid w:val="00D272AC"/>
    <w:rsid w:val="00D34A3F"/>
    <w:rsid w:val="00D34CA2"/>
    <w:rsid w:val="00D34CA8"/>
    <w:rsid w:val="00D362FD"/>
    <w:rsid w:val="00D3635F"/>
    <w:rsid w:val="00D3661F"/>
    <w:rsid w:val="00D3760B"/>
    <w:rsid w:val="00D406C4"/>
    <w:rsid w:val="00D4086F"/>
    <w:rsid w:val="00D40BF7"/>
    <w:rsid w:val="00D42DB3"/>
    <w:rsid w:val="00D45ED5"/>
    <w:rsid w:val="00D46713"/>
    <w:rsid w:val="00D46BE2"/>
    <w:rsid w:val="00D50867"/>
    <w:rsid w:val="00D513BB"/>
    <w:rsid w:val="00D5719F"/>
    <w:rsid w:val="00D57D93"/>
    <w:rsid w:val="00D60885"/>
    <w:rsid w:val="00D60D6D"/>
    <w:rsid w:val="00D616DB"/>
    <w:rsid w:val="00D61725"/>
    <w:rsid w:val="00D62433"/>
    <w:rsid w:val="00D64C71"/>
    <w:rsid w:val="00D64C9B"/>
    <w:rsid w:val="00D66027"/>
    <w:rsid w:val="00D70075"/>
    <w:rsid w:val="00D70702"/>
    <w:rsid w:val="00D725A1"/>
    <w:rsid w:val="00D730C4"/>
    <w:rsid w:val="00D738A0"/>
    <w:rsid w:val="00D74A83"/>
    <w:rsid w:val="00D8075D"/>
    <w:rsid w:val="00D82FA7"/>
    <w:rsid w:val="00D849E9"/>
    <w:rsid w:val="00D87D9E"/>
    <w:rsid w:val="00D922D3"/>
    <w:rsid w:val="00D9443C"/>
    <w:rsid w:val="00D946F8"/>
    <w:rsid w:val="00D96119"/>
    <w:rsid w:val="00D96C1E"/>
    <w:rsid w:val="00DA3234"/>
    <w:rsid w:val="00DA58DA"/>
    <w:rsid w:val="00DA71A2"/>
    <w:rsid w:val="00DA7636"/>
    <w:rsid w:val="00DB1EFB"/>
    <w:rsid w:val="00DB33B6"/>
    <w:rsid w:val="00DB3757"/>
    <w:rsid w:val="00DB3E5D"/>
    <w:rsid w:val="00DC1A2C"/>
    <w:rsid w:val="00DC2508"/>
    <w:rsid w:val="00DC6A15"/>
    <w:rsid w:val="00DC7D9A"/>
    <w:rsid w:val="00DD1A05"/>
    <w:rsid w:val="00DD2333"/>
    <w:rsid w:val="00DD48B1"/>
    <w:rsid w:val="00DD663D"/>
    <w:rsid w:val="00DD6D0A"/>
    <w:rsid w:val="00DD72DB"/>
    <w:rsid w:val="00DD7C77"/>
    <w:rsid w:val="00DE3E41"/>
    <w:rsid w:val="00DE3F49"/>
    <w:rsid w:val="00DE4421"/>
    <w:rsid w:val="00DF1F31"/>
    <w:rsid w:val="00DF236C"/>
    <w:rsid w:val="00DF35AE"/>
    <w:rsid w:val="00DF36AF"/>
    <w:rsid w:val="00E00A67"/>
    <w:rsid w:val="00E03D1E"/>
    <w:rsid w:val="00E044FA"/>
    <w:rsid w:val="00E04FC3"/>
    <w:rsid w:val="00E068C6"/>
    <w:rsid w:val="00E10F32"/>
    <w:rsid w:val="00E10FAB"/>
    <w:rsid w:val="00E132FB"/>
    <w:rsid w:val="00E137D4"/>
    <w:rsid w:val="00E14825"/>
    <w:rsid w:val="00E14968"/>
    <w:rsid w:val="00E201A1"/>
    <w:rsid w:val="00E20493"/>
    <w:rsid w:val="00E23936"/>
    <w:rsid w:val="00E23AEB"/>
    <w:rsid w:val="00E2563E"/>
    <w:rsid w:val="00E25AF2"/>
    <w:rsid w:val="00E30273"/>
    <w:rsid w:val="00E31E68"/>
    <w:rsid w:val="00E3299F"/>
    <w:rsid w:val="00E33186"/>
    <w:rsid w:val="00E35162"/>
    <w:rsid w:val="00E36ED1"/>
    <w:rsid w:val="00E4173B"/>
    <w:rsid w:val="00E42316"/>
    <w:rsid w:val="00E42832"/>
    <w:rsid w:val="00E4366C"/>
    <w:rsid w:val="00E442AF"/>
    <w:rsid w:val="00E46700"/>
    <w:rsid w:val="00E46BF9"/>
    <w:rsid w:val="00E47983"/>
    <w:rsid w:val="00E50298"/>
    <w:rsid w:val="00E50419"/>
    <w:rsid w:val="00E5145F"/>
    <w:rsid w:val="00E51A34"/>
    <w:rsid w:val="00E52CBD"/>
    <w:rsid w:val="00E540ED"/>
    <w:rsid w:val="00E55557"/>
    <w:rsid w:val="00E55B4D"/>
    <w:rsid w:val="00E63171"/>
    <w:rsid w:val="00E64B44"/>
    <w:rsid w:val="00E6524F"/>
    <w:rsid w:val="00E666B1"/>
    <w:rsid w:val="00E66723"/>
    <w:rsid w:val="00E67451"/>
    <w:rsid w:val="00E679BE"/>
    <w:rsid w:val="00E701FB"/>
    <w:rsid w:val="00E705F1"/>
    <w:rsid w:val="00E71FBD"/>
    <w:rsid w:val="00E72981"/>
    <w:rsid w:val="00E731EA"/>
    <w:rsid w:val="00E75CBA"/>
    <w:rsid w:val="00E761B0"/>
    <w:rsid w:val="00E76BA6"/>
    <w:rsid w:val="00E76C60"/>
    <w:rsid w:val="00E77096"/>
    <w:rsid w:val="00E77284"/>
    <w:rsid w:val="00E8378E"/>
    <w:rsid w:val="00E8641A"/>
    <w:rsid w:val="00E86466"/>
    <w:rsid w:val="00E8663E"/>
    <w:rsid w:val="00E91FB9"/>
    <w:rsid w:val="00E97CE0"/>
    <w:rsid w:val="00EA0955"/>
    <w:rsid w:val="00EA3744"/>
    <w:rsid w:val="00EA7414"/>
    <w:rsid w:val="00EA765D"/>
    <w:rsid w:val="00EB11E4"/>
    <w:rsid w:val="00EB151B"/>
    <w:rsid w:val="00EB70D0"/>
    <w:rsid w:val="00EC0CEA"/>
    <w:rsid w:val="00EC324E"/>
    <w:rsid w:val="00EC3F6A"/>
    <w:rsid w:val="00ED1D51"/>
    <w:rsid w:val="00ED4BB3"/>
    <w:rsid w:val="00ED7C84"/>
    <w:rsid w:val="00EE004D"/>
    <w:rsid w:val="00EE02CE"/>
    <w:rsid w:val="00EE317F"/>
    <w:rsid w:val="00EE3BE1"/>
    <w:rsid w:val="00EE7AA1"/>
    <w:rsid w:val="00EF1EED"/>
    <w:rsid w:val="00EF5625"/>
    <w:rsid w:val="00EF5B9D"/>
    <w:rsid w:val="00EF787B"/>
    <w:rsid w:val="00EF7F08"/>
    <w:rsid w:val="00F008D6"/>
    <w:rsid w:val="00F073E5"/>
    <w:rsid w:val="00F12E81"/>
    <w:rsid w:val="00F1693B"/>
    <w:rsid w:val="00F20C4D"/>
    <w:rsid w:val="00F22273"/>
    <w:rsid w:val="00F235BB"/>
    <w:rsid w:val="00F248ED"/>
    <w:rsid w:val="00F25790"/>
    <w:rsid w:val="00F27910"/>
    <w:rsid w:val="00F30E52"/>
    <w:rsid w:val="00F3103C"/>
    <w:rsid w:val="00F347B6"/>
    <w:rsid w:val="00F35246"/>
    <w:rsid w:val="00F352C5"/>
    <w:rsid w:val="00F402B6"/>
    <w:rsid w:val="00F440B2"/>
    <w:rsid w:val="00F4590C"/>
    <w:rsid w:val="00F46C88"/>
    <w:rsid w:val="00F55371"/>
    <w:rsid w:val="00F5642A"/>
    <w:rsid w:val="00F56889"/>
    <w:rsid w:val="00F61304"/>
    <w:rsid w:val="00F620D1"/>
    <w:rsid w:val="00F66667"/>
    <w:rsid w:val="00F708C7"/>
    <w:rsid w:val="00F71DDD"/>
    <w:rsid w:val="00F7329D"/>
    <w:rsid w:val="00F738D5"/>
    <w:rsid w:val="00F73DFE"/>
    <w:rsid w:val="00F75CB0"/>
    <w:rsid w:val="00F767F2"/>
    <w:rsid w:val="00F76BA5"/>
    <w:rsid w:val="00F77010"/>
    <w:rsid w:val="00F81169"/>
    <w:rsid w:val="00F84596"/>
    <w:rsid w:val="00F84BA2"/>
    <w:rsid w:val="00F910E9"/>
    <w:rsid w:val="00F91391"/>
    <w:rsid w:val="00F91738"/>
    <w:rsid w:val="00F92A37"/>
    <w:rsid w:val="00F92DD4"/>
    <w:rsid w:val="00F9585E"/>
    <w:rsid w:val="00F95AAC"/>
    <w:rsid w:val="00FA349A"/>
    <w:rsid w:val="00FA37AD"/>
    <w:rsid w:val="00FA4CB9"/>
    <w:rsid w:val="00FA5379"/>
    <w:rsid w:val="00FA6600"/>
    <w:rsid w:val="00FB0B08"/>
    <w:rsid w:val="00FB1E0D"/>
    <w:rsid w:val="00FB298A"/>
    <w:rsid w:val="00FB5CAE"/>
    <w:rsid w:val="00FB6BD7"/>
    <w:rsid w:val="00FC01CF"/>
    <w:rsid w:val="00FC0572"/>
    <w:rsid w:val="00FC111C"/>
    <w:rsid w:val="00FC125C"/>
    <w:rsid w:val="00FC19A3"/>
    <w:rsid w:val="00FC3291"/>
    <w:rsid w:val="00FC3841"/>
    <w:rsid w:val="00FC4BBD"/>
    <w:rsid w:val="00FC6539"/>
    <w:rsid w:val="00FC6CF0"/>
    <w:rsid w:val="00FC7F4B"/>
    <w:rsid w:val="00FD5D27"/>
    <w:rsid w:val="00FD7A54"/>
    <w:rsid w:val="00FE06CC"/>
    <w:rsid w:val="00FE22E9"/>
    <w:rsid w:val="00FE4901"/>
    <w:rsid w:val="00FE7C81"/>
    <w:rsid w:val="00FF029D"/>
    <w:rsid w:val="00FF0E05"/>
    <w:rsid w:val="00FF149B"/>
    <w:rsid w:val="00FF25BC"/>
    <w:rsid w:val="00FF2E66"/>
    <w:rsid w:val="00FF34F7"/>
    <w:rsid w:val="00FF3822"/>
    <w:rsid w:val="00FF4A63"/>
    <w:rsid w:val="01B00100"/>
    <w:rsid w:val="024042C3"/>
    <w:rsid w:val="02FD7AD8"/>
    <w:rsid w:val="032E561A"/>
    <w:rsid w:val="034B6EE9"/>
    <w:rsid w:val="03615D62"/>
    <w:rsid w:val="05365E22"/>
    <w:rsid w:val="054F73CA"/>
    <w:rsid w:val="05696139"/>
    <w:rsid w:val="06840B83"/>
    <w:rsid w:val="07006536"/>
    <w:rsid w:val="074137DD"/>
    <w:rsid w:val="076724EC"/>
    <w:rsid w:val="083B7FD0"/>
    <w:rsid w:val="08604468"/>
    <w:rsid w:val="089B5798"/>
    <w:rsid w:val="08F9696B"/>
    <w:rsid w:val="09291D8F"/>
    <w:rsid w:val="09441F8E"/>
    <w:rsid w:val="0A27763A"/>
    <w:rsid w:val="0ADB55C3"/>
    <w:rsid w:val="0AF2023E"/>
    <w:rsid w:val="0AF932FF"/>
    <w:rsid w:val="0CF50A23"/>
    <w:rsid w:val="0D014099"/>
    <w:rsid w:val="0D7E4623"/>
    <w:rsid w:val="0E054376"/>
    <w:rsid w:val="0EAD112C"/>
    <w:rsid w:val="0EFB5B98"/>
    <w:rsid w:val="0F493D65"/>
    <w:rsid w:val="0F7133EF"/>
    <w:rsid w:val="101C13F0"/>
    <w:rsid w:val="1271321C"/>
    <w:rsid w:val="12A70C30"/>
    <w:rsid w:val="12E963DB"/>
    <w:rsid w:val="139B6F15"/>
    <w:rsid w:val="13CF3AEB"/>
    <w:rsid w:val="13D44C78"/>
    <w:rsid w:val="141D2AF0"/>
    <w:rsid w:val="150B466E"/>
    <w:rsid w:val="150F37D0"/>
    <w:rsid w:val="15153390"/>
    <w:rsid w:val="15DC71DC"/>
    <w:rsid w:val="16371389"/>
    <w:rsid w:val="16D6383C"/>
    <w:rsid w:val="171F5356"/>
    <w:rsid w:val="17E00E8C"/>
    <w:rsid w:val="18D55251"/>
    <w:rsid w:val="18E92340"/>
    <w:rsid w:val="19526C4D"/>
    <w:rsid w:val="19D843DF"/>
    <w:rsid w:val="1A607A4E"/>
    <w:rsid w:val="1B297DD7"/>
    <w:rsid w:val="1C0E7ADC"/>
    <w:rsid w:val="1C4758FC"/>
    <w:rsid w:val="1C704781"/>
    <w:rsid w:val="1CCA2F24"/>
    <w:rsid w:val="1D806C04"/>
    <w:rsid w:val="2093015A"/>
    <w:rsid w:val="20C72D36"/>
    <w:rsid w:val="20EF5A9A"/>
    <w:rsid w:val="20F37457"/>
    <w:rsid w:val="214D6210"/>
    <w:rsid w:val="2316327D"/>
    <w:rsid w:val="23365BF7"/>
    <w:rsid w:val="249636CB"/>
    <w:rsid w:val="24AC12E3"/>
    <w:rsid w:val="24BC558A"/>
    <w:rsid w:val="24F5302D"/>
    <w:rsid w:val="250011E1"/>
    <w:rsid w:val="25202BC0"/>
    <w:rsid w:val="25C81307"/>
    <w:rsid w:val="27056014"/>
    <w:rsid w:val="275B2E71"/>
    <w:rsid w:val="281721FE"/>
    <w:rsid w:val="28674622"/>
    <w:rsid w:val="28AB6D3D"/>
    <w:rsid w:val="29456A1F"/>
    <w:rsid w:val="2A383936"/>
    <w:rsid w:val="2AE2538B"/>
    <w:rsid w:val="2B2E4F81"/>
    <w:rsid w:val="2B3B0F42"/>
    <w:rsid w:val="2B530221"/>
    <w:rsid w:val="2BE14AAE"/>
    <w:rsid w:val="2C4C522A"/>
    <w:rsid w:val="2E3504A9"/>
    <w:rsid w:val="2F032CA8"/>
    <w:rsid w:val="2F550EF2"/>
    <w:rsid w:val="2F835964"/>
    <w:rsid w:val="302E1FCE"/>
    <w:rsid w:val="30F5275C"/>
    <w:rsid w:val="31E43F13"/>
    <w:rsid w:val="3282510A"/>
    <w:rsid w:val="32C66079"/>
    <w:rsid w:val="32FD45AA"/>
    <w:rsid w:val="3362255A"/>
    <w:rsid w:val="33B7113E"/>
    <w:rsid w:val="345C2D44"/>
    <w:rsid w:val="345E5845"/>
    <w:rsid w:val="34832828"/>
    <w:rsid w:val="355B156A"/>
    <w:rsid w:val="3656196A"/>
    <w:rsid w:val="3700410B"/>
    <w:rsid w:val="37157775"/>
    <w:rsid w:val="37DE0B00"/>
    <w:rsid w:val="38086AFE"/>
    <w:rsid w:val="39074E69"/>
    <w:rsid w:val="3ABD0E5B"/>
    <w:rsid w:val="3B2507C1"/>
    <w:rsid w:val="3BD937A1"/>
    <w:rsid w:val="3C374484"/>
    <w:rsid w:val="3D5A6450"/>
    <w:rsid w:val="3E214F27"/>
    <w:rsid w:val="3E297D6E"/>
    <w:rsid w:val="3F46762C"/>
    <w:rsid w:val="429A5EA4"/>
    <w:rsid w:val="43CF21C9"/>
    <w:rsid w:val="45A756D5"/>
    <w:rsid w:val="466E07BB"/>
    <w:rsid w:val="467C3988"/>
    <w:rsid w:val="47927B37"/>
    <w:rsid w:val="482C5A0B"/>
    <w:rsid w:val="48A67615"/>
    <w:rsid w:val="4A245254"/>
    <w:rsid w:val="4A3F4FC0"/>
    <w:rsid w:val="4A5307B1"/>
    <w:rsid w:val="4A8B35EA"/>
    <w:rsid w:val="4AA30A2A"/>
    <w:rsid w:val="4AB80E9D"/>
    <w:rsid w:val="4AD6656E"/>
    <w:rsid w:val="4AEE046E"/>
    <w:rsid w:val="4B2F4036"/>
    <w:rsid w:val="4C0B6FCC"/>
    <w:rsid w:val="4C841A81"/>
    <w:rsid w:val="4CD27410"/>
    <w:rsid w:val="4D3D4CC4"/>
    <w:rsid w:val="4EC2237B"/>
    <w:rsid w:val="4EE65B04"/>
    <w:rsid w:val="4F5D78D3"/>
    <w:rsid w:val="500160C3"/>
    <w:rsid w:val="50697463"/>
    <w:rsid w:val="50E121A4"/>
    <w:rsid w:val="5132148F"/>
    <w:rsid w:val="51347B3F"/>
    <w:rsid w:val="51A54405"/>
    <w:rsid w:val="522F3183"/>
    <w:rsid w:val="526D5F9A"/>
    <w:rsid w:val="52936363"/>
    <w:rsid w:val="53862A65"/>
    <w:rsid w:val="53A855E4"/>
    <w:rsid w:val="54806CD3"/>
    <w:rsid w:val="54911BBC"/>
    <w:rsid w:val="54BF0200"/>
    <w:rsid w:val="54CE5766"/>
    <w:rsid w:val="554A0D41"/>
    <w:rsid w:val="55A144C3"/>
    <w:rsid w:val="56C4596A"/>
    <w:rsid w:val="56CB6693"/>
    <w:rsid w:val="58126B54"/>
    <w:rsid w:val="581A12B0"/>
    <w:rsid w:val="582E45E3"/>
    <w:rsid w:val="59930CBA"/>
    <w:rsid w:val="59CC2D33"/>
    <w:rsid w:val="5A88658A"/>
    <w:rsid w:val="5B20003E"/>
    <w:rsid w:val="5B8640BE"/>
    <w:rsid w:val="5B9051CA"/>
    <w:rsid w:val="5BFE7FD1"/>
    <w:rsid w:val="5C7B0E92"/>
    <w:rsid w:val="5CC21938"/>
    <w:rsid w:val="5DFC2EA2"/>
    <w:rsid w:val="5E0C0910"/>
    <w:rsid w:val="5F473E0C"/>
    <w:rsid w:val="5FF02E4F"/>
    <w:rsid w:val="5FFF18B7"/>
    <w:rsid w:val="6014574C"/>
    <w:rsid w:val="60DA7CF8"/>
    <w:rsid w:val="60E1105A"/>
    <w:rsid w:val="61096907"/>
    <w:rsid w:val="612F1134"/>
    <w:rsid w:val="613863B6"/>
    <w:rsid w:val="613E251A"/>
    <w:rsid w:val="61E64F96"/>
    <w:rsid w:val="622C747F"/>
    <w:rsid w:val="62BD5EA2"/>
    <w:rsid w:val="62E805F3"/>
    <w:rsid w:val="62FD253F"/>
    <w:rsid w:val="63474DA7"/>
    <w:rsid w:val="637C07D7"/>
    <w:rsid w:val="63987F90"/>
    <w:rsid w:val="64162016"/>
    <w:rsid w:val="64B606FB"/>
    <w:rsid w:val="65C975B6"/>
    <w:rsid w:val="668F48B4"/>
    <w:rsid w:val="669F0629"/>
    <w:rsid w:val="682E3909"/>
    <w:rsid w:val="68C3475B"/>
    <w:rsid w:val="69430F73"/>
    <w:rsid w:val="699D1958"/>
    <w:rsid w:val="69D20C37"/>
    <w:rsid w:val="6B1E68E0"/>
    <w:rsid w:val="6B26047E"/>
    <w:rsid w:val="6B6B2EB6"/>
    <w:rsid w:val="6B71318C"/>
    <w:rsid w:val="6BA13772"/>
    <w:rsid w:val="6C5F3B91"/>
    <w:rsid w:val="6C7F10BD"/>
    <w:rsid w:val="6CC94854"/>
    <w:rsid w:val="6CD1337B"/>
    <w:rsid w:val="6DD57AB6"/>
    <w:rsid w:val="6EBF0B77"/>
    <w:rsid w:val="6F2A58F1"/>
    <w:rsid w:val="6FCF65C7"/>
    <w:rsid w:val="6FDB66E1"/>
    <w:rsid w:val="707E0637"/>
    <w:rsid w:val="7097551B"/>
    <w:rsid w:val="70BD5B5A"/>
    <w:rsid w:val="714815CC"/>
    <w:rsid w:val="71D859BE"/>
    <w:rsid w:val="71DF08D5"/>
    <w:rsid w:val="71F26E6E"/>
    <w:rsid w:val="72537F15"/>
    <w:rsid w:val="742351DB"/>
    <w:rsid w:val="744446B1"/>
    <w:rsid w:val="74AA7E2E"/>
    <w:rsid w:val="75924C35"/>
    <w:rsid w:val="76FF7C85"/>
    <w:rsid w:val="770E1B57"/>
    <w:rsid w:val="77C7035A"/>
    <w:rsid w:val="780A742C"/>
    <w:rsid w:val="78561311"/>
    <w:rsid w:val="78B85CDD"/>
    <w:rsid w:val="78C22748"/>
    <w:rsid w:val="792B46F8"/>
    <w:rsid w:val="79CC79B2"/>
    <w:rsid w:val="7C233274"/>
    <w:rsid w:val="7FA303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Calibr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Times New Roman" w:hAnsi="Times New Roman" w:eastAsia="宋体" w:cstheme="minorBidi"/>
      <w:kern w:val="2"/>
      <w:sz w:val="28"/>
      <w:szCs w:val="22"/>
      <w:lang w:val="en-US" w:eastAsia="zh-CN" w:bidi="ar-SA"/>
    </w:rPr>
  </w:style>
  <w:style w:type="paragraph" w:styleId="3">
    <w:name w:val="heading 1"/>
    <w:basedOn w:val="1"/>
    <w:next w:val="4"/>
    <w:link w:val="23"/>
    <w:qFormat/>
    <w:uiPriority w:val="9"/>
    <w:pPr>
      <w:keepNext/>
      <w:keepLines/>
      <w:numPr>
        <w:ilvl w:val="0"/>
        <w:numId w:val="1"/>
      </w:numPr>
      <w:ind w:left="0" w:firstLine="0" w:firstLineChars="0"/>
      <w:jc w:val="left"/>
      <w:outlineLvl w:val="0"/>
    </w:pPr>
    <w:rPr>
      <w:b/>
      <w:bCs/>
      <w:kern w:val="44"/>
      <w:sz w:val="32"/>
      <w:szCs w:val="44"/>
    </w:rPr>
  </w:style>
  <w:style w:type="paragraph" w:styleId="4">
    <w:name w:val="heading 2"/>
    <w:basedOn w:val="1"/>
    <w:next w:val="1"/>
    <w:link w:val="25"/>
    <w:unhideWhenUsed/>
    <w:qFormat/>
    <w:uiPriority w:val="9"/>
    <w:pPr>
      <w:keepNext/>
      <w:keepLines/>
      <w:numPr>
        <w:ilvl w:val="1"/>
        <w:numId w:val="1"/>
      </w:numPr>
      <w:ind w:left="0" w:firstLine="0" w:firstLineChars="0"/>
      <w:jc w:val="left"/>
      <w:outlineLvl w:val="1"/>
    </w:pPr>
    <w:rPr>
      <w:rFonts w:cstheme="majorBidi"/>
      <w:b/>
      <w:bCs/>
      <w:sz w:val="30"/>
      <w:szCs w:val="32"/>
    </w:rPr>
  </w:style>
  <w:style w:type="paragraph" w:styleId="5">
    <w:name w:val="heading 3"/>
    <w:basedOn w:val="1"/>
    <w:next w:val="6"/>
    <w:link w:val="26"/>
    <w:unhideWhenUsed/>
    <w:qFormat/>
    <w:uiPriority w:val="9"/>
    <w:pPr>
      <w:keepNext/>
      <w:keepLines/>
      <w:numPr>
        <w:ilvl w:val="2"/>
        <w:numId w:val="1"/>
      </w:numPr>
      <w:ind w:left="0" w:firstLine="0" w:firstLineChars="0"/>
      <w:jc w:val="left"/>
      <w:outlineLvl w:val="2"/>
    </w:pPr>
    <w:rPr>
      <w:b/>
      <w:bCs/>
      <w:szCs w:val="32"/>
    </w:rPr>
  </w:style>
  <w:style w:type="paragraph" w:styleId="6">
    <w:name w:val="heading 4"/>
    <w:basedOn w:val="1"/>
    <w:next w:val="1"/>
    <w:link w:val="27"/>
    <w:unhideWhenUsed/>
    <w:qFormat/>
    <w:uiPriority w:val="9"/>
    <w:pPr>
      <w:keepNext/>
      <w:keepLines/>
      <w:numPr>
        <w:ilvl w:val="3"/>
        <w:numId w:val="1"/>
      </w:numPr>
      <w:ind w:left="0" w:firstLine="0" w:firstLineChars="0"/>
      <w:jc w:val="left"/>
      <w:outlineLvl w:val="3"/>
    </w:pPr>
    <w:rPr>
      <w:rFonts w:cstheme="majorBidi"/>
      <w:b/>
      <w:bCs/>
      <w:szCs w:val="28"/>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2">
    <w:name w:val="Body Text Indent"/>
    <w:basedOn w:val="1"/>
    <w:unhideWhenUsed/>
    <w:qFormat/>
    <w:uiPriority w:val="99"/>
    <w:pPr>
      <w:ind w:firstLine="435"/>
    </w:pPr>
  </w:style>
  <w:style w:type="paragraph" w:styleId="7">
    <w:name w:val="caption"/>
    <w:basedOn w:val="1"/>
    <w:next w:val="1"/>
    <w:unhideWhenUsed/>
    <w:qFormat/>
    <w:uiPriority w:val="35"/>
    <w:pPr>
      <w:ind w:firstLine="0" w:firstLineChars="0"/>
      <w:jc w:val="center"/>
    </w:pPr>
    <w:rPr>
      <w:rFonts w:cstheme="majorBidi"/>
      <w:szCs w:val="20"/>
    </w:rPr>
  </w:style>
  <w:style w:type="paragraph" w:styleId="8">
    <w:name w:val="annotation text"/>
    <w:basedOn w:val="1"/>
    <w:semiHidden/>
    <w:unhideWhenUsed/>
    <w:qFormat/>
    <w:uiPriority w:val="99"/>
    <w:pPr>
      <w:jc w:val="left"/>
    </w:pPr>
  </w:style>
  <w:style w:type="paragraph" w:styleId="9">
    <w:name w:val="Body Text"/>
    <w:basedOn w:val="1"/>
    <w:link w:val="36"/>
    <w:semiHidden/>
    <w:unhideWhenUsed/>
    <w:qFormat/>
    <w:uiPriority w:val="99"/>
    <w:pPr>
      <w:spacing w:after="120"/>
    </w:pPr>
  </w:style>
  <w:style w:type="paragraph" w:styleId="10">
    <w:name w:val="Balloon Text"/>
    <w:basedOn w:val="1"/>
    <w:link w:val="29"/>
    <w:semiHidden/>
    <w:unhideWhenUsed/>
    <w:qFormat/>
    <w:uiPriority w:val="99"/>
    <w:pPr>
      <w:spacing w:line="240" w:lineRule="auto"/>
    </w:pPr>
    <w:rPr>
      <w:sz w:val="18"/>
      <w:szCs w:val="18"/>
    </w:rPr>
  </w:style>
  <w:style w:type="paragraph" w:styleId="11">
    <w:name w:val="footer"/>
    <w:basedOn w:val="1"/>
    <w:link w:val="22"/>
    <w:unhideWhenUsed/>
    <w:qFormat/>
    <w:uiPriority w:val="99"/>
    <w:pPr>
      <w:tabs>
        <w:tab w:val="center" w:pos="4153"/>
        <w:tab w:val="right" w:pos="8306"/>
      </w:tabs>
      <w:snapToGrid w:val="0"/>
      <w:jc w:val="left"/>
    </w:pPr>
    <w:rPr>
      <w:sz w:val="18"/>
      <w:szCs w:val="18"/>
    </w:rPr>
  </w:style>
  <w:style w:type="paragraph" w:styleId="12">
    <w:name w:val="header"/>
    <w:basedOn w:val="1"/>
    <w:link w:val="21"/>
    <w:unhideWhenUsed/>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pPr>
      <w:tabs>
        <w:tab w:val="right" w:leader="dot" w:pos="9118"/>
      </w:tabs>
      <w:ind w:firstLine="0" w:firstLineChars="0"/>
    </w:pPr>
  </w:style>
  <w:style w:type="paragraph" w:styleId="14">
    <w:name w:val="toc 2"/>
    <w:basedOn w:val="1"/>
    <w:next w:val="1"/>
    <w:unhideWhenUsed/>
    <w:qFormat/>
    <w:uiPriority w:val="39"/>
    <w:pPr>
      <w:tabs>
        <w:tab w:val="right" w:leader="dot" w:pos="9118"/>
      </w:tabs>
      <w:ind w:firstLine="560"/>
    </w:pPr>
  </w:style>
  <w:style w:type="paragraph" w:styleId="15">
    <w:name w:val="Body Text First Indent"/>
    <w:basedOn w:val="9"/>
    <w:link w:val="35"/>
    <w:qFormat/>
    <w:uiPriority w:val="0"/>
    <w:pPr>
      <w:spacing w:line="240" w:lineRule="auto"/>
      <w:ind w:firstLine="420" w:firstLineChars="100"/>
    </w:pPr>
    <w:rPr>
      <w:rFonts w:asciiTheme="minorHAnsi" w:hAnsiTheme="minorHAnsi"/>
      <w:sz w:val="30"/>
    </w:rPr>
  </w:style>
  <w:style w:type="table" w:styleId="17">
    <w:name w:val="Table Grid"/>
    <w:basedOn w:val="1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9">
    <w:name w:val="page number"/>
    <w:basedOn w:val="18"/>
    <w:qFormat/>
    <w:uiPriority w:val="0"/>
  </w:style>
  <w:style w:type="character" w:styleId="20">
    <w:name w:val="Hyperlink"/>
    <w:basedOn w:val="18"/>
    <w:unhideWhenUsed/>
    <w:qFormat/>
    <w:uiPriority w:val="99"/>
    <w:rPr>
      <w:color w:val="0563C1" w:themeColor="hyperlink"/>
      <w:u w:val="single"/>
    </w:rPr>
  </w:style>
  <w:style w:type="character" w:customStyle="1" w:styleId="21">
    <w:name w:val="页眉 Char"/>
    <w:basedOn w:val="18"/>
    <w:link w:val="12"/>
    <w:qFormat/>
    <w:uiPriority w:val="99"/>
    <w:rPr>
      <w:sz w:val="18"/>
      <w:szCs w:val="18"/>
    </w:rPr>
  </w:style>
  <w:style w:type="character" w:customStyle="1" w:styleId="22">
    <w:name w:val="页脚 Char"/>
    <w:basedOn w:val="18"/>
    <w:link w:val="11"/>
    <w:qFormat/>
    <w:uiPriority w:val="99"/>
    <w:rPr>
      <w:sz w:val="18"/>
      <w:szCs w:val="18"/>
    </w:rPr>
  </w:style>
  <w:style w:type="character" w:customStyle="1" w:styleId="23">
    <w:name w:val="标题 1 Char"/>
    <w:basedOn w:val="18"/>
    <w:link w:val="3"/>
    <w:qFormat/>
    <w:uiPriority w:val="9"/>
    <w:rPr>
      <w:rFonts w:ascii="Times New Roman" w:hAnsi="Times New Roman" w:eastAsia="宋体"/>
      <w:b/>
      <w:bCs/>
      <w:kern w:val="44"/>
      <w:sz w:val="32"/>
      <w:szCs w:val="44"/>
    </w:rPr>
  </w:style>
  <w:style w:type="paragraph" w:styleId="24">
    <w:name w:val="List Paragraph"/>
    <w:basedOn w:val="1"/>
    <w:qFormat/>
    <w:uiPriority w:val="34"/>
    <w:pPr>
      <w:ind w:firstLine="420"/>
    </w:pPr>
  </w:style>
  <w:style w:type="character" w:customStyle="1" w:styleId="25">
    <w:name w:val="标题 2 Char"/>
    <w:basedOn w:val="18"/>
    <w:link w:val="4"/>
    <w:qFormat/>
    <w:uiPriority w:val="9"/>
    <w:rPr>
      <w:rFonts w:ascii="Times New Roman" w:hAnsi="Times New Roman" w:eastAsia="宋体" w:cstheme="majorBidi"/>
      <w:b/>
      <w:bCs/>
      <w:sz w:val="30"/>
      <w:szCs w:val="32"/>
    </w:rPr>
  </w:style>
  <w:style w:type="character" w:customStyle="1" w:styleId="26">
    <w:name w:val="标题 3 Char"/>
    <w:basedOn w:val="18"/>
    <w:link w:val="5"/>
    <w:qFormat/>
    <w:uiPriority w:val="9"/>
    <w:rPr>
      <w:rFonts w:ascii="Times New Roman" w:hAnsi="Times New Roman" w:eastAsia="宋体"/>
      <w:b/>
      <w:bCs/>
      <w:sz w:val="28"/>
      <w:szCs w:val="32"/>
    </w:rPr>
  </w:style>
  <w:style w:type="character" w:customStyle="1" w:styleId="27">
    <w:name w:val="标题 4 Char"/>
    <w:basedOn w:val="18"/>
    <w:link w:val="6"/>
    <w:qFormat/>
    <w:uiPriority w:val="9"/>
    <w:rPr>
      <w:rFonts w:ascii="Times New Roman" w:hAnsi="Times New Roman" w:eastAsia="宋体" w:cstheme="majorBidi"/>
      <w:b/>
      <w:bCs/>
      <w:sz w:val="24"/>
      <w:szCs w:val="28"/>
    </w:rPr>
  </w:style>
  <w:style w:type="paragraph" w:customStyle="1" w:styleId="28">
    <w:name w:val="Default"/>
    <w:qFormat/>
    <w:uiPriority w:val="0"/>
    <w:pPr>
      <w:widowControl w:val="0"/>
      <w:autoSpaceDE w:val="0"/>
      <w:autoSpaceDN w:val="0"/>
      <w:adjustRightInd w:val="0"/>
    </w:pPr>
    <w:rPr>
      <w:rFonts w:ascii="Times New Roman" w:hAnsi="Times New Roman" w:cs="Times New Roman" w:eastAsiaTheme="minorEastAsia"/>
      <w:color w:val="000000"/>
      <w:kern w:val="0"/>
      <w:sz w:val="24"/>
      <w:szCs w:val="24"/>
      <w:lang w:val="en-US" w:eastAsia="zh-CN" w:bidi="ar-SA"/>
    </w:rPr>
  </w:style>
  <w:style w:type="character" w:customStyle="1" w:styleId="29">
    <w:name w:val="批注框文本 Char"/>
    <w:basedOn w:val="18"/>
    <w:link w:val="10"/>
    <w:semiHidden/>
    <w:qFormat/>
    <w:uiPriority w:val="99"/>
    <w:rPr>
      <w:rFonts w:ascii="Times New Roman" w:hAnsi="Times New Roman" w:eastAsia="宋体"/>
      <w:sz w:val="18"/>
      <w:szCs w:val="18"/>
    </w:rPr>
  </w:style>
  <w:style w:type="paragraph" w:customStyle="1" w:styleId="30">
    <w:name w:val="Table Paragraph"/>
    <w:basedOn w:val="1"/>
    <w:qFormat/>
    <w:uiPriority w:val="0"/>
    <w:pPr>
      <w:spacing w:line="240" w:lineRule="auto"/>
      <w:ind w:firstLine="0" w:firstLineChars="0"/>
      <w:jc w:val="left"/>
    </w:pPr>
    <w:rPr>
      <w:rFonts w:asciiTheme="minorHAnsi" w:hAnsiTheme="minorHAnsi" w:eastAsiaTheme="minorEastAsia"/>
      <w:kern w:val="0"/>
      <w:sz w:val="22"/>
      <w:lang w:eastAsia="en-US"/>
    </w:rPr>
  </w:style>
  <w:style w:type="table" w:customStyle="1" w:styleId="31">
    <w:name w:val="Table Normal"/>
    <w:semiHidden/>
    <w:unhideWhenUsed/>
    <w:qFormat/>
    <w:uiPriority w:val="2"/>
    <w:rPr>
      <w:rFonts w:ascii="Times New Roman" w:hAnsi="Times New Roman" w:eastAsia="宋体" w:cs="Times New Roman"/>
      <w:kern w:val="0"/>
      <w:sz w:val="20"/>
      <w:szCs w:val="20"/>
    </w:rPr>
    <w:tblPr>
      <w:tblCellMar>
        <w:top w:w="0" w:type="dxa"/>
        <w:left w:w="0" w:type="dxa"/>
        <w:bottom w:w="0" w:type="dxa"/>
        <w:right w:w="0" w:type="dxa"/>
      </w:tblCellMar>
    </w:tblPr>
  </w:style>
  <w:style w:type="table" w:customStyle="1" w:styleId="32">
    <w:name w:val="网格型1"/>
    <w:basedOn w:val="1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33">
    <w:name w:val="环评正文 Char"/>
    <w:link w:val="34"/>
    <w:qFormat/>
    <w:uiPriority w:val="0"/>
    <w:rPr>
      <w:rFonts w:ascii="宋体" w:hAnsi="宋体" w:cs="宋体"/>
      <w:sz w:val="24"/>
      <w:szCs w:val="24"/>
    </w:rPr>
  </w:style>
  <w:style w:type="paragraph" w:customStyle="1" w:styleId="34">
    <w:name w:val="环评正文"/>
    <w:basedOn w:val="1"/>
    <w:link w:val="33"/>
    <w:qFormat/>
    <w:uiPriority w:val="0"/>
    <w:pPr>
      <w:ind w:firstLine="0" w:firstLineChars="0"/>
    </w:pPr>
    <w:rPr>
      <w:rFonts w:ascii="宋体" w:hAnsi="宋体" w:cs="宋体" w:eastAsiaTheme="minorEastAsia"/>
      <w:sz w:val="24"/>
      <w:szCs w:val="24"/>
    </w:rPr>
  </w:style>
  <w:style w:type="character" w:customStyle="1" w:styleId="35">
    <w:name w:val="正文首行缩进 Char"/>
    <w:link w:val="15"/>
    <w:qFormat/>
    <w:uiPriority w:val="0"/>
    <w:rPr>
      <w:rFonts w:eastAsia="宋体"/>
      <w:sz w:val="30"/>
    </w:rPr>
  </w:style>
  <w:style w:type="character" w:customStyle="1" w:styleId="36">
    <w:name w:val="正文文本 Char"/>
    <w:basedOn w:val="18"/>
    <w:link w:val="9"/>
    <w:semiHidden/>
    <w:qFormat/>
    <w:uiPriority w:val="99"/>
    <w:rPr>
      <w:rFonts w:ascii="Times New Roman" w:hAnsi="Times New Roman" w:eastAsia="宋体"/>
      <w:sz w:val="28"/>
    </w:rPr>
  </w:style>
  <w:style w:type="character" w:customStyle="1" w:styleId="37">
    <w:name w:val="正文文本首行缩进 字符1"/>
    <w:basedOn w:val="36"/>
    <w:semiHidden/>
    <w:qFormat/>
    <w:uiPriority w:val="99"/>
    <w:rPr>
      <w:rFonts w:ascii="Times New Roman" w:hAnsi="Times New Roman" w:eastAsia="宋体"/>
      <w:sz w:val="28"/>
    </w:rPr>
  </w:style>
  <w:style w:type="paragraph" w:customStyle="1" w:styleId="38">
    <w:name w:val="A表内"/>
    <w:basedOn w:val="1"/>
    <w:qFormat/>
    <w:uiPriority w:val="0"/>
    <w:pPr>
      <w:spacing w:line="0" w:lineRule="atLeast"/>
      <w:jc w:val="center"/>
    </w:pPr>
    <w:rPr>
      <w:rFonts w:cs="宋体"/>
      <w:szCs w:val="20"/>
    </w:rPr>
  </w:style>
  <w:style w:type="table" w:customStyle="1" w:styleId="39">
    <w:name w:val="A表格样式"/>
    <w:basedOn w:val="16"/>
    <w:qFormat/>
    <w:uiPriority w:val="0"/>
    <w:pPr>
      <w:widowControl w:val="0"/>
      <w:jc w:val="center"/>
    </w:pPr>
    <w:rPr>
      <w:rFonts w:ascii="Times New Roman" w:hAnsi="Times New Roman" w:eastAsia="宋体" w:cs="Times New Roman"/>
      <w:kern w:val="0"/>
      <w:sz w:val="20"/>
      <w:szCs w:val="20"/>
    </w:rPr>
    <w:tblPr>
      <w:tblBorders>
        <w:top w:val="single" w:color="000000" w:sz="12" w:space="0"/>
        <w:bottom w:val="single" w:color="000000" w:sz="12" w:space="0"/>
        <w:insideH w:val="single" w:color="auto" w:sz="4" w:space="0"/>
        <w:insideV w:val="single" w:color="auto" w:sz="4" w:space="0"/>
      </w:tblBorders>
      <w:tblCellMar>
        <w:left w:w="0" w:type="dxa"/>
        <w:right w:w="0" w:type="dxa"/>
      </w:tblCellMar>
    </w:tblPr>
    <w:tcPr>
      <w:vAlign w:val="center"/>
    </w:tcPr>
    <w:tblStylePr w:type="firstRow">
      <w:rPr>
        <w:b/>
      </w:rPr>
    </w:tblStylePr>
  </w:style>
  <w:style w:type="paragraph" w:customStyle="1" w:styleId="40">
    <w:name w:val="表格内容"/>
    <w:basedOn w:val="1"/>
    <w:qFormat/>
    <w:uiPriority w:val="99"/>
    <w:pPr>
      <w:spacing w:line="260" w:lineRule="exact"/>
      <w:jc w:val="center"/>
    </w:pPr>
    <w:rPr>
      <w:rFonts w:ascii="Times New Roman" w:hAnsi="Times New Roman"/>
    </w:rPr>
  </w:style>
  <w:style w:type="paragraph" w:customStyle="1" w:styleId="41">
    <w:name w:val="123正文"/>
    <w:basedOn w:val="1"/>
    <w:qFormat/>
    <w:uiPriority w:val="0"/>
    <w:pPr>
      <w:spacing w:line="360" w:lineRule="auto"/>
      <w:ind w:firstLine="480" w:firstLineChars="200"/>
      <w:jc w:val="left"/>
    </w:pPr>
    <w:rPr>
      <w:rFonts w:ascii="Times New Roman" w:hAnsi="Times New Roman"/>
      <w:color w:val="0000FF"/>
      <w:kern w:val="0"/>
      <w:sz w:val="24"/>
    </w:rPr>
  </w:style>
  <w:style w:type="paragraph" w:customStyle="1" w:styleId="42">
    <w:name w:val="Default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43">
    <w:name w:val="表中字"/>
    <w:qFormat/>
    <w:uiPriority w:val="99"/>
    <w:pPr>
      <w:jc w:val="center"/>
    </w:pPr>
    <w:rPr>
      <w:rFonts w:ascii="Times New Roman" w:hAnsi="Times New Roman" w:eastAsia="宋体" w:cs="Times New Roman"/>
      <w:kern w:val="2"/>
      <w:sz w:val="24"/>
      <w:szCs w:val="24"/>
      <w:lang w:val="en-US" w:eastAsia="zh-CN" w:bidi="ar-SA"/>
    </w:rPr>
  </w:style>
  <w:style w:type="paragraph" w:customStyle="1" w:styleId="44">
    <w:name w:val="正文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5">
    <w:name w:val="列出段落1"/>
    <w:basedOn w:val="1"/>
    <w:qFormat/>
    <w:uiPriority w:val="0"/>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7" Type="http://schemas.microsoft.com/office/2011/relationships/people" Target="people.xml"/><Relationship Id="rId46" Type="http://schemas.openxmlformats.org/officeDocument/2006/relationships/fontTable" Target="fontTable.xml"/><Relationship Id="rId45" Type="http://schemas.openxmlformats.org/officeDocument/2006/relationships/customXml" Target="../customXml/item2.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24.png"/><Relationship Id="rId41" Type="http://schemas.openxmlformats.org/officeDocument/2006/relationships/image" Target="media/image23.png"/><Relationship Id="rId40" Type="http://schemas.openxmlformats.org/officeDocument/2006/relationships/image" Target="media/image22.png"/><Relationship Id="rId4" Type="http://schemas.openxmlformats.org/officeDocument/2006/relationships/header" Target="header2.xml"/><Relationship Id="rId39" Type="http://schemas.openxmlformats.org/officeDocument/2006/relationships/image" Target="media/image21.png"/><Relationship Id="rId38" Type="http://schemas.openxmlformats.org/officeDocument/2006/relationships/image" Target="media/image20.jpeg"/><Relationship Id="rId37" Type="http://schemas.openxmlformats.org/officeDocument/2006/relationships/image" Target="media/image19.jpeg"/><Relationship Id="rId36" Type="http://schemas.openxmlformats.org/officeDocument/2006/relationships/image" Target="media/image18.jpeg"/><Relationship Id="rId35" Type="http://schemas.openxmlformats.org/officeDocument/2006/relationships/image" Target="media/image17.jpeg"/><Relationship Id="rId34" Type="http://schemas.openxmlformats.org/officeDocument/2006/relationships/image" Target="media/image16.png"/><Relationship Id="rId33" Type="http://schemas.openxmlformats.org/officeDocument/2006/relationships/image" Target="media/image15.png"/><Relationship Id="rId32" Type="http://schemas.openxmlformats.org/officeDocument/2006/relationships/image" Target="media/image14.png"/><Relationship Id="rId31" Type="http://schemas.openxmlformats.org/officeDocument/2006/relationships/image" Target="media/image13.png"/><Relationship Id="rId30" Type="http://schemas.openxmlformats.org/officeDocument/2006/relationships/image" Target="media/image12.png"/><Relationship Id="rId3" Type="http://schemas.openxmlformats.org/officeDocument/2006/relationships/header" Target="header1.xml"/><Relationship Id="rId29" Type="http://schemas.openxmlformats.org/officeDocument/2006/relationships/image" Target="media/image11.png"/><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footer" Target="footer11.xml"/><Relationship Id="rId16" Type="http://schemas.openxmlformats.org/officeDocument/2006/relationships/footer" Target="footer10.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footer" Target="footer7.xml"/><Relationship Id="rId12" Type="http://schemas.openxmlformats.org/officeDocument/2006/relationships/footer" Target="footer6.xml"/><Relationship Id="rId11" Type="http://schemas.openxmlformats.org/officeDocument/2006/relationships/header" Target="header4.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4109" textRotate="1"/>
    <customShpInfo spid="_x0000_s4097" textRotate="1"/>
    <customShpInfo spid="_x0000_s4105" textRotate="1"/>
    <customShpInfo spid="_x0000_s4103" textRotate="1"/>
    <customShpInfo spid="_x0000_s4107" textRotate="1"/>
    <customShpInfo spid="_x0000_s4100" textRotate="1"/>
    <customShpInfo spid="_x0000_s4108" textRotate="1"/>
    <customShpInfo spid="_x0000_s2050"/>
    <customShpInfo spid="_x0000_s2101"/>
    <customShpInfo spid="_x0000_s2100"/>
    <customShpInfo spid="_x0000_s2099"/>
    <customShpInfo spid="_x0000_s2098"/>
    <customShpInfo spid="_x0000_s2097"/>
    <customShpInfo spid="_x0000_s2095"/>
    <customShpInfo spid="_x0000_s2093"/>
    <customShpInfo spid="_x0000_s2094"/>
    <customShpInfo spid="_x0000_s2096"/>
    <customShpInfo spid="_x0000_s2092"/>
    <customShpInfo spid="_x0000_s2067"/>
    <customShpInfo spid="_x0000_s2066"/>
    <customShpInfo spid="_x0000_s2065"/>
    <customShpInfo spid="_x0000_s2064"/>
    <customShpInfo spid="_x0000_s2058"/>
    <customShpInfo spid="_x0000_s2057"/>
    <customShpInfo spid="_x0000_s2055"/>
    <customShpInfo spid="_x0000_s2054"/>
    <customShpInfo spid="_x0000_s2053"/>
    <customShpInfo spid="_x0000_s2051"/>
    <customShpInfo spid="_x0000_s2052"/>
    <customShpInfo spid="_x0000_s2114"/>
    <customShpInfo spid="_x0000_s2113"/>
    <customShpInfo spid="_x0000_s2112"/>
    <customShpInfo spid="_x0000_s2091"/>
    <customShpInfo spid="_x0000_s2090"/>
    <customShpInfo spid="_x0000_s2088"/>
    <customShpInfo spid="_x0000_s2087"/>
    <customShpInfo spid="_x0000_s2086"/>
    <customShpInfo spid="_x0000_s2084"/>
    <customShpInfo spid="_x0000_s2083"/>
    <customShpInfo spid="_x0000_s2082"/>
    <customShpInfo spid="_x0000_s2081"/>
    <customShpInfo spid="_x0000_s2080"/>
    <customShpInfo spid="_x0000_s2079"/>
    <customShpInfo spid="_x0000_s2078"/>
    <customShpInfo spid="_x0000_s2077"/>
    <customShpInfo spid="_x0000_s2076"/>
    <customShpInfo spid="_x0000_s207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4AF897D-6F1D-4FEE-B438-D2985E1DED23}">
  <ds:schemaRefs/>
</ds:datastoreItem>
</file>

<file path=docProps/app.xml><?xml version="1.0" encoding="utf-8"?>
<Properties xmlns="http://schemas.openxmlformats.org/officeDocument/2006/extended-properties" xmlns:vt="http://schemas.openxmlformats.org/officeDocument/2006/docPropsVTypes">
  <Template>Normal.dotm</Template>
  <Pages>134</Pages>
  <Words>7412</Words>
  <Characters>42250</Characters>
  <Lines>352</Lines>
  <Paragraphs>99</Paragraphs>
  <TotalTime>1</TotalTime>
  <ScaleCrop>false</ScaleCrop>
  <LinksUpToDate>false</LinksUpToDate>
  <CharactersWithSpaces>49563</CharactersWithSpaces>
  <Application>WPS Office_11.1.0.9440_F1E327BC-269C-435d-A152-05C5408002CA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2018-05-24T03:09:00Z</dcterms:created>
  <dc:creator>谢玉锦 赣安</dc:creator>
  <cp:lastModifiedBy>军妮</cp:lastModifiedBy>
  <cp:lastPrinted>2020-06-01T02:10:00Z</cp:lastPrinted>
  <dcterms:modified xsi:type="dcterms:W3CDTF">2020-09-20T08:13:46Z</dcterms:modified>
  <cp:revision>1127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2052-11.1.0.9440</vt:lpwstr>
  </property>
</Properties>
</file>