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pPr>
    </w:p>
    <w:p>
      <w:pPr>
        <w:ind w:firstLine="0" w:firstLineChars="0"/>
        <w:rPr>
          <w:rFonts w:hint="eastAsia" w:eastAsia="宋体"/>
          <w:lang w:eastAsia="zh-CN"/>
        </w:rPr>
      </w:pPr>
    </w:p>
    <w:p>
      <w:pPr>
        <w:ind w:firstLine="0" w:firstLineChars="0"/>
      </w:pPr>
    </w:p>
    <w:p>
      <w:pPr>
        <w:ind w:firstLine="0" w:firstLineChars="0"/>
      </w:pPr>
    </w:p>
    <w:p>
      <w:pPr>
        <w:ind w:firstLine="0" w:firstLineChars="0"/>
        <w:jc w:val="center"/>
        <w:rPr>
          <w:rFonts w:hint="default"/>
          <w:b/>
          <w:sz w:val="52"/>
          <w:lang w:val="en-US"/>
        </w:rPr>
      </w:pPr>
      <w:r>
        <w:rPr>
          <w:rFonts w:hint="default"/>
          <w:b/>
          <w:sz w:val="52"/>
          <w:lang w:val="en-US" w:eastAsia="zh-CN"/>
        </w:rPr>
        <w:t>南昌慧华高科混凝土有限公司</w:t>
      </w:r>
    </w:p>
    <w:p>
      <w:pPr>
        <w:ind w:firstLine="0" w:firstLineChars="0"/>
        <w:jc w:val="center"/>
        <w:rPr>
          <w:sz w:val="52"/>
        </w:rPr>
      </w:pPr>
      <w:r>
        <w:rPr>
          <w:rFonts w:hint="eastAsia"/>
          <w:b/>
          <w:sz w:val="52"/>
        </w:rPr>
        <w:t>突发环境事件应急预案编制说明</w:t>
      </w: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sz w:val="48"/>
        </w:rPr>
      </w:pPr>
    </w:p>
    <w:p>
      <w:pPr>
        <w:ind w:firstLine="0" w:firstLineChars="0"/>
        <w:jc w:val="center"/>
        <w:rPr>
          <w:rFonts w:hint="default"/>
          <w:b/>
          <w:sz w:val="36"/>
          <w:szCs w:val="36"/>
          <w:lang w:val="en-US"/>
        </w:rPr>
      </w:pPr>
      <w:r>
        <w:rPr>
          <w:rFonts w:hint="default"/>
          <w:b/>
          <w:sz w:val="36"/>
          <w:szCs w:val="36"/>
          <w:lang w:val="en-US" w:eastAsia="zh-CN"/>
        </w:rPr>
        <w:t>南昌慧华高科混凝土有限公司</w:t>
      </w:r>
    </w:p>
    <w:p>
      <w:pPr>
        <w:ind w:firstLine="0" w:firstLineChars="0"/>
        <w:jc w:val="center"/>
        <w:rPr>
          <w:rFonts w:hint="eastAsia"/>
          <w:b/>
          <w:sz w:val="36"/>
          <w:szCs w:val="36"/>
        </w:rPr>
        <w:sectPr>
          <w:headerReference r:id="rId5" w:type="first"/>
          <w:footerReference r:id="rId8" w:type="first"/>
          <w:headerReference r:id="rId3" w:type="default"/>
          <w:footerReference r:id="rId6" w:type="default"/>
          <w:headerReference r:id="rId4" w:type="even"/>
          <w:footerReference r:id="rId7" w:type="even"/>
          <w:pgSz w:w="11906" w:h="16838"/>
          <w:pgMar w:top="1304" w:right="1247" w:bottom="1304" w:left="1531" w:header="851" w:footer="851" w:gutter="0"/>
          <w:cols w:space="425" w:num="1"/>
          <w:docGrid w:type="lines" w:linePitch="312" w:charSpace="0"/>
        </w:sectPr>
      </w:pPr>
      <w:r>
        <w:rPr>
          <w:rFonts w:hint="eastAsia"/>
          <w:b/>
          <w:sz w:val="36"/>
          <w:szCs w:val="36"/>
        </w:rPr>
        <w:t>二</w:t>
      </w:r>
      <w:r>
        <w:rPr>
          <w:b/>
          <w:bCs/>
          <w:sz w:val="36"/>
          <w:szCs w:val="36"/>
        </w:rPr>
        <w:t>〇</w:t>
      </w:r>
      <w:r>
        <w:rPr>
          <w:rFonts w:hint="eastAsia"/>
          <w:b/>
          <w:sz w:val="36"/>
          <w:szCs w:val="36"/>
          <w:lang w:eastAsia="zh-CN"/>
        </w:rPr>
        <w:t>二〇</w:t>
      </w:r>
      <w:r>
        <w:rPr>
          <w:rFonts w:hint="eastAsia"/>
          <w:b/>
          <w:sz w:val="36"/>
          <w:szCs w:val="36"/>
        </w:rPr>
        <w:t>年</w:t>
      </w:r>
      <w:r>
        <w:rPr>
          <w:rFonts w:hint="eastAsia"/>
          <w:b/>
          <w:sz w:val="36"/>
          <w:szCs w:val="36"/>
          <w:lang w:val="en-US" w:eastAsia="zh-CN"/>
        </w:rPr>
        <w:t>九</w:t>
      </w:r>
      <w:r>
        <w:rPr>
          <w:rFonts w:hint="eastAsia"/>
          <w:b/>
          <w:sz w:val="36"/>
          <w:szCs w:val="36"/>
        </w:rPr>
        <w:t>月</w:t>
      </w:r>
    </w:p>
    <w:p>
      <w:pPr>
        <w:ind w:firstLine="0" w:firstLineChars="0"/>
        <w:jc w:val="center"/>
        <w:rPr>
          <w:rFonts w:hint="eastAsia"/>
          <w:b/>
          <w:sz w:val="36"/>
          <w:szCs w:val="36"/>
        </w:rPr>
        <w:sectPr>
          <w:pgSz w:w="11906" w:h="16838"/>
          <w:pgMar w:top="1304" w:right="1247" w:bottom="1304" w:left="1531" w:header="851" w:footer="851" w:gutter="0"/>
          <w:cols w:space="425" w:num="1"/>
          <w:docGrid w:type="lines" w:linePitch="312" w:charSpace="0"/>
        </w:sectPr>
      </w:pPr>
    </w:p>
    <w:p>
      <w:pPr>
        <w:pStyle w:val="2"/>
      </w:pPr>
      <w:r>
        <w:rPr>
          <w:rFonts w:hint="eastAsia"/>
        </w:rPr>
        <w:t>编制目的</w:t>
      </w:r>
    </w:p>
    <w:p>
      <w:pPr>
        <w:ind w:firstLine="560"/>
      </w:pPr>
      <w:r>
        <w:rPr>
          <w:rFonts w:hint="eastAsia"/>
        </w:rPr>
        <w:t>为规范和加强公司对突发环境污染事故的综合处置能力，贯彻落实“安全第一、预防为主、综合治理”方针，促进公司应急预案体系建设，充分发挥应急预案在事故预防和应急处置中的作用，切实提高公司的应急处置能力，明确公司各个部门的应急工作职能，及时、科学、有效地指挥、协调应急救援工作，提高应急救援反应速度，确保迅速有效地处理各类环境污染事故，实现应急救援“快速、有序、有效”，将事故对人员、财产和环境造成的损失降至最小程度，最大限度地减少对环境的影响，达到防止和控制对空气、土壤、地表水及地下水的污染，制定本预案。</w:t>
      </w:r>
    </w:p>
    <w:p>
      <w:pPr>
        <w:pStyle w:val="2"/>
      </w:pPr>
      <w:r>
        <w:rPr>
          <w:rFonts w:hint="eastAsia"/>
        </w:rPr>
        <w:t>编制原则</w:t>
      </w:r>
    </w:p>
    <w:p>
      <w:pPr>
        <w:ind w:firstLine="560"/>
      </w:pPr>
      <w:r>
        <w:rPr>
          <w:rFonts w:hint="eastAsia"/>
        </w:rPr>
        <w:t>本应急预案严格参照《突发环境事件应急管理办法》（2015年6月5日）、《企业事业单位突发环境事件应急预案备案管理办法（试行）》（环发［2015］4号）、《江西省突发环境事件应急预案管理办法的通知》（赣府厅发［2013］30号）等相关文件规定进行。</w:t>
      </w:r>
    </w:p>
    <w:p>
      <w:pPr>
        <w:ind w:firstLine="560"/>
      </w:pPr>
      <w:r>
        <w:rPr>
          <w:rFonts w:hint="eastAsia"/>
        </w:rPr>
        <w:t>以国家环境保护和污染防治相关法律、法规、规章、技术政策和规划为依据，预案编制主要遵循以人为本、预防为主，统一领导、分级负责，企业自救、快速上报，整合资源、联动处理的原则。力求有较强的针对性、实用性和可操作性。</w:t>
      </w:r>
    </w:p>
    <w:p>
      <w:pPr>
        <w:pStyle w:val="2"/>
      </w:pPr>
      <w:r>
        <w:rPr>
          <w:rFonts w:hint="eastAsia"/>
        </w:rPr>
        <w:t>编制过程概述</w:t>
      </w:r>
    </w:p>
    <w:p>
      <w:pPr>
        <w:ind w:firstLine="560"/>
      </w:pPr>
      <w:r>
        <w:rPr>
          <w:rFonts w:hint="eastAsia"/>
        </w:rPr>
        <w:t>为确保公司应急预案编制工作顺利</w:t>
      </w:r>
      <w:r>
        <w:rPr>
          <w:rFonts w:hint="eastAsia"/>
          <w:color w:val="000000" w:themeColor="text1"/>
          <w14:textFill>
            <w14:solidFill>
              <w14:schemeClr w14:val="tx1"/>
            </w14:solidFill>
          </w14:textFill>
        </w:rPr>
        <w:t>实施，特成立了以总经理担任总指挥，副总经理担任副总指挥，成员由各职能部门负责人组成的应急预案编制小组，并对编制小组成员制定了明确的职责和工</w:t>
      </w:r>
      <w:r>
        <w:rPr>
          <w:rFonts w:hint="eastAsia"/>
        </w:rPr>
        <w:t>作计划。</w:t>
      </w:r>
    </w:p>
    <w:p>
      <w:pPr>
        <w:ind w:firstLine="560"/>
      </w:pPr>
      <w:r>
        <w:rPr>
          <w:rFonts w:hint="eastAsia"/>
        </w:rPr>
        <w:t>编制小组为确保编制内容的真实、有效，首先对公司存在的环境风险源、周边环境状况及环境保护目标的基本情况进行了全面的调查，具体的内容包括：公司的主要产品及公司原材物料的年消耗量；公司的生产工艺流程及各节点污染物排放种类、目前的控制措施；主要生产设备，雨、清、污水收集、排放管网，应急设施（备）平面布置；公司主要排放污染物及污染治理设施处理后废物产量；公司周边5公里范围内人口集中居住区名称、联系方式、人数；周边企业、重要基础设施、道路等基本情况；周边环境敏感点与公司的距离和方位图；公司产生污水排放去向，接纳水体情况及执行的环境标准，区域地下水执行的环境标准；公司下游水体河流及饮用水源保护区情况，区域空气执行的环境标准等内容。</w:t>
      </w:r>
    </w:p>
    <w:p>
      <w:pPr>
        <w:ind w:firstLine="560"/>
      </w:pPr>
      <w:r>
        <w:rPr>
          <w:rFonts w:hint="eastAsia"/>
        </w:rPr>
        <w:t>通过对公司及周边情况调查，确定了公司的环境风险源有以下几个方面，公司在生产及原材物料的储存过程中，将产生废气、废水、固废、噪声以及突发环境事件造成污染物排放等。对公司及附近的生态环境与人群生活有一定影响，根据公司生产工艺流程，生产过程中主要有</w:t>
      </w:r>
      <w:r>
        <w:rPr>
          <w:rFonts w:hint="eastAsia"/>
          <w:lang w:eastAsia="zh-CN"/>
        </w:rPr>
        <w:t>大气</w:t>
      </w:r>
      <w:r>
        <w:rPr>
          <w:rFonts w:hint="eastAsia"/>
        </w:rPr>
        <w:t>污染</w:t>
      </w:r>
      <w:r>
        <w:rPr>
          <w:rFonts w:hint="eastAsia"/>
          <w:lang w:eastAsia="zh-CN"/>
        </w:rPr>
        <w:t>、</w:t>
      </w:r>
      <w:r>
        <w:rPr>
          <w:rFonts w:hint="eastAsia"/>
        </w:rPr>
        <w:t>火灾、中毒和泄漏等污染事故。</w:t>
      </w:r>
    </w:p>
    <w:p>
      <w:pPr>
        <w:ind w:firstLine="560"/>
      </w:pPr>
      <w:r>
        <w:rPr>
          <w:rFonts w:hint="eastAsia"/>
        </w:rPr>
        <w:t>根据环境风险源辨识结果，和目前公司现有应急能力的评估结果，公司成立了突发环境事件应急救援指挥机构和应急救援小组。明确了应急指挥机构和各救援小组的应急职责，建立了预警机制，并根据突发环境事故的严重性、紧急程度和可能涉及的范围，将突发环境事故的预警级别分为三级，预警级别由高到低，依次为</w:t>
      </w:r>
      <w:r>
        <w:rPr>
          <w:rFonts w:hint="eastAsia"/>
          <w:lang w:eastAsia="zh-CN"/>
        </w:rPr>
        <w:t>社会</w:t>
      </w:r>
      <w:r>
        <w:rPr>
          <w:rFonts w:hint="eastAsia"/>
        </w:rPr>
        <w:t>级、</w:t>
      </w:r>
      <w:r>
        <w:rPr>
          <w:rFonts w:hint="eastAsia"/>
          <w:lang w:eastAsia="zh-CN"/>
        </w:rPr>
        <w:t>企业</w:t>
      </w:r>
      <w:r>
        <w:rPr>
          <w:rFonts w:hint="eastAsia"/>
        </w:rPr>
        <w:t>级、</w:t>
      </w:r>
      <w:r>
        <w:rPr>
          <w:rFonts w:hint="eastAsia"/>
          <w:lang w:eastAsia="zh-CN"/>
        </w:rPr>
        <w:t>现场</w:t>
      </w:r>
      <w:r>
        <w:rPr>
          <w:rFonts w:hint="eastAsia"/>
        </w:rPr>
        <w:t>级。根据事态的发展情况和采取措施的效果，预警级别可以升级、降级或解除。</w:t>
      </w:r>
    </w:p>
    <w:p>
      <w:pPr>
        <w:ind w:firstLine="560"/>
      </w:pPr>
      <w:r>
        <w:rPr>
          <w:rFonts w:hint="eastAsia"/>
        </w:rPr>
        <w:t>预案编制小组在建立了预警机制后，根据可能发生的环境突发事故的严重程度和紧急程度，将突发环境事件分为三级。并根据事件的等级制定了相应的应急响应流程、应急处置措施、危险区域的隔离与安全区的设定。关于事故的报告，编制组根据事故的影响范围，确定了等级上报程序及在什么情况下需要向公司周边环境风险受体进行通报。</w:t>
      </w:r>
    </w:p>
    <w:p>
      <w:pPr>
        <w:ind w:firstLine="560"/>
      </w:pPr>
      <w:r>
        <w:rPr>
          <w:rFonts w:hint="eastAsia"/>
        </w:rPr>
        <w:t>为确保整个事故救援过程顺利、有效的开展，编制组在预案中明确了公司的整个保障体系，具体包括：通讯与信息保障、应急队伍保障、应急物资装备保障、交通运输保障、救援医疗保障、治安保障等。预案的主要内容编制完成后，编制组为确保预案达到编制目的，降低事故损失，对预案的培训和演练做了详细的规定。</w:t>
      </w:r>
    </w:p>
    <w:p>
      <w:pPr>
        <w:ind w:firstLine="560"/>
      </w:pPr>
      <w:r>
        <w:rPr>
          <w:rFonts w:hint="eastAsia"/>
        </w:rPr>
        <w:t>预案编制完成后以总经理为组长的应急预案编制小组对预案的主要内容进行了内部审核，对审核中提出的问题，预案编制组对其进行了完善。同时邀请外部专家对预案进行评审，并对意见及采纳情况进行记录。编制组在完善各项修改意见的基础上编制完成该预案。</w:t>
      </w:r>
    </w:p>
    <w:p>
      <w:pPr>
        <w:pStyle w:val="2"/>
      </w:pPr>
      <w:r>
        <w:rPr>
          <w:rFonts w:hint="eastAsia"/>
        </w:rPr>
        <w:t>重点内容说明</w:t>
      </w:r>
    </w:p>
    <w:p>
      <w:pPr>
        <w:ind w:firstLine="560"/>
      </w:pPr>
      <w:r>
        <w:rPr>
          <w:rFonts w:hint="eastAsia"/>
        </w:rPr>
        <w:t>本预案在企业环境风险评估和应急物资调查的基础上形成。环境风险评估过程中对企业周边的环境风险受体进行了调查，对企业涉及的环境风险物质进行了筛选，</w:t>
      </w:r>
      <w:r>
        <w:rPr>
          <w:rFonts w:hint="eastAsia"/>
          <w:color w:val="000000" w:themeColor="text1"/>
          <w14:textFill>
            <w14:solidFill>
              <w14:schemeClr w14:val="tx1"/>
            </w14:solidFill>
          </w14:textFill>
        </w:rPr>
        <w:t>根据环境风险物质数量与临界量比值（Q）的计算结果</w:t>
      </w:r>
      <w:r>
        <w:rPr>
          <w:rFonts w:hint="eastAsia"/>
          <w:color w:val="000000" w:themeColor="text1"/>
          <w:lang w:eastAsia="zh-CN"/>
          <w14:textFill>
            <w14:solidFill>
              <w14:schemeClr w14:val="tx1"/>
            </w14:solidFill>
          </w14:textFill>
        </w:rPr>
        <w:t>、企业生产工艺和周边风险受体</w:t>
      </w:r>
      <w:r>
        <w:rPr>
          <w:rFonts w:hint="eastAsia"/>
          <w:color w:val="000000" w:themeColor="text1"/>
          <w14:textFill>
            <w14:solidFill>
              <w14:schemeClr w14:val="tx1"/>
            </w14:solidFill>
          </w14:textFill>
        </w:rPr>
        <w:t>判定企业为</w:t>
      </w:r>
      <w:r>
        <w:rPr>
          <w:rFonts w:hint="eastAsia"/>
          <w:color w:val="auto"/>
          <w:lang w:eastAsia="zh-CN"/>
        </w:rPr>
        <w:t>较大</w:t>
      </w:r>
      <w:r>
        <w:rPr>
          <w:rFonts w:hint="eastAsia"/>
          <w:color w:val="auto"/>
        </w:rPr>
        <w:t>环境风险等级</w:t>
      </w:r>
      <w:r>
        <w:rPr>
          <w:rFonts w:hint="eastAsia"/>
          <w:color w:val="000000" w:themeColor="text1"/>
          <w14:textFill>
            <w14:solidFill>
              <w14:schemeClr w14:val="tx1"/>
            </w14:solidFill>
          </w14:textFill>
        </w:rPr>
        <w:t>。针对本企业可能发生的火灾爆炸等突发环境事故，明确了相应的应急措施，查找了现有环</w:t>
      </w:r>
      <w:r>
        <w:rPr>
          <w:rFonts w:hint="eastAsia"/>
        </w:rPr>
        <w:t>境风险防控和应急措施的差距，给出了完善环境风险防控和应急措施的实施计划。调查了企业应急物质的配备情况，明确了应急组织机构的设置情况及职责。</w:t>
      </w:r>
    </w:p>
    <w:p>
      <w:pPr>
        <w:pStyle w:val="2"/>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《预案》桌面推演情况</w:t>
      </w:r>
    </w:p>
    <w:p>
      <w:pPr>
        <w:keepNext/>
        <w:keepLines/>
        <w:pageBreakBefore w:val="0"/>
        <w:widowControl w:val="0"/>
        <w:kinsoku/>
        <w:wordWrap/>
        <w:overflowPunct/>
        <w:topLinePunct w:val="0"/>
        <w:autoSpaceDE/>
        <w:autoSpaceDN/>
        <w:bidi w:val="0"/>
        <w:adjustRightInd/>
        <w:snapToGrid/>
        <w:textAlignment w:val="auto"/>
        <w:outlineLvl w:val="9"/>
        <w:rPr>
          <w:rFonts w:hint="eastAsia"/>
          <w:lang w:val="en-US" w:eastAsia="zh-CN"/>
        </w:rPr>
      </w:pPr>
      <w:r>
        <w:rPr>
          <w:rFonts w:hint="eastAsia"/>
          <w:lang w:eastAsia="zh-CN"/>
        </w:rPr>
        <w:t>企业根据《预案》开展了桌面推演，应急预案指挥部成员以及各个小组的负责人共</w:t>
      </w:r>
      <w:r>
        <w:rPr>
          <w:rFonts w:hint="eastAsia"/>
          <w:lang w:val="en-US" w:eastAsia="zh-CN"/>
        </w:rPr>
        <w:t>10余人参加。</w:t>
      </w:r>
    </w:p>
    <w:p>
      <w:pPr>
        <w:keepNext/>
        <w:keepLines/>
        <w:pageBreakBefore w:val="0"/>
        <w:widowControl w:val="0"/>
        <w:kinsoku/>
        <w:wordWrap/>
        <w:overflowPunct/>
        <w:topLinePunct w:val="0"/>
        <w:autoSpaceDE/>
        <w:autoSpaceDN/>
        <w:bidi w:val="0"/>
        <w:adjustRightInd/>
        <w:snapToGrid/>
        <w:textAlignment w:val="auto"/>
        <w:outlineLvl w:val="9"/>
        <w:rPr>
          <w:rFonts w:hint="eastAsia"/>
          <w:lang w:val="en-US" w:eastAsia="zh-CN"/>
        </w:rPr>
      </w:pPr>
      <w:r>
        <w:rPr>
          <w:rFonts w:hint="eastAsia"/>
          <w:lang w:val="en-US" w:eastAsia="zh-CN"/>
        </w:rPr>
        <w:t>此次桌面推演，主要推演内容为企业可能出现的突发环境事件如：火灾爆炸、泄漏引起的次生、衍生厂外环境污染及人员伤亡事故；污染治理设施异常；通讯或运输系统故障事故。推演结束后，参与人员对推演情况进行总结风险，并且对推演中暴露的问题提出了解决措施。</w:t>
      </w:r>
    </w:p>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lang w:val="en-US" w:eastAsia="zh-CN"/>
        </w:rPr>
      </w:pPr>
      <w:r>
        <w:rPr>
          <w:rFonts w:hint="eastAsia"/>
          <w:lang w:val="en-US" w:eastAsia="zh-CN"/>
        </w:rPr>
        <w:t>表1 推演暴露问题及解决措施清单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3375"/>
        <w:gridCol w:w="5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b/>
                <w:bCs/>
                <w:vertAlign w:val="baseline"/>
                <w:lang w:val="en-US" w:eastAsia="zh-CN"/>
              </w:rPr>
            </w:pPr>
            <w:r>
              <w:rPr>
                <w:rFonts w:hint="eastAsia"/>
                <w:b/>
                <w:bCs/>
                <w:vertAlign w:val="baseline"/>
                <w:lang w:val="en-US" w:eastAsia="zh-CN"/>
              </w:rPr>
              <w:t>序号</w:t>
            </w:r>
          </w:p>
        </w:tc>
        <w:tc>
          <w:tcPr>
            <w:tcW w:w="337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b/>
                <w:bCs/>
                <w:vertAlign w:val="baseline"/>
                <w:lang w:val="en-US" w:eastAsia="zh-CN"/>
              </w:rPr>
            </w:pPr>
            <w:r>
              <w:rPr>
                <w:rFonts w:hint="eastAsia"/>
                <w:b/>
                <w:bCs/>
                <w:vertAlign w:val="baseline"/>
                <w:lang w:val="en-US" w:eastAsia="zh-CN"/>
              </w:rPr>
              <w:t>存在问题</w:t>
            </w:r>
          </w:p>
        </w:tc>
        <w:tc>
          <w:tcPr>
            <w:tcW w:w="5106"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b/>
                <w:bCs/>
                <w:vertAlign w:val="baseline"/>
                <w:lang w:val="en-US" w:eastAsia="zh-CN"/>
              </w:rPr>
            </w:pPr>
            <w:r>
              <w:rPr>
                <w:rFonts w:hint="eastAsia"/>
                <w:b/>
                <w:bCs/>
                <w:vertAlign w:val="baseline"/>
                <w:lang w:val="en-US" w:eastAsia="zh-CN"/>
              </w:rPr>
              <w:t>解决措施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Times New Roman" w:hAnsi="Times New Roman" w:eastAsia="宋体" w:cstheme="minorBidi"/>
                <w:kern w:val="2"/>
                <w:sz w:val="28"/>
                <w:szCs w:val="22"/>
                <w:vertAlign w:val="baseline"/>
                <w:lang w:val="en-US" w:eastAsia="zh-CN" w:bidi="ar-SA"/>
              </w:rPr>
            </w:pPr>
            <w:r>
              <w:rPr>
                <w:rFonts w:hint="eastAsia"/>
                <w:vertAlign w:val="baseline"/>
                <w:lang w:val="en-US" w:eastAsia="zh-CN"/>
              </w:rPr>
              <w:t>1</w:t>
            </w:r>
          </w:p>
        </w:tc>
        <w:tc>
          <w:tcPr>
            <w:tcW w:w="337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b w:val="0"/>
                <w:bCs w:val="0"/>
                <w:vertAlign w:val="baseline"/>
                <w:lang w:val="en-US" w:eastAsia="zh-CN"/>
              </w:rPr>
            </w:pPr>
            <w:r>
              <w:rPr>
                <w:rFonts w:hint="eastAsia"/>
                <w:b w:val="0"/>
                <w:bCs w:val="0"/>
                <w:vertAlign w:val="baseline"/>
                <w:lang w:val="en-US" w:eastAsia="zh-CN"/>
              </w:rPr>
              <w:t>部分应急处置小组成员对应急流程不熟悉</w:t>
            </w:r>
          </w:p>
        </w:tc>
        <w:tc>
          <w:tcPr>
            <w:tcW w:w="5106" w:type="dxa"/>
            <w:vMerge w:val="restart"/>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vertAlign w:val="baseline"/>
                <w:lang w:val="en-US" w:eastAsia="zh-CN"/>
              </w:rPr>
            </w:pPr>
            <w:r>
              <w:rPr>
                <w:rFonts w:hint="eastAsia"/>
                <w:vertAlign w:val="baseline"/>
                <w:lang w:val="en-US" w:eastAsia="zh-CN"/>
              </w:rPr>
              <w:t>组织开展预案专项培训，切实加强预案实际演练，增强各小组对预案的熟悉程度，做到熟悉消防设施的使用，可以根据现场情况采取合适的消防措施，提升各小组配合衔接的默契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2</w:t>
            </w:r>
          </w:p>
        </w:tc>
        <w:tc>
          <w:tcPr>
            <w:tcW w:w="337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vertAlign w:val="baseline"/>
                <w:lang w:val="en-US" w:eastAsia="zh-CN"/>
              </w:rPr>
            </w:pPr>
            <w:r>
              <w:rPr>
                <w:rFonts w:hint="eastAsia"/>
                <w:vertAlign w:val="baseline"/>
                <w:lang w:val="en-US" w:eastAsia="zh-CN"/>
              </w:rPr>
              <w:t>各应急处置小组互相衔接薄弱、配合混乱</w:t>
            </w:r>
          </w:p>
        </w:tc>
        <w:tc>
          <w:tcPr>
            <w:tcW w:w="5106" w:type="dxa"/>
            <w:vMerge w:val="continue"/>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Times New Roman" w:hAnsi="Times New Roman" w:eastAsia="宋体" w:cstheme="minorBidi"/>
                <w:kern w:val="2"/>
                <w:sz w:val="28"/>
                <w:szCs w:val="22"/>
                <w:vertAlign w:val="baseline"/>
                <w:lang w:val="en-US" w:eastAsia="zh-CN" w:bidi="ar-SA"/>
              </w:rPr>
            </w:pPr>
            <w:r>
              <w:rPr>
                <w:rFonts w:hint="eastAsia"/>
                <w:vertAlign w:val="baseline"/>
                <w:lang w:val="en-US" w:eastAsia="zh-CN"/>
              </w:rPr>
              <w:t>3</w:t>
            </w:r>
          </w:p>
        </w:tc>
        <w:tc>
          <w:tcPr>
            <w:tcW w:w="337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vertAlign w:val="baseline"/>
                <w:lang w:val="en-US" w:eastAsia="zh-CN"/>
              </w:rPr>
            </w:pPr>
            <w:r>
              <w:rPr>
                <w:rFonts w:hint="eastAsia"/>
                <w:vertAlign w:val="baseline"/>
                <w:lang w:val="en-US" w:eastAsia="zh-CN"/>
              </w:rPr>
              <w:t>部分应急处置小组成员不熟悉消防设施的使用</w:t>
            </w:r>
          </w:p>
        </w:tc>
        <w:tc>
          <w:tcPr>
            <w:tcW w:w="5106" w:type="dxa"/>
            <w:vMerge w:val="continue"/>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4</w:t>
            </w:r>
          </w:p>
        </w:tc>
        <w:tc>
          <w:tcPr>
            <w:tcW w:w="337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应急救援指挥部及各应急处置小组进行应急指挥时信息传达滞后</w:t>
            </w:r>
          </w:p>
        </w:tc>
        <w:tc>
          <w:tcPr>
            <w:tcW w:w="5106"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安排应急救援指挥部及各应急处置小组熟悉互相的联系方式，组长保持全天开机，工作人员至少保持工作时间开机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5</w:t>
            </w:r>
          </w:p>
        </w:tc>
        <w:tc>
          <w:tcPr>
            <w:tcW w:w="337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医疗救护组人员急救知识不熟悉</w:t>
            </w:r>
          </w:p>
        </w:tc>
        <w:tc>
          <w:tcPr>
            <w:tcW w:w="5106"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全厂范围内，开展人员安全急救讲座，做到人人懂急救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vertAlign w:val="baseline"/>
                <w:lang w:val="en-US" w:eastAsia="zh-CN"/>
              </w:rPr>
            </w:pPr>
            <w:r>
              <w:rPr>
                <w:rFonts w:hint="eastAsia"/>
                <w:vertAlign w:val="baseline"/>
                <w:lang w:val="en-US" w:eastAsia="zh-CN"/>
              </w:rPr>
              <w:t>6</w:t>
            </w:r>
          </w:p>
        </w:tc>
        <w:tc>
          <w:tcPr>
            <w:tcW w:w="337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vertAlign w:val="baseline"/>
                <w:lang w:val="en-US" w:eastAsia="zh-CN"/>
              </w:rPr>
            </w:pPr>
            <w:r>
              <w:rPr>
                <w:rFonts w:hint="eastAsia"/>
                <w:vertAlign w:val="baseline"/>
                <w:lang w:val="en-US" w:eastAsia="zh-CN"/>
              </w:rPr>
              <w:t>应急监测组人员对可能产生的环境污染物缺乏了解</w:t>
            </w:r>
          </w:p>
        </w:tc>
        <w:tc>
          <w:tcPr>
            <w:tcW w:w="5106"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vertAlign w:val="baseline"/>
                <w:lang w:val="en-US" w:eastAsia="zh-CN"/>
              </w:rPr>
            </w:pPr>
            <w:r>
              <w:rPr>
                <w:rFonts w:hint="eastAsia"/>
                <w:vertAlign w:val="baseline"/>
                <w:lang w:val="en-US" w:eastAsia="zh-CN"/>
              </w:rPr>
              <w:t>增强应急监测组人员总体素质，做到熟知污染物的特征、处置方式、污染途径</w:t>
            </w:r>
          </w:p>
        </w:tc>
      </w:tr>
    </w:tbl>
    <w:p>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征求意见及采纳情况说明</w:t>
      </w:r>
    </w:p>
    <w:p>
      <w:pPr>
        <w:ind w:firstLine="56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为确保《预案》的编制更加全面、具体，在进行预案编制和内部审核时，邀请了员工代表和当地居民参与到编制和审核的工作中，并征求了他们的意见和建议。编制小组对提出的建议进行了汇总，</w:t>
      </w:r>
      <w:r>
        <w:rPr>
          <w:rFonts w:hint="eastAsia"/>
          <w:color w:val="000000" w:themeColor="text1"/>
          <w:lang w:eastAsia="zh-CN"/>
          <w14:textFill>
            <w14:solidFill>
              <w14:schemeClr w14:val="tx1"/>
            </w14:solidFill>
          </w14:textFill>
        </w:rPr>
        <w:t>见下表</w:t>
      </w:r>
      <w:r>
        <w:rPr>
          <w:rFonts w:hint="eastAsia"/>
          <w:color w:val="000000" w:themeColor="text1"/>
          <w14:textFill>
            <w14:solidFill>
              <w14:schemeClr w14:val="tx1"/>
            </w14:solidFill>
          </w14:textFill>
        </w:rPr>
        <w:t>：</w:t>
      </w:r>
    </w:p>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lang w:val="en-US" w:eastAsia="zh-CN"/>
        </w:rPr>
      </w:pPr>
      <w:r>
        <w:rPr>
          <w:rFonts w:hint="eastAsia"/>
          <w:lang w:val="en-US" w:eastAsia="zh-CN"/>
        </w:rPr>
        <w:t>表2 建议及解决方法</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4485"/>
        <w:gridCol w:w="3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b/>
                <w:bCs/>
                <w:vertAlign w:val="baseline"/>
                <w:lang w:val="en-US" w:eastAsia="zh-CN"/>
              </w:rPr>
            </w:pPr>
            <w:r>
              <w:rPr>
                <w:rFonts w:hint="eastAsia"/>
                <w:b/>
                <w:bCs/>
                <w:vertAlign w:val="baseline"/>
                <w:lang w:val="en-US" w:eastAsia="zh-CN"/>
              </w:rPr>
              <w:t>序号</w:t>
            </w:r>
          </w:p>
        </w:tc>
        <w:tc>
          <w:tcPr>
            <w:tcW w:w="448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b/>
                <w:bCs/>
                <w:vertAlign w:val="baseline"/>
                <w:lang w:val="en-US" w:eastAsia="zh-CN"/>
              </w:rPr>
            </w:pPr>
            <w:r>
              <w:rPr>
                <w:rFonts w:hint="eastAsia"/>
                <w:b/>
                <w:bCs/>
                <w:vertAlign w:val="baseline"/>
                <w:lang w:val="en-US" w:eastAsia="zh-CN"/>
              </w:rPr>
              <w:t>预案建议</w:t>
            </w:r>
          </w:p>
        </w:tc>
        <w:tc>
          <w:tcPr>
            <w:tcW w:w="3996"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b/>
                <w:bCs/>
                <w:vertAlign w:val="baseline"/>
                <w:lang w:val="en-US" w:eastAsia="zh-CN"/>
              </w:rPr>
            </w:pPr>
            <w:r>
              <w:rPr>
                <w:rFonts w:hint="eastAsia"/>
                <w:b/>
                <w:bCs/>
                <w:vertAlign w:val="baseline"/>
                <w:lang w:val="en-US" w:eastAsia="zh-CN"/>
              </w:rPr>
              <w:t>解决措施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ascii="Times New Roman" w:hAnsi="Times New Roman" w:eastAsia="宋体" w:cstheme="minorBidi"/>
                <w:kern w:val="2"/>
                <w:sz w:val="28"/>
                <w:szCs w:val="22"/>
                <w:vertAlign w:val="baseline"/>
                <w:lang w:val="en-US" w:eastAsia="zh-CN" w:bidi="ar-SA"/>
              </w:rPr>
            </w:pPr>
            <w:r>
              <w:rPr>
                <w:rFonts w:hint="eastAsia"/>
                <w:vertAlign w:val="baseline"/>
                <w:lang w:val="en-US" w:eastAsia="zh-CN"/>
              </w:rPr>
              <w:t>1</w:t>
            </w:r>
          </w:p>
        </w:tc>
        <w:tc>
          <w:tcPr>
            <w:tcW w:w="448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eastAsia"/>
                <w:b w:val="0"/>
                <w:bCs w:val="0"/>
                <w:vertAlign w:val="baseline"/>
                <w:lang w:val="en-US" w:eastAsia="zh-CN"/>
              </w:rPr>
            </w:pPr>
            <w:r>
              <w:rPr>
                <w:rFonts w:hint="eastAsia"/>
                <w:color w:val="000000" w:themeColor="text1"/>
                <w14:textFill>
                  <w14:solidFill>
                    <w14:schemeClr w14:val="tx1"/>
                  </w14:solidFill>
                </w14:textFill>
              </w:rPr>
              <w:t>预案中对事故发生时的应急处置措施制定的不够具体</w:t>
            </w:r>
          </w:p>
        </w:tc>
        <w:tc>
          <w:tcPr>
            <w:tcW w:w="3996"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vertAlign w:val="baseline"/>
                <w:lang w:val="en-US" w:eastAsia="zh-CN"/>
              </w:rPr>
            </w:pPr>
            <w:r>
              <w:rPr>
                <w:rFonts w:hint="eastAsia"/>
                <w:vertAlign w:val="baseline"/>
                <w:lang w:val="en-US" w:eastAsia="zh-CN"/>
              </w:rPr>
              <w:t>根据事故特征，制定详细应急处置措施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2</w:t>
            </w:r>
          </w:p>
        </w:tc>
        <w:tc>
          <w:tcPr>
            <w:tcW w:w="448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color w:val="000000" w:themeColor="text1"/>
                <w14:textFill>
                  <w14:solidFill>
                    <w14:schemeClr w14:val="tx1"/>
                  </w14:solidFill>
                </w14:textFill>
              </w:rPr>
              <w:t>预案对周边环境风险分析不够全面</w:t>
            </w:r>
          </w:p>
        </w:tc>
        <w:tc>
          <w:tcPr>
            <w:tcW w:w="3996"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cstheme="minorBidi"/>
                <w:kern w:val="2"/>
                <w:sz w:val="28"/>
                <w:szCs w:val="22"/>
                <w:vertAlign w:val="baseline"/>
                <w:lang w:val="en-US" w:eastAsia="zh-CN" w:bidi="ar-SA"/>
              </w:rPr>
              <w:t>实地勘查周边环境风险，收集周边敏感点资料，避免遗漏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63"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vertAlign w:val="baseline"/>
                <w:lang w:val="en-US" w:eastAsia="zh-CN"/>
              </w:rPr>
              <w:t>3</w:t>
            </w:r>
          </w:p>
        </w:tc>
        <w:tc>
          <w:tcPr>
            <w:tcW w:w="4485"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color w:val="000000" w:themeColor="text1"/>
                <w:lang w:eastAsia="zh-CN"/>
                <w14:textFill>
                  <w14:solidFill>
                    <w14:schemeClr w14:val="tx1"/>
                  </w14:solidFill>
                </w14:textFill>
              </w:rPr>
              <w:t>预案对事故发生时周边受影响居民的应急措施制定不够详细</w:t>
            </w:r>
          </w:p>
        </w:tc>
        <w:tc>
          <w:tcPr>
            <w:tcW w:w="3996" w:type="dxa"/>
            <w:vAlign w:val="center"/>
          </w:tcPr>
          <w:p>
            <w:pPr>
              <w:keepNext/>
              <w:keepLines/>
              <w:pageBreakBefore w:val="0"/>
              <w:widowControl w:val="0"/>
              <w:kinsoku/>
              <w:wordWrap/>
              <w:overflowPunct/>
              <w:topLinePunct w:val="0"/>
              <w:autoSpaceDE/>
              <w:autoSpaceDN/>
              <w:bidi w:val="0"/>
              <w:adjustRightInd/>
              <w:snapToGrid/>
              <w:ind w:firstLine="0" w:firstLineChars="0"/>
              <w:jc w:val="center"/>
              <w:textAlignment w:val="auto"/>
              <w:outlineLvl w:val="9"/>
              <w:rPr>
                <w:rFonts w:hint="default" w:ascii="Times New Roman" w:hAnsi="Times New Roman" w:eastAsia="宋体" w:cstheme="minorBidi"/>
                <w:kern w:val="2"/>
                <w:sz w:val="28"/>
                <w:szCs w:val="22"/>
                <w:vertAlign w:val="baseline"/>
                <w:lang w:val="en-US" w:eastAsia="zh-CN" w:bidi="ar-SA"/>
              </w:rPr>
            </w:pPr>
            <w:r>
              <w:rPr>
                <w:rFonts w:hint="eastAsia" w:cstheme="minorBidi"/>
                <w:kern w:val="2"/>
                <w:sz w:val="28"/>
                <w:szCs w:val="22"/>
                <w:vertAlign w:val="baseline"/>
                <w:lang w:val="en-US" w:eastAsia="zh-CN" w:bidi="ar-SA"/>
              </w:rPr>
              <w:t>参考江西省、南昌市、园区等的环境应急预案，制定详细的应急措施</w:t>
            </w:r>
          </w:p>
        </w:tc>
      </w:tr>
    </w:tbl>
    <w:p>
      <w:pPr>
        <w:ind w:firstLine="560"/>
        <w:rPr>
          <w:color w:val="000000" w:themeColor="text1"/>
          <w14:textFill>
            <w14:solidFill>
              <w14:schemeClr w14:val="tx1"/>
            </w14:solidFill>
          </w14:textFill>
        </w:rPr>
      </w:pPr>
    </w:p>
    <w:p>
      <w:pPr>
        <w:pStyle w:val="2"/>
        <w:rPr>
          <w:color w:val="000000" w:themeColor="text1"/>
          <w14:textFill>
            <w14:solidFill>
              <w14:schemeClr w14:val="tx1"/>
            </w14:solidFill>
          </w14:textFill>
        </w:rPr>
      </w:pPr>
      <w:r>
        <w:rPr>
          <w:rFonts w:hint="eastAsia"/>
          <w:color w:val="000000" w:themeColor="text1"/>
          <w14:textFill>
            <w14:solidFill>
              <w14:schemeClr w14:val="tx1"/>
            </w14:solidFill>
          </w14:textFill>
        </w:rPr>
        <w:t>评审情况说明</w:t>
      </w:r>
    </w:p>
    <w:p>
      <w:pPr>
        <w:ind w:firstLine="560"/>
        <w:rPr>
          <w:color w:val="000000" w:themeColor="text1"/>
          <w14:textFill>
            <w14:solidFill>
              <w14:schemeClr w14:val="tx1"/>
            </w14:solidFill>
          </w14:textFill>
        </w:rPr>
      </w:pPr>
      <w:r>
        <w:rPr>
          <w:rFonts w:hint="default"/>
          <w:color w:val="000000" w:themeColor="text1"/>
          <w:lang w:val="en-US" w:eastAsia="zh-CN"/>
          <w14:textFill>
            <w14:solidFill>
              <w14:schemeClr w14:val="tx1"/>
            </w14:solidFill>
          </w14:textFill>
        </w:rPr>
        <w:t>南昌慧华高科混凝土有限公司</w:t>
      </w:r>
      <w:r>
        <w:rPr>
          <w:rFonts w:hint="eastAsia"/>
          <w:color w:val="000000" w:themeColor="text1"/>
          <w14:textFill>
            <w14:solidFill>
              <w14:schemeClr w14:val="tx1"/>
            </w14:solidFill>
          </w14:textFill>
        </w:rPr>
        <w:t>于20</w:t>
      </w:r>
      <w:r>
        <w:rPr>
          <w:rFonts w:hint="eastAsia"/>
          <w:color w:val="000000" w:themeColor="text1"/>
          <w:lang w:val="en-US" w:eastAsia="zh-CN"/>
          <w14:textFill>
            <w14:solidFill>
              <w14:schemeClr w14:val="tx1"/>
            </w14:solidFill>
          </w14:textFill>
        </w:rPr>
        <w:t>20</w:t>
      </w:r>
      <w:r>
        <w:rPr>
          <w:rFonts w:hint="eastAsia"/>
          <w:color w:val="000000" w:themeColor="text1"/>
          <w14:textFill>
            <w14:solidFill>
              <w14:schemeClr w14:val="tx1"/>
            </w14:solidFill>
          </w14:textFill>
        </w:rPr>
        <w:t>年</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月</w:t>
      </w:r>
      <w:r>
        <w:rPr>
          <w:rFonts w:hint="default"/>
          <w:color w:val="000000" w:themeColor="text1"/>
          <w:lang w:val="en-US"/>
          <w14:textFill>
            <w14:solidFill>
              <w14:schemeClr w14:val="tx1"/>
            </w14:solidFill>
          </w14:textFill>
        </w:rPr>
        <w:t>20</w:t>
      </w:r>
      <w:bookmarkStart w:id="0" w:name="_GoBack"/>
      <w:bookmarkEnd w:id="0"/>
      <w:r>
        <w:rPr>
          <w:rFonts w:hint="eastAsia"/>
          <w:color w:val="000000" w:themeColor="text1"/>
          <w14:textFill>
            <w14:solidFill>
              <w14:schemeClr w14:val="tx1"/>
            </w14:solidFill>
          </w14:textFill>
        </w:rPr>
        <w:t>日邀请了有关专家代表对应急预案进行</w:t>
      </w:r>
      <w:r>
        <w:rPr>
          <w:rFonts w:hint="eastAsia"/>
          <w:color w:val="000000" w:themeColor="text1"/>
          <w:lang w:eastAsia="zh-CN"/>
          <w14:textFill>
            <w14:solidFill>
              <w14:schemeClr w14:val="tx1"/>
            </w14:solidFill>
          </w14:textFill>
        </w:rPr>
        <w:t>评审</w:t>
      </w:r>
      <w:r>
        <w:rPr>
          <w:rFonts w:hint="eastAsia"/>
          <w:color w:val="000000" w:themeColor="text1"/>
          <w14:textFill>
            <w14:solidFill>
              <w14:schemeClr w14:val="tx1"/>
            </w14:solidFill>
          </w14:textFill>
        </w:rPr>
        <w:t>。专家代表认真审阅了应急预案等相关材料，经认真讨论与评议，出具了评估意见，</w:t>
      </w:r>
      <w:r>
        <w:rPr>
          <w:rFonts w:hint="eastAsia"/>
          <w:color w:val="auto"/>
        </w:rPr>
        <w:t>专家组一致同意该应急预案经修改完善后可上报</w:t>
      </w:r>
      <w:r>
        <w:rPr>
          <w:rFonts w:hint="eastAsia"/>
          <w:color w:val="auto"/>
          <w:lang w:eastAsia="zh-CN"/>
        </w:rPr>
        <w:t>行政部门</w:t>
      </w:r>
      <w:r>
        <w:rPr>
          <w:rFonts w:hint="eastAsia"/>
          <w:color w:val="auto"/>
        </w:rPr>
        <w:t>备案</w:t>
      </w:r>
      <w:r>
        <w:rPr>
          <w:rFonts w:hint="eastAsia"/>
          <w:color w:val="000000" w:themeColor="text1"/>
          <w14:textFill>
            <w14:solidFill>
              <w14:schemeClr w14:val="tx1"/>
            </w14:solidFill>
          </w14:textFill>
        </w:rPr>
        <w:t>。</w:t>
      </w:r>
    </w:p>
    <w:p>
      <w:pPr>
        <w:ind w:firstLine="560"/>
      </w:pPr>
    </w:p>
    <w:p>
      <w:pPr>
        <w:ind w:firstLine="560"/>
      </w:pPr>
    </w:p>
    <w:p>
      <w:pPr>
        <w:ind w:firstLine="560"/>
      </w:pPr>
    </w:p>
    <w:sectPr>
      <w:headerReference r:id="rId9" w:type="default"/>
      <w:footerReference r:id="rId10" w:type="default"/>
      <w:pgSz w:w="11906" w:h="16838"/>
      <w:pgMar w:top="1304" w:right="1247" w:bottom="1304" w:left="1531" w:header="851" w:footer="851"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17510842"/>
      <w:docPartObj>
        <w:docPartGallery w:val="autotext"/>
      </w:docPartObj>
    </w:sdtPr>
    <w:sdtContent>
      <w:p>
        <w:pPr>
          <w:pStyle w:val="7"/>
          <w:pBdr>
            <w:top w:val="thickThinSmallGap" w:color="auto" w:sz="24" w:space="1"/>
          </w:pBdr>
          <w:ind w:firstLine="360"/>
          <w:jc w:val="center"/>
        </w:pPr>
        <w:r>
          <w:rPr>
            <w:rFonts w:hint="eastAsia"/>
          </w:rPr>
          <w:t>第</w:t>
        </w:r>
        <w:r>
          <w:fldChar w:fldCharType="begin"/>
        </w:r>
        <w:r>
          <w:instrText xml:space="preserve"> </w:instrText>
        </w:r>
        <w:r>
          <w:rPr>
            <w:rFonts w:hint="eastAsia"/>
          </w:rPr>
          <w:instrText xml:space="preserve">PAGE  \* Arabic  \* MERGEFORMAT</w:instrText>
        </w:r>
        <w:r>
          <w:instrText xml:space="preserve"> </w:instrText>
        </w:r>
        <w:r>
          <w:fldChar w:fldCharType="separate"/>
        </w:r>
        <w:r>
          <w:t>1</w:t>
        </w:r>
        <w:r>
          <w:fldChar w:fldCharType="end"/>
        </w:r>
        <w:r>
          <w:rPr>
            <w:rFonts w:hint="eastAsia"/>
          </w:rPr>
          <w:t>页，共</w:t>
        </w:r>
        <w:r>
          <w:rPr>
            <w:rFonts w:hint="eastAsia"/>
            <w:lang w:val="en-US" w:eastAsia="zh-CN"/>
          </w:rPr>
          <w:t>4</w:t>
        </w:r>
        <w:r>
          <w:rPr>
            <w:rFonts w:hint="eastAsia"/>
          </w:rPr>
          <w:t>页</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thinThickSmallGap" w:color="auto" w:sz="24" w:space="1"/>
      </w:pBdr>
      <w:ind w:firstLine="360"/>
    </w:pPr>
    <w:r>
      <w:rPr>
        <w:rFonts w:hint="default"/>
        <w:lang w:val="en-US" w:eastAsia="zh-CN"/>
      </w:rPr>
      <w:t>南昌慧华高科混凝土有限公司</w:t>
    </w:r>
    <w:r>
      <w:rPr>
        <w:rFonts w:hint="eastAsia"/>
      </w:rPr>
      <w:t>突发环境事件应急预案编制说明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C39C0"/>
    <w:multiLevelType w:val="multilevel"/>
    <w:tmpl w:val="498C39C0"/>
    <w:lvl w:ilvl="0" w:tentative="0">
      <w:start w:val="1"/>
      <w:numFmt w:val="decimal"/>
      <w:pStyle w:val="2"/>
      <w:suff w:val="space"/>
      <w:lvlText w:val="%1"/>
      <w:lvlJc w:val="left"/>
      <w:pPr>
        <w:ind w:left="425" w:hanging="425"/>
      </w:pPr>
      <w:rPr>
        <w:rFonts w:hint="default" w:ascii="Times New Roman" w:hAnsi="Times New Roman" w:eastAsia="宋体"/>
        <w:b/>
        <w:i w:val="0"/>
        <w:sz w:val="32"/>
      </w:rPr>
    </w:lvl>
    <w:lvl w:ilvl="1" w:tentative="0">
      <w:start w:val="1"/>
      <w:numFmt w:val="decimal"/>
      <w:pStyle w:val="3"/>
      <w:suff w:val="space"/>
      <w:lvlText w:val="%1.%2"/>
      <w:lvlJc w:val="left"/>
      <w:pPr>
        <w:ind w:left="992" w:hanging="992"/>
      </w:pPr>
      <w:rPr>
        <w:rFonts w:hint="default" w:ascii="Times New Roman" w:hAnsi="Times New Roman" w:eastAsia="宋体"/>
        <w:b/>
        <w:i w:val="0"/>
        <w:sz w:val="30"/>
        <w:szCs w:val="30"/>
      </w:rPr>
    </w:lvl>
    <w:lvl w:ilvl="2" w:tentative="0">
      <w:start w:val="1"/>
      <w:numFmt w:val="decimal"/>
      <w:pStyle w:val="4"/>
      <w:suff w:val="space"/>
      <w:lvlText w:val="%1.%2.%3"/>
      <w:lvlJc w:val="left"/>
      <w:pPr>
        <w:ind w:left="1418" w:hanging="1418"/>
      </w:pPr>
      <w:rPr>
        <w:rFonts w:hint="default" w:ascii="Times New Roman" w:hAnsi="Times New Roman" w:eastAsia="宋体"/>
        <w:b/>
        <w:i w:val="0"/>
        <w:sz w:val="28"/>
      </w:rPr>
    </w:lvl>
    <w:lvl w:ilvl="3" w:tentative="0">
      <w:start w:val="1"/>
      <w:numFmt w:val="decimal"/>
      <w:pStyle w:val="5"/>
      <w:suff w:val="space"/>
      <w:lvlText w:val="%1.%2.%3.%4"/>
      <w:lvlJc w:val="left"/>
      <w:pPr>
        <w:ind w:left="1984" w:hanging="1984"/>
      </w:pPr>
      <w:rPr>
        <w:rFonts w:hint="default" w:ascii="Times New Roman" w:hAnsi="Times New Roman" w:eastAsia="宋体"/>
        <w:b/>
        <w:i w:val="0"/>
        <w:sz w:val="28"/>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FCF"/>
    <w:rsid w:val="000068A1"/>
    <w:rsid w:val="000459F8"/>
    <w:rsid w:val="000520C6"/>
    <w:rsid w:val="000739CE"/>
    <w:rsid w:val="000E2541"/>
    <w:rsid w:val="000E6C75"/>
    <w:rsid w:val="0011740F"/>
    <w:rsid w:val="00184677"/>
    <w:rsid w:val="001B4742"/>
    <w:rsid w:val="001F5969"/>
    <w:rsid w:val="002014A2"/>
    <w:rsid w:val="00206FD3"/>
    <w:rsid w:val="002213F8"/>
    <w:rsid w:val="002332B7"/>
    <w:rsid w:val="00256809"/>
    <w:rsid w:val="002607C2"/>
    <w:rsid w:val="002712FD"/>
    <w:rsid w:val="00280274"/>
    <w:rsid w:val="0029374A"/>
    <w:rsid w:val="002A0159"/>
    <w:rsid w:val="002D4A35"/>
    <w:rsid w:val="002D51E3"/>
    <w:rsid w:val="00312B6C"/>
    <w:rsid w:val="00357128"/>
    <w:rsid w:val="00365294"/>
    <w:rsid w:val="0038519B"/>
    <w:rsid w:val="00390E5F"/>
    <w:rsid w:val="003F14F6"/>
    <w:rsid w:val="003F670D"/>
    <w:rsid w:val="004027B3"/>
    <w:rsid w:val="004032C5"/>
    <w:rsid w:val="00412E9F"/>
    <w:rsid w:val="0043262B"/>
    <w:rsid w:val="00451C0E"/>
    <w:rsid w:val="0049531F"/>
    <w:rsid w:val="004A2717"/>
    <w:rsid w:val="004D5703"/>
    <w:rsid w:val="004F1222"/>
    <w:rsid w:val="00537D78"/>
    <w:rsid w:val="00543F4F"/>
    <w:rsid w:val="005449C5"/>
    <w:rsid w:val="00554765"/>
    <w:rsid w:val="00592524"/>
    <w:rsid w:val="005C0EDA"/>
    <w:rsid w:val="005C314A"/>
    <w:rsid w:val="0061745B"/>
    <w:rsid w:val="00653B24"/>
    <w:rsid w:val="006653E9"/>
    <w:rsid w:val="006822BD"/>
    <w:rsid w:val="006B45DA"/>
    <w:rsid w:val="006C74AF"/>
    <w:rsid w:val="0070649B"/>
    <w:rsid w:val="007737D9"/>
    <w:rsid w:val="007809F1"/>
    <w:rsid w:val="00790BE4"/>
    <w:rsid w:val="007A357D"/>
    <w:rsid w:val="007C3B21"/>
    <w:rsid w:val="007C6F6F"/>
    <w:rsid w:val="007D7897"/>
    <w:rsid w:val="007F1768"/>
    <w:rsid w:val="007F7E85"/>
    <w:rsid w:val="00831E4A"/>
    <w:rsid w:val="0087294A"/>
    <w:rsid w:val="00882C2F"/>
    <w:rsid w:val="008923D2"/>
    <w:rsid w:val="008A0B15"/>
    <w:rsid w:val="008A1C1F"/>
    <w:rsid w:val="008C6909"/>
    <w:rsid w:val="00901E21"/>
    <w:rsid w:val="0090530E"/>
    <w:rsid w:val="00926018"/>
    <w:rsid w:val="00975BB1"/>
    <w:rsid w:val="009A36B8"/>
    <w:rsid w:val="009A7850"/>
    <w:rsid w:val="009B7E61"/>
    <w:rsid w:val="009C4A41"/>
    <w:rsid w:val="00A23CFE"/>
    <w:rsid w:val="00A85BC9"/>
    <w:rsid w:val="00AB24B9"/>
    <w:rsid w:val="00AF0137"/>
    <w:rsid w:val="00AF07D6"/>
    <w:rsid w:val="00AF692B"/>
    <w:rsid w:val="00B159FE"/>
    <w:rsid w:val="00B21B9E"/>
    <w:rsid w:val="00B250EA"/>
    <w:rsid w:val="00B4727E"/>
    <w:rsid w:val="00B66A5C"/>
    <w:rsid w:val="00BA06D2"/>
    <w:rsid w:val="00BB5896"/>
    <w:rsid w:val="00BE3E8E"/>
    <w:rsid w:val="00C11A97"/>
    <w:rsid w:val="00C92B5E"/>
    <w:rsid w:val="00C94B0F"/>
    <w:rsid w:val="00CD3678"/>
    <w:rsid w:val="00D01DCC"/>
    <w:rsid w:val="00D34A3F"/>
    <w:rsid w:val="00D51769"/>
    <w:rsid w:val="00D81A01"/>
    <w:rsid w:val="00D93DB4"/>
    <w:rsid w:val="00DA4BD1"/>
    <w:rsid w:val="00DD0D88"/>
    <w:rsid w:val="00DF1F31"/>
    <w:rsid w:val="00E006C8"/>
    <w:rsid w:val="00E04793"/>
    <w:rsid w:val="00E206B3"/>
    <w:rsid w:val="00E33D3A"/>
    <w:rsid w:val="00E4366C"/>
    <w:rsid w:val="00E55B4D"/>
    <w:rsid w:val="00EB11E4"/>
    <w:rsid w:val="00ED7CE5"/>
    <w:rsid w:val="00F10E21"/>
    <w:rsid w:val="00F62A33"/>
    <w:rsid w:val="00F7027A"/>
    <w:rsid w:val="00F741A2"/>
    <w:rsid w:val="00F83FCF"/>
    <w:rsid w:val="00FB6BD7"/>
    <w:rsid w:val="00FC7F4B"/>
    <w:rsid w:val="00FD7A54"/>
    <w:rsid w:val="01A55144"/>
    <w:rsid w:val="02D536C7"/>
    <w:rsid w:val="03373877"/>
    <w:rsid w:val="0E6D4FE2"/>
    <w:rsid w:val="0FC66E25"/>
    <w:rsid w:val="15B8358F"/>
    <w:rsid w:val="324D08E9"/>
    <w:rsid w:val="3AD806B6"/>
    <w:rsid w:val="3F516C4E"/>
    <w:rsid w:val="43883329"/>
    <w:rsid w:val="504D43B3"/>
    <w:rsid w:val="57B14211"/>
    <w:rsid w:val="60CE2C84"/>
    <w:rsid w:val="61605B79"/>
    <w:rsid w:val="66B40125"/>
    <w:rsid w:val="6D513E12"/>
    <w:rsid w:val="72715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8"/>
      <w:szCs w:val="22"/>
      <w:lang w:val="en-US" w:eastAsia="zh-CN" w:bidi="ar-SA"/>
    </w:rPr>
  </w:style>
  <w:style w:type="paragraph" w:styleId="2">
    <w:name w:val="heading 1"/>
    <w:basedOn w:val="1"/>
    <w:next w:val="3"/>
    <w:link w:val="14"/>
    <w:qFormat/>
    <w:uiPriority w:val="9"/>
    <w:pPr>
      <w:keepNext/>
      <w:keepLines/>
      <w:numPr>
        <w:ilvl w:val="0"/>
        <w:numId w:val="1"/>
      </w:numPr>
      <w:ind w:left="0" w:firstLine="0" w:firstLineChars="0"/>
      <w:jc w:val="left"/>
      <w:outlineLvl w:val="0"/>
    </w:pPr>
    <w:rPr>
      <w:b/>
      <w:bCs/>
      <w:kern w:val="44"/>
      <w:sz w:val="32"/>
      <w:szCs w:val="44"/>
    </w:rPr>
  </w:style>
  <w:style w:type="paragraph" w:styleId="3">
    <w:name w:val="heading 2"/>
    <w:basedOn w:val="1"/>
    <w:next w:val="4"/>
    <w:link w:val="16"/>
    <w:unhideWhenUsed/>
    <w:qFormat/>
    <w:uiPriority w:val="9"/>
    <w:pPr>
      <w:keepNext/>
      <w:keepLines/>
      <w:numPr>
        <w:ilvl w:val="1"/>
        <w:numId w:val="1"/>
      </w:numPr>
      <w:ind w:left="0" w:firstLine="0" w:firstLineChars="0"/>
      <w:jc w:val="left"/>
      <w:outlineLvl w:val="1"/>
    </w:pPr>
    <w:rPr>
      <w:rFonts w:cstheme="majorBidi"/>
      <w:b/>
      <w:bCs/>
      <w:sz w:val="30"/>
      <w:szCs w:val="32"/>
    </w:rPr>
  </w:style>
  <w:style w:type="paragraph" w:styleId="4">
    <w:name w:val="heading 3"/>
    <w:basedOn w:val="1"/>
    <w:next w:val="5"/>
    <w:link w:val="17"/>
    <w:unhideWhenUsed/>
    <w:qFormat/>
    <w:uiPriority w:val="9"/>
    <w:pPr>
      <w:keepNext/>
      <w:keepLines/>
      <w:numPr>
        <w:ilvl w:val="2"/>
        <w:numId w:val="1"/>
      </w:numPr>
      <w:ind w:left="0" w:firstLine="0" w:firstLineChars="0"/>
      <w:jc w:val="left"/>
      <w:outlineLvl w:val="2"/>
    </w:pPr>
    <w:rPr>
      <w:b/>
      <w:bCs/>
      <w:szCs w:val="32"/>
    </w:rPr>
  </w:style>
  <w:style w:type="paragraph" w:styleId="5">
    <w:name w:val="heading 4"/>
    <w:basedOn w:val="1"/>
    <w:next w:val="1"/>
    <w:link w:val="18"/>
    <w:unhideWhenUsed/>
    <w:qFormat/>
    <w:uiPriority w:val="9"/>
    <w:pPr>
      <w:keepNext/>
      <w:keepLines/>
      <w:numPr>
        <w:ilvl w:val="3"/>
        <w:numId w:val="1"/>
      </w:numPr>
      <w:ind w:left="0" w:firstLine="0" w:firstLineChars="0"/>
      <w:jc w:val="left"/>
      <w:outlineLvl w:val="3"/>
    </w:pPr>
    <w:rPr>
      <w:rFonts w:cstheme="majorBidi"/>
      <w:b/>
      <w:bCs/>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pPr>
      <w:ind w:firstLine="0" w:firstLineChars="0"/>
      <w:jc w:val="center"/>
    </w:pPr>
    <w:rPr>
      <w:rFonts w:cstheme="majorBidi"/>
      <w:szCs w:val="20"/>
    </w:rPr>
  </w:style>
  <w:style w:type="paragraph" w:styleId="7">
    <w:name w:val="footer"/>
    <w:basedOn w:val="1"/>
    <w:link w:val="13"/>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8"/>
    <w:qFormat/>
    <w:uiPriority w:val="99"/>
    <w:rPr>
      <w:sz w:val="18"/>
      <w:szCs w:val="18"/>
    </w:rPr>
  </w:style>
  <w:style w:type="character" w:customStyle="1" w:styleId="13">
    <w:name w:val="页脚 字符"/>
    <w:basedOn w:val="11"/>
    <w:link w:val="7"/>
    <w:qFormat/>
    <w:uiPriority w:val="99"/>
    <w:rPr>
      <w:sz w:val="18"/>
      <w:szCs w:val="18"/>
    </w:rPr>
  </w:style>
  <w:style w:type="character" w:customStyle="1" w:styleId="14">
    <w:name w:val="标题 1 字符"/>
    <w:basedOn w:val="11"/>
    <w:link w:val="2"/>
    <w:qFormat/>
    <w:uiPriority w:val="9"/>
    <w:rPr>
      <w:rFonts w:ascii="Times New Roman" w:hAnsi="Times New Roman" w:eastAsia="宋体"/>
      <w:b/>
      <w:bCs/>
      <w:kern w:val="44"/>
      <w:sz w:val="32"/>
      <w:szCs w:val="44"/>
    </w:rPr>
  </w:style>
  <w:style w:type="paragraph" w:styleId="15">
    <w:name w:val="List Paragraph"/>
    <w:basedOn w:val="1"/>
    <w:qFormat/>
    <w:uiPriority w:val="34"/>
    <w:pPr>
      <w:ind w:firstLine="420"/>
    </w:pPr>
  </w:style>
  <w:style w:type="character" w:customStyle="1" w:styleId="16">
    <w:name w:val="标题 2 字符"/>
    <w:basedOn w:val="11"/>
    <w:link w:val="3"/>
    <w:qFormat/>
    <w:uiPriority w:val="9"/>
    <w:rPr>
      <w:rFonts w:ascii="Times New Roman" w:hAnsi="Times New Roman" w:eastAsia="宋体" w:cstheme="majorBidi"/>
      <w:b/>
      <w:bCs/>
      <w:sz w:val="30"/>
      <w:szCs w:val="32"/>
    </w:rPr>
  </w:style>
  <w:style w:type="character" w:customStyle="1" w:styleId="17">
    <w:name w:val="标题 3 字符"/>
    <w:basedOn w:val="11"/>
    <w:link w:val="4"/>
    <w:qFormat/>
    <w:uiPriority w:val="9"/>
    <w:rPr>
      <w:rFonts w:ascii="Times New Roman" w:hAnsi="Times New Roman" w:eastAsia="宋体"/>
      <w:b/>
      <w:bCs/>
      <w:sz w:val="28"/>
      <w:szCs w:val="32"/>
    </w:rPr>
  </w:style>
  <w:style w:type="character" w:customStyle="1" w:styleId="18">
    <w:name w:val="标题 4 字符"/>
    <w:basedOn w:val="11"/>
    <w:link w:val="5"/>
    <w:qFormat/>
    <w:uiPriority w:val="9"/>
    <w:rPr>
      <w:rFonts w:ascii="Times New Roman" w:hAnsi="Times New Roman" w:eastAsia="宋体" w:cstheme="majorBidi"/>
      <w:b/>
      <w:bCs/>
      <w:sz w:val="24"/>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749CA4-EBE0-4D46-92B3-F534511EB7A2}">
  <ds:schemaRefs/>
</ds:datastoreItem>
</file>

<file path=docProps/app.xml><?xml version="1.0" encoding="utf-8"?>
<Properties xmlns="http://schemas.openxmlformats.org/officeDocument/2006/extended-properties" xmlns:vt="http://schemas.openxmlformats.org/officeDocument/2006/docPropsVTypes">
  <Template>Normal.dotm</Template>
  <Pages>5</Pages>
  <Words>338</Words>
  <Characters>1930</Characters>
  <Lines>16</Lines>
  <Paragraphs>4</Paragraphs>
  <TotalTime>8</TotalTime>
  <ScaleCrop>false</ScaleCrop>
  <LinksUpToDate>false</LinksUpToDate>
  <CharactersWithSpaces>2264</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2018-09-29T07:04:00Z</dcterms:created>
  <dc:creator>赣安 谢玉锦</dc:creator>
  <cp:lastModifiedBy>军妮</cp:lastModifiedBy>
  <cp:lastPrinted>2020-06-01T01:57:00Z</cp:lastPrinted>
  <dcterms:modified xsi:type="dcterms:W3CDTF">2020-09-20T06:48:09Z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