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16"/>
        <w:tblpPr w:leftFromText="180" w:rightFromText="180" w:vertAnchor="page" w:horzAnchor="page" w:tblpX="6562" w:tblpY="2388"/>
        <w:tblOverlap w:val="never"/>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984"/>
        <w:gridCol w:w="217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84" w:type="dxa"/>
          </w:tcPr>
          <w:p>
            <w:pPr>
              <w:ind w:firstLine="281" w:firstLineChars="100"/>
              <w:jc w:val="both"/>
              <w:rPr>
                <w:b/>
              </w:rPr>
            </w:pPr>
            <w:r>
              <w:rPr>
                <w:rFonts w:hint="eastAsia"/>
                <w:b/>
              </w:rPr>
              <w:t>预案编号：</w:t>
            </w:r>
          </w:p>
        </w:tc>
        <w:tc>
          <w:tcPr>
            <w:tcW w:w="2177" w:type="dxa"/>
          </w:tcPr>
          <w:p>
            <w:pPr>
              <w:ind w:firstLine="0" w:firstLineChars="0"/>
              <w:jc w:val="left"/>
              <w:rPr>
                <w:rFonts w:hint="default" w:eastAsia="宋体"/>
                <w:b/>
                <w:lang w:val="en-US" w:eastAsia="zh-CN"/>
              </w:rPr>
            </w:pPr>
            <w:r>
              <w:rPr>
                <w:rFonts w:hint="eastAsia"/>
                <w:b/>
                <w:lang w:val="en-US" w:eastAsia="zh-CN"/>
              </w:rPr>
              <w:t>NCSG-2020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84" w:type="dxa"/>
          </w:tcPr>
          <w:p>
            <w:pPr>
              <w:ind w:firstLine="0" w:firstLineChars="0"/>
              <w:jc w:val="right"/>
              <w:rPr>
                <w:b/>
              </w:rPr>
            </w:pPr>
            <w:r>
              <w:rPr>
                <w:rFonts w:hint="eastAsia"/>
                <w:b/>
              </w:rPr>
              <w:t>预案版本号：</w:t>
            </w:r>
          </w:p>
        </w:tc>
        <w:tc>
          <w:tcPr>
            <w:tcW w:w="2177" w:type="dxa"/>
          </w:tcPr>
          <w:p>
            <w:pPr>
              <w:ind w:firstLine="0" w:firstLineChars="0"/>
              <w:jc w:val="both"/>
              <w:rPr>
                <w:rFonts w:hint="default" w:eastAsia="宋体"/>
                <w:b/>
                <w:lang w:val="en-US" w:eastAsia="zh-CN"/>
              </w:rPr>
            </w:pPr>
            <w:r>
              <w:rPr>
                <w:rFonts w:hint="eastAsia"/>
                <w:b/>
                <w:lang w:val="en-US" w:eastAsia="zh-CN"/>
              </w:rPr>
              <w:t xml:space="preserve"> A/0</w:t>
            </w:r>
          </w:p>
        </w:tc>
      </w:tr>
    </w:tbl>
    <w:p>
      <w:pPr>
        <w:ind w:firstLine="0" w:firstLineChars="0"/>
        <w:jc w:val="right"/>
      </w:pPr>
    </w:p>
    <w:p>
      <w:pPr>
        <w:ind w:firstLine="0" w:firstLineChars="0"/>
        <w:jc w:val="center"/>
      </w:pPr>
    </w:p>
    <w:p>
      <w:pPr>
        <w:ind w:firstLine="0" w:firstLineChars="0"/>
        <w:jc w:val="center"/>
      </w:pPr>
    </w:p>
    <w:p>
      <w:pPr>
        <w:ind w:firstLine="0" w:firstLineChars="0"/>
        <w:jc w:val="center"/>
      </w:pPr>
    </w:p>
    <w:p>
      <w:pPr>
        <w:ind w:firstLine="0" w:firstLineChars="0"/>
        <w:jc w:val="center"/>
      </w:pPr>
    </w:p>
    <w:p>
      <w:pPr>
        <w:ind w:firstLine="0" w:firstLineChars="0"/>
        <w:jc w:val="center"/>
        <w:rPr>
          <w:rFonts w:hint="eastAsia" w:eastAsia="宋体"/>
          <w:b/>
          <w:sz w:val="52"/>
          <w:lang w:eastAsia="zh-CN"/>
        </w:rPr>
      </w:pPr>
      <w:r>
        <w:rPr>
          <w:rFonts w:hint="eastAsia"/>
          <w:b/>
          <w:sz w:val="52"/>
          <w:lang w:eastAsia="zh-CN"/>
        </w:rPr>
        <w:t>南昌双港供水有限公司</w:t>
      </w:r>
    </w:p>
    <w:p>
      <w:pPr>
        <w:ind w:firstLine="0" w:firstLineChars="0"/>
        <w:jc w:val="center"/>
        <w:rPr>
          <w:b/>
          <w:sz w:val="48"/>
        </w:rPr>
      </w:pPr>
      <w:r>
        <w:rPr>
          <w:rFonts w:hint="eastAsia"/>
          <w:b/>
          <w:sz w:val="52"/>
        </w:rPr>
        <w:t>突发环境事件应急预案</w:t>
      </w:r>
    </w:p>
    <w:p>
      <w:pPr>
        <w:ind w:firstLine="0" w:firstLineChars="0"/>
        <w:jc w:val="center"/>
      </w:pPr>
    </w:p>
    <w:p>
      <w:pPr>
        <w:ind w:firstLine="0" w:firstLineChars="0"/>
        <w:jc w:val="center"/>
      </w:pPr>
    </w:p>
    <w:p>
      <w:pPr>
        <w:ind w:firstLine="0" w:firstLineChars="0"/>
        <w:jc w:val="center"/>
      </w:pPr>
    </w:p>
    <w:p>
      <w:pPr>
        <w:ind w:firstLine="0" w:firstLineChars="0"/>
        <w:jc w:val="center"/>
      </w:pPr>
    </w:p>
    <w:p>
      <w:pPr>
        <w:ind w:firstLine="0" w:firstLineChars="0"/>
        <w:jc w:val="center"/>
      </w:pPr>
    </w:p>
    <w:tbl>
      <w:tblPr>
        <w:tblStyle w:val="16"/>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263"/>
        <w:gridCol w:w="538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jc w:val="center"/>
        </w:trPr>
        <w:tc>
          <w:tcPr>
            <w:tcW w:w="2263" w:type="dxa"/>
            <w:vAlign w:val="center"/>
          </w:tcPr>
          <w:p>
            <w:pPr>
              <w:ind w:firstLine="0" w:firstLineChars="0"/>
              <w:jc w:val="right"/>
              <w:rPr>
                <w:b/>
                <w:sz w:val="32"/>
              </w:rPr>
            </w:pPr>
            <w:r>
              <w:rPr>
                <w:rFonts w:hint="eastAsia"/>
                <w:b/>
                <w:sz w:val="32"/>
              </w:rPr>
              <w:t>编制单位：</w:t>
            </w:r>
          </w:p>
        </w:tc>
        <w:tc>
          <w:tcPr>
            <w:tcW w:w="5387" w:type="dxa"/>
            <w:vAlign w:val="center"/>
          </w:tcPr>
          <w:p>
            <w:pPr>
              <w:ind w:firstLine="0" w:firstLineChars="0"/>
              <w:jc w:val="left"/>
              <w:rPr>
                <w:rFonts w:hint="eastAsia" w:eastAsia="宋体"/>
                <w:b/>
                <w:sz w:val="32"/>
                <w:lang w:eastAsia="zh-CN"/>
              </w:rPr>
            </w:pPr>
            <w:r>
              <w:rPr>
                <w:rFonts w:hint="eastAsia"/>
                <w:b/>
                <w:sz w:val="32"/>
                <w:lang w:eastAsia="zh-CN"/>
              </w:rPr>
              <w:t>南昌双港供水有限公司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jc w:val="center"/>
        </w:trPr>
        <w:tc>
          <w:tcPr>
            <w:tcW w:w="2263" w:type="dxa"/>
            <w:vAlign w:val="center"/>
          </w:tcPr>
          <w:p>
            <w:pPr>
              <w:ind w:firstLine="0" w:firstLineChars="0"/>
              <w:jc w:val="right"/>
              <w:rPr>
                <w:b/>
                <w:sz w:val="32"/>
              </w:rPr>
            </w:pPr>
            <w:r>
              <w:rPr>
                <w:rFonts w:hint="eastAsia"/>
                <w:b/>
                <w:sz w:val="32"/>
              </w:rPr>
              <w:t>签署负责人：</w:t>
            </w:r>
          </w:p>
        </w:tc>
        <w:tc>
          <w:tcPr>
            <w:tcW w:w="5387" w:type="dxa"/>
            <w:vAlign w:val="center"/>
          </w:tcPr>
          <w:p>
            <w:pPr>
              <w:ind w:left="0" w:leftChars="0" w:firstLine="0" w:firstLineChars="0"/>
              <w:jc w:val="left"/>
              <w:rPr>
                <w:rFonts w:hint="eastAsia" w:eastAsia="宋体"/>
                <w:b/>
                <w:sz w:val="32"/>
                <w:lang w:val="en-US" w:eastAsia="zh-CN"/>
              </w:rPr>
            </w:pPr>
            <w:r>
              <w:rPr>
                <w:rFonts w:hint="eastAsia"/>
                <w:b/>
                <w:sz w:val="32"/>
                <w:lang w:val="en-US" w:eastAsia="zh-CN"/>
              </w:rPr>
              <w:t>唐 辉</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jc w:val="center"/>
        </w:trPr>
        <w:tc>
          <w:tcPr>
            <w:tcW w:w="2263" w:type="dxa"/>
            <w:vAlign w:val="center"/>
          </w:tcPr>
          <w:p>
            <w:pPr>
              <w:ind w:firstLine="0" w:firstLineChars="0"/>
              <w:jc w:val="right"/>
              <w:rPr>
                <w:b/>
                <w:sz w:val="32"/>
              </w:rPr>
            </w:pPr>
            <w:r>
              <w:rPr>
                <w:rFonts w:hint="eastAsia"/>
                <w:b/>
                <w:sz w:val="32"/>
              </w:rPr>
              <w:t>发布日期：</w:t>
            </w:r>
          </w:p>
        </w:tc>
        <w:tc>
          <w:tcPr>
            <w:tcW w:w="5387" w:type="dxa"/>
            <w:vAlign w:val="center"/>
          </w:tcPr>
          <w:p>
            <w:pPr>
              <w:ind w:firstLine="0" w:firstLineChars="0"/>
              <w:jc w:val="left"/>
              <w:rPr>
                <w:b/>
                <w:sz w:val="32"/>
              </w:rPr>
            </w:pPr>
            <w:r>
              <w:rPr>
                <w:rFonts w:hint="eastAsia"/>
                <w:b/>
                <w:sz w:val="32"/>
              </w:rPr>
              <w:t>2</w:t>
            </w:r>
            <w:r>
              <w:rPr>
                <w:b/>
                <w:sz w:val="32"/>
              </w:rPr>
              <w:t>0</w:t>
            </w:r>
            <w:r>
              <w:rPr>
                <w:rFonts w:hint="eastAsia"/>
                <w:b/>
                <w:sz w:val="32"/>
                <w:lang w:val="en-US" w:eastAsia="zh-CN"/>
              </w:rPr>
              <w:t>20</w:t>
            </w:r>
            <w:r>
              <w:rPr>
                <w:rFonts w:hint="eastAsia"/>
                <w:b/>
                <w:sz w:val="32"/>
              </w:rPr>
              <w:t xml:space="preserve">年 </w:t>
            </w:r>
            <w:r>
              <w:rPr>
                <w:rFonts w:hint="eastAsia"/>
                <w:b/>
                <w:sz w:val="32"/>
                <w:lang w:val="en-US" w:eastAsia="zh-CN"/>
              </w:rPr>
              <w:t>7</w:t>
            </w:r>
            <w:r>
              <w:rPr>
                <w:b/>
                <w:sz w:val="32"/>
              </w:rPr>
              <w:t xml:space="preserve"> </w:t>
            </w:r>
            <w:r>
              <w:rPr>
                <w:rFonts w:hint="eastAsia"/>
                <w:b/>
                <w:sz w:val="32"/>
              </w:rPr>
              <w:t xml:space="preserve">月 </w:t>
            </w:r>
            <w:r>
              <w:rPr>
                <w:rFonts w:hint="eastAsia"/>
                <w:b/>
                <w:sz w:val="32"/>
                <w:lang w:val="en-US" w:eastAsia="zh-CN"/>
              </w:rPr>
              <w:t>30</w:t>
            </w:r>
            <w:r>
              <w:rPr>
                <w:rFonts w:hint="eastAsia"/>
                <w:b/>
                <w:sz w:val="32"/>
              </w:rPr>
              <w:t xml:space="preserve"> 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jc w:val="center"/>
        </w:trPr>
        <w:tc>
          <w:tcPr>
            <w:tcW w:w="2263" w:type="dxa"/>
            <w:vAlign w:val="center"/>
          </w:tcPr>
          <w:p>
            <w:pPr>
              <w:ind w:firstLine="0" w:firstLineChars="0"/>
              <w:jc w:val="right"/>
              <w:rPr>
                <w:b/>
                <w:sz w:val="32"/>
              </w:rPr>
            </w:pPr>
            <w:r>
              <w:rPr>
                <w:rFonts w:hint="eastAsia"/>
                <w:b/>
                <w:sz w:val="32"/>
              </w:rPr>
              <w:t>实施日期：</w:t>
            </w:r>
          </w:p>
        </w:tc>
        <w:tc>
          <w:tcPr>
            <w:tcW w:w="5387" w:type="dxa"/>
            <w:vAlign w:val="center"/>
          </w:tcPr>
          <w:p>
            <w:pPr>
              <w:ind w:firstLine="0" w:firstLineChars="0"/>
              <w:jc w:val="left"/>
              <w:rPr>
                <w:b/>
                <w:sz w:val="32"/>
              </w:rPr>
            </w:pPr>
            <w:r>
              <w:rPr>
                <w:rFonts w:hint="eastAsia"/>
                <w:b/>
                <w:sz w:val="32"/>
              </w:rPr>
              <w:t>2</w:t>
            </w:r>
            <w:r>
              <w:rPr>
                <w:b/>
                <w:sz w:val="32"/>
              </w:rPr>
              <w:t>0</w:t>
            </w:r>
            <w:r>
              <w:rPr>
                <w:rFonts w:hint="eastAsia"/>
                <w:b/>
                <w:sz w:val="32"/>
                <w:lang w:val="en-US" w:eastAsia="zh-CN"/>
              </w:rPr>
              <w:t>20</w:t>
            </w:r>
            <w:r>
              <w:rPr>
                <w:rFonts w:hint="eastAsia"/>
                <w:b/>
                <w:sz w:val="32"/>
              </w:rPr>
              <w:t xml:space="preserve">年 </w:t>
            </w:r>
            <w:r>
              <w:rPr>
                <w:rFonts w:hint="eastAsia"/>
                <w:b/>
                <w:sz w:val="32"/>
                <w:lang w:val="en-US" w:eastAsia="zh-CN"/>
              </w:rPr>
              <w:t>7</w:t>
            </w:r>
            <w:r>
              <w:rPr>
                <w:b/>
                <w:sz w:val="32"/>
              </w:rPr>
              <w:t xml:space="preserve"> </w:t>
            </w:r>
            <w:r>
              <w:rPr>
                <w:rFonts w:hint="eastAsia"/>
                <w:b/>
                <w:sz w:val="32"/>
              </w:rPr>
              <w:t xml:space="preserve">月 </w:t>
            </w:r>
            <w:r>
              <w:rPr>
                <w:rFonts w:hint="eastAsia"/>
                <w:b/>
                <w:sz w:val="32"/>
                <w:lang w:val="en-US" w:eastAsia="zh-CN"/>
              </w:rPr>
              <w:t>30</w:t>
            </w:r>
            <w:r>
              <w:rPr>
                <w:rFonts w:hint="eastAsia"/>
                <w:b/>
                <w:sz w:val="32"/>
              </w:rPr>
              <w:t xml:space="preserve"> 日</w:t>
            </w:r>
          </w:p>
        </w:tc>
      </w:tr>
    </w:tbl>
    <w:p>
      <w:pPr>
        <w:ind w:firstLine="0" w:firstLineChars="0"/>
      </w:pPr>
    </w:p>
    <w:p>
      <w:pPr>
        <w:widowControl/>
        <w:spacing w:line="240" w:lineRule="auto"/>
        <w:ind w:firstLine="0" w:firstLineChars="0"/>
        <w:jc w:val="left"/>
      </w:pPr>
      <w:r>
        <w:br w:type="page"/>
      </w:r>
      <w:bookmarkStart w:id="378" w:name="_GoBack"/>
      <w:bookmarkEnd w:id="378"/>
    </w:p>
    <w:p>
      <w:pPr>
        <w:widowControl/>
        <w:spacing w:line="240" w:lineRule="auto"/>
        <w:ind w:firstLine="0" w:firstLineChars="0"/>
        <w:jc w:val="left"/>
        <w:rPr>
          <w:sz w:val="52"/>
        </w:rPr>
      </w:pPr>
    </w:p>
    <w:p>
      <w:pPr>
        <w:widowControl/>
        <w:spacing w:line="240" w:lineRule="auto"/>
        <w:ind w:firstLine="0" w:firstLineChars="0"/>
        <w:jc w:val="left"/>
        <w:rPr>
          <w:sz w:val="52"/>
        </w:rPr>
      </w:pPr>
    </w:p>
    <w:p>
      <w:pPr>
        <w:widowControl/>
        <w:spacing w:line="240" w:lineRule="auto"/>
        <w:ind w:firstLine="0" w:firstLineChars="0"/>
        <w:jc w:val="left"/>
        <w:rPr>
          <w:sz w:val="52"/>
        </w:rPr>
      </w:pPr>
    </w:p>
    <w:p>
      <w:pPr>
        <w:widowControl/>
        <w:spacing w:line="240" w:lineRule="auto"/>
        <w:ind w:firstLine="0" w:firstLineChars="0"/>
        <w:jc w:val="center"/>
        <w:rPr>
          <w:rFonts w:hint="eastAsia" w:eastAsia="宋体"/>
          <w:b/>
          <w:sz w:val="52"/>
          <w:lang w:eastAsia="zh-CN"/>
        </w:rPr>
      </w:pPr>
      <w:r>
        <w:rPr>
          <w:rFonts w:hint="eastAsia"/>
          <w:b/>
          <w:sz w:val="52"/>
          <w:lang w:eastAsia="zh-CN"/>
        </w:rPr>
        <w:t>南昌双港供水有限公司</w:t>
      </w:r>
    </w:p>
    <w:p>
      <w:pPr>
        <w:widowControl/>
        <w:spacing w:line="240" w:lineRule="auto"/>
        <w:ind w:firstLine="0" w:firstLineChars="0"/>
        <w:jc w:val="center"/>
        <w:rPr>
          <w:sz w:val="52"/>
        </w:rPr>
      </w:pPr>
      <w:r>
        <w:rPr>
          <w:rFonts w:hint="eastAsia"/>
          <w:b/>
          <w:sz w:val="52"/>
        </w:rPr>
        <w:t>突发环境事件应急预案批准页</w:t>
      </w: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tbl>
      <w:tblPr>
        <w:tblStyle w:val="16"/>
        <w:tblW w:w="399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313"/>
        <w:gridCol w:w="2542"/>
        <w:gridCol w:w="360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40" w:hRule="atLeast"/>
          <w:jc w:val="center"/>
        </w:trPr>
        <w:tc>
          <w:tcPr>
            <w:tcW w:w="880" w:type="pct"/>
            <w:vAlign w:val="center"/>
          </w:tcPr>
          <w:p>
            <w:pPr>
              <w:ind w:firstLine="0" w:firstLineChars="0"/>
              <w:jc w:val="center"/>
              <w:rPr>
                <w:b/>
                <w:sz w:val="32"/>
              </w:rPr>
            </w:pPr>
            <w:r>
              <w:rPr>
                <w:rFonts w:hint="eastAsia"/>
                <w:b/>
                <w:sz w:val="32"/>
              </w:rPr>
              <w:t>编制：</w:t>
            </w:r>
          </w:p>
        </w:tc>
        <w:tc>
          <w:tcPr>
            <w:tcW w:w="1704" w:type="pct"/>
            <w:vAlign w:val="center"/>
          </w:tcPr>
          <w:p>
            <w:pPr>
              <w:tabs>
                <w:tab w:val="center" w:pos="1400"/>
              </w:tabs>
              <w:ind w:firstLine="0" w:firstLineChars="0"/>
              <w:jc w:val="center"/>
              <w:rPr>
                <w:rFonts w:hint="eastAsia"/>
                <w:b/>
                <w:bCs/>
                <w:sz w:val="28"/>
                <w:szCs w:val="28"/>
                <w:lang w:val="en-US" w:eastAsia="zh-CN"/>
              </w:rPr>
            </w:pPr>
            <w:r>
              <w:rPr>
                <w:rFonts w:hint="eastAsia"/>
                <w:b/>
                <w:bCs/>
                <w:sz w:val="28"/>
                <w:szCs w:val="28"/>
                <w:lang w:val="en-US" w:eastAsia="zh-CN"/>
              </w:rPr>
              <w:t>魏道钲、范延辉</w:t>
            </w:r>
          </w:p>
          <w:p>
            <w:pPr>
              <w:pStyle w:val="2"/>
              <w:ind w:left="0" w:leftChars="0" w:firstLine="0" w:firstLineChars="0"/>
              <w:jc w:val="center"/>
              <w:rPr>
                <w:rFonts w:hint="default"/>
                <w:lang w:val="en-US" w:eastAsia="zh-CN"/>
              </w:rPr>
            </w:pPr>
            <w:r>
              <w:rPr>
                <w:rFonts w:hint="eastAsia"/>
                <w:b/>
                <w:bCs/>
                <w:sz w:val="28"/>
                <w:szCs w:val="28"/>
                <w:lang w:val="en-US" w:eastAsia="zh-CN"/>
              </w:rPr>
              <w:t>吴华敏、梅艺红</w:t>
            </w:r>
          </w:p>
        </w:tc>
        <w:tc>
          <w:tcPr>
            <w:tcW w:w="2414" w:type="pct"/>
            <w:vAlign w:val="center"/>
          </w:tcPr>
          <w:p>
            <w:pPr>
              <w:tabs>
                <w:tab w:val="center" w:pos="1400"/>
              </w:tabs>
              <w:ind w:firstLine="0" w:firstLineChars="0"/>
              <w:jc w:val="center"/>
              <w:rPr>
                <w:b/>
                <w:sz w:val="32"/>
              </w:rPr>
            </w:pPr>
            <w:r>
              <w:rPr>
                <w:rFonts w:hint="eastAsia"/>
                <w:b/>
                <w:sz w:val="32"/>
              </w:rPr>
              <w:t>2</w:t>
            </w:r>
            <w:r>
              <w:rPr>
                <w:b/>
                <w:sz w:val="32"/>
              </w:rPr>
              <w:t>0</w:t>
            </w:r>
            <w:r>
              <w:rPr>
                <w:rFonts w:hint="eastAsia"/>
                <w:b/>
                <w:sz w:val="32"/>
                <w:lang w:val="en-US" w:eastAsia="zh-CN"/>
              </w:rPr>
              <w:t>20</w:t>
            </w:r>
            <w:r>
              <w:rPr>
                <w:rFonts w:hint="eastAsia"/>
                <w:b/>
                <w:sz w:val="32"/>
              </w:rPr>
              <w:t>年</w:t>
            </w:r>
            <w:r>
              <w:rPr>
                <w:rFonts w:hint="eastAsia"/>
                <w:b/>
                <w:sz w:val="32"/>
                <w:lang w:val="en-US" w:eastAsia="zh-CN"/>
              </w:rPr>
              <w:t xml:space="preserve"> 7 </w:t>
            </w:r>
            <w:r>
              <w:rPr>
                <w:rFonts w:hint="eastAsia"/>
                <w:b/>
                <w:sz w:val="32"/>
              </w:rPr>
              <w:t>月</w:t>
            </w:r>
            <w:r>
              <w:rPr>
                <w:rFonts w:hint="eastAsia"/>
                <w:b/>
                <w:sz w:val="32"/>
                <w:lang w:val="en-US" w:eastAsia="zh-CN"/>
              </w:rPr>
              <w:t>20</w:t>
            </w:r>
            <w:r>
              <w:rPr>
                <w:rFonts w:hint="eastAsia"/>
                <w:b/>
                <w:sz w:val="32"/>
              </w:rPr>
              <w:t>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13" w:hRule="atLeast"/>
          <w:jc w:val="center"/>
        </w:trPr>
        <w:tc>
          <w:tcPr>
            <w:tcW w:w="880" w:type="pct"/>
            <w:vAlign w:val="center"/>
          </w:tcPr>
          <w:p>
            <w:pPr>
              <w:ind w:firstLine="0" w:firstLineChars="0"/>
              <w:jc w:val="center"/>
              <w:rPr>
                <w:b/>
                <w:sz w:val="32"/>
              </w:rPr>
            </w:pPr>
            <w:r>
              <w:rPr>
                <w:rFonts w:hint="eastAsia"/>
                <w:b/>
                <w:sz w:val="32"/>
              </w:rPr>
              <w:t>复核：</w:t>
            </w:r>
          </w:p>
        </w:tc>
        <w:tc>
          <w:tcPr>
            <w:tcW w:w="1704" w:type="pct"/>
            <w:vAlign w:val="center"/>
          </w:tcPr>
          <w:p>
            <w:pPr>
              <w:ind w:firstLine="0" w:firstLineChars="0"/>
              <w:jc w:val="center"/>
              <w:rPr>
                <w:rFonts w:hint="eastAsia" w:eastAsia="宋体"/>
                <w:b/>
                <w:sz w:val="32"/>
                <w:lang w:val="en-US" w:eastAsia="zh-CN"/>
              </w:rPr>
            </w:pPr>
            <w:r>
              <w:rPr>
                <w:rFonts w:hint="eastAsia"/>
                <w:b/>
                <w:sz w:val="32"/>
                <w:lang w:val="en-US" w:eastAsia="zh-CN"/>
              </w:rPr>
              <w:t>李银保</w:t>
            </w:r>
          </w:p>
        </w:tc>
        <w:tc>
          <w:tcPr>
            <w:tcW w:w="2414" w:type="pct"/>
            <w:vAlign w:val="center"/>
          </w:tcPr>
          <w:p>
            <w:pPr>
              <w:ind w:firstLine="0" w:firstLineChars="0"/>
              <w:jc w:val="center"/>
              <w:rPr>
                <w:b/>
                <w:sz w:val="32"/>
              </w:rPr>
            </w:pPr>
            <w:r>
              <w:rPr>
                <w:rFonts w:hint="eastAsia"/>
                <w:b/>
                <w:sz w:val="32"/>
              </w:rPr>
              <w:t>2</w:t>
            </w:r>
            <w:r>
              <w:rPr>
                <w:b/>
                <w:sz w:val="32"/>
              </w:rPr>
              <w:t>0</w:t>
            </w:r>
            <w:r>
              <w:rPr>
                <w:rFonts w:hint="eastAsia"/>
                <w:b/>
                <w:sz w:val="32"/>
                <w:lang w:val="en-US" w:eastAsia="zh-CN"/>
              </w:rPr>
              <w:t>20</w:t>
            </w:r>
            <w:r>
              <w:rPr>
                <w:rFonts w:hint="eastAsia"/>
                <w:b/>
                <w:sz w:val="32"/>
              </w:rPr>
              <w:t>年</w:t>
            </w:r>
            <w:r>
              <w:rPr>
                <w:rFonts w:hint="eastAsia"/>
                <w:b/>
                <w:sz w:val="32"/>
                <w:lang w:val="en-US" w:eastAsia="zh-CN"/>
              </w:rPr>
              <w:t xml:space="preserve"> 7 </w:t>
            </w:r>
            <w:r>
              <w:rPr>
                <w:rFonts w:hint="eastAsia"/>
                <w:b/>
                <w:sz w:val="32"/>
              </w:rPr>
              <w:t>月</w:t>
            </w:r>
            <w:r>
              <w:rPr>
                <w:rFonts w:hint="eastAsia"/>
                <w:b/>
                <w:sz w:val="32"/>
                <w:lang w:val="en-US" w:eastAsia="zh-CN"/>
              </w:rPr>
              <w:t>24</w:t>
            </w:r>
            <w:r>
              <w:rPr>
                <w:rFonts w:hint="eastAsia"/>
                <w:b/>
                <w:sz w:val="32"/>
              </w:rPr>
              <w:t>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13" w:hRule="atLeast"/>
          <w:jc w:val="center"/>
        </w:trPr>
        <w:tc>
          <w:tcPr>
            <w:tcW w:w="880" w:type="pct"/>
            <w:vAlign w:val="center"/>
          </w:tcPr>
          <w:p>
            <w:pPr>
              <w:ind w:firstLine="0" w:firstLineChars="0"/>
              <w:jc w:val="center"/>
              <w:rPr>
                <w:b/>
                <w:sz w:val="32"/>
              </w:rPr>
            </w:pPr>
            <w:r>
              <w:rPr>
                <w:rFonts w:hint="eastAsia"/>
                <w:b/>
                <w:sz w:val="32"/>
              </w:rPr>
              <w:t>审核：</w:t>
            </w:r>
          </w:p>
        </w:tc>
        <w:tc>
          <w:tcPr>
            <w:tcW w:w="1704" w:type="pct"/>
            <w:vAlign w:val="center"/>
          </w:tcPr>
          <w:p>
            <w:pPr>
              <w:ind w:firstLine="0" w:firstLineChars="0"/>
              <w:jc w:val="center"/>
              <w:rPr>
                <w:rFonts w:hint="eastAsia" w:eastAsia="宋体"/>
                <w:b/>
                <w:sz w:val="32"/>
                <w:lang w:val="en-US" w:eastAsia="zh-CN"/>
              </w:rPr>
            </w:pPr>
            <w:r>
              <w:rPr>
                <w:rFonts w:hint="eastAsia"/>
                <w:b/>
                <w:sz w:val="32"/>
                <w:lang w:val="en-US" w:eastAsia="zh-CN"/>
              </w:rPr>
              <w:t>李国平</w:t>
            </w:r>
          </w:p>
        </w:tc>
        <w:tc>
          <w:tcPr>
            <w:tcW w:w="2414" w:type="pct"/>
            <w:vAlign w:val="center"/>
          </w:tcPr>
          <w:p>
            <w:pPr>
              <w:ind w:firstLine="0" w:firstLineChars="0"/>
              <w:jc w:val="center"/>
              <w:rPr>
                <w:b/>
                <w:sz w:val="32"/>
              </w:rPr>
            </w:pPr>
            <w:r>
              <w:rPr>
                <w:rFonts w:hint="eastAsia"/>
                <w:b/>
                <w:sz w:val="32"/>
              </w:rPr>
              <w:t>2</w:t>
            </w:r>
            <w:r>
              <w:rPr>
                <w:b/>
                <w:sz w:val="32"/>
              </w:rPr>
              <w:t>0</w:t>
            </w:r>
            <w:r>
              <w:rPr>
                <w:rFonts w:hint="eastAsia"/>
                <w:b/>
                <w:sz w:val="32"/>
                <w:lang w:val="en-US" w:eastAsia="zh-CN"/>
              </w:rPr>
              <w:t>20</w:t>
            </w:r>
            <w:r>
              <w:rPr>
                <w:rFonts w:hint="eastAsia"/>
                <w:b/>
                <w:sz w:val="32"/>
              </w:rPr>
              <w:t>年</w:t>
            </w:r>
            <w:r>
              <w:rPr>
                <w:rFonts w:hint="eastAsia"/>
                <w:b/>
                <w:sz w:val="32"/>
                <w:lang w:val="en-US" w:eastAsia="zh-CN"/>
              </w:rPr>
              <w:t xml:space="preserve"> 7 </w:t>
            </w:r>
            <w:r>
              <w:rPr>
                <w:rFonts w:hint="eastAsia"/>
                <w:b/>
                <w:sz w:val="32"/>
              </w:rPr>
              <w:t>月</w:t>
            </w:r>
            <w:r>
              <w:rPr>
                <w:rFonts w:hint="eastAsia"/>
                <w:b/>
                <w:sz w:val="32"/>
                <w:lang w:val="en-US" w:eastAsia="zh-CN"/>
              </w:rPr>
              <w:t>28</w:t>
            </w:r>
            <w:r>
              <w:rPr>
                <w:rFonts w:hint="eastAsia"/>
                <w:b/>
                <w:sz w:val="32"/>
              </w:rPr>
              <w:t>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13" w:hRule="atLeast"/>
          <w:jc w:val="center"/>
        </w:trPr>
        <w:tc>
          <w:tcPr>
            <w:tcW w:w="880" w:type="pct"/>
            <w:vAlign w:val="center"/>
          </w:tcPr>
          <w:p>
            <w:pPr>
              <w:widowControl/>
              <w:spacing w:line="240" w:lineRule="auto"/>
              <w:ind w:firstLine="0" w:firstLineChars="0"/>
              <w:jc w:val="center"/>
              <w:rPr>
                <w:b/>
                <w:sz w:val="32"/>
              </w:rPr>
            </w:pPr>
            <w:r>
              <w:rPr>
                <w:rFonts w:hint="eastAsia"/>
                <w:b/>
                <w:sz w:val="32"/>
              </w:rPr>
              <w:t>批准：</w:t>
            </w:r>
          </w:p>
        </w:tc>
        <w:tc>
          <w:tcPr>
            <w:tcW w:w="1704" w:type="pct"/>
            <w:vAlign w:val="center"/>
          </w:tcPr>
          <w:p>
            <w:pPr>
              <w:ind w:firstLine="0" w:firstLineChars="0"/>
              <w:jc w:val="center"/>
              <w:rPr>
                <w:rFonts w:hint="eastAsia" w:eastAsia="宋体"/>
                <w:b/>
                <w:sz w:val="32"/>
                <w:lang w:val="en-US" w:eastAsia="zh-CN"/>
              </w:rPr>
            </w:pPr>
            <w:r>
              <w:rPr>
                <w:rFonts w:hint="eastAsia"/>
                <w:b/>
                <w:sz w:val="32"/>
                <w:lang w:val="en-US" w:eastAsia="zh-CN"/>
              </w:rPr>
              <w:t>唐辉</w:t>
            </w:r>
          </w:p>
        </w:tc>
        <w:tc>
          <w:tcPr>
            <w:tcW w:w="2414" w:type="pct"/>
            <w:vAlign w:val="center"/>
          </w:tcPr>
          <w:p>
            <w:pPr>
              <w:ind w:firstLine="0" w:firstLineChars="0"/>
              <w:jc w:val="center"/>
              <w:rPr>
                <w:b/>
                <w:sz w:val="32"/>
              </w:rPr>
            </w:pPr>
            <w:r>
              <w:rPr>
                <w:rFonts w:hint="eastAsia"/>
                <w:b/>
                <w:sz w:val="32"/>
              </w:rPr>
              <w:t>2</w:t>
            </w:r>
            <w:r>
              <w:rPr>
                <w:b/>
                <w:sz w:val="32"/>
              </w:rPr>
              <w:t>0</w:t>
            </w:r>
            <w:r>
              <w:rPr>
                <w:rFonts w:hint="eastAsia"/>
                <w:b/>
                <w:sz w:val="32"/>
                <w:lang w:val="en-US" w:eastAsia="zh-CN"/>
              </w:rPr>
              <w:t>20</w:t>
            </w:r>
            <w:r>
              <w:rPr>
                <w:rFonts w:hint="eastAsia"/>
                <w:b/>
                <w:sz w:val="32"/>
              </w:rPr>
              <w:t>年</w:t>
            </w:r>
            <w:r>
              <w:rPr>
                <w:rFonts w:hint="eastAsia"/>
                <w:b/>
                <w:sz w:val="32"/>
                <w:lang w:val="en-US" w:eastAsia="zh-CN"/>
              </w:rPr>
              <w:t xml:space="preserve"> 7 </w:t>
            </w:r>
            <w:r>
              <w:rPr>
                <w:rFonts w:hint="eastAsia"/>
                <w:b/>
                <w:sz w:val="32"/>
              </w:rPr>
              <w:t>月</w:t>
            </w:r>
            <w:r>
              <w:rPr>
                <w:rFonts w:hint="eastAsia"/>
                <w:b/>
                <w:sz w:val="32"/>
                <w:lang w:val="en-US" w:eastAsia="zh-CN"/>
              </w:rPr>
              <w:t>30</w:t>
            </w:r>
            <w:r>
              <w:rPr>
                <w:rFonts w:hint="eastAsia"/>
                <w:b/>
                <w:sz w:val="32"/>
              </w:rPr>
              <w:t>日</w:t>
            </w:r>
          </w:p>
        </w:tc>
      </w:tr>
    </w:tbl>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r>
        <w:br w:type="page"/>
      </w:r>
    </w:p>
    <w:p>
      <w:pPr>
        <w:widowControl/>
        <w:spacing w:line="240" w:lineRule="auto"/>
        <w:ind w:firstLine="0" w:firstLineChars="0"/>
        <w:jc w:val="center"/>
        <w:rPr>
          <w:b/>
          <w:sz w:val="32"/>
        </w:rPr>
      </w:pPr>
    </w:p>
    <w:p>
      <w:pPr>
        <w:widowControl/>
        <w:spacing w:line="240" w:lineRule="auto"/>
        <w:ind w:firstLine="0" w:firstLineChars="0"/>
        <w:jc w:val="center"/>
        <w:rPr>
          <w:b/>
          <w:sz w:val="32"/>
        </w:rPr>
      </w:pPr>
    </w:p>
    <w:p>
      <w:pPr>
        <w:widowControl/>
        <w:spacing w:line="240" w:lineRule="auto"/>
        <w:ind w:firstLine="0" w:firstLineChars="0"/>
        <w:jc w:val="center"/>
        <w:rPr>
          <w:b/>
          <w:sz w:val="32"/>
        </w:rPr>
      </w:pPr>
      <w:r>
        <w:rPr>
          <w:rFonts w:hint="eastAsia"/>
          <w:b/>
          <w:sz w:val="32"/>
          <w:lang w:eastAsia="zh-CN"/>
        </w:rPr>
        <w:t>南昌双港供水有限公司</w:t>
      </w:r>
      <w:r>
        <w:rPr>
          <w:rFonts w:hint="eastAsia"/>
          <w:b/>
          <w:sz w:val="32"/>
        </w:rPr>
        <w:t>突发环境事件应急预案发布令</w:t>
      </w:r>
    </w:p>
    <w:p>
      <w:pPr>
        <w:spacing w:before="312" w:beforeLines="100"/>
        <w:ind w:firstLine="560"/>
      </w:pPr>
      <w:r>
        <w:rPr>
          <w:rFonts w:hint="eastAsia"/>
        </w:rPr>
        <w:t>公司全体同仁：</w:t>
      </w:r>
    </w:p>
    <w:p>
      <w:pPr>
        <w:ind w:firstLine="560"/>
      </w:pPr>
      <w:r>
        <w:rPr>
          <w:rFonts w:hint="eastAsia"/>
        </w:rPr>
        <w:t>为贯彻以人为本，预防为主的方针，提高公司应对突发环境事件和险情的处置能力，提升公司应急管理水平，保证员工生命财产安全，保护生态环境和资源，依据《中华人民共和国环境保护法》、《中华人民共和国水污染防治法》、《中华人民共和国大气污染防治法》、《中华人民共和国固体废物污染环境防治法》、《中华人民共和国突发事件应对法》、《国家突发公共事件总体应急预案》、《国家突发环境事件应急预案》、《危险化学品名录》、《国家危险废物名录》等法律、法规及相关文件，本公司制定了突发环境事件应急预案。</w:t>
      </w:r>
    </w:p>
    <w:p>
      <w:pPr>
        <w:ind w:firstLine="560"/>
      </w:pPr>
      <w:r>
        <w:rPr>
          <w:rFonts w:hint="eastAsia"/>
        </w:rPr>
        <w:t>公司突发环境事件应急预案是公司应急管理工作纲领性文件，明确了公司应急机构及职责，建立了应急指挥系统及应急响应程序，是指导应急管理工作指南，各部门要认真贯彻和学习，确保公司应急管理工作得到有效落实。</w:t>
      </w:r>
    </w:p>
    <w:p>
      <w:pPr>
        <w:ind w:firstLine="560"/>
      </w:pPr>
      <w:r>
        <w:rPr>
          <w:rFonts w:hint="eastAsia"/>
        </w:rPr>
        <w:t>本突发环境事件应急预案，于20</w:t>
      </w:r>
      <w:r>
        <w:rPr>
          <w:rFonts w:hint="eastAsia"/>
          <w:lang w:val="en-US" w:eastAsia="zh-CN"/>
        </w:rPr>
        <w:t>20</w:t>
      </w:r>
      <w:r>
        <w:rPr>
          <w:rFonts w:hint="eastAsia"/>
        </w:rPr>
        <w:t>年</w:t>
      </w:r>
      <w:r>
        <w:rPr>
          <w:rFonts w:hint="eastAsia"/>
          <w:lang w:val="en-US" w:eastAsia="zh-CN"/>
        </w:rPr>
        <w:t>7</w:t>
      </w:r>
      <w:r>
        <w:rPr>
          <w:rFonts w:hint="eastAsia"/>
        </w:rPr>
        <w:t>月3</w:t>
      </w:r>
      <w:r>
        <w:rPr>
          <w:rFonts w:hint="eastAsia"/>
          <w:lang w:val="en-US" w:eastAsia="zh-CN"/>
        </w:rPr>
        <w:t>0</w:t>
      </w:r>
      <w:r>
        <w:rPr>
          <w:rFonts w:hint="eastAsia"/>
        </w:rPr>
        <w:t>日批准发布，20</w:t>
      </w:r>
      <w:r>
        <w:rPr>
          <w:rFonts w:hint="eastAsia"/>
          <w:lang w:val="en-US" w:eastAsia="zh-CN"/>
        </w:rPr>
        <w:t>20</w:t>
      </w:r>
      <w:r>
        <w:rPr>
          <w:rFonts w:hint="eastAsia"/>
        </w:rPr>
        <w:t>年</w:t>
      </w:r>
      <w:r>
        <w:rPr>
          <w:rFonts w:hint="eastAsia"/>
          <w:lang w:val="en-US" w:eastAsia="zh-CN"/>
        </w:rPr>
        <w:t>7</w:t>
      </w:r>
      <w:r>
        <w:rPr>
          <w:rFonts w:hint="eastAsia"/>
        </w:rPr>
        <w:t>月3</w:t>
      </w:r>
      <w:r>
        <w:rPr>
          <w:rFonts w:hint="eastAsia"/>
          <w:lang w:val="en-US" w:eastAsia="zh-CN"/>
        </w:rPr>
        <w:t>0</w:t>
      </w:r>
      <w:r>
        <w:rPr>
          <w:rFonts w:hint="eastAsia"/>
        </w:rPr>
        <w:t>日起实施。</w:t>
      </w:r>
    </w:p>
    <w:p>
      <w:pPr>
        <w:widowControl/>
        <w:spacing w:line="240" w:lineRule="auto"/>
        <w:ind w:firstLine="0" w:firstLineChars="0"/>
        <w:jc w:val="left"/>
      </w:pPr>
    </w:p>
    <w:p>
      <w:pPr>
        <w:widowControl/>
        <w:spacing w:line="240" w:lineRule="auto"/>
        <w:ind w:firstLine="0" w:firstLineChars="0"/>
        <w:jc w:val="right"/>
        <w:rPr>
          <w:rFonts w:hint="eastAsia" w:eastAsia="宋体"/>
          <w:lang w:eastAsia="zh-CN"/>
        </w:rPr>
      </w:pPr>
      <w:r>
        <w:rPr>
          <w:rFonts w:hint="eastAsia"/>
          <w:lang w:eastAsia="zh-CN"/>
        </w:rPr>
        <w:t>南昌双港供水有限公司</w:t>
      </w:r>
    </w:p>
    <w:p>
      <w:pPr>
        <w:widowControl/>
        <w:spacing w:line="240" w:lineRule="auto"/>
        <w:ind w:firstLine="0" w:firstLineChars="0"/>
        <w:jc w:val="right"/>
        <w:rPr>
          <w:rFonts w:hint="eastAsia" w:eastAsia="宋体"/>
          <w:lang w:val="en-US" w:eastAsia="zh-CN"/>
        </w:rPr>
      </w:pPr>
      <w:r>
        <w:rPr>
          <w:rFonts w:hint="eastAsia"/>
        </w:rPr>
        <w:t>总经理（签字）：</w:t>
      </w:r>
      <w:r>
        <w:rPr>
          <w:rFonts w:hint="eastAsia"/>
          <w:lang w:val="en-US" w:eastAsia="zh-CN"/>
        </w:rPr>
        <w:t>唐辉</w:t>
      </w:r>
    </w:p>
    <w:p>
      <w:pPr>
        <w:widowControl/>
        <w:wordWrap w:val="0"/>
        <w:spacing w:line="240" w:lineRule="auto"/>
        <w:ind w:firstLine="0" w:firstLineChars="0"/>
        <w:jc w:val="right"/>
      </w:pPr>
      <w:r>
        <w:rPr>
          <w:rFonts w:hint="eastAsia"/>
        </w:rPr>
        <w:t>2</w:t>
      </w:r>
      <w:r>
        <w:t>0</w:t>
      </w:r>
      <w:r>
        <w:rPr>
          <w:rFonts w:hint="eastAsia"/>
          <w:lang w:val="en-US" w:eastAsia="zh-CN"/>
        </w:rPr>
        <w:t>20</w:t>
      </w:r>
      <w:r>
        <w:rPr>
          <w:rFonts w:hint="eastAsia"/>
        </w:rPr>
        <w:t>年</w:t>
      </w:r>
      <w:r>
        <w:t xml:space="preserve"> </w:t>
      </w:r>
      <w:r>
        <w:rPr>
          <w:rFonts w:hint="eastAsia"/>
          <w:lang w:val="en-US" w:eastAsia="zh-CN"/>
        </w:rPr>
        <w:t>7</w:t>
      </w:r>
      <w:r>
        <w:t xml:space="preserve"> </w:t>
      </w:r>
      <w:r>
        <w:rPr>
          <w:rFonts w:hint="eastAsia"/>
        </w:rPr>
        <w:t xml:space="preserve">月 </w:t>
      </w:r>
      <w:r>
        <w:rPr>
          <w:rFonts w:hint="eastAsia"/>
          <w:lang w:val="en-US" w:eastAsia="zh-CN"/>
        </w:rPr>
        <w:t>30</w:t>
      </w:r>
      <w:r>
        <w:t xml:space="preserve"> </w:t>
      </w:r>
      <w:r>
        <w:rPr>
          <w:rFonts w:hint="eastAsia"/>
        </w:rPr>
        <w:t>日</w:t>
      </w:r>
    </w:p>
    <w:p>
      <w:pPr>
        <w:widowControl/>
        <w:spacing w:line="240" w:lineRule="auto"/>
        <w:ind w:firstLine="0" w:firstLineChars="0"/>
        <w:jc w:val="left"/>
      </w:pPr>
      <w:r>
        <w:br w:type="page"/>
      </w:r>
    </w:p>
    <w:p>
      <w:pPr>
        <w:ind w:firstLine="0" w:firstLineChars="0"/>
        <w:jc w:val="center"/>
        <w:rPr>
          <w:b/>
        </w:rPr>
      </w:pPr>
      <w:r>
        <w:rPr>
          <w:rFonts w:hint="eastAsia"/>
          <w:b/>
        </w:rPr>
        <w:t>目录</w:t>
      </w:r>
    </w:p>
    <w:p>
      <w:pPr>
        <w:pStyle w:val="12"/>
        <w:tabs>
          <w:tab w:val="right" w:leader="dot" w:pos="9128"/>
          <w:tab w:val="clear" w:pos="9118"/>
        </w:tabs>
      </w:pPr>
      <w:r>
        <w:fldChar w:fldCharType="begin"/>
      </w:r>
      <w:r>
        <w:instrText xml:space="preserve"> TOC \o "1-2" \h \z \u </w:instrText>
      </w:r>
      <w:r>
        <w:fldChar w:fldCharType="separate"/>
      </w:r>
      <w:r>
        <w:fldChar w:fldCharType="begin"/>
      </w:r>
      <w:r>
        <w:instrText xml:space="preserve"> HYPERLINK \l _Toc27868 </w:instrText>
      </w:r>
      <w:r>
        <w:fldChar w:fldCharType="separate"/>
      </w:r>
      <w:r>
        <w:t>第一部分：突发环境事件应急预案</w:t>
      </w:r>
      <w:r>
        <w:tab/>
      </w:r>
      <w:r>
        <w:fldChar w:fldCharType="begin"/>
      </w:r>
      <w:r>
        <w:instrText xml:space="preserve"> PAGEREF _Toc27868 </w:instrText>
      </w:r>
      <w:r>
        <w:fldChar w:fldCharType="separate"/>
      </w:r>
      <w:r>
        <w:t>1</w:t>
      </w:r>
      <w:r>
        <w:fldChar w:fldCharType="end"/>
      </w:r>
      <w:r>
        <w:fldChar w:fldCharType="end"/>
      </w:r>
    </w:p>
    <w:p>
      <w:pPr>
        <w:pStyle w:val="12"/>
        <w:tabs>
          <w:tab w:val="right" w:leader="dot" w:pos="9128"/>
          <w:tab w:val="clear" w:pos="9118"/>
        </w:tabs>
      </w:pPr>
      <w:r>
        <w:fldChar w:fldCharType="begin"/>
      </w:r>
      <w:r>
        <w:instrText xml:space="preserve"> HYPERLINK \l _Toc1831 </w:instrText>
      </w:r>
      <w:r>
        <w:fldChar w:fldCharType="separate"/>
      </w:r>
      <w:r>
        <w:rPr>
          <w:rFonts w:hint="default" w:ascii="Times New Roman" w:hAnsi="Times New Roman" w:eastAsia="宋体"/>
          <w:i w:val="0"/>
        </w:rPr>
        <w:t xml:space="preserve">1 </w:t>
      </w:r>
      <w:r>
        <w:rPr>
          <w:rFonts w:hint="eastAsia"/>
        </w:rPr>
        <w:t>总则</w:t>
      </w:r>
      <w:r>
        <w:tab/>
      </w:r>
      <w:r>
        <w:fldChar w:fldCharType="begin"/>
      </w:r>
      <w:r>
        <w:instrText xml:space="preserve"> PAGEREF _Toc1831 </w:instrText>
      </w:r>
      <w:r>
        <w:fldChar w:fldCharType="separate"/>
      </w:r>
      <w:r>
        <w:t>2</w:t>
      </w:r>
      <w:r>
        <w:fldChar w:fldCharType="end"/>
      </w:r>
      <w:r>
        <w:fldChar w:fldCharType="end"/>
      </w:r>
    </w:p>
    <w:p>
      <w:pPr>
        <w:pStyle w:val="13"/>
        <w:tabs>
          <w:tab w:val="right" w:leader="dot" w:pos="9128"/>
          <w:tab w:val="clear" w:pos="9118"/>
        </w:tabs>
      </w:pPr>
      <w:r>
        <w:fldChar w:fldCharType="begin"/>
      </w:r>
      <w:r>
        <w:instrText xml:space="preserve"> HYPERLINK \l _Toc29488 </w:instrText>
      </w:r>
      <w:r>
        <w:fldChar w:fldCharType="separate"/>
      </w:r>
      <w:r>
        <w:rPr>
          <w:rFonts w:hint="default" w:ascii="Times New Roman" w:hAnsi="Times New Roman" w:eastAsia="宋体"/>
          <w:i w:val="0"/>
          <w:szCs w:val="30"/>
        </w:rPr>
        <w:t xml:space="preserve">1.1 </w:t>
      </w:r>
      <w:r>
        <w:rPr>
          <w:rFonts w:hint="eastAsia"/>
        </w:rPr>
        <w:t>编制目的</w:t>
      </w:r>
      <w:r>
        <w:tab/>
      </w:r>
      <w:r>
        <w:fldChar w:fldCharType="begin"/>
      </w:r>
      <w:r>
        <w:instrText xml:space="preserve"> PAGEREF _Toc29488 </w:instrText>
      </w:r>
      <w:r>
        <w:fldChar w:fldCharType="separate"/>
      </w:r>
      <w:r>
        <w:t>2</w:t>
      </w:r>
      <w:r>
        <w:fldChar w:fldCharType="end"/>
      </w:r>
      <w:r>
        <w:fldChar w:fldCharType="end"/>
      </w:r>
    </w:p>
    <w:p>
      <w:pPr>
        <w:pStyle w:val="13"/>
        <w:tabs>
          <w:tab w:val="right" w:leader="dot" w:pos="9128"/>
          <w:tab w:val="clear" w:pos="9118"/>
        </w:tabs>
      </w:pPr>
      <w:r>
        <w:fldChar w:fldCharType="begin"/>
      </w:r>
      <w:r>
        <w:instrText xml:space="preserve"> HYPERLINK \l _Toc23877 </w:instrText>
      </w:r>
      <w:r>
        <w:fldChar w:fldCharType="separate"/>
      </w:r>
      <w:r>
        <w:rPr>
          <w:rFonts w:hint="default" w:ascii="Times New Roman" w:hAnsi="Times New Roman" w:eastAsia="宋体"/>
          <w:i w:val="0"/>
          <w:szCs w:val="30"/>
        </w:rPr>
        <w:t xml:space="preserve">1.2 </w:t>
      </w:r>
      <w:r>
        <w:rPr>
          <w:rFonts w:hint="eastAsia"/>
        </w:rPr>
        <w:t>编制依据</w:t>
      </w:r>
      <w:r>
        <w:tab/>
      </w:r>
      <w:r>
        <w:fldChar w:fldCharType="begin"/>
      </w:r>
      <w:r>
        <w:instrText xml:space="preserve"> PAGEREF _Toc23877 </w:instrText>
      </w:r>
      <w:r>
        <w:fldChar w:fldCharType="separate"/>
      </w:r>
      <w:r>
        <w:t>2</w:t>
      </w:r>
      <w:r>
        <w:fldChar w:fldCharType="end"/>
      </w:r>
      <w:r>
        <w:fldChar w:fldCharType="end"/>
      </w:r>
    </w:p>
    <w:p>
      <w:pPr>
        <w:pStyle w:val="13"/>
        <w:tabs>
          <w:tab w:val="right" w:leader="dot" w:pos="9128"/>
          <w:tab w:val="clear" w:pos="9118"/>
        </w:tabs>
      </w:pPr>
      <w:r>
        <w:fldChar w:fldCharType="begin"/>
      </w:r>
      <w:r>
        <w:instrText xml:space="preserve"> HYPERLINK \l _Toc14250 </w:instrText>
      </w:r>
      <w:r>
        <w:fldChar w:fldCharType="separate"/>
      </w:r>
      <w:r>
        <w:rPr>
          <w:rFonts w:hint="default" w:ascii="Times New Roman" w:hAnsi="Times New Roman" w:eastAsia="宋体"/>
          <w:i w:val="0"/>
          <w:szCs w:val="30"/>
        </w:rPr>
        <w:t xml:space="preserve">1.3 </w:t>
      </w:r>
      <w:r>
        <w:rPr>
          <w:rFonts w:hint="eastAsia"/>
        </w:rPr>
        <w:t>适用范围</w:t>
      </w:r>
      <w:r>
        <w:tab/>
      </w:r>
      <w:r>
        <w:fldChar w:fldCharType="begin"/>
      </w:r>
      <w:r>
        <w:instrText xml:space="preserve"> PAGEREF _Toc14250 </w:instrText>
      </w:r>
      <w:r>
        <w:fldChar w:fldCharType="separate"/>
      </w:r>
      <w:r>
        <w:t>6</w:t>
      </w:r>
      <w:r>
        <w:fldChar w:fldCharType="end"/>
      </w:r>
      <w:r>
        <w:fldChar w:fldCharType="end"/>
      </w:r>
    </w:p>
    <w:p>
      <w:pPr>
        <w:pStyle w:val="13"/>
        <w:tabs>
          <w:tab w:val="right" w:leader="dot" w:pos="9128"/>
          <w:tab w:val="clear" w:pos="9118"/>
        </w:tabs>
      </w:pPr>
      <w:r>
        <w:fldChar w:fldCharType="begin"/>
      </w:r>
      <w:r>
        <w:instrText xml:space="preserve"> HYPERLINK \l _Toc13571 </w:instrText>
      </w:r>
      <w:r>
        <w:fldChar w:fldCharType="separate"/>
      </w:r>
      <w:r>
        <w:rPr>
          <w:rFonts w:hint="default" w:ascii="Times New Roman" w:hAnsi="Times New Roman" w:eastAsia="宋体"/>
          <w:i w:val="0"/>
          <w:szCs w:val="30"/>
        </w:rPr>
        <w:t xml:space="preserve">1.4 </w:t>
      </w:r>
      <w:r>
        <w:rPr>
          <w:rFonts w:hint="eastAsia"/>
        </w:rPr>
        <w:t>事件分级</w:t>
      </w:r>
      <w:r>
        <w:tab/>
      </w:r>
      <w:r>
        <w:fldChar w:fldCharType="begin"/>
      </w:r>
      <w:r>
        <w:instrText xml:space="preserve"> PAGEREF _Toc13571 </w:instrText>
      </w:r>
      <w:r>
        <w:fldChar w:fldCharType="separate"/>
      </w:r>
      <w:r>
        <w:t>6</w:t>
      </w:r>
      <w:r>
        <w:fldChar w:fldCharType="end"/>
      </w:r>
      <w:r>
        <w:fldChar w:fldCharType="end"/>
      </w:r>
    </w:p>
    <w:p>
      <w:pPr>
        <w:pStyle w:val="13"/>
        <w:tabs>
          <w:tab w:val="right" w:leader="dot" w:pos="9128"/>
          <w:tab w:val="clear" w:pos="9118"/>
        </w:tabs>
      </w:pPr>
      <w:r>
        <w:fldChar w:fldCharType="begin"/>
      </w:r>
      <w:r>
        <w:instrText xml:space="preserve"> HYPERLINK \l _Toc21521 </w:instrText>
      </w:r>
      <w:r>
        <w:fldChar w:fldCharType="separate"/>
      </w:r>
      <w:r>
        <w:rPr>
          <w:rFonts w:hint="default" w:ascii="Times New Roman" w:hAnsi="Times New Roman" w:eastAsia="宋体"/>
          <w:i w:val="0"/>
          <w:szCs w:val="30"/>
        </w:rPr>
        <w:t xml:space="preserve">1.5 </w:t>
      </w:r>
      <w:r>
        <w:rPr>
          <w:rFonts w:hint="eastAsia"/>
        </w:rPr>
        <w:t>工作原则</w:t>
      </w:r>
      <w:r>
        <w:tab/>
      </w:r>
      <w:r>
        <w:fldChar w:fldCharType="begin"/>
      </w:r>
      <w:r>
        <w:instrText xml:space="preserve"> PAGEREF _Toc21521 </w:instrText>
      </w:r>
      <w:r>
        <w:fldChar w:fldCharType="separate"/>
      </w:r>
      <w:r>
        <w:t>7</w:t>
      </w:r>
      <w:r>
        <w:fldChar w:fldCharType="end"/>
      </w:r>
      <w:r>
        <w:fldChar w:fldCharType="end"/>
      </w:r>
    </w:p>
    <w:p>
      <w:pPr>
        <w:pStyle w:val="13"/>
        <w:tabs>
          <w:tab w:val="right" w:leader="dot" w:pos="9128"/>
          <w:tab w:val="clear" w:pos="9118"/>
        </w:tabs>
      </w:pPr>
      <w:r>
        <w:fldChar w:fldCharType="begin"/>
      </w:r>
      <w:r>
        <w:instrText xml:space="preserve"> HYPERLINK \l _Toc15241 </w:instrText>
      </w:r>
      <w:r>
        <w:fldChar w:fldCharType="separate"/>
      </w:r>
      <w:r>
        <w:rPr>
          <w:rFonts w:hint="default" w:ascii="Times New Roman" w:hAnsi="Times New Roman" w:eastAsia="宋体"/>
          <w:i w:val="0"/>
          <w:szCs w:val="30"/>
        </w:rPr>
        <w:t xml:space="preserve">1.6 </w:t>
      </w:r>
      <w:r>
        <w:rPr>
          <w:rFonts w:hint="eastAsia"/>
        </w:rPr>
        <w:t>应急预案体系</w:t>
      </w:r>
      <w:r>
        <w:tab/>
      </w:r>
      <w:r>
        <w:fldChar w:fldCharType="begin"/>
      </w:r>
      <w:r>
        <w:instrText xml:space="preserve"> PAGEREF _Toc15241 </w:instrText>
      </w:r>
      <w:r>
        <w:fldChar w:fldCharType="separate"/>
      </w:r>
      <w:r>
        <w:t>8</w:t>
      </w:r>
      <w:r>
        <w:fldChar w:fldCharType="end"/>
      </w:r>
      <w:r>
        <w:fldChar w:fldCharType="end"/>
      </w:r>
    </w:p>
    <w:p>
      <w:pPr>
        <w:pStyle w:val="12"/>
        <w:tabs>
          <w:tab w:val="right" w:leader="dot" w:pos="9128"/>
          <w:tab w:val="clear" w:pos="9118"/>
        </w:tabs>
      </w:pPr>
      <w:r>
        <w:fldChar w:fldCharType="begin"/>
      </w:r>
      <w:r>
        <w:instrText xml:space="preserve"> HYPERLINK \l _Toc22889 </w:instrText>
      </w:r>
      <w:r>
        <w:fldChar w:fldCharType="separate"/>
      </w:r>
      <w:r>
        <w:rPr>
          <w:rFonts w:hint="default" w:ascii="Times New Roman" w:hAnsi="Times New Roman" w:eastAsia="宋体"/>
          <w:i w:val="0"/>
        </w:rPr>
        <w:t xml:space="preserve">2 </w:t>
      </w:r>
      <w:r>
        <w:rPr>
          <w:rFonts w:hint="eastAsia"/>
        </w:rPr>
        <w:t>基本情况</w:t>
      </w:r>
      <w:r>
        <w:tab/>
      </w:r>
      <w:r>
        <w:fldChar w:fldCharType="begin"/>
      </w:r>
      <w:r>
        <w:instrText xml:space="preserve"> PAGEREF _Toc22889 </w:instrText>
      </w:r>
      <w:r>
        <w:fldChar w:fldCharType="separate"/>
      </w:r>
      <w:r>
        <w:t>10</w:t>
      </w:r>
      <w:r>
        <w:fldChar w:fldCharType="end"/>
      </w:r>
      <w:r>
        <w:fldChar w:fldCharType="end"/>
      </w:r>
    </w:p>
    <w:p>
      <w:pPr>
        <w:pStyle w:val="13"/>
        <w:tabs>
          <w:tab w:val="right" w:leader="dot" w:pos="9128"/>
          <w:tab w:val="clear" w:pos="9118"/>
        </w:tabs>
      </w:pPr>
      <w:r>
        <w:fldChar w:fldCharType="begin"/>
      </w:r>
      <w:r>
        <w:instrText xml:space="preserve"> HYPERLINK \l _Toc23650 </w:instrText>
      </w:r>
      <w:r>
        <w:fldChar w:fldCharType="separate"/>
      </w:r>
      <w:r>
        <w:rPr>
          <w:rFonts w:hint="default" w:ascii="Times New Roman" w:hAnsi="Times New Roman" w:eastAsia="宋体"/>
          <w:i w:val="0"/>
          <w:szCs w:val="30"/>
        </w:rPr>
        <w:t xml:space="preserve">2.1 </w:t>
      </w:r>
      <w:r>
        <w:rPr>
          <w:rFonts w:hint="eastAsia"/>
        </w:rPr>
        <w:t>企业概况</w:t>
      </w:r>
      <w:r>
        <w:tab/>
      </w:r>
      <w:r>
        <w:fldChar w:fldCharType="begin"/>
      </w:r>
      <w:r>
        <w:instrText xml:space="preserve"> PAGEREF _Toc23650 </w:instrText>
      </w:r>
      <w:r>
        <w:fldChar w:fldCharType="separate"/>
      </w:r>
      <w:r>
        <w:t>10</w:t>
      </w:r>
      <w:r>
        <w:fldChar w:fldCharType="end"/>
      </w:r>
      <w:r>
        <w:fldChar w:fldCharType="end"/>
      </w:r>
    </w:p>
    <w:p>
      <w:pPr>
        <w:pStyle w:val="13"/>
        <w:tabs>
          <w:tab w:val="right" w:leader="dot" w:pos="9128"/>
          <w:tab w:val="clear" w:pos="9118"/>
        </w:tabs>
      </w:pPr>
      <w:r>
        <w:fldChar w:fldCharType="begin"/>
      </w:r>
      <w:r>
        <w:instrText xml:space="preserve"> HYPERLINK \l _Toc29020 </w:instrText>
      </w:r>
      <w:r>
        <w:fldChar w:fldCharType="separate"/>
      </w:r>
      <w:r>
        <w:rPr>
          <w:rFonts w:hint="default" w:ascii="Times New Roman" w:hAnsi="Times New Roman" w:eastAsia="宋体"/>
          <w:i w:val="0"/>
          <w:szCs w:val="30"/>
        </w:rPr>
        <w:t xml:space="preserve">2.2 </w:t>
      </w:r>
      <w:r>
        <w:rPr>
          <w:rFonts w:hint="eastAsia"/>
        </w:rPr>
        <w:t>污染源及其防治措施</w:t>
      </w:r>
      <w:r>
        <w:tab/>
      </w:r>
      <w:r>
        <w:fldChar w:fldCharType="begin"/>
      </w:r>
      <w:r>
        <w:instrText xml:space="preserve"> PAGEREF _Toc29020 </w:instrText>
      </w:r>
      <w:r>
        <w:fldChar w:fldCharType="separate"/>
      </w:r>
      <w:r>
        <w:t>16</w:t>
      </w:r>
      <w:r>
        <w:fldChar w:fldCharType="end"/>
      </w:r>
      <w:r>
        <w:fldChar w:fldCharType="end"/>
      </w:r>
    </w:p>
    <w:p>
      <w:pPr>
        <w:pStyle w:val="13"/>
        <w:tabs>
          <w:tab w:val="right" w:leader="dot" w:pos="9128"/>
          <w:tab w:val="clear" w:pos="9118"/>
        </w:tabs>
      </w:pPr>
      <w:r>
        <w:fldChar w:fldCharType="begin"/>
      </w:r>
      <w:r>
        <w:instrText xml:space="preserve"> HYPERLINK \l _Toc32176 </w:instrText>
      </w:r>
      <w:r>
        <w:fldChar w:fldCharType="separate"/>
      </w:r>
      <w:r>
        <w:rPr>
          <w:rFonts w:hint="default" w:ascii="Times New Roman" w:hAnsi="Times New Roman" w:eastAsia="宋体"/>
          <w:i w:val="0"/>
          <w:szCs w:val="30"/>
        </w:rPr>
        <w:t xml:space="preserve">2.3 </w:t>
      </w:r>
      <w:r>
        <w:rPr>
          <w:rFonts w:hint="eastAsia"/>
        </w:rPr>
        <w:t>环境概况</w:t>
      </w:r>
      <w:r>
        <w:tab/>
      </w:r>
      <w:r>
        <w:fldChar w:fldCharType="begin"/>
      </w:r>
      <w:r>
        <w:instrText xml:space="preserve"> PAGEREF _Toc32176 </w:instrText>
      </w:r>
      <w:r>
        <w:fldChar w:fldCharType="separate"/>
      </w:r>
      <w:r>
        <w:t>17</w:t>
      </w:r>
      <w:r>
        <w:fldChar w:fldCharType="end"/>
      </w:r>
      <w:r>
        <w:fldChar w:fldCharType="end"/>
      </w:r>
    </w:p>
    <w:p>
      <w:pPr>
        <w:pStyle w:val="12"/>
        <w:tabs>
          <w:tab w:val="right" w:leader="dot" w:pos="9128"/>
          <w:tab w:val="clear" w:pos="9118"/>
        </w:tabs>
      </w:pPr>
      <w:r>
        <w:fldChar w:fldCharType="begin"/>
      </w:r>
      <w:r>
        <w:instrText xml:space="preserve"> HYPERLINK \l _Toc18459 </w:instrText>
      </w:r>
      <w:r>
        <w:fldChar w:fldCharType="separate"/>
      </w:r>
      <w:r>
        <w:rPr>
          <w:rFonts w:hint="default" w:ascii="Times New Roman" w:hAnsi="Times New Roman" w:eastAsia="宋体"/>
          <w:i w:val="0"/>
        </w:rPr>
        <w:t xml:space="preserve">3 </w:t>
      </w:r>
      <w:r>
        <w:rPr>
          <w:rFonts w:hint="eastAsia"/>
        </w:rPr>
        <w:t>环境风险辨识</w:t>
      </w:r>
      <w:r>
        <w:tab/>
      </w:r>
      <w:r>
        <w:fldChar w:fldCharType="begin"/>
      </w:r>
      <w:r>
        <w:instrText xml:space="preserve"> PAGEREF _Toc18459 </w:instrText>
      </w:r>
      <w:r>
        <w:fldChar w:fldCharType="separate"/>
      </w:r>
      <w:r>
        <w:t>25</w:t>
      </w:r>
      <w:r>
        <w:fldChar w:fldCharType="end"/>
      </w:r>
      <w:r>
        <w:fldChar w:fldCharType="end"/>
      </w:r>
    </w:p>
    <w:p>
      <w:pPr>
        <w:pStyle w:val="13"/>
        <w:tabs>
          <w:tab w:val="right" w:leader="dot" w:pos="9128"/>
          <w:tab w:val="clear" w:pos="9118"/>
        </w:tabs>
      </w:pPr>
      <w:r>
        <w:fldChar w:fldCharType="begin"/>
      </w:r>
      <w:r>
        <w:instrText xml:space="preserve"> HYPERLINK \l _Toc26387 </w:instrText>
      </w:r>
      <w:r>
        <w:fldChar w:fldCharType="separate"/>
      </w:r>
      <w:r>
        <w:rPr>
          <w:rFonts w:hint="default" w:ascii="Times New Roman" w:hAnsi="Times New Roman" w:eastAsia="宋体"/>
          <w:i w:val="0"/>
          <w:szCs w:val="30"/>
        </w:rPr>
        <w:t xml:space="preserve">3.1 </w:t>
      </w:r>
      <w:r>
        <w:rPr>
          <w:rFonts w:hint="eastAsia"/>
        </w:rPr>
        <w:t>环境风险物质</w:t>
      </w:r>
      <w:r>
        <w:tab/>
      </w:r>
      <w:r>
        <w:fldChar w:fldCharType="begin"/>
      </w:r>
      <w:r>
        <w:instrText xml:space="preserve"> PAGEREF _Toc26387 </w:instrText>
      </w:r>
      <w:r>
        <w:fldChar w:fldCharType="separate"/>
      </w:r>
      <w:r>
        <w:t>25</w:t>
      </w:r>
      <w:r>
        <w:fldChar w:fldCharType="end"/>
      </w:r>
      <w:r>
        <w:fldChar w:fldCharType="end"/>
      </w:r>
    </w:p>
    <w:p>
      <w:pPr>
        <w:pStyle w:val="13"/>
        <w:tabs>
          <w:tab w:val="right" w:leader="dot" w:pos="9128"/>
          <w:tab w:val="clear" w:pos="9118"/>
        </w:tabs>
      </w:pPr>
      <w:r>
        <w:fldChar w:fldCharType="begin"/>
      </w:r>
      <w:r>
        <w:instrText xml:space="preserve"> HYPERLINK \l _Toc27191 </w:instrText>
      </w:r>
      <w:r>
        <w:fldChar w:fldCharType="separate"/>
      </w:r>
      <w:r>
        <w:rPr>
          <w:rFonts w:hint="default" w:ascii="Times New Roman" w:hAnsi="Times New Roman" w:eastAsia="宋体"/>
          <w:i w:val="0"/>
          <w:szCs w:val="30"/>
        </w:rPr>
        <w:t xml:space="preserve">3.2 </w:t>
      </w:r>
      <w:r>
        <w:rPr>
          <w:rFonts w:hint="eastAsia"/>
        </w:rPr>
        <w:t>生产工艺与环境风险控制水平</w:t>
      </w:r>
      <w:r>
        <w:tab/>
      </w:r>
      <w:r>
        <w:fldChar w:fldCharType="begin"/>
      </w:r>
      <w:r>
        <w:instrText xml:space="preserve"> PAGEREF _Toc27191 </w:instrText>
      </w:r>
      <w:r>
        <w:fldChar w:fldCharType="separate"/>
      </w:r>
      <w:r>
        <w:t>26</w:t>
      </w:r>
      <w:r>
        <w:fldChar w:fldCharType="end"/>
      </w:r>
      <w:r>
        <w:fldChar w:fldCharType="end"/>
      </w:r>
    </w:p>
    <w:p>
      <w:pPr>
        <w:pStyle w:val="13"/>
        <w:tabs>
          <w:tab w:val="right" w:leader="dot" w:pos="9128"/>
          <w:tab w:val="clear" w:pos="9118"/>
        </w:tabs>
      </w:pPr>
      <w:r>
        <w:fldChar w:fldCharType="begin"/>
      </w:r>
      <w:r>
        <w:instrText xml:space="preserve"> HYPERLINK \l _Toc28825 </w:instrText>
      </w:r>
      <w:r>
        <w:fldChar w:fldCharType="separate"/>
      </w:r>
      <w:r>
        <w:rPr>
          <w:rFonts w:hint="default" w:ascii="Times New Roman" w:hAnsi="Times New Roman" w:eastAsia="宋体"/>
          <w:i w:val="0"/>
          <w:szCs w:val="30"/>
        </w:rPr>
        <w:t xml:space="preserve">3.3 </w:t>
      </w:r>
      <w:r>
        <w:rPr>
          <w:rFonts w:hint="eastAsia"/>
        </w:rPr>
        <w:t>环境风险受体</w:t>
      </w:r>
      <w:r>
        <w:tab/>
      </w:r>
      <w:r>
        <w:fldChar w:fldCharType="begin"/>
      </w:r>
      <w:r>
        <w:instrText xml:space="preserve"> PAGEREF _Toc28825 </w:instrText>
      </w:r>
      <w:r>
        <w:fldChar w:fldCharType="separate"/>
      </w:r>
      <w:r>
        <w:t>28</w:t>
      </w:r>
      <w:r>
        <w:fldChar w:fldCharType="end"/>
      </w:r>
      <w:r>
        <w:fldChar w:fldCharType="end"/>
      </w:r>
    </w:p>
    <w:p>
      <w:pPr>
        <w:pStyle w:val="13"/>
        <w:tabs>
          <w:tab w:val="right" w:leader="dot" w:pos="9128"/>
          <w:tab w:val="clear" w:pos="9118"/>
        </w:tabs>
      </w:pPr>
      <w:r>
        <w:fldChar w:fldCharType="begin"/>
      </w:r>
      <w:r>
        <w:instrText xml:space="preserve"> HYPERLINK \l _Toc24120 </w:instrText>
      </w:r>
      <w:r>
        <w:fldChar w:fldCharType="separate"/>
      </w:r>
      <w:r>
        <w:rPr>
          <w:rFonts w:hint="default" w:ascii="Times New Roman" w:hAnsi="Times New Roman" w:eastAsia="宋体"/>
          <w:i w:val="0"/>
          <w:szCs w:val="30"/>
        </w:rPr>
        <w:t xml:space="preserve">3.4 </w:t>
      </w:r>
      <w:r>
        <w:rPr>
          <w:rFonts w:hint="eastAsia"/>
        </w:rPr>
        <w:t>环境风险等级</w:t>
      </w:r>
      <w:r>
        <w:tab/>
      </w:r>
      <w:r>
        <w:fldChar w:fldCharType="begin"/>
      </w:r>
      <w:r>
        <w:instrText xml:space="preserve"> PAGEREF _Toc24120 </w:instrText>
      </w:r>
      <w:r>
        <w:fldChar w:fldCharType="separate"/>
      </w:r>
      <w:r>
        <w:t>28</w:t>
      </w:r>
      <w:r>
        <w:fldChar w:fldCharType="end"/>
      </w:r>
      <w:r>
        <w:fldChar w:fldCharType="end"/>
      </w:r>
    </w:p>
    <w:p>
      <w:pPr>
        <w:pStyle w:val="13"/>
        <w:tabs>
          <w:tab w:val="right" w:leader="dot" w:pos="9128"/>
          <w:tab w:val="clear" w:pos="9118"/>
        </w:tabs>
      </w:pPr>
      <w:r>
        <w:fldChar w:fldCharType="begin"/>
      </w:r>
      <w:r>
        <w:instrText xml:space="preserve"> HYPERLINK \l _Toc17018 </w:instrText>
      </w:r>
      <w:r>
        <w:fldChar w:fldCharType="separate"/>
      </w:r>
      <w:r>
        <w:rPr>
          <w:rFonts w:hint="default" w:ascii="Times New Roman" w:hAnsi="Times New Roman" w:eastAsia="宋体"/>
          <w:i w:val="0"/>
          <w:szCs w:val="30"/>
        </w:rPr>
        <w:t xml:space="preserve">3.5 </w:t>
      </w:r>
      <w:r>
        <w:rPr>
          <w:rFonts w:hint="eastAsia"/>
        </w:rPr>
        <w:t>环境风险分析</w:t>
      </w:r>
      <w:r>
        <w:tab/>
      </w:r>
      <w:r>
        <w:fldChar w:fldCharType="begin"/>
      </w:r>
      <w:r>
        <w:instrText xml:space="preserve"> PAGEREF _Toc17018 </w:instrText>
      </w:r>
      <w:r>
        <w:fldChar w:fldCharType="separate"/>
      </w:r>
      <w:r>
        <w:t>28</w:t>
      </w:r>
      <w:r>
        <w:fldChar w:fldCharType="end"/>
      </w:r>
      <w:r>
        <w:fldChar w:fldCharType="end"/>
      </w:r>
    </w:p>
    <w:p>
      <w:pPr>
        <w:pStyle w:val="12"/>
        <w:tabs>
          <w:tab w:val="right" w:leader="dot" w:pos="9128"/>
          <w:tab w:val="clear" w:pos="9118"/>
        </w:tabs>
      </w:pPr>
      <w:r>
        <w:fldChar w:fldCharType="begin"/>
      </w:r>
      <w:r>
        <w:instrText xml:space="preserve"> HYPERLINK \l _Toc16386 </w:instrText>
      </w:r>
      <w:r>
        <w:fldChar w:fldCharType="separate"/>
      </w:r>
      <w:r>
        <w:rPr>
          <w:rFonts w:hint="default" w:ascii="Times New Roman" w:hAnsi="Times New Roman" w:eastAsia="宋体"/>
          <w:i w:val="0"/>
        </w:rPr>
        <w:t xml:space="preserve">4 </w:t>
      </w:r>
      <w:r>
        <w:rPr>
          <w:rFonts w:hint="eastAsia"/>
        </w:rPr>
        <w:t>应急能力建设</w:t>
      </w:r>
      <w:r>
        <w:tab/>
      </w:r>
      <w:r>
        <w:fldChar w:fldCharType="begin"/>
      </w:r>
      <w:r>
        <w:instrText xml:space="preserve"> PAGEREF _Toc16386 </w:instrText>
      </w:r>
      <w:r>
        <w:fldChar w:fldCharType="separate"/>
      </w:r>
      <w:r>
        <w:t>30</w:t>
      </w:r>
      <w:r>
        <w:fldChar w:fldCharType="end"/>
      </w:r>
      <w:r>
        <w:fldChar w:fldCharType="end"/>
      </w:r>
    </w:p>
    <w:p>
      <w:pPr>
        <w:pStyle w:val="13"/>
        <w:tabs>
          <w:tab w:val="right" w:leader="dot" w:pos="9128"/>
          <w:tab w:val="clear" w:pos="9118"/>
        </w:tabs>
      </w:pPr>
      <w:r>
        <w:fldChar w:fldCharType="begin"/>
      </w:r>
      <w:r>
        <w:instrText xml:space="preserve"> HYPERLINK \l _Toc29551 </w:instrText>
      </w:r>
      <w:r>
        <w:fldChar w:fldCharType="separate"/>
      </w:r>
      <w:r>
        <w:rPr>
          <w:rFonts w:hint="default" w:ascii="Times New Roman" w:hAnsi="Times New Roman" w:eastAsia="宋体"/>
          <w:i w:val="0"/>
          <w:szCs w:val="30"/>
        </w:rPr>
        <w:t xml:space="preserve">4.1 </w:t>
      </w:r>
      <w:r>
        <w:rPr>
          <w:rFonts w:hint="eastAsia"/>
        </w:rPr>
        <w:t>环境风险管理制度评估结论</w:t>
      </w:r>
      <w:r>
        <w:tab/>
      </w:r>
      <w:r>
        <w:fldChar w:fldCharType="begin"/>
      </w:r>
      <w:r>
        <w:instrText xml:space="preserve"> PAGEREF _Toc29551 </w:instrText>
      </w:r>
      <w:r>
        <w:fldChar w:fldCharType="separate"/>
      </w:r>
      <w:r>
        <w:t>30</w:t>
      </w:r>
      <w:r>
        <w:fldChar w:fldCharType="end"/>
      </w:r>
      <w:r>
        <w:fldChar w:fldCharType="end"/>
      </w:r>
    </w:p>
    <w:p>
      <w:pPr>
        <w:pStyle w:val="13"/>
        <w:tabs>
          <w:tab w:val="right" w:leader="dot" w:pos="9128"/>
          <w:tab w:val="clear" w:pos="9118"/>
        </w:tabs>
      </w:pPr>
      <w:r>
        <w:fldChar w:fldCharType="begin"/>
      </w:r>
      <w:r>
        <w:instrText xml:space="preserve"> HYPERLINK \l _Toc5190 </w:instrText>
      </w:r>
      <w:r>
        <w:fldChar w:fldCharType="separate"/>
      </w:r>
      <w:r>
        <w:rPr>
          <w:rFonts w:hint="default" w:ascii="Times New Roman" w:hAnsi="Times New Roman" w:eastAsia="宋体"/>
          <w:i w:val="0"/>
          <w:szCs w:val="30"/>
        </w:rPr>
        <w:t xml:space="preserve">4.2 </w:t>
      </w:r>
      <w:r>
        <w:rPr>
          <w:rFonts w:hint="eastAsia"/>
        </w:rPr>
        <w:t>环境风险防控措施评估结论</w:t>
      </w:r>
      <w:r>
        <w:tab/>
      </w:r>
      <w:r>
        <w:fldChar w:fldCharType="begin"/>
      </w:r>
      <w:r>
        <w:instrText xml:space="preserve"> PAGEREF _Toc5190 </w:instrText>
      </w:r>
      <w:r>
        <w:fldChar w:fldCharType="separate"/>
      </w:r>
      <w:r>
        <w:t>30</w:t>
      </w:r>
      <w:r>
        <w:fldChar w:fldCharType="end"/>
      </w:r>
      <w:r>
        <w:fldChar w:fldCharType="end"/>
      </w:r>
    </w:p>
    <w:p>
      <w:pPr>
        <w:pStyle w:val="13"/>
        <w:tabs>
          <w:tab w:val="right" w:leader="dot" w:pos="9128"/>
          <w:tab w:val="clear" w:pos="9118"/>
        </w:tabs>
      </w:pPr>
      <w:r>
        <w:fldChar w:fldCharType="begin"/>
      </w:r>
      <w:r>
        <w:instrText xml:space="preserve"> HYPERLINK \l _Toc729 </w:instrText>
      </w:r>
      <w:r>
        <w:fldChar w:fldCharType="separate"/>
      </w:r>
      <w:r>
        <w:rPr>
          <w:rFonts w:hint="default" w:ascii="Times New Roman" w:hAnsi="Times New Roman" w:eastAsia="宋体"/>
          <w:i w:val="0"/>
          <w:szCs w:val="30"/>
        </w:rPr>
        <w:t xml:space="preserve">4.3 </w:t>
      </w:r>
      <w:r>
        <w:rPr>
          <w:rFonts w:hint="eastAsia"/>
        </w:rPr>
        <w:t>环境应急资源评估结论</w:t>
      </w:r>
      <w:r>
        <w:tab/>
      </w:r>
      <w:r>
        <w:fldChar w:fldCharType="begin"/>
      </w:r>
      <w:r>
        <w:instrText xml:space="preserve"> PAGEREF _Toc729 </w:instrText>
      </w:r>
      <w:r>
        <w:fldChar w:fldCharType="separate"/>
      </w:r>
      <w:r>
        <w:t>31</w:t>
      </w:r>
      <w:r>
        <w:fldChar w:fldCharType="end"/>
      </w:r>
      <w:r>
        <w:fldChar w:fldCharType="end"/>
      </w:r>
    </w:p>
    <w:p>
      <w:pPr>
        <w:pStyle w:val="12"/>
        <w:tabs>
          <w:tab w:val="right" w:leader="dot" w:pos="9128"/>
          <w:tab w:val="clear" w:pos="9118"/>
        </w:tabs>
      </w:pPr>
      <w:r>
        <w:fldChar w:fldCharType="begin"/>
      </w:r>
      <w:r>
        <w:instrText xml:space="preserve"> HYPERLINK \l _Toc31886 </w:instrText>
      </w:r>
      <w:r>
        <w:fldChar w:fldCharType="separate"/>
      </w:r>
      <w:r>
        <w:rPr>
          <w:rFonts w:hint="default" w:ascii="Times New Roman" w:hAnsi="Times New Roman" w:eastAsia="宋体"/>
          <w:i w:val="0"/>
        </w:rPr>
        <w:t xml:space="preserve">5 </w:t>
      </w:r>
      <w:r>
        <w:rPr>
          <w:rFonts w:hint="eastAsia"/>
        </w:rPr>
        <w:t>组织机构和职责</w:t>
      </w:r>
      <w:r>
        <w:tab/>
      </w:r>
      <w:r>
        <w:fldChar w:fldCharType="begin"/>
      </w:r>
      <w:r>
        <w:instrText xml:space="preserve"> PAGEREF _Toc31886 </w:instrText>
      </w:r>
      <w:r>
        <w:fldChar w:fldCharType="separate"/>
      </w:r>
      <w:r>
        <w:t>33</w:t>
      </w:r>
      <w:r>
        <w:fldChar w:fldCharType="end"/>
      </w:r>
      <w:r>
        <w:fldChar w:fldCharType="end"/>
      </w:r>
    </w:p>
    <w:p>
      <w:pPr>
        <w:pStyle w:val="13"/>
        <w:tabs>
          <w:tab w:val="right" w:leader="dot" w:pos="9128"/>
          <w:tab w:val="clear" w:pos="9118"/>
        </w:tabs>
      </w:pPr>
      <w:r>
        <w:fldChar w:fldCharType="begin"/>
      </w:r>
      <w:r>
        <w:instrText xml:space="preserve"> HYPERLINK \l _Toc21785 </w:instrText>
      </w:r>
      <w:r>
        <w:fldChar w:fldCharType="separate"/>
      </w:r>
      <w:r>
        <w:rPr>
          <w:rFonts w:hint="default" w:ascii="Times New Roman" w:hAnsi="Times New Roman" w:eastAsia="宋体"/>
          <w:i w:val="0"/>
          <w:szCs w:val="30"/>
        </w:rPr>
        <w:t xml:space="preserve">5.1 </w:t>
      </w:r>
      <w:r>
        <w:rPr>
          <w:rFonts w:hint="eastAsia"/>
        </w:rPr>
        <w:t>组织机构</w:t>
      </w:r>
      <w:r>
        <w:tab/>
      </w:r>
      <w:r>
        <w:fldChar w:fldCharType="begin"/>
      </w:r>
      <w:r>
        <w:instrText xml:space="preserve"> PAGEREF _Toc21785 </w:instrText>
      </w:r>
      <w:r>
        <w:fldChar w:fldCharType="separate"/>
      </w:r>
      <w:r>
        <w:t>33</w:t>
      </w:r>
      <w:r>
        <w:fldChar w:fldCharType="end"/>
      </w:r>
      <w:r>
        <w:fldChar w:fldCharType="end"/>
      </w:r>
    </w:p>
    <w:p>
      <w:pPr>
        <w:pStyle w:val="13"/>
        <w:tabs>
          <w:tab w:val="right" w:leader="dot" w:pos="9128"/>
          <w:tab w:val="clear" w:pos="9118"/>
        </w:tabs>
      </w:pPr>
      <w:r>
        <w:fldChar w:fldCharType="begin"/>
      </w:r>
      <w:r>
        <w:instrText xml:space="preserve"> HYPERLINK \l _Toc30890 </w:instrText>
      </w:r>
      <w:r>
        <w:fldChar w:fldCharType="separate"/>
      </w:r>
      <w:r>
        <w:rPr>
          <w:rFonts w:hint="default" w:ascii="Times New Roman" w:hAnsi="Times New Roman" w:eastAsia="宋体"/>
          <w:i w:val="0"/>
          <w:szCs w:val="30"/>
        </w:rPr>
        <w:t xml:space="preserve">5.2 </w:t>
      </w:r>
      <w:r>
        <w:rPr>
          <w:rFonts w:hint="eastAsia"/>
        </w:rPr>
        <w:t>职责</w:t>
      </w:r>
      <w:r>
        <w:tab/>
      </w:r>
      <w:r>
        <w:fldChar w:fldCharType="begin"/>
      </w:r>
      <w:r>
        <w:instrText xml:space="preserve"> PAGEREF _Toc30890 </w:instrText>
      </w:r>
      <w:r>
        <w:fldChar w:fldCharType="separate"/>
      </w:r>
      <w:r>
        <w:t>35</w:t>
      </w:r>
      <w:r>
        <w:fldChar w:fldCharType="end"/>
      </w:r>
      <w:r>
        <w:fldChar w:fldCharType="end"/>
      </w:r>
    </w:p>
    <w:p>
      <w:pPr>
        <w:pStyle w:val="12"/>
        <w:tabs>
          <w:tab w:val="right" w:leader="dot" w:pos="9128"/>
          <w:tab w:val="clear" w:pos="9118"/>
        </w:tabs>
      </w:pPr>
      <w:r>
        <w:fldChar w:fldCharType="begin"/>
      </w:r>
      <w:r>
        <w:instrText xml:space="preserve"> HYPERLINK \l _Toc19406 </w:instrText>
      </w:r>
      <w:r>
        <w:fldChar w:fldCharType="separate"/>
      </w:r>
      <w:r>
        <w:rPr>
          <w:rFonts w:hint="default" w:ascii="Times New Roman" w:hAnsi="Times New Roman" w:eastAsia="宋体"/>
          <w:i w:val="0"/>
        </w:rPr>
        <w:t xml:space="preserve">6 </w:t>
      </w:r>
      <w:r>
        <w:rPr>
          <w:rFonts w:hint="eastAsia"/>
        </w:rPr>
        <w:t>预防、预警及信息报告</w:t>
      </w:r>
      <w:r>
        <w:tab/>
      </w:r>
      <w:r>
        <w:fldChar w:fldCharType="begin"/>
      </w:r>
      <w:r>
        <w:instrText xml:space="preserve"> PAGEREF _Toc19406 </w:instrText>
      </w:r>
      <w:r>
        <w:fldChar w:fldCharType="separate"/>
      </w:r>
      <w:r>
        <w:t>38</w:t>
      </w:r>
      <w:r>
        <w:fldChar w:fldCharType="end"/>
      </w:r>
      <w:r>
        <w:fldChar w:fldCharType="end"/>
      </w:r>
    </w:p>
    <w:p>
      <w:pPr>
        <w:pStyle w:val="13"/>
        <w:tabs>
          <w:tab w:val="right" w:leader="dot" w:pos="9128"/>
          <w:tab w:val="clear" w:pos="9118"/>
        </w:tabs>
      </w:pPr>
      <w:r>
        <w:fldChar w:fldCharType="begin"/>
      </w:r>
      <w:r>
        <w:instrText xml:space="preserve"> HYPERLINK \l _Toc2185 </w:instrText>
      </w:r>
      <w:r>
        <w:fldChar w:fldCharType="separate"/>
      </w:r>
      <w:r>
        <w:rPr>
          <w:rFonts w:hint="default" w:ascii="Times New Roman" w:hAnsi="Times New Roman" w:eastAsia="宋体"/>
          <w:i w:val="0"/>
          <w:szCs w:val="30"/>
        </w:rPr>
        <w:t xml:space="preserve">6.1 </w:t>
      </w:r>
      <w:r>
        <w:rPr>
          <w:rFonts w:hint="eastAsia"/>
        </w:rPr>
        <w:t>预防</w:t>
      </w:r>
      <w:r>
        <w:tab/>
      </w:r>
      <w:r>
        <w:fldChar w:fldCharType="begin"/>
      </w:r>
      <w:r>
        <w:instrText xml:space="preserve"> PAGEREF _Toc2185 </w:instrText>
      </w:r>
      <w:r>
        <w:fldChar w:fldCharType="separate"/>
      </w:r>
      <w:r>
        <w:t>38</w:t>
      </w:r>
      <w:r>
        <w:fldChar w:fldCharType="end"/>
      </w:r>
      <w:r>
        <w:fldChar w:fldCharType="end"/>
      </w:r>
    </w:p>
    <w:p>
      <w:pPr>
        <w:pStyle w:val="13"/>
        <w:tabs>
          <w:tab w:val="right" w:leader="dot" w:pos="9128"/>
          <w:tab w:val="clear" w:pos="9118"/>
        </w:tabs>
      </w:pPr>
      <w:r>
        <w:fldChar w:fldCharType="begin"/>
      </w:r>
      <w:r>
        <w:instrText xml:space="preserve"> HYPERLINK \l _Toc8401 </w:instrText>
      </w:r>
      <w:r>
        <w:fldChar w:fldCharType="separate"/>
      </w:r>
      <w:r>
        <w:rPr>
          <w:rFonts w:hint="default" w:ascii="Times New Roman" w:hAnsi="Times New Roman" w:eastAsia="宋体"/>
          <w:i w:val="0"/>
          <w:szCs w:val="30"/>
        </w:rPr>
        <w:t xml:space="preserve">6.2 </w:t>
      </w:r>
      <w:r>
        <w:rPr>
          <w:rFonts w:hint="eastAsia"/>
        </w:rPr>
        <w:t>预警</w:t>
      </w:r>
      <w:r>
        <w:tab/>
      </w:r>
      <w:r>
        <w:fldChar w:fldCharType="begin"/>
      </w:r>
      <w:r>
        <w:instrText xml:space="preserve"> PAGEREF _Toc8401 </w:instrText>
      </w:r>
      <w:r>
        <w:fldChar w:fldCharType="separate"/>
      </w:r>
      <w:r>
        <w:t>38</w:t>
      </w:r>
      <w:r>
        <w:fldChar w:fldCharType="end"/>
      </w:r>
      <w:r>
        <w:fldChar w:fldCharType="end"/>
      </w:r>
    </w:p>
    <w:p>
      <w:pPr>
        <w:pStyle w:val="13"/>
        <w:tabs>
          <w:tab w:val="right" w:leader="dot" w:pos="9128"/>
          <w:tab w:val="clear" w:pos="9118"/>
        </w:tabs>
      </w:pPr>
      <w:r>
        <w:fldChar w:fldCharType="begin"/>
      </w:r>
      <w:r>
        <w:instrText xml:space="preserve"> HYPERLINK \l _Toc22974 </w:instrText>
      </w:r>
      <w:r>
        <w:fldChar w:fldCharType="separate"/>
      </w:r>
      <w:r>
        <w:rPr>
          <w:rFonts w:hint="default" w:ascii="Times New Roman" w:hAnsi="Times New Roman" w:eastAsia="宋体"/>
          <w:i w:val="0"/>
          <w:szCs w:val="30"/>
        </w:rPr>
        <w:t xml:space="preserve">6.3 </w:t>
      </w:r>
      <w:r>
        <w:rPr>
          <w:rFonts w:hint="eastAsia"/>
        </w:rPr>
        <w:t>信息报告</w:t>
      </w:r>
      <w:r>
        <w:tab/>
      </w:r>
      <w:r>
        <w:fldChar w:fldCharType="begin"/>
      </w:r>
      <w:r>
        <w:instrText xml:space="preserve"> PAGEREF _Toc22974 </w:instrText>
      </w:r>
      <w:r>
        <w:fldChar w:fldCharType="separate"/>
      </w:r>
      <w:r>
        <w:t>41</w:t>
      </w:r>
      <w:r>
        <w:fldChar w:fldCharType="end"/>
      </w:r>
      <w:r>
        <w:fldChar w:fldCharType="end"/>
      </w:r>
    </w:p>
    <w:p>
      <w:pPr>
        <w:pStyle w:val="12"/>
        <w:tabs>
          <w:tab w:val="right" w:leader="dot" w:pos="9128"/>
          <w:tab w:val="clear" w:pos="9118"/>
        </w:tabs>
      </w:pPr>
      <w:r>
        <w:fldChar w:fldCharType="begin"/>
      </w:r>
      <w:r>
        <w:instrText xml:space="preserve"> HYPERLINK \l _Toc8733 </w:instrText>
      </w:r>
      <w:r>
        <w:fldChar w:fldCharType="separate"/>
      </w:r>
      <w:r>
        <w:rPr>
          <w:rFonts w:hint="default" w:ascii="Times New Roman" w:hAnsi="Times New Roman" w:eastAsia="宋体"/>
          <w:i w:val="0"/>
        </w:rPr>
        <w:t xml:space="preserve">7 </w:t>
      </w:r>
      <w:r>
        <w:rPr>
          <w:rFonts w:hint="eastAsia"/>
        </w:rPr>
        <w:t>信息报告与通报</w:t>
      </w:r>
      <w:r>
        <w:tab/>
      </w:r>
      <w:r>
        <w:fldChar w:fldCharType="begin"/>
      </w:r>
      <w:r>
        <w:instrText xml:space="preserve"> PAGEREF _Toc8733 </w:instrText>
      </w:r>
      <w:r>
        <w:fldChar w:fldCharType="separate"/>
      </w:r>
      <w:r>
        <w:t>43</w:t>
      </w:r>
      <w:r>
        <w:fldChar w:fldCharType="end"/>
      </w:r>
      <w:r>
        <w:fldChar w:fldCharType="end"/>
      </w:r>
    </w:p>
    <w:p>
      <w:pPr>
        <w:pStyle w:val="13"/>
        <w:tabs>
          <w:tab w:val="right" w:leader="dot" w:pos="9128"/>
          <w:tab w:val="clear" w:pos="9118"/>
        </w:tabs>
      </w:pPr>
      <w:r>
        <w:fldChar w:fldCharType="begin"/>
      </w:r>
      <w:r>
        <w:instrText xml:space="preserve"> HYPERLINK \l _Toc17981 </w:instrText>
      </w:r>
      <w:r>
        <w:fldChar w:fldCharType="separate"/>
      </w:r>
      <w:r>
        <w:rPr>
          <w:rFonts w:hint="default" w:ascii="Times New Roman" w:hAnsi="Times New Roman" w:eastAsia="宋体"/>
          <w:i w:val="0"/>
          <w:szCs w:val="30"/>
        </w:rPr>
        <w:t xml:space="preserve">7.1 </w:t>
      </w:r>
      <w:r>
        <w:rPr>
          <w:rFonts w:hint="eastAsia"/>
        </w:rPr>
        <w:t>内部报告</w:t>
      </w:r>
      <w:r>
        <w:tab/>
      </w:r>
      <w:r>
        <w:fldChar w:fldCharType="begin"/>
      </w:r>
      <w:r>
        <w:instrText xml:space="preserve"> PAGEREF _Toc17981 </w:instrText>
      </w:r>
      <w:r>
        <w:fldChar w:fldCharType="separate"/>
      </w:r>
      <w:r>
        <w:t>43</w:t>
      </w:r>
      <w:r>
        <w:fldChar w:fldCharType="end"/>
      </w:r>
      <w:r>
        <w:fldChar w:fldCharType="end"/>
      </w:r>
    </w:p>
    <w:p>
      <w:pPr>
        <w:pStyle w:val="13"/>
        <w:tabs>
          <w:tab w:val="right" w:leader="dot" w:pos="9128"/>
          <w:tab w:val="clear" w:pos="9118"/>
        </w:tabs>
      </w:pPr>
      <w:r>
        <w:fldChar w:fldCharType="begin"/>
      </w:r>
      <w:r>
        <w:instrText xml:space="preserve"> HYPERLINK \l _Toc7698 </w:instrText>
      </w:r>
      <w:r>
        <w:fldChar w:fldCharType="separate"/>
      </w:r>
      <w:r>
        <w:rPr>
          <w:rFonts w:hint="default" w:ascii="Times New Roman" w:hAnsi="Times New Roman" w:eastAsia="宋体"/>
          <w:i w:val="0"/>
          <w:szCs w:val="30"/>
        </w:rPr>
        <w:t xml:space="preserve">7.2 </w:t>
      </w:r>
      <w:r>
        <w:rPr>
          <w:rFonts w:hint="eastAsia"/>
        </w:rPr>
        <w:t>信息上报</w:t>
      </w:r>
      <w:r>
        <w:tab/>
      </w:r>
      <w:r>
        <w:fldChar w:fldCharType="begin"/>
      </w:r>
      <w:r>
        <w:instrText xml:space="preserve"> PAGEREF _Toc7698 </w:instrText>
      </w:r>
      <w:r>
        <w:fldChar w:fldCharType="separate"/>
      </w:r>
      <w:r>
        <w:t>46</w:t>
      </w:r>
      <w:r>
        <w:fldChar w:fldCharType="end"/>
      </w:r>
      <w:r>
        <w:fldChar w:fldCharType="end"/>
      </w:r>
    </w:p>
    <w:p>
      <w:pPr>
        <w:pStyle w:val="13"/>
        <w:tabs>
          <w:tab w:val="right" w:leader="dot" w:pos="9128"/>
          <w:tab w:val="clear" w:pos="9118"/>
        </w:tabs>
      </w:pPr>
      <w:r>
        <w:fldChar w:fldCharType="begin"/>
      </w:r>
      <w:r>
        <w:instrText xml:space="preserve"> HYPERLINK \l _Toc22051 </w:instrText>
      </w:r>
      <w:r>
        <w:fldChar w:fldCharType="separate"/>
      </w:r>
      <w:r>
        <w:rPr>
          <w:rFonts w:hint="default" w:ascii="Times New Roman" w:hAnsi="Times New Roman" w:eastAsia="宋体"/>
          <w:i w:val="0"/>
          <w:szCs w:val="30"/>
        </w:rPr>
        <w:t xml:space="preserve">7.3 </w:t>
      </w:r>
      <w:r>
        <w:rPr>
          <w:rFonts w:hint="eastAsia"/>
        </w:rPr>
        <w:t>事故报告内容</w:t>
      </w:r>
      <w:r>
        <w:tab/>
      </w:r>
      <w:r>
        <w:fldChar w:fldCharType="begin"/>
      </w:r>
      <w:r>
        <w:instrText xml:space="preserve"> PAGEREF _Toc22051 </w:instrText>
      </w:r>
      <w:r>
        <w:fldChar w:fldCharType="separate"/>
      </w:r>
      <w:r>
        <w:t>48</w:t>
      </w:r>
      <w:r>
        <w:fldChar w:fldCharType="end"/>
      </w:r>
      <w:r>
        <w:fldChar w:fldCharType="end"/>
      </w:r>
    </w:p>
    <w:p>
      <w:pPr>
        <w:pStyle w:val="12"/>
        <w:tabs>
          <w:tab w:val="right" w:leader="dot" w:pos="9128"/>
          <w:tab w:val="clear" w:pos="9118"/>
        </w:tabs>
      </w:pPr>
      <w:r>
        <w:fldChar w:fldCharType="begin"/>
      </w:r>
      <w:r>
        <w:instrText xml:space="preserve"> HYPERLINK \l _Toc2736 </w:instrText>
      </w:r>
      <w:r>
        <w:fldChar w:fldCharType="separate"/>
      </w:r>
      <w:r>
        <w:rPr>
          <w:rFonts w:hint="default" w:ascii="Times New Roman" w:hAnsi="Times New Roman" w:eastAsia="宋体"/>
          <w:i w:val="0"/>
        </w:rPr>
        <w:t xml:space="preserve">8 </w:t>
      </w:r>
      <w:r>
        <w:rPr>
          <w:rFonts w:hint="eastAsia"/>
        </w:rPr>
        <w:t>应急响应</w:t>
      </w:r>
      <w:r>
        <w:tab/>
      </w:r>
      <w:r>
        <w:fldChar w:fldCharType="begin"/>
      </w:r>
      <w:r>
        <w:instrText xml:space="preserve"> PAGEREF _Toc2736 </w:instrText>
      </w:r>
      <w:r>
        <w:fldChar w:fldCharType="separate"/>
      </w:r>
      <w:r>
        <w:t>50</w:t>
      </w:r>
      <w:r>
        <w:fldChar w:fldCharType="end"/>
      </w:r>
      <w:r>
        <w:fldChar w:fldCharType="end"/>
      </w:r>
    </w:p>
    <w:p>
      <w:pPr>
        <w:pStyle w:val="13"/>
        <w:tabs>
          <w:tab w:val="right" w:leader="dot" w:pos="9128"/>
          <w:tab w:val="clear" w:pos="9118"/>
        </w:tabs>
      </w:pPr>
      <w:r>
        <w:fldChar w:fldCharType="begin"/>
      </w:r>
      <w:r>
        <w:instrText xml:space="preserve"> HYPERLINK \l _Toc17531 </w:instrText>
      </w:r>
      <w:r>
        <w:fldChar w:fldCharType="separate"/>
      </w:r>
      <w:r>
        <w:rPr>
          <w:rFonts w:hint="default" w:ascii="Times New Roman" w:hAnsi="Times New Roman" w:eastAsia="宋体"/>
          <w:i w:val="0"/>
          <w:szCs w:val="30"/>
        </w:rPr>
        <w:t xml:space="preserve">8.1 </w:t>
      </w:r>
      <w:r>
        <w:rPr>
          <w:rFonts w:hint="eastAsia"/>
        </w:rPr>
        <w:t>响应分级</w:t>
      </w:r>
      <w:r>
        <w:tab/>
      </w:r>
      <w:r>
        <w:fldChar w:fldCharType="begin"/>
      </w:r>
      <w:r>
        <w:instrText xml:space="preserve"> PAGEREF _Toc17531 </w:instrText>
      </w:r>
      <w:r>
        <w:fldChar w:fldCharType="separate"/>
      </w:r>
      <w:r>
        <w:t>50</w:t>
      </w:r>
      <w:r>
        <w:fldChar w:fldCharType="end"/>
      </w:r>
      <w:r>
        <w:fldChar w:fldCharType="end"/>
      </w:r>
    </w:p>
    <w:p>
      <w:pPr>
        <w:pStyle w:val="13"/>
        <w:tabs>
          <w:tab w:val="right" w:leader="dot" w:pos="9128"/>
          <w:tab w:val="clear" w:pos="9118"/>
        </w:tabs>
      </w:pPr>
      <w:r>
        <w:fldChar w:fldCharType="begin"/>
      </w:r>
      <w:r>
        <w:instrText xml:space="preserve"> HYPERLINK \l _Toc1976 </w:instrText>
      </w:r>
      <w:r>
        <w:fldChar w:fldCharType="separate"/>
      </w:r>
      <w:r>
        <w:rPr>
          <w:rFonts w:hint="default" w:ascii="Times New Roman" w:hAnsi="Times New Roman" w:eastAsia="宋体"/>
          <w:i w:val="0"/>
          <w:szCs w:val="30"/>
        </w:rPr>
        <w:t xml:space="preserve">8.2 </w:t>
      </w:r>
      <w:r>
        <w:rPr>
          <w:rFonts w:hint="eastAsia"/>
        </w:rPr>
        <w:t>响应程序</w:t>
      </w:r>
      <w:r>
        <w:tab/>
      </w:r>
      <w:r>
        <w:fldChar w:fldCharType="begin"/>
      </w:r>
      <w:r>
        <w:instrText xml:space="preserve"> PAGEREF _Toc1976 </w:instrText>
      </w:r>
      <w:r>
        <w:fldChar w:fldCharType="separate"/>
      </w:r>
      <w:r>
        <w:t>51</w:t>
      </w:r>
      <w:r>
        <w:fldChar w:fldCharType="end"/>
      </w:r>
      <w:r>
        <w:fldChar w:fldCharType="end"/>
      </w:r>
    </w:p>
    <w:p>
      <w:pPr>
        <w:pStyle w:val="13"/>
        <w:tabs>
          <w:tab w:val="right" w:leader="dot" w:pos="9128"/>
          <w:tab w:val="clear" w:pos="9118"/>
        </w:tabs>
      </w:pPr>
      <w:r>
        <w:fldChar w:fldCharType="begin"/>
      </w:r>
      <w:r>
        <w:instrText xml:space="preserve"> HYPERLINK \l _Toc18265 </w:instrText>
      </w:r>
      <w:r>
        <w:fldChar w:fldCharType="separate"/>
      </w:r>
      <w:r>
        <w:rPr>
          <w:rFonts w:hint="default" w:ascii="Times New Roman" w:hAnsi="Times New Roman" w:eastAsia="宋体"/>
          <w:i w:val="0"/>
          <w:szCs w:val="30"/>
        </w:rPr>
        <w:t xml:space="preserve">8.3 </w:t>
      </w:r>
      <w:r>
        <w:rPr>
          <w:rFonts w:hint="eastAsia"/>
          <w:highlight w:val="none"/>
        </w:rPr>
        <w:t>应急处置</w:t>
      </w:r>
      <w:r>
        <w:tab/>
      </w:r>
      <w:r>
        <w:fldChar w:fldCharType="begin"/>
      </w:r>
      <w:r>
        <w:instrText xml:space="preserve"> PAGEREF _Toc18265 </w:instrText>
      </w:r>
      <w:r>
        <w:fldChar w:fldCharType="separate"/>
      </w:r>
      <w:r>
        <w:t>53</w:t>
      </w:r>
      <w:r>
        <w:fldChar w:fldCharType="end"/>
      </w:r>
      <w:r>
        <w:fldChar w:fldCharType="end"/>
      </w:r>
    </w:p>
    <w:p>
      <w:pPr>
        <w:pStyle w:val="13"/>
        <w:tabs>
          <w:tab w:val="right" w:leader="dot" w:pos="9128"/>
          <w:tab w:val="clear" w:pos="9118"/>
        </w:tabs>
      </w:pPr>
      <w:r>
        <w:fldChar w:fldCharType="begin"/>
      </w:r>
      <w:r>
        <w:instrText xml:space="preserve"> HYPERLINK \l _Toc6876 </w:instrText>
      </w:r>
      <w:r>
        <w:fldChar w:fldCharType="separate"/>
      </w:r>
      <w:r>
        <w:rPr>
          <w:rFonts w:hint="default" w:ascii="Times New Roman" w:hAnsi="Times New Roman" w:eastAsia="宋体"/>
          <w:i w:val="0"/>
          <w:szCs w:val="30"/>
        </w:rPr>
        <w:t xml:space="preserve">8.4 </w:t>
      </w:r>
      <w:r>
        <w:rPr>
          <w:rFonts w:hint="eastAsia"/>
        </w:rPr>
        <w:t>应急终止</w:t>
      </w:r>
      <w:r>
        <w:tab/>
      </w:r>
      <w:r>
        <w:fldChar w:fldCharType="begin"/>
      </w:r>
      <w:r>
        <w:instrText xml:space="preserve"> PAGEREF _Toc6876 </w:instrText>
      </w:r>
      <w:r>
        <w:fldChar w:fldCharType="separate"/>
      </w:r>
      <w:r>
        <w:t>66</w:t>
      </w:r>
      <w:r>
        <w:fldChar w:fldCharType="end"/>
      </w:r>
      <w:r>
        <w:fldChar w:fldCharType="end"/>
      </w:r>
    </w:p>
    <w:p>
      <w:pPr>
        <w:pStyle w:val="12"/>
        <w:tabs>
          <w:tab w:val="right" w:leader="dot" w:pos="9128"/>
          <w:tab w:val="clear" w:pos="9118"/>
        </w:tabs>
      </w:pPr>
      <w:r>
        <w:fldChar w:fldCharType="begin"/>
      </w:r>
      <w:r>
        <w:instrText xml:space="preserve"> HYPERLINK \l _Toc7633 </w:instrText>
      </w:r>
      <w:r>
        <w:fldChar w:fldCharType="separate"/>
      </w:r>
      <w:r>
        <w:rPr>
          <w:rFonts w:hint="default" w:ascii="Times New Roman" w:hAnsi="Times New Roman" w:eastAsia="宋体"/>
          <w:i w:val="0"/>
        </w:rPr>
        <w:t xml:space="preserve">9 </w:t>
      </w:r>
      <w:r>
        <w:rPr>
          <w:rFonts w:hint="eastAsia"/>
        </w:rPr>
        <w:t>信息公开</w:t>
      </w:r>
      <w:r>
        <w:tab/>
      </w:r>
      <w:r>
        <w:fldChar w:fldCharType="begin"/>
      </w:r>
      <w:r>
        <w:instrText xml:space="preserve"> PAGEREF _Toc7633 </w:instrText>
      </w:r>
      <w:r>
        <w:fldChar w:fldCharType="separate"/>
      </w:r>
      <w:r>
        <w:t>70</w:t>
      </w:r>
      <w:r>
        <w:fldChar w:fldCharType="end"/>
      </w:r>
      <w:r>
        <w:fldChar w:fldCharType="end"/>
      </w:r>
    </w:p>
    <w:p>
      <w:pPr>
        <w:pStyle w:val="12"/>
        <w:tabs>
          <w:tab w:val="right" w:leader="dot" w:pos="9128"/>
          <w:tab w:val="clear" w:pos="9118"/>
        </w:tabs>
      </w:pPr>
      <w:r>
        <w:fldChar w:fldCharType="begin"/>
      </w:r>
      <w:r>
        <w:instrText xml:space="preserve"> HYPERLINK \l _Toc15971 </w:instrText>
      </w:r>
      <w:r>
        <w:fldChar w:fldCharType="separate"/>
      </w:r>
      <w:r>
        <w:rPr>
          <w:rFonts w:hint="default" w:ascii="Times New Roman" w:hAnsi="Times New Roman" w:eastAsia="宋体"/>
          <w:i w:val="0"/>
        </w:rPr>
        <w:t xml:space="preserve">10 </w:t>
      </w:r>
      <w:r>
        <w:rPr>
          <w:rFonts w:hint="eastAsia"/>
        </w:rPr>
        <w:t>后期处置</w:t>
      </w:r>
      <w:r>
        <w:tab/>
      </w:r>
      <w:r>
        <w:fldChar w:fldCharType="begin"/>
      </w:r>
      <w:r>
        <w:instrText xml:space="preserve"> PAGEREF _Toc15971 </w:instrText>
      </w:r>
      <w:r>
        <w:fldChar w:fldCharType="separate"/>
      </w:r>
      <w:r>
        <w:t>71</w:t>
      </w:r>
      <w:r>
        <w:fldChar w:fldCharType="end"/>
      </w:r>
      <w:r>
        <w:fldChar w:fldCharType="end"/>
      </w:r>
    </w:p>
    <w:p>
      <w:pPr>
        <w:pStyle w:val="13"/>
        <w:tabs>
          <w:tab w:val="right" w:leader="dot" w:pos="9128"/>
          <w:tab w:val="clear" w:pos="9118"/>
        </w:tabs>
      </w:pPr>
      <w:r>
        <w:fldChar w:fldCharType="begin"/>
      </w:r>
      <w:r>
        <w:instrText xml:space="preserve"> HYPERLINK \l _Toc14988 </w:instrText>
      </w:r>
      <w:r>
        <w:fldChar w:fldCharType="separate"/>
      </w:r>
      <w:r>
        <w:rPr>
          <w:rFonts w:hint="default" w:ascii="Times New Roman" w:hAnsi="Times New Roman" w:eastAsia="宋体"/>
          <w:i w:val="0"/>
          <w:szCs w:val="30"/>
        </w:rPr>
        <w:t xml:space="preserve">10.1 </w:t>
      </w:r>
      <w:r>
        <w:rPr>
          <w:rFonts w:hint="eastAsia"/>
        </w:rPr>
        <w:t>善后处置</w:t>
      </w:r>
      <w:r>
        <w:tab/>
      </w:r>
      <w:r>
        <w:fldChar w:fldCharType="begin"/>
      </w:r>
      <w:r>
        <w:instrText xml:space="preserve"> PAGEREF _Toc14988 </w:instrText>
      </w:r>
      <w:r>
        <w:fldChar w:fldCharType="separate"/>
      </w:r>
      <w:r>
        <w:t>71</w:t>
      </w:r>
      <w:r>
        <w:fldChar w:fldCharType="end"/>
      </w:r>
      <w:r>
        <w:fldChar w:fldCharType="end"/>
      </w:r>
    </w:p>
    <w:p>
      <w:pPr>
        <w:pStyle w:val="13"/>
        <w:tabs>
          <w:tab w:val="right" w:leader="dot" w:pos="9128"/>
          <w:tab w:val="clear" w:pos="9118"/>
        </w:tabs>
      </w:pPr>
      <w:r>
        <w:fldChar w:fldCharType="begin"/>
      </w:r>
      <w:r>
        <w:instrText xml:space="preserve"> HYPERLINK \l _Toc24038 </w:instrText>
      </w:r>
      <w:r>
        <w:fldChar w:fldCharType="separate"/>
      </w:r>
      <w:r>
        <w:rPr>
          <w:rFonts w:hint="default" w:ascii="Times New Roman" w:hAnsi="Times New Roman" w:eastAsia="宋体"/>
          <w:i w:val="0"/>
          <w:szCs w:val="30"/>
        </w:rPr>
        <w:t xml:space="preserve">10.2 </w:t>
      </w:r>
      <w:r>
        <w:rPr>
          <w:rFonts w:hint="eastAsia"/>
        </w:rPr>
        <w:t>调查与评估</w:t>
      </w:r>
      <w:r>
        <w:tab/>
      </w:r>
      <w:r>
        <w:fldChar w:fldCharType="begin"/>
      </w:r>
      <w:r>
        <w:instrText xml:space="preserve"> PAGEREF _Toc24038 </w:instrText>
      </w:r>
      <w:r>
        <w:fldChar w:fldCharType="separate"/>
      </w:r>
      <w:r>
        <w:t>72</w:t>
      </w:r>
      <w:r>
        <w:fldChar w:fldCharType="end"/>
      </w:r>
      <w:r>
        <w:fldChar w:fldCharType="end"/>
      </w:r>
    </w:p>
    <w:p>
      <w:pPr>
        <w:pStyle w:val="13"/>
        <w:tabs>
          <w:tab w:val="right" w:leader="dot" w:pos="9128"/>
          <w:tab w:val="clear" w:pos="9118"/>
        </w:tabs>
      </w:pPr>
      <w:r>
        <w:fldChar w:fldCharType="begin"/>
      </w:r>
      <w:r>
        <w:instrText xml:space="preserve"> HYPERLINK \l _Toc22531 </w:instrText>
      </w:r>
      <w:r>
        <w:fldChar w:fldCharType="separate"/>
      </w:r>
      <w:r>
        <w:rPr>
          <w:rFonts w:hint="default" w:ascii="Times New Roman" w:hAnsi="Times New Roman" w:eastAsia="宋体"/>
          <w:i w:val="0"/>
          <w:szCs w:val="30"/>
        </w:rPr>
        <w:t xml:space="preserve">10.3 </w:t>
      </w:r>
      <w:r>
        <w:rPr>
          <w:rFonts w:hint="eastAsia"/>
        </w:rPr>
        <w:t>恢复重建</w:t>
      </w:r>
      <w:r>
        <w:tab/>
      </w:r>
      <w:r>
        <w:fldChar w:fldCharType="begin"/>
      </w:r>
      <w:r>
        <w:instrText xml:space="preserve"> PAGEREF _Toc22531 </w:instrText>
      </w:r>
      <w:r>
        <w:fldChar w:fldCharType="separate"/>
      </w:r>
      <w:r>
        <w:t>73</w:t>
      </w:r>
      <w:r>
        <w:fldChar w:fldCharType="end"/>
      </w:r>
      <w:r>
        <w:fldChar w:fldCharType="end"/>
      </w:r>
    </w:p>
    <w:p>
      <w:pPr>
        <w:pStyle w:val="12"/>
        <w:tabs>
          <w:tab w:val="right" w:leader="dot" w:pos="9128"/>
          <w:tab w:val="clear" w:pos="9118"/>
        </w:tabs>
      </w:pPr>
      <w:r>
        <w:fldChar w:fldCharType="begin"/>
      </w:r>
      <w:r>
        <w:instrText xml:space="preserve"> HYPERLINK \l _Toc31260 </w:instrText>
      </w:r>
      <w:r>
        <w:fldChar w:fldCharType="separate"/>
      </w:r>
      <w:r>
        <w:rPr>
          <w:rFonts w:hint="default" w:ascii="Times New Roman" w:hAnsi="Times New Roman" w:eastAsia="宋体"/>
          <w:i w:val="0"/>
        </w:rPr>
        <w:t xml:space="preserve">11 </w:t>
      </w:r>
      <w:r>
        <w:rPr>
          <w:rFonts w:hint="eastAsia"/>
        </w:rPr>
        <w:t>保障措施</w:t>
      </w:r>
      <w:r>
        <w:tab/>
      </w:r>
      <w:r>
        <w:fldChar w:fldCharType="begin"/>
      </w:r>
      <w:r>
        <w:instrText xml:space="preserve"> PAGEREF _Toc31260 </w:instrText>
      </w:r>
      <w:r>
        <w:fldChar w:fldCharType="separate"/>
      </w:r>
      <w:r>
        <w:t>74</w:t>
      </w:r>
      <w:r>
        <w:fldChar w:fldCharType="end"/>
      </w:r>
      <w:r>
        <w:fldChar w:fldCharType="end"/>
      </w:r>
    </w:p>
    <w:p>
      <w:pPr>
        <w:pStyle w:val="13"/>
        <w:tabs>
          <w:tab w:val="right" w:leader="dot" w:pos="9128"/>
          <w:tab w:val="clear" w:pos="9118"/>
        </w:tabs>
      </w:pPr>
      <w:r>
        <w:fldChar w:fldCharType="begin"/>
      </w:r>
      <w:r>
        <w:instrText xml:space="preserve"> HYPERLINK \l _Toc27569 </w:instrText>
      </w:r>
      <w:r>
        <w:fldChar w:fldCharType="separate"/>
      </w:r>
      <w:r>
        <w:rPr>
          <w:rFonts w:hint="default" w:ascii="Times New Roman" w:hAnsi="Times New Roman" w:eastAsia="宋体"/>
          <w:i w:val="0"/>
          <w:szCs w:val="30"/>
        </w:rPr>
        <w:t xml:space="preserve">11.1 </w:t>
      </w:r>
      <w:r>
        <w:rPr>
          <w:rFonts w:hint="eastAsia"/>
        </w:rPr>
        <w:t>应急通信与信息保障</w:t>
      </w:r>
      <w:r>
        <w:tab/>
      </w:r>
      <w:r>
        <w:fldChar w:fldCharType="begin"/>
      </w:r>
      <w:r>
        <w:instrText xml:space="preserve"> PAGEREF _Toc27569 </w:instrText>
      </w:r>
      <w:r>
        <w:fldChar w:fldCharType="separate"/>
      </w:r>
      <w:r>
        <w:t>74</w:t>
      </w:r>
      <w:r>
        <w:fldChar w:fldCharType="end"/>
      </w:r>
      <w:r>
        <w:fldChar w:fldCharType="end"/>
      </w:r>
    </w:p>
    <w:p>
      <w:pPr>
        <w:pStyle w:val="13"/>
        <w:tabs>
          <w:tab w:val="right" w:leader="dot" w:pos="9128"/>
          <w:tab w:val="clear" w:pos="9118"/>
        </w:tabs>
      </w:pPr>
      <w:r>
        <w:fldChar w:fldCharType="begin"/>
      </w:r>
      <w:r>
        <w:instrText xml:space="preserve"> HYPERLINK \l _Toc13254 </w:instrText>
      </w:r>
      <w:r>
        <w:fldChar w:fldCharType="separate"/>
      </w:r>
      <w:r>
        <w:rPr>
          <w:rFonts w:hint="default" w:ascii="Times New Roman" w:hAnsi="Times New Roman" w:eastAsia="宋体"/>
          <w:i w:val="0"/>
          <w:szCs w:val="30"/>
        </w:rPr>
        <w:t xml:space="preserve">11.2 </w:t>
      </w:r>
      <w:r>
        <w:rPr>
          <w:rFonts w:hint="eastAsia"/>
        </w:rPr>
        <w:t>应急队伍保障</w:t>
      </w:r>
      <w:r>
        <w:tab/>
      </w:r>
      <w:r>
        <w:fldChar w:fldCharType="begin"/>
      </w:r>
      <w:r>
        <w:instrText xml:space="preserve"> PAGEREF _Toc13254 </w:instrText>
      </w:r>
      <w:r>
        <w:fldChar w:fldCharType="separate"/>
      </w:r>
      <w:r>
        <w:t>74</w:t>
      </w:r>
      <w:r>
        <w:fldChar w:fldCharType="end"/>
      </w:r>
      <w:r>
        <w:fldChar w:fldCharType="end"/>
      </w:r>
    </w:p>
    <w:p>
      <w:pPr>
        <w:pStyle w:val="13"/>
        <w:tabs>
          <w:tab w:val="right" w:leader="dot" w:pos="9128"/>
          <w:tab w:val="clear" w:pos="9118"/>
        </w:tabs>
      </w:pPr>
      <w:r>
        <w:fldChar w:fldCharType="begin"/>
      </w:r>
      <w:r>
        <w:instrText xml:space="preserve"> HYPERLINK \l _Toc22457 </w:instrText>
      </w:r>
      <w:r>
        <w:fldChar w:fldCharType="separate"/>
      </w:r>
      <w:r>
        <w:rPr>
          <w:rFonts w:hint="default" w:ascii="Times New Roman" w:hAnsi="Times New Roman" w:eastAsia="宋体"/>
          <w:i w:val="0"/>
          <w:szCs w:val="30"/>
        </w:rPr>
        <w:t xml:space="preserve">11.3 </w:t>
      </w:r>
      <w:r>
        <w:rPr>
          <w:rFonts w:hint="eastAsia"/>
        </w:rPr>
        <w:t>应急装备保障</w:t>
      </w:r>
      <w:r>
        <w:tab/>
      </w:r>
      <w:r>
        <w:fldChar w:fldCharType="begin"/>
      </w:r>
      <w:r>
        <w:instrText xml:space="preserve"> PAGEREF _Toc22457 </w:instrText>
      </w:r>
      <w:r>
        <w:fldChar w:fldCharType="separate"/>
      </w:r>
      <w:r>
        <w:t>74</w:t>
      </w:r>
      <w:r>
        <w:fldChar w:fldCharType="end"/>
      </w:r>
      <w:r>
        <w:fldChar w:fldCharType="end"/>
      </w:r>
    </w:p>
    <w:p>
      <w:pPr>
        <w:pStyle w:val="13"/>
        <w:tabs>
          <w:tab w:val="right" w:leader="dot" w:pos="9128"/>
          <w:tab w:val="clear" w:pos="9118"/>
        </w:tabs>
      </w:pPr>
      <w:r>
        <w:fldChar w:fldCharType="begin"/>
      </w:r>
      <w:r>
        <w:instrText xml:space="preserve"> HYPERLINK \l _Toc16187 </w:instrText>
      </w:r>
      <w:r>
        <w:fldChar w:fldCharType="separate"/>
      </w:r>
      <w:r>
        <w:rPr>
          <w:rFonts w:hint="default" w:ascii="Times New Roman" w:hAnsi="Times New Roman" w:eastAsia="宋体"/>
          <w:i w:val="0"/>
          <w:szCs w:val="30"/>
        </w:rPr>
        <w:t xml:space="preserve">11.4 </w:t>
      </w:r>
      <w:r>
        <w:rPr>
          <w:rFonts w:hint="eastAsia"/>
        </w:rPr>
        <w:t>其他保障</w:t>
      </w:r>
      <w:r>
        <w:tab/>
      </w:r>
      <w:r>
        <w:fldChar w:fldCharType="begin"/>
      </w:r>
      <w:r>
        <w:instrText xml:space="preserve"> PAGEREF _Toc16187 </w:instrText>
      </w:r>
      <w:r>
        <w:fldChar w:fldCharType="separate"/>
      </w:r>
      <w:r>
        <w:t>75</w:t>
      </w:r>
      <w:r>
        <w:fldChar w:fldCharType="end"/>
      </w:r>
      <w:r>
        <w:fldChar w:fldCharType="end"/>
      </w:r>
    </w:p>
    <w:p>
      <w:pPr>
        <w:pStyle w:val="12"/>
        <w:tabs>
          <w:tab w:val="right" w:leader="dot" w:pos="9128"/>
          <w:tab w:val="clear" w:pos="9118"/>
        </w:tabs>
      </w:pPr>
      <w:r>
        <w:fldChar w:fldCharType="begin"/>
      </w:r>
      <w:r>
        <w:instrText xml:space="preserve"> HYPERLINK \l _Toc30418 </w:instrText>
      </w:r>
      <w:r>
        <w:fldChar w:fldCharType="separate"/>
      </w:r>
      <w:r>
        <w:rPr>
          <w:rFonts w:hint="default" w:ascii="Times New Roman" w:hAnsi="Times New Roman" w:eastAsia="宋体"/>
          <w:i w:val="0"/>
        </w:rPr>
        <w:t xml:space="preserve">12 </w:t>
      </w:r>
      <w:r>
        <w:rPr>
          <w:rFonts w:hint="eastAsia"/>
        </w:rPr>
        <w:t>预案管理</w:t>
      </w:r>
      <w:r>
        <w:tab/>
      </w:r>
      <w:r>
        <w:fldChar w:fldCharType="begin"/>
      </w:r>
      <w:r>
        <w:instrText xml:space="preserve"> PAGEREF _Toc30418 </w:instrText>
      </w:r>
      <w:r>
        <w:fldChar w:fldCharType="separate"/>
      </w:r>
      <w:r>
        <w:t>77</w:t>
      </w:r>
      <w:r>
        <w:fldChar w:fldCharType="end"/>
      </w:r>
      <w:r>
        <w:fldChar w:fldCharType="end"/>
      </w:r>
    </w:p>
    <w:p>
      <w:pPr>
        <w:pStyle w:val="13"/>
        <w:tabs>
          <w:tab w:val="right" w:leader="dot" w:pos="9128"/>
          <w:tab w:val="clear" w:pos="9118"/>
        </w:tabs>
      </w:pPr>
      <w:r>
        <w:fldChar w:fldCharType="begin"/>
      </w:r>
      <w:r>
        <w:instrText xml:space="preserve"> HYPERLINK \l _Toc3370 </w:instrText>
      </w:r>
      <w:r>
        <w:fldChar w:fldCharType="separate"/>
      </w:r>
      <w:r>
        <w:rPr>
          <w:rFonts w:hint="default" w:ascii="Times New Roman" w:hAnsi="Times New Roman" w:eastAsia="宋体"/>
          <w:i w:val="0"/>
          <w:szCs w:val="30"/>
        </w:rPr>
        <w:t xml:space="preserve">12.1 </w:t>
      </w:r>
      <w:r>
        <w:rPr>
          <w:rFonts w:hint="eastAsia"/>
        </w:rPr>
        <w:t>培训</w:t>
      </w:r>
      <w:r>
        <w:tab/>
      </w:r>
      <w:r>
        <w:fldChar w:fldCharType="begin"/>
      </w:r>
      <w:r>
        <w:instrText xml:space="preserve"> PAGEREF _Toc3370 </w:instrText>
      </w:r>
      <w:r>
        <w:fldChar w:fldCharType="separate"/>
      </w:r>
      <w:r>
        <w:t>77</w:t>
      </w:r>
      <w:r>
        <w:fldChar w:fldCharType="end"/>
      </w:r>
      <w:r>
        <w:fldChar w:fldCharType="end"/>
      </w:r>
    </w:p>
    <w:p>
      <w:pPr>
        <w:pStyle w:val="13"/>
        <w:tabs>
          <w:tab w:val="right" w:leader="dot" w:pos="9128"/>
          <w:tab w:val="clear" w:pos="9118"/>
        </w:tabs>
      </w:pPr>
      <w:r>
        <w:fldChar w:fldCharType="begin"/>
      </w:r>
      <w:r>
        <w:instrText xml:space="preserve"> HYPERLINK \l _Toc15478 </w:instrText>
      </w:r>
      <w:r>
        <w:fldChar w:fldCharType="separate"/>
      </w:r>
      <w:r>
        <w:rPr>
          <w:rFonts w:hint="default" w:ascii="Times New Roman" w:hAnsi="Times New Roman" w:eastAsia="宋体"/>
          <w:i w:val="0"/>
          <w:szCs w:val="30"/>
        </w:rPr>
        <w:t xml:space="preserve">12.2 </w:t>
      </w:r>
      <w:r>
        <w:rPr>
          <w:rFonts w:hint="eastAsia"/>
        </w:rPr>
        <w:t>演练</w:t>
      </w:r>
      <w:r>
        <w:tab/>
      </w:r>
      <w:r>
        <w:fldChar w:fldCharType="begin"/>
      </w:r>
      <w:r>
        <w:instrText xml:space="preserve"> PAGEREF _Toc15478 </w:instrText>
      </w:r>
      <w:r>
        <w:fldChar w:fldCharType="separate"/>
      </w:r>
      <w:r>
        <w:t>83</w:t>
      </w:r>
      <w:r>
        <w:fldChar w:fldCharType="end"/>
      </w:r>
      <w:r>
        <w:fldChar w:fldCharType="end"/>
      </w:r>
    </w:p>
    <w:p>
      <w:pPr>
        <w:pStyle w:val="13"/>
        <w:tabs>
          <w:tab w:val="right" w:leader="dot" w:pos="9128"/>
          <w:tab w:val="clear" w:pos="9118"/>
        </w:tabs>
      </w:pPr>
      <w:r>
        <w:fldChar w:fldCharType="begin"/>
      </w:r>
      <w:r>
        <w:instrText xml:space="preserve"> HYPERLINK \l _Toc6791 </w:instrText>
      </w:r>
      <w:r>
        <w:fldChar w:fldCharType="separate"/>
      </w:r>
      <w:r>
        <w:rPr>
          <w:rFonts w:hint="default" w:ascii="Times New Roman" w:hAnsi="Times New Roman" w:eastAsia="宋体"/>
          <w:i w:val="0"/>
          <w:szCs w:val="30"/>
        </w:rPr>
        <w:t xml:space="preserve">12.3 </w:t>
      </w:r>
      <w:r>
        <w:rPr>
          <w:rFonts w:hint="eastAsia"/>
        </w:rPr>
        <w:t>责任与奖惩</w:t>
      </w:r>
      <w:r>
        <w:tab/>
      </w:r>
      <w:r>
        <w:fldChar w:fldCharType="begin"/>
      </w:r>
      <w:r>
        <w:instrText xml:space="preserve"> PAGEREF _Toc6791 </w:instrText>
      </w:r>
      <w:r>
        <w:fldChar w:fldCharType="separate"/>
      </w:r>
      <w:r>
        <w:t>84</w:t>
      </w:r>
      <w:r>
        <w:fldChar w:fldCharType="end"/>
      </w:r>
      <w:r>
        <w:fldChar w:fldCharType="end"/>
      </w:r>
    </w:p>
    <w:p>
      <w:pPr>
        <w:pStyle w:val="13"/>
        <w:tabs>
          <w:tab w:val="right" w:leader="dot" w:pos="9128"/>
          <w:tab w:val="clear" w:pos="9118"/>
        </w:tabs>
      </w:pPr>
      <w:r>
        <w:fldChar w:fldCharType="begin"/>
      </w:r>
      <w:r>
        <w:instrText xml:space="preserve"> HYPERLINK \l _Toc13222 </w:instrText>
      </w:r>
      <w:r>
        <w:fldChar w:fldCharType="separate"/>
      </w:r>
      <w:r>
        <w:rPr>
          <w:rFonts w:hint="default" w:ascii="Times New Roman" w:hAnsi="Times New Roman" w:eastAsia="宋体"/>
          <w:i w:val="0"/>
          <w:szCs w:val="30"/>
        </w:rPr>
        <w:t xml:space="preserve">12.4 </w:t>
      </w:r>
      <w:r>
        <w:rPr>
          <w:rFonts w:hint="eastAsia"/>
        </w:rPr>
        <w:t>评估及修订</w:t>
      </w:r>
      <w:r>
        <w:tab/>
      </w:r>
      <w:r>
        <w:fldChar w:fldCharType="begin"/>
      </w:r>
      <w:r>
        <w:instrText xml:space="preserve"> PAGEREF _Toc13222 </w:instrText>
      </w:r>
      <w:r>
        <w:fldChar w:fldCharType="separate"/>
      </w:r>
      <w:r>
        <w:t>85</w:t>
      </w:r>
      <w:r>
        <w:fldChar w:fldCharType="end"/>
      </w:r>
      <w:r>
        <w:fldChar w:fldCharType="end"/>
      </w:r>
    </w:p>
    <w:p>
      <w:pPr>
        <w:pStyle w:val="13"/>
        <w:tabs>
          <w:tab w:val="right" w:leader="dot" w:pos="9128"/>
          <w:tab w:val="clear" w:pos="9118"/>
        </w:tabs>
      </w:pPr>
      <w:r>
        <w:fldChar w:fldCharType="begin"/>
      </w:r>
      <w:r>
        <w:instrText xml:space="preserve"> HYPERLINK \l _Toc10430 </w:instrText>
      </w:r>
      <w:r>
        <w:fldChar w:fldCharType="separate"/>
      </w:r>
      <w:r>
        <w:rPr>
          <w:rFonts w:hint="default" w:ascii="Times New Roman" w:hAnsi="Times New Roman" w:eastAsia="宋体"/>
          <w:i w:val="0"/>
          <w:szCs w:val="30"/>
        </w:rPr>
        <w:t xml:space="preserve">12.5 </w:t>
      </w:r>
      <w:r>
        <w:rPr>
          <w:rFonts w:hint="eastAsia"/>
        </w:rPr>
        <w:t>备案</w:t>
      </w:r>
      <w:r>
        <w:tab/>
      </w:r>
      <w:r>
        <w:fldChar w:fldCharType="begin"/>
      </w:r>
      <w:r>
        <w:instrText xml:space="preserve"> PAGEREF _Toc10430 </w:instrText>
      </w:r>
      <w:r>
        <w:fldChar w:fldCharType="separate"/>
      </w:r>
      <w:r>
        <w:t>86</w:t>
      </w:r>
      <w:r>
        <w:fldChar w:fldCharType="end"/>
      </w:r>
      <w:r>
        <w:fldChar w:fldCharType="end"/>
      </w:r>
    </w:p>
    <w:p>
      <w:pPr>
        <w:pStyle w:val="13"/>
        <w:tabs>
          <w:tab w:val="right" w:leader="dot" w:pos="9128"/>
          <w:tab w:val="clear" w:pos="9118"/>
        </w:tabs>
      </w:pPr>
      <w:r>
        <w:fldChar w:fldCharType="begin"/>
      </w:r>
      <w:r>
        <w:instrText xml:space="preserve"> HYPERLINK \l _Toc14537 </w:instrText>
      </w:r>
      <w:r>
        <w:fldChar w:fldCharType="separate"/>
      </w:r>
      <w:r>
        <w:rPr>
          <w:rFonts w:hint="default" w:ascii="Times New Roman" w:hAnsi="Times New Roman" w:eastAsia="宋体"/>
          <w:i w:val="0"/>
          <w:szCs w:val="30"/>
        </w:rPr>
        <w:t xml:space="preserve">12.6 </w:t>
      </w:r>
      <w:r>
        <w:rPr>
          <w:rFonts w:hint="eastAsia"/>
        </w:rPr>
        <w:t>签署发布</w:t>
      </w:r>
      <w:r>
        <w:tab/>
      </w:r>
      <w:r>
        <w:fldChar w:fldCharType="begin"/>
      </w:r>
      <w:r>
        <w:instrText xml:space="preserve"> PAGEREF _Toc14537 </w:instrText>
      </w:r>
      <w:r>
        <w:fldChar w:fldCharType="separate"/>
      </w:r>
      <w:r>
        <w:t>86</w:t>
      </w:r>
      <w:r>
        <w:fldChar w:fldCharType="end"/>
      </w:r>
      <w:r>
        <w:fldChar w:fldCharType="end"/>
      </w:r>
    </w:p>
    <w:p>
      <w:pPr>
        <w:pStyle w:val="13"/>
        <w:tabs>
          <w:tab w:val="right" w:leader="dot" w:pos="9128"/>
          <w:tab w:val="clear" w:pos="9118"/>
        </w:tabs>
      </w:pPr>
      <w:r>
        <w:fldChar w:fldCharType="begin"/>
      </w:r>
      <w:r>
        <w:instrText xml:space="preserve"> HYPERLINK \l _Toc26784 </w:instrText>
      </w:r>
      <w:r>
        <w:fldChar w:fldCharType="separate"/>
      </w:r>
      <w:r>
        <w:rPr>
          <w:rFonts w:hint="default" w:ascii="Times New Roman" w:hAnsi="Times New Roman" w:eastAsia="宋体"/>
          <w:i w:val="0"/>
          <w:szCs w:val="30"/>
        </w:rPr>
        <w:t xml:space="preserve">12.7 </w:t>
      </w:r>
      <w:r>
        <w:rPr>
          <w:rFonts w:hint="eastAsia"/>
        </w:rPr>
        <w:t>预案实施</w:t>
      </w:r>
      <w:r>
        <w:tab/>
      </w:r>
      <w:r>
        <w:fldChar w:fldCharType="begin"/>
      </w:r>
      <w:r>
        <w:instrText xml:space="preserve"> PAGEREF _Toc26784 </w:instrText>
      </w:r>
      <w:r>
        <w:fldChar w:fldCharType="separate"/>
      </w:r>
      <w:r>
        <w:t>86</w:t>
      </w:r>
      <w:r>
        <w:fldChar w:fldCharType="end"/>
      </w:r>
      <w:r>
        <w:fldChar w:fldCharType="end"/>
      </w:r>
    </w:p>
    <w:p>
      <w:pPr>
        <w:pStyle w:val="12"/>
        <w:tabs>
          <w:tab w:val="right" w:leader="dot" w:pos="9128"/>
          <w:tab w:val="clear" w:pos="9118"/>
        </w:tabs>
      </w:pPr>
      <w:r>
        <w:fldChar w:fldCharType="begin"/>
      </w:r>
      <w:r>
        <w:instrText xml:space="preserve"> HYPERLINK \l _Toc28517 </w:instrText>
      </w:r>
      <w:r>
        <w:fldChar w:fldCharType="separate"/>
      </w:r>
      <w:r>
        <w:rPr>
          <w:rFonts w:hint="default" w:ascii="Times New Roman" w:hAnsi="Times New Roman" w:eastAsia="宋体"/>
          <w:i w:val="0"/>
        </w:rPr>
        <w:t xml:space="preserve">13 </w:t>
      </w:r>
      <w:r>
        <w:rPr>
          <w:rFonts w:hint="eastAsia"/>
        </w:rPr>
        <w:t>附则</w:t>
      </w:r>
      <w:r>
        <w:tab/>
      </w:r>
      <w:r>
        <w:fldChar w:fldCharType="begin"/>
      </w:r>
      <w:r>
        <w:instrText xml:space="preserve"> PAGEREF _Toc28517 </w:instrText>
      </w:r>
      <w:r>
        <w:fldChar w:fldCharType="separate"/>
      </w:r>
      <w:r>
        <w:t>87</w:t>
      </w:r>
      <w:r>
        <w:fldChar w:fldCharType="end"/>
      </w:r>
      <w:r>
        <w:fldChar w:fldCharType="end"/>
      </w:r>
    </w:p>
    <w:p>
      <w:pPr>
        <w:pStyle w:val="13"/>
        <w:tabs>
          <w:tab w:val="right" w:leader="dot" w:pos="9128"/>
          <w:tab w:val="clear" w:pos="9118"/>
        </w:tabs>
      </w:pPr>
      <w:r>
        <w:fldChar w:fldCharType="begin"/>
      </w:r>
      <w:r>
        <w:instrText xml:space="preserve"> HYPERLINK \l _Toc13739 </w:instrText>
      </w:r>
      <w:r>
        <w:fldChar w:fldCharType="separate"/>
      </w:r>
      <w:r>
        <w:rPr>
          <w:rFonts w:hint="default" w:ascii="Times New Roman" w:hAnsi="Times New Roman" w:eastAsia="宋体"/>
          <w:i w:val="0"/>
          <w:szCs w:val="30"/>
        </w:rPr>
        <w:t xml:space="preserve">13.1 </w:t>
      </w:r>
      <w:r>
        <w:rPr>
          <w:rFonts w:hint="eastAsia"/>
        </w:rPr>
        <w:t>术语、符号和代号</w:t>
      </w:r>
      <w:r>
        <w:tab/>
      </w:r>
      <w:r>
        <w:fldChar w:fldCharType="begin"/>
      </w:r>
      <w:r>
        <w:instrText xml:space="preserve"> PAGEREF _Toc13739 </w:instrText>
      </w:r>
      <w:r>
        <w:fldChar w:fldCharType="separate"/>
      </w:r>
      <w:r>
        <w:t>87</w:t>
      </w:r>
      <w:r>
        <w:fldChar w:fldCharType="end"/>
      </w:r>
      <w:r>
        <w:fldChar w:fldCharType="end"/>
      </w:r>
    </w:p>
    <w:p>
      <w:pPr>
        <w:pStyle w:val="12"/>
        <w:tabs>
          <w:tab w:val="right" w:leader="dot" w:pos="9128"/>
          <w:tab w:val="clear" w:pos="9118"/>
        </w:tabs>
      </w:pPr>
      <w:r>
        <w:fldChar w:fldCharType="begin"/>
      </w:r>
      <w:r>
        <w:instrText xml:space="preserve"> HYPERLINK \l _Toc15047 </w:instrText>
      </w:r>
      <w:r>
        <w:fldChar w:fldCharType="separate"/>
      </w:r>
      <w:r>
        <w:rPr>
          <w:rFonts w:hint="eastAsia"/>
        </w:rPr>
        <w:t>附图1企业地理位置图</w:t>
      </w:r>
      <w:r>
        <w:tab/>
      </w:r>
      <w:r>
        <w:fldChar w:fldCharType="begin"/>
      </w:r>
      <w:r>
        <w:instrText xml:space="preserve"> PAGEREF _Toc15047 </w:instrText>
      </w:r>
      <w:r>
        <w:fldChar w:fldCharType="separate"/>
      </w:r>
      <w:r>
        <w:t>88</w:t>
      </w:r>
      <w:r>
        <w:fldChar w:fldCharType="end"/>
      </w:r>
      <w:r>
        <w:fldChar w:fldCharType="end"/>
      </w:r>
    </w:p>
    <w:p>
      <w:pPr>
        <w:pStyle w:val="12"/>
        <w:tabs>
          <w:tab w:val="right" w:leader="dot" w:pos="9128"/>
          <w:tab w:val="clear" w:pos="9118"/>
        </w:tabs>
      </w:pPr>
      <w:r>
        <w:fldChar w:fldCharType="begin"/>
      </w:r>
      <w:r>
        <w:instrText xml:space="preserve"> HYPERLINK \l _Toc11418 </w:instrText>
      </w:r>
      <w:r>
        <w:fldChar w:fldCharType="separate"/>
      </w:r>
      <w:r>
        <w:rPr>
          <w:rFonts w:hint="eastAsia"/>
        </w:rPr>
        <w:t>附图2</w:t>
      </w:r>
      <w:r>
        <w:t xml:space="preserve"> </w:t>
      </w:r>
      <w:r>
        <w:rPr>
          <w:rFonts w:hint="eastAsia"/>
        </w:rPr>
        <w:t>厂区平面布置图</w:t>
      </w:r>
      <w:r>
        <w:tab/>
      </w:r>
      <w:r>
        <w:fldChar w:fldCharType="begin"/>
      </w:r>
      <w:r>
        <w:instrText xml:space="preserve"> PAGEREF _Toc11418 </w:instrText>
      </w:r>
      <w:r>
        <w:fldChar w:fldCharType="separate"/>
      </w:r>
      <w:r>
        <w:t>89</w:t>
      </w:r>
      <w:r>
        <w:fldChar w:fldCharType="end"/>
      </w:r>
      <w:r>
        <w:fldChar w:fldCharType="end"/>
      </w:r>
    </w:p>
    <w:p>
      <w:pPr>
        <w:pStyle w:val="12"/>
        <w:tabs>
          <w:tab w:val="right" w:leader="dot" w:pos="9128"/>
          <w:tab w:val="clear" w:pos="9118"/>
        </w:tabs>
      </w:pPr>
      <w:r>
        <w:fldChar w:fldCharType="begin"/>
      </w:r>
      <w:r>
        <w:instrText xml:space="preserve"> HYPERLINK \l _Toc30938 </w:instrText>
      </w:r>
      <w:r>
        <w:fldChar w:fldCharType="separate"/>
      </w:r>
      <w:r>
        <w:rPr>
          <w:rFonts w:hint="eastAsia"/>
        </w:rPr>
        <w:t>附图3</w:t>
      </w:r>
      <w:r>
        <w:t xml:space="preserve"> </w:t>
      </w:r>
      <w:r>
        <w:rPr>
          <w:rFonts w:hint="eastAsia"/>
        </w:rPr>
        <w:t>周边大气环境风险受体分布图</w:t>
      </w:r>
      <w:r>
        <w:tab/>
      </w:r>
      <w:r>
        <w:fldChar w:fldCharType="begin"/>
      </w:r>
      <w:r>
        <w:instrText xml:space="preserve"> PAGEREF _Toc30938 </w:instrText>
      </w:r>
      <w:r>
        <w:fldChar w:fldCharType="separate"/>
      </w:r>
      <w:r>
        <w:t>90</w:t>
      </w:r>
      <w:r>
        <w:fldChar w:fldCharType="end"/>
      </w:r>
      <w:r>
        <w:fldChar w:fldCharType="end"/>
      </w:r>
    </w:p>
    <w:p>
      <w:pPr>
        <w:pStyle w:val="12"/>
        <w:tabs>
          <w:tab w:val="right" w:leader="dot" w:pos="9128"/>
          <w:tab w:val="clear" w:pos="9118"/>
        </w:tabs>
      </w:pPr>
      <w:r>
        <w:fldChar w:fldCharType="begin"/>
      </w:r>
      <w:r>
        <w:instrText xml:space="preserve"> HYPERLINK \l _Toc32605 </w:instrText>
      </w:r>
      <w:r>
        <w:fldChar w:fldCharType="separate"/>
      </w:r>
      <w:r>
        <w:rPr>
          <w:rFonts w:hint="eastAsia"/>
        </w:rPr>
        <w:t>附图4</w:t>
      </w:r>
      <w:r>
        <w:t xml:space="preserve"> </w:t>
      </w:r>
      <w:r>
        <w:rPr>
          <w:rFonts w:hint="eastAsia"/>
          <w:lang w:val="en-US" w:eastAsia="zh-CN"/>
        </w:rPr>
        <w:t>项目所在地</w:t>
      </w:r>
      <w:r>
        <w:rPr>
          <w:rFonts w:hint="eastAsia"/>
        </w:rPr>
        <w:t>地表水功能区划图</w:t>
      </w:r>
      <w:r>
        <w:tab/>
      </w:r>
      <w:r>
        <w:fldChar w:fldCharType="begin"/>
      </w:r>
      <w:r>
        <w:instrText xml:space="preserve"> PAGEREF _Toc32605 </w:instrText>
      </w:r>
      <w:r>
        <w:fldChar w:fldCharType="separate"/>
      </w:r>
      <w:r>
        <w:t>91</w:t>
      </w:r>
      <w:r>
        <w:fldChar w:fldCharType="end"/>
      </w:r>
      <w:r>
        <w:fldChar w:fldCharType="end"/>
      </w:r>
    </w:p>
    <w:p>
      <w:pPr>
        <w:pStyle w:val="12"/>
        <w:tabs>
          <w:tab w:val="right" w:leader="dot" w:pos="9128"/>
          <w:tab w:val="clear" w:pos="9118"/>
        </w:tabs>
      </w:pPr>
      <w:r>
        <w:fldChar w:fldCharType="begin"/>
      </w:r>
      <w:r>
        <w:instrText xml:space="preserve"> HYPERLINK \l _Toc30904 </w:instrText>
      </w:r>
      <w:r>
        <w:fldChar w:fldCharType="separate"/>
      </w:r>
      <w:r>
        <w:rPr>
          <w:rFonts w:hint="eastAsia"/>
        </w:rPr>
        <w:t>附图</w:t>
      </w:r>
      <w:r>
        <w:rPr>
          <w:rFonts w:hint="eastAsia"/>
          <w:lang w:val="en-US" w:eastAsia="zh-CN"/>
        </w:rPr>
        <w:t>5</w:t>
      </w:r>
      <w:r>
        <w:t xml:space="preserve"> </w:t>
      </w:r>
      <w:r>
        <w:rPr>
          <w:rFonts w:hint="eastAsia"/>
        </w:rPr>
        <w:t>企业风险单元分布图</w:t>
      </w:r>
      <w:r>
        <w:tab/>
      </w:r>
      <w:r>
        <w:fldChar w:fldCharType="begin"/>
      </w:r>
      <w:r>
        <w:instrText xml:space="preserve"> PAGEREF _Toc30904 </w:instrText>
      </w:r>
      <w:r>
        <w:fldChar w:fldCharType="separate"/>
      </w:r>
      <w:r>
        <w:t>92</w:t>
      </w:r>
      <w:r>
        <w:fldChar w:fldCharType="end"/>
      </w:r>
      <w:r>
        <w:fldChar w:fldCharType="end"/>
      </w:r>
    </w:p>
    <w:p>
      <w:pPr>
        <w:pStyle w:val="12"/>
        <w:tabs>
          <w:tab w:val="right" w:leader="dot" w:pos="9128"/>
          <w:tab w:val="clear" w:pos="9118"/>
        </w:tabs>
      </w:pPr>
      <w:r>
        <w:fldChar w:fldCharType="begin"/>
      </w:r>
      <w:r>
        <w:instrText xml:space="preserve"> HYPERLINK \l _Toc14827 </w:instrText>
      </w:r>
      <w:r>
        <w:fldChar w:fldCharType="separate"/>
      </w:r>
      <w:r>
        <w:rPr>
          <w:rFonts w:hint="eastAsia"/>
        </w:rPr>
        <w:t>附图</w:t>
      </w:r>
      <w:r>
        <w:rPr>
          <w:rFonts w:hint="eastAsia"/>
          <w:lang w:val="en-US" w:eastAsia="zh-CN"/>
        </w:rPr>
        <w:t>6</w:t>
      </w:r>
      <w:r>
        <w:t xml:space="preserve"> </w:t>
      </w:r>
      <w:r>
        <w:rPr>
          <w:rFonts w:hint="eastAsia"/>
        </w:rPr>
        <w:t>企业雨污管网分布图</w:t>
      </w:r>
      <w:r>
        <w:tab/>
      </w:r>
      <w:r>
        <w:fldChar w:fldCharType="begin"/>
      </w:r>
      <w:r>
        <w:instrText xml:space="preserve"> PAGEREF _Toc14827 </w:instrText>
      </w:r>
      <w:r>
        <w:fldChar w:fldCharType="separate"/>
      </w:r>
      <w:r>
        <w:t>93</w:t>
      </w:r>
      <w:r>
        <w:fldChar w:fldCharType="end"/>
      </w:r>
      <w:r>
        <w:fldChar w:fldCharType="end"/>
      </w:r>
    </w:p>
    <w:p>
      <w:pPr>
        <w:pStyle w:val="12"/>
        <w:tabs>
          <w:tab w:val="right" w:leader="dot" w:pos="9128"/>
          <w:tab w:val="clear" w:pos="9118"/>
        </w:tabs>
      </w:pPr>
      <w:r>
        <w:fldChar w:fldCharType="begin"/>
      </w:r>
      <w:r>
        <w:instrText xml:space="preserve"> HYPERLINK \l _Toc12986 </w:instrText>
      </w:r>
      <w:r>
        <w:fldChar w:fldCharType="separate"/>
      </w:r>
      <w:r>
        <w:rPr>
          <w:rFonts w:hint="eastAsia"/>
        </w:rPr>
        <w:t>附图</w:t>
      </w:r>
      <w:r>
        <w:rPr>
          <w:rFonts w:hint="eastAsia"/>
          <w:lang w:val="en-US" w:eastAsia="zh-CN"/>
        </w:rPr>
        <w:t>7</w:t>
      </w:r>
      <w:r>
        <w:t xml:space="preserve"> </w:t>
      </w:r>
      <w:r>
        <w:rPr>
          <w:rFonts w:hint="eastAsia"/>
        </w:rPr>
        <w:t>公司应急疏散路线图</w:t>
      </w:r>
      <w:r>
        <w:tab/>
      </w:r>
      <w:r>
        <w:fldChar w:fldCharType="begin"/>
      </w:r>
      <w:r>
        <w:instrText xml:space="preserve"> PAGEREF _Toc12986 </w:instrText>
      </w:r>
      <w:r>
        <w:fldChar w:fldCharType="separate"/>
      </w:r>
      <w:r>
        <w:t>94</w:t>
      </w:r>
      <w:r>
        <w:fldChar w:fldCharType="end"/>
      </w:r>
      <w:r>
        <w:fldChar w:fldCharType="end"/>
      </w:r>
    </w:p>
    <w:p>
      <w:pPr>
        <w:pStyle w:val="12"/>
        <w:tabs>
          <w:tab w:val="right" w:leader="dot" w:pos="9128"/>
          <w:tab w:val="clear" w:pos="9118"/>
        </w:tabs>
      </w:pPr>
      <w:r>
        <w:fldChar w:fldCharType="begin"/>
      </w:r>
      <w:r>
        <w:instrText xml:space="preserve"> HYPERLINK \l _Toc1674 </w:instrText>
      </w:r>
      <w:r>
        <w:fldChar w:fldCharType="separate"/>
      </w:r>
      <w:r>
        <w:rPr>
          <w:rFonts w:hint="eastAsia"/>
        </w:rPr>
        <w:t>附图</w:t>
      </w:r>
      <w:r>
        <w:rPr>
          <w:rFonts w:hint="eastAsia"/>
          <w:lang w:val="en-US" w:eastAsia="zh-CN"/>
        </w:rPr>
        <w:t>8</w:t>
      </w:r>
      <w:r>
        <w:t xml:space="preserve"> </w:t>
      </w:r>
      <w:r>
        <w:rPr>
          <w:rFonts w:hint="eastAsia"/>
        </w:rPr>
        <w:t>应急演练图片</w:t>
      </w:r>
      <w:r>
        <w:tab/>
      </w:r>
      <w:r>
        <w:fldChar w:fldCharType="begin"/>
      </w:r>
      <w:r>
        <w:instrText xml:space="preserve"> PAGEREF _Toc1674 </w:instrText>
      </w:r>
      <w:r>
        <w:fldChar w:fldCharType="separate"/>
      </w:r>
      <w:r>
        <w:t>95</w:t>
      </w:r>
      <w:r>
        <w:fldChar w:fldCharType="end"/>
      </w:r>
      <w:r>
        <w:fldChar w:fldCharType="end"/>
      </w:r>
    </w:p>
    <w:p>
      <w:pPr>
        <w:pStyle w:val="12"/>
        <w:tabs>
          <w:tab w:val="right" w:leader="dot" w:pos="9128"/>
          <w:tab w:val="clear" w:pos="9118"/>
        </w:tabs>
      </w:pPr>
      <w:r>
        <w:fldChar w:fldCharType="begin"/>
      </w:r>
      <w:r>
        <w:instrText xml:space="preserve"> HYPERLINK \l _Toc13841 </w:instrText>
      </w:r>
      <w:r>
        <w:fldChar w:fldCharType="separate"/>
      </w:r>
      <w:r>
        <w:rPr>
          <w:rFonts w:hint="eastAsia"/>
        </w:rPr>
        <w:t>附件1</w:t>
      </w:r>
      <w:r>
        <w:t xml:space="preserve"> </w:t>
      </w:r>
      <w:r>
        <w:rPr>
          <w:rFonts w:hint="eastAsia"/>
          <w:lang w:eastAsia="zh-CN"/>
        </w:rPr>
        <w:t>南昌</w:t>
      </w:r>
      <w:r>
        <w:rPr>
          <w:rFonts w:hint="eastAsia"/>
          <w:lang w:val="en-US" w:eastAsia="zh-CN"/>
        </w:rPr>
        <w:t>双港供水有限公司</w:t>
      </w:r>
      <w:r>
        <w:rPr>
          <w:rFonts w:hint="eastAsia"/>
          <w:lang w:eastAsia="zh-CN"/>
        </w:rPr>
        <w:t>环评</w:t>
      </w:r>
      <w:r>
        <w:rPr>
          <w:rFonts w:hint="eastAsia"/>
        </w:rPr>
        <w:t>批复</w:t>
      </w:r>
      <w:r>
        <w:tab/>
      </w:r>
      <w:r>
        <w:fldChar w:fldCharType="begin"/>
      </w:r>
      <w:r>
        <w:instrText xml:space="preserve"> PAGEREF _Toc13841 </w:instrText>
      </w:r>
      <w:r>
        <w:fldChar w:fldCharType="separate"/>
      </w:r>
      <w:r>
        <w:t>96</w:t>
      </w:r>
      <w:r>
        <w:fldChar w:fldCharType="end"/>
      </w:r>
      <w:r>
        <w:fldChar w:fldCharType="end"/>
      </w:r>
    </w:p>
    <w:p>
      <w:pPr>
        <w:pStyle w:val="12"/>
        <w:tabs>
          <w:tab w:val="right" w:leader="dot" w:pos="9128"/>
          <w:tab w:val="clear" w:pos="9118"/>
        </w:tabs>
      </w:pPr>
      <w:r>
        <w:fldChar w:fldCharType="begin"/>
      </w:r>
      <w:r>
        <w:instrText xml:space="preserve"> HYPERLINK \l _Toc13703 </w:instrText>
      </w:r>
      <w:r>
        <w:fldChar w:fldCharType="separate"/>
      </w:r>
      <w:r>
        <w:rPr>
          <w:rFonts w:hint="eastAsia"/>
        </w:rPr>
        <w:t>附件</w:t>
      </w:r>
      <w:r>
        <w:rPr>
          <w:rFonts w:hint="eastAsia"/>
          <w:lang w:val="en-US" w:eastAsia="zh-CN"/>
        </w:rPr>
        <w:t>2</w:t>
      </w:r>
      <w:r>
        <w:t xml:space="preserve"> </w:t>
      </w:r>
      <w:r>
        <w:rPr>
          <w:rFonts w:hint="eastAsia"/>
        </w:rPr>
        <w:t>公司内部应急处置人员联系电话</w:t>
      </w:r>
      <w:r>
        <w:tab/>
      </w:r>
      <w:r>
        <w:fldChar w:fldCharType="begin"/>
      </w:r>
      <w:r>
        <w:instrText xml:space="preserve"> PAGEREF _Toc13703 </w:instrText>
      </w:r>
      <w:r>
        <w:fldChar w:fldCharType="separate"/>
      </w:r>
      <w:r>
        <w:t>105</w:t>
      </w:r>
      <w:r>
        <w:fldChar w:fldCharType="end"/>
      </w:r>
      <w:r>
        <w:fldChar w:fldCharType="end"/>
      </w:r>
    </w:p>
    <w:p>
      <w:pPr>
        <w:pStyle w:val="12"/>
        <w:tabs>
          <w:tab w:val="right" w:leader="dot" w:pos="9128"/>
          <w:tab w:val="clear" w:pos="9118"/>
        </w:tabs>
      </w:pPr>
      <w:r>
        <w:fldChar w:fldCharType="begin"/>
      </w:r>
      <w:r>
        <w:instrText xml:space="preserve"> HYPERLINK \l _Toc8244 </w:instrText>
      </w:r>
      <w:r>
        <w:fldChar w:fldCharType="separate"/>
      </w:r>
      <w:r>
        <w:rPr>
          <w:rFonts w:hint="eastAsia"/>
        </w:rPr>
        <w:t>附件</w:t>
      </w:r>
      <w:r>
        <w:rPr>
          <w:rFonts w:hint="eastAsia"/>
          <w:lang w:val="en-US" w:eastAsia="zh-CN"/>
        </w:rPr>
        <w:t>3</w:t>
      </w:r>
      <w:r>
        <w:t xml:space="preserve"> </w:t>
      </w:r>
      <w:r>
        <w:rPr>
          <w:rFonts w:hint="eastAsia"/>
        </w:rPr>
        <w:t>应急各组成员联系方式</w:t>
      </w:r>
      <w:r>
        <w:tab/>
      </w:r>
      <w:r>
        <w:fldChar w:fldCharType="begin"/>
      </w:r>
      <w:r>
        <w:instrText xml:space="preserve"> PAGEREF _Toc8244 </w:instrText>
      </w:r>
      <w:r>
        <w:fldChar w:fldCharType="separate"/>
      </w:r>
      <w:r>
        <w:t>106</w:t>
      </w:r>
      <w:r>
        <w:fldChar w:fldCharType="end"/>
      </w:r>
      <w:r>
        <w:fldChar w:fldCharType="end"/>
      </w:r>
    </w:p>
    <w:p>
      <w:pPr>
        <w:pStyle w:val="12"/>
        <w:tabs>
          <w:tab w:val="right" w:leader="dot" w:pos="9128"/>
          <w:tab w:val="clear" w:pos="9118"/>
        </w:tabs>
      </w:pPr>
      <w:r>
        <w:fldChar w:fldCharType="begin"/>
      </w:r>
      <w:r>
        <w:instrText xml:space="preserve"> HYPERLINK \l _Toc11120 </w:instrText>
      </w:r>
      <w:r>
        <w:fldChar w:fldCharType="separate"/>
      </w:r>
      <w:r>
        <w:rPr>
          <w:rFonts w:hint="eastAsia"/>
        </w:rPr>
        <w:t>附件</w:t>
      </w:r>
      <w:r>
        <w:rPr>
          <w:rFonts w:hint="eastAsia"/>
          <w:lang w:val="en-US" w:eastAsia="zh-CN"/>
        </w:rPr>
        <w:t>4</w:t>
      </w:r>
      <w:r>
        <w:t xml:space="preserve"> </w:t>
      </w:r>
      <w:r>
        <w:rPr>
          <w:rFonts w:hint="eastAsia"/>
        </w:rPr>
        <w:t>公司外部应急处置人员联系电话</w:t>
      </w:r>
      <w:r>
        <w:tab/>
      </w:r>
      <w:r>
        <w:fldChar w:fldCharType="begin"/>
      </w:r>
      <w:r>
        <w:instrText xml:space="preserve"> PAGEREF _Toc11120 </w:instrText>
      </w:r>
      <w:r>
        <w:fldChar w:fldCharType="separate"/>
      </w:r>
      <w:r>
        <w:t>107</w:t>
      </w:r>
      <w:r>
        <w:fldChar w:fldCharType="end"/>
      </w:r>
      <w:r>
        <w:fldChar w:fldCharType="end"/>
      </w:r>
    </w:p>
    <w:p>
      <w:pPr>
        <w:pStyle w:val="12"/>
        <w:tabs>
          <w:tab w:val="right" w:leader="dot" w:pos="9128"/>
          <w:tab w:val="clear" w:pos="9118"/>
        </w:tabs>
      </w:pPr>
      <w:r>
        <w:fldChar w:fldCharType="begin"/>
      </w:r>
      <w:r>
        <w:instrText xml:space="preserve"> HYPERLINK \l _Toc21667 </w:instrText>
      </w:r>
      <w:r>
        <w:fldChar w:fldCharType="separate"/>
      </w:r>
      <w:r>
        <w:rPr>
          <w:rFonts w:hint="eastAsia"/>
        </w:rPr>
        <w:t>附件</w:t>
      </w:r>
      <w:r>
        <w:rPr>
          <w:rFonts w:hint="eastAsia" w:cs="Times New Roman"/>
          <w:lang w:val="en-US" w:eastAsia="zh-CN"/>
        </w:rPr>
        <w:t>5</w:t>
      </w:r>
      <w:r>
        <w:rPr>
          <w:rFonts w:cs="Times New Roman"/>
        </w:rPr>
        <w:t xml:space="preserve"> </w:t>
      </w:r>
      <w:r>
        <w:rPr>
          <w:rFonts w:hint="eastAsia"/>
        </w:rPr>
        <w:t>公司突发环境事件信息通告表</w:t>
      </w:r>
      <w:r>
        <w:tab/>
      </w:r>
      <w:r>
        <w:fldChar w:fldCharType="begin"/>
      </w:r>
      <w:r>
        <w:instrText xml:space="preserve"> PAGEREF _Toc21667 </w:instrText>
      </w:r>
      <w:r>
        <w:fldChar w:fldCharType="separate"/>
      </w:r>
      <w:r>
        <w:t>108</w:t>
      </w:r>
      <w:r>
        <w:fldChar w:fldCharType="end"/>
      </w:r>
      <w:r>
        <w:fldChar w:fldCharType="end"/>
      </w:r>
    </w:p>
    <w:p>
      <w:pPr>
        <w:pStyle w:val="12"/>
        <w:tabs>
          <w:tab w:val="right" w:leader="dot" w:pos="9128"/>
          <w:tab w:val="clear" w:pos="9118"/>
        </w:tabs>
      </w:pPr>
      <w:r>
        <w:fldChar w:fldCharType="begin"/>
      </w:r>
      <w:r>
        <w:instrText xml:space="preserve"> HYPERLINK \l _Toc12873 </w:instrText>
      </w:r>
      <w:r>
        <w:fldChar w:fldCharType="separate"/>
      </w:r>
      <w:r>
        <w:rPr>
          <w:rFonts w:hint="eastAsia" w:ascii="宋体" w:hAnsi="宋体" w:cs="宋体"/>
        </w:rPr>
        <w:t>附件</w:t>
      </w:r>
      <w:r>
        <w:rPr>
          <w:rFonts w:hint="eastAsia" w:cs="Times New Roman"/>
          <w:lang w:val="en-US" w:eastAsia="zh-CN"/>
        </w:rPr>
        <w:t>6</w:t>
      </w:r>
      <w:r>
        <w:rPr>
          <w:rFonts w:cs="Times New Roman"/>
        </w:rPr>
        <w:t xml:space="preserve"> </w:t>
      </w:r>
      <w:r>
        <w:rPr>
          <w:rFonts w:hint="eastAsia"/>
        </w:rPr>
        <w:t>应急预案培训考核表</w:t>
      </w:r>
      <w:r>
        <w:tab/>
      </w:r>
      <w:r>
        <w:fldChar w:fldCharType="begin"/>
      </w:r>
      <w:r>
        <w:instrText xml:space="preserve"> PAGEREF _Toc12873 </w:instrText>
      </w:r>
      <w:r>
        <w:fldChar w:fldCharType="separate"/>
      </w:r>
      <w:r>
        <w:t>109</w:t>
      </w:r>
      <w:r>
        <w:fldChar w:fldCharType="end"/>
      </w:r>
      <w:r>
        <w:fldChar w:fldCharType="end"/>
      </w:r>
    </w:p>
    <w:p>
      <w:pPr>
        <w:pStyle w:val="12"/>
        <w:tabs>
          <w:tab w:val="right" w:leader="dot" w:pos="9128"/>
          <w:tab w:val="clear" w:pos="9118"/>
        </w:tabs>
      </w:pPr>
      <w:r>
        <w:fldChar w:fldCharType="begin"/>
      </w:r>
      <w:r>
        <w:instrText xml:space="preserve"> HYPERLINK \l _Toc8137 </w:instrText>
      </w:r>
      <w:r>
        <w:fldChar w:fldCharType="separate"/>
      </w:r>
      <w:r>
        <w:rPr>
          <w:rFonts w:hint="eastAsia" w:ascii="宋体" w:hAnsi="宋体" w:cs="宋体"/>
        </w:rPr>
        <w:t>附件</w:t>
      </w:r>
      <w:r>
        <w:rPr>
          <w:rFonts w:hint="eastAsia" w:cs="Times New Roman"/>
          <w:lang w:val="en-US" w:eastAsia="zh-CN"/>
        </w:rPr>
        <w:t>7</w:t>
      </w:r>
      <w:r>
        <w:rPr>
          <w:rFonts w:ascii="宋体" w:hAnsi="宋体" w:cs="宋体"/>
        </w:rPr>
        <w:t xml:space="preserve"> </w:t>
      </w:r>
      <w:r>
        <w:rPr>
          <w:rFonts w:hint="eastAsia"/>
        </w:rPr>
        <w:t>应急预案修改说明表</w:t>
      </w:r>
      <w:r>
        <w:tab/>
      </w:r>
      <w:r>
        <w:fldChar w:fldCharType="begin"/>
      </w:r>
      <w:r>
        <w:instrText xml:space="preserve"> PAGEREF _Toc8137 </w:instrText>
      </w:r>
      <w:r>
        <w:fldChar w:fldCharType="separate"/>
      </w:r>
      <w:r>
        <w:t>110</w:t>
      </w:r>
      <w:r>
        <w:fldChar w:fldCharType="end"/>
      </w:r>
      <w:r>
        <w:fldChar w:fldCharType="end"/>
      </w:r>
    </w:p>
    <w:p>
      <w:pPr>
        <w:pStyle w:val="12"/>
        <w:tabs>
          <w:tab w:val="right" w:leader="dot" w:pos="9128"/>
          <w:tab w:val="clear" w:pos="9118"/>
        </w:tabs>
      </w:pPr>
      <w:r>
        <w:fldChar w:fldCharType="begin"/>
      </w:r>
      <w:r>
        <w:instrText xml:space="preserve"> HYPERLINK \l _Toc19806 </w:instrText>
      </w:r>
      <w:r>
        <w:fldChar w:fldCharType="separate"/>
      </w:r>
      <w:r>
        <w:t>第</w:t>
      </w:r>
      <w:r>
        <w:rPr>
          <w:rFonts w:hint="eastAsia"/>
          <w:lang w:eastAsia="zh-CN"/>
        </w:rPr>
        <w:t>二</w:t>
      </w:r>
      <w:r>
        <w:t>部分：突发环境事件应急预案</w:t>
      </w:r>
      <w:r>
        <w:rPr>
          <w:rFonts w:hint="eastAsia"/>
          <w:lang w:eastAsia="zh-CN"/>
        </w:rPr>
        <w:t>编制说明</w:t>
      </w:r>
      <w:r>
        <w:tab/>
      </w:r>
      <w:r>
        <w:fldChar w:fldCharType="begin"/>
      </w:r>
      <w:r>
        <w:instrText xml:space="preserve"> PAGEREF _Toc19806 </w:instrText>
      </w:r>
      <w:r>
        <w:fldChar w:fldCharType="separate"/>
      </w:r>
      <w:r>
        <w:t>111</w:t>
      </w:r>
      <w:r>
        <w:fldChar w:fldCharType="end"/>
      </w:r>
      <w:r>
        <w:fldChar w:fldCharType="end"/>
      </w:r>
    </w:p>
    <w:p>
      <w:pPr>
        <w:pStyle w:val="12"/>
        <w:tabs>
          <w:tab w:val="right" w:leader="dot" w:pos="9128"/>
          <w:tab w:val="clear" w:pos="9118"/>
        </w:tabs>
      </w:pPr>
      <w:r>
        <w:fldChar w:fldCharType="begin"/>
      </w:r>
      <w:r>
        <w:instrText xml:space="preserve"> HYPERLINK \l _Toc1553 </w:instrText>
      </w:r>
      <w:r>
        <w:fldChar w:fldCharType="separate"/>
      </w:r>
      <w:r>
        <w:rPr>
          <w:rFonts w:hint="eastAsia"/>
          <w:lang w:val="en-US" w:eastAsia="zh-CN"/>
        </w:rPr>
        <w:t>1</w:t>
      </w:r>
      <w:r>
        <w:rPr>
          <w:rFonts w:hint="eastAsia"/>
        </w:rPr>
        <w:t>编制目的</w:t>
      </w:r>
      <w:r>
        <w:tab/>
      </w:r>
      <w:r>
        <w:fldChar w:fldCharType="begin"/>
      </w:r>
      <w:r>
        <w:instrText xml:space="preserve"> PAGEREF _Toc1553 </w:instrText>
      </w:r>
      <w:r>
        <w:fldChar w:fldCharType="separate"/>
      </w:r>
      <w:r>
        <w:t>112</w:t>
      </w:r>
      <w:r>
        <w:fldChar w:fldCharType="end"/>
      </w:r>
      <w:r>
        <w:fldChar w:fldCharType="end"/>
      </w:r>
    </w:p>
    <w:p>
      <w:pPr>
        <w:pStyle w:val="12"/>
        <w:tabs>
          <w:tab w:val="right" w:leader="dot" w:pos="9128"/>
          <w:tab w:val="clear" w:pos="9118"/>
        </w:tabs>
      </w:pPr>
      <w:r>
        <w:fldChar w:fldCharType="begin"/>
      </w:r>
      <w:r>
        <w:instrText xml:space="preserve"> HYPERLINK \l _Toc27797 </w:instrText>
      </w:r>
      <w:r>
        <w:fldChar w:fldCharType="separate"/>
      </w:r>
      <w:r>
        <w:rPr>
          <w:rFonts w:hint="eastAsia"/>
          <w:lang w:val="en-US" w:eastAsia="zh-CN"/>
        </w:rPr>
        <w:t>2</w:t>
      </w:r>
      <w:r>
        <w:rPr>
          <w:rFonts w:hint="eastAsia"/>
        </w:rPr>
        <w:t>编制原则</w:t>
      </w:r>
      <w:r>
        <w:tab/>
      </w:r>
      <w:r>
        <w:fldChar w:fldCharType="begin"/>
      </w:r>
      <w:r>
        <w:instrText xml:space="preserve"> PAGEREF _Toc27797 </w:instrText>
      </w:r>
      <w:r>
        <w:fldChar w:fldCharType="separate"/>
      </w:r>
      <w:r>
        <w:t>112</w:t>
      </w:r>
      <w:r>
        <w:fldChar w:fldCharType="end"/>
      </w:r>
      <w:r>
        <w:fldChar w:fldCharType="end"/>
      </w:r>
    </w:p>
    <w:p>
      <w:pPr>
        <w:pStyle w:val="12"/>
        <w:tabs>
          <w:tab w:val="right" w:leader="dot" w:pos="9128"/>
          <w:tab w:val="clear" w:pos="9118"/>
        </w:tabs>
      </w:pPr>
      <w:r>
        <w:fldChar w:fldCharType="begin"/>
      </w:r>
      <w:r>
        <w:instrText xml:space="preserve"> HYPERLINK \l _Toc18526 </w:instrText>
      </w:r>
      <w:r>
        <w:fldChar w:fldCharType="separate"/>
      </w:r>
      <w:r>
        <w:rPr>
          <w:rFonts w:hint="eastAsia"/>
          <w:lang w:val="en-US" w:eastAsia="zh-CN"/>
        </w:rPr>
        <w:t>3</w:t>
      </w:r>
      <w:r>
        <w:rPr>
          <w:rFonts w:hint="eastAsia"/>
        </w:rPr>
        <w:t>编制过程概述</w:t>
      </w:r>
      <w:r>
        <w:tab/>
      </w:r>
      <w:r>
        <w:fldChar w:fldCharType="begin"/>
      </w:r>
      <w:r>
        <w:instrText xml:space="preserve"> PAGEREF _Toc18526 </w:instrText>
      </w:r>
      <w:r>
        <w:fldChar w:fldCharType="separate"/>
      </w:r>
      <w:r>
        <w:t>112</w:t>
      </w:r>
      <w:r>
        <w:fldChar w:fldCharType="end"/>
      </w:r>
      <w:r>
        <w:fldChar w:fldCharType="end"/>
      </w:r>
    </w:p>
    <w:p>
      <w:pPr>
        <w:pStyle w:val="12"/>
        <w:tabs>
          <w:tab w:val="right" w:leader="dot" w:pos="9128"/>
          <w:tab w:val="clear" w:pos="9118"/>
        </w:tabs>
      </w:pPr>
      <w:r>
        <w:fldChar w:fldCharType="begin"/>
      </w:r>
      <w:r>
        <w:instrText xml:space="preserve"> HYPERLINK \l _Toc885 </w:instrText>
      </w:r>
      <w:r>
        <w:fldChar w:fldCharType="separate"/>
      </w:r>
      <w:r>
        <w:rPr>
          <w:rFonts w:hint="eastAsia"/>
          <w:lang w:val="en-US" w:eastAsia="zh-CN"/>
        </w:rPr>
        <w:t>4</w:t>
      </w:r>
      <w:r>
        <w:rPr>
          <w:rFonts w:hint="eastAsia"/>
        </w:rPr>
        <w:t>重点内容说明</w:t>
      </w:r>
      <w:r>
        <w:tab/>
      </w:r>
      <w:r>
        <w:fldChar w:fldCharType="begin"/>
      </w:r>
      <w:r>
        <w:instrText xml:space="preserve"> PAGEREF _Toc885 </w:instrText>
      </w:r>
      <w:r>
        <w:fldChar w:fldCharType="separate"/>
      </w:r>
      <w:r>
        <w:t>114</w:t>
      </w:r>
      <w:r>
        <w:fldChar w:fldCharType="end"/>
      </w:r>
      <w:r>
        <w:fldChar w:fldCharType="end"/>
      </w:r>
    </w:p>
    <w:p>
      <w:pPr>
        <w:pStyle w:val="12"/>
        <w:tabs>
          <w:tab w:val="right" w:leader="dot" w:pos="9128"/>
          <w:tab w:val="clear" w:pos="9118"/>
        </w:tabs>
      </w:pPr>
      <w:r>
        <w:fldChar w:fldCharType="begin"/>
      </w:r>
      <w:r>
        <w:instrText xml:space="preserve"> HYPERLINK \l _Toc12679 </w:instrText>
      </w:r>
      <w:r>
        <w:fldChar w:fldCharType="separate"/>
      </w:r>
      <w:r>
        <w:rPr>
          <w:rFonts w:hint="eastAsia"/>
          <w:lang w:val="en-US" w:eastAsia="zh-CN"/>
        </w:rPr>
        <w:t>5</w:t>
      </w:r>
      <w:r>
        <w:rPr>
          <w:rFonts w:hint="eastAsia"/>
        </w:rPr>
        <w:t>征求意见及采纳情况说明</w:t>
      </w:r>
      <w:r>
        <w:tab/>
      </w:r>
      <w:r>
        <w:fldChar w:fldCharType="begin"/>
      </w:r>
      <w:r>
        <w:instrText xml:space="preserve"> PAGEREF _Toc12679 </w:instrText>
      </w:r>
      <w:r>
        <w:fldChar w:fldCharType="separate"/>
      </w:r>
      <w:r>
        <w:t>114</w:t>
      </w:r>
      <w:r>
        <w:fldChar w:fldCharType="end"/>
      </w:r>
      <w:r>
        <w:fldChar w:fldCharType="end"/>
      </w:r>
    </w:p>
    <w:p>
      <w:pPr>
        <w:pStyle w:val="12"/>
        <w:tabs>
          <w:tab w:val="right" w:leader="dot" w:pos="9128"/>
          <w:tab w:val="clear" w:pos="9118"/>
        </w:tabs>
      </w:pPr>
      <w:r>
        <w:fldChar w:fldCharType="begin"/>
      </w:r>
      <w:r>
        <w:instrText xml:space="preserve"> HYPERLINK \l _Toc26940 </w:instrText>
      </w:r>
      <w:r>
        <w:fldChar w:fldCharType="separate"/>
      </w:r>
      <w:r>
        <w:rPr>
          <w:rFonts w:hint="eastAsia"/>
          <w:lang w:val="en-US" w:eastAsia="zh-CN"/>
        </w:rPr>
        <w:t>6</w:t>
      </w:r>
      <w:r>
        <w:rPr>
          <w:rFonts w:hint="eastAsia"/>
        </w:rPr>
        <w:t>评审情况说明</w:t>
      </w:r>
      <w:r>
        <w:tab/>
      </w:r>
      <w:r>
        <w:fldChar w:fldCharType="begin"/>
      </w:r>
      <w:r>
        <w:instrText xml:space="preserve"> PAGEREF _Toc26940 </w:instrText>
      </w:r>
      <w:r>
        <w:fldChar w:fldCharType="separate"/>
      </w:r>
      <w:r>
        <w:t>115</w:t>
      </w:r>
      <w:r>
        <w:fldChar w:fldCharType="end"/>
      </w:r>
      <w:r>
        <w:fldChar w:fldCharType="end"/>
      </w:r>
    </w:p>
    <w:p>
      <w:pPr>
        <w:pStyle w:val="12"/>
        <w:tabs>
          <w:tab w:val="right" w:leader="dot" w:pos="9128"/>
          <w:tab w:val="clear" w:pos="9118"/>
        </w:tabs>
      </w:pPr>
      <w:r>
        <w:fldChar w:fldCharType="begin"/>
      </w:r>
      <w:r>
        <w:instrText xml:space="preserve"> HYPERLINK \l _Toc7312 </w:instrText>
      </w:r>
      <w:r>
        <w:fldChar w:fldCharType="separate"/>
      </w:r>
      <w:r>
        <w:t>第</w:t>
      </w:r>
      <w:r>
        <w:rPr>
          <w:rFonts w:hint="eastAsia"/>
          <w:lang w:eastAsia="zh-CN"/>
        </w:rPr>
        <w:t>三</w:t>
      </w:r>
      <w:r>
        <w:t>部分：突发环境事件</w:t>
      </w:r>
      <w:r>
        <w:rPr>
          <w:rFonts w:hint="eastAsia"/>
          <w:lang w:eastAsia="zh-CN"/>
        </w:rPr>
        <w:t>风险评估报告</w:t>
      </w:r>
      <w:r>
        <w:tab/>
      </w:r>
      <w:r>
        <w:fldChar w:fldCharType="begin"/>
      </w:r>
      <w:r>
        <w:instrText xml:space="preserve"> PAGEREF _Toc7312 </w:instrText>
      </w:r>
      <w:r>
        <w:fldChar w:fldCharType="separate"/>
      </w:r>
      <w:r>
        <w:t>116</w:t>
      </w:r>
      <w:r>
        <w:fldChar w:fldCharType="end"/>
      </w:r>
      <w:r>
        <w:fldChar w:fldCharType="end"/>
      </w:r>
    </w:p>
    <w:p>
      <w:pPr>
        <w:pStyle w:val="12"/>
        <w:tabs>
          <w:tab w:val="right" w:leader="dot" w:pos="9128"/>
          <w:tab w:val="clear" w:pos="9118"/>
        </w:tabs>
      </w:pPr>
      <w:r>
        <w:fldChar w:fldCharType="begin"/>
      </w:r>
      <w:r>
        <w:instrText xml:space="preserve"> HYPERLINK \l _Toc21168 </w:instrText>
      </w:r>
      <w:r>
        <w:fldChar w:fldCharType="separate"/>
      </w:r>
      <w:r>
        <w:rPr>
          <w:rFonts w:hint="eastAsia"/>
          <w:lang w:val="en-US" w:eastAsia="zh-CN"/>
        </w:rPr>
        <w:t>1</w:t>
      </w:r>
      <w:r>
        <w:rPr>
          <w:rFonts w:hint="eastAsia"/>
        </w:rPr>
        <w:t>前言</w:t>
      </w:r>
      <w:r>
        <w:tab/>
      </w:r>
      <w:r>
        <w:fldChar w:fldCharType="begin"/>
      </w:r>
      <w:r>
        <w:instrText xml:space="preserve"> PAGEREF _Toc21168 </w:instrText>
      </w:r>
      <w:r>
        <w:fldChar w:fldCharType="separate"/>
      </w:r>
      <w:r>
        <w:t>117</w:t>
      </w:r>
      <w:r>
        <w:fldChar w:fldCharType="end"/>
      </w:r>
      <w:r>
        <w:fldChar w:fldCharType="end"/>
      </w:r>
    </w:p>
    <w:p>
      <w:pPr>
        <w:pStyle w:val="13"/>
        <w:tabs>
          <w:tab w:val="right" w:leader="dot" w:pos="9128"/>
          <w:tab w:val="clear" w:pos="9118"/>
        </w:tabs>
      </w:pPr>
      <w:r>
        <w:fldChar w:fldCharType="begin"/>
      </w:r>
      <w:r>
        <w:instrText xml:space="preserve"> HYPERLINK \l _Toc25001 </w:instrText>
      </w:r>
      <w:r>
        <w:fldChar w:fldCharType="separate"/>
      </w:r>
      <w:r>
        <w:rPr>
          <w:rFonts w:hint="eastAsia"/>
          <w:lang w:val="en-US" w:eastAsia="zh-CN"/>
        </w:rPr>
        <w:t>1.1</w:t>
      </w:r>
      <w:r>
        <w:rPr>
          <w:rFonts w:hint="eastAsia"/>
        </w:rPr>
        <w:t>工作由来</w:t>
      </w:r>
      <w:r>
        <w:tab/>
      </w:r>
      <w:r>
        <w:fldChar w:fldCharType="begin"/>
      </w:r>
      <w:r>
        <w:instrText xml:space="preserve"> PAGEREF _Toc25001 </w:instrText>
      </w:r>
      <w:r>
        <w:fldChar w:fldCharType="separate"/>
      </w:r>
      <w:r>
        <w:t>117</w:t>
      </w:r>
      <w:r>
        <w:fldChar w:fldCharType="end"/>
      </w:r>
      <w:r>
        <w:fldChar w:fldCharType="end"/>
      </w:r>
    </w:p>
    <w:p>
      <w:pPr>
        <w:pStyle w:val="13"/>
        <w:tabs>
          <w:tab w:val="right" w:leader="dot" w:pos="9128"/>
          <w:tab w:val="clear" w:pos="9118"/>
        </w:tabs>
      </w:pPr>
      <w:r>
        <w:fldChar w:fldCharType="begin"/>
      </w:r>
      <w:r>
        <w:instrText xml:space="preserve"> HYPERLINK \l _Toc31647 </w:instrText>
      </w:r>
      <w:r>
        <w:fldChar w:fldCharType="separate"/>
      </w:r>
      <w:r>
        <w:rPr>
          <w:rFonts w:hint="eastAsia"/>
          <w:lang w:val="en-US" w:eastAsia="zh-CN"/>
        </w:rPr>
        <w:t>1.2</w:t>
      </w:r>
      <w:r>
        <w:rPr>
          <w:rFonts w:hint="eastAsia"/>
        </w:rPr>
        <w:t>评估程序</w:t>
      </w:r>
      <w:r>
        <w:tab/>
      </w:r>
      <w:r>
        <w:fldChar w:fldCharType="begin"/>
      </w:r>
      <w:r>
        <w:instrText xml:space="preserve"> PAGEREF _Toc31647 </w:instrText>
      </w:r>
      <w:r>
        <w:fldChar w:fldCharType="separate"/>
      </w:r>
      <w:r>
        <w:t>118</w:t>
      </w:r>
      <w:r>
        <w:fldChar w:fldCharType="end"/>
      </w:r>
      <w:r>
        <w:fldChar w:fldCharType="end"/>
      </w:r>
    </w:p>
    <w:p>
      <w:pPr>
        <w:pStyle w:val="13"/>
        <w:tabs>
          <w:tab w:val="right" w:leader="dot" w:pos="9128"/>
          <w:tab w:val="clear" w:pos="9118"/>
        </w:tabs>
      </w:pPr>
      <w:r>
        <w:fldChar w:fldCharType="begin"/>
      </w:r>
      <w:r>
        <w:instrText xml:space="preserve"> HYPERLINK \l _Toc2119 </w:instrText>
      </w:r>
      <w:r>
        <w:fldChar w:fldCharType="separate"/>
      </w:r>
      <w:r>
        <w:rPr>
          <w:rFonts w:hint="eastAsia"/>
          <w:lang w:val="en-US" w:eastAsia="zh-CN"/>
        </w:rPr>
        <w:t>1.3</w:t>
      </w:r>
      <w:r>
        <w:rPr>
          <w:rFonts w:hint="eastAsia"/>
        </w:rPr>
        <w:t>环境风险评估的一般要求</w:t>
      </w:r>
      <w:r>
        <w:tab/>
      </w:r>
      <w:r>
        <w:fldChar w:fldCharType="begin"/>
      </w:r>
      <w:r>
        <w:instrText xml:space="preserve"> PAGEREF _Toc2119 </w:instrText>
      </w:r>
      <w:r>
        <w:fldChar w:fldCharType="separate"/>
      </w:r>
      <w:r>
        <w:t>119</w:t>
      </w:r>
      <w:r>
        <w:fldChar w:fldCharType="end"/>
      </w:r>
      <w:r>
        <w:fldChar w:fldCharType="end"/>
      </w:r>
    </w:p>
    <w:p>
      <w:pPr>
        <w:pStyle w:val="13"/>
        <w:tabs>
          <w:tab w:val="right" w:leader="dot" w:pos="9128"/>
          <w:tab w:val="clear" w:pos="9118"/>
        </w:tabs>
      </w:pPr>
      <w:r>
        <w:fldChar w:fldCharType="begin"/>
      </w:r>
      <w:r>
        <w:instrText xml:space="preserve"> HYPERLINK \l _Toc1314 </w:instrText>
      </w:r>
      <w:r>
        <w:fldChar w:fldCharType="separate"/>
      </w:r>
      <w:r>
        <w:rPr>
          <w:rFonts w:hint="eastAsia"/>
          <w:lang w:val="en-US" w:eastAsia="zh-CN"/>
        </w:rPr>
        <w:t>1.4</w:t>
      </w:r>
      <w:r>
        <w:rPr>
          <w:rFonts w:hint="eastAsia"/>
        </w:rPr>
        <w:t>术语与定义</w:t>
      </w:r>
      <w:r>
        <w:tab/>
      </w:r>
      <w:r>
        <w:fldChar w:fldCharType="begin"/>
      </w:r>
      <w:r>
        <w:instrText xml:space="preserve"> PAGEREF _Toc1314 </w:instrText>
      </w:r>
      <w:r>
        <w:fldChar w:fldCharType="separate"/>
      </w:r>
      <w:r>
        <w:t>120</w:t>
      </w:r>
      <w:r>
        <w:fldChar w:fldCharType="end"/>
      </w:r>
      <w:r>
        <w:fldChar w:fldCharType="end"/>
      </w:r>
    </w:p>
    <w:p>
      <w:pPr>
        <w:pStyle w:val="12"/>
        <w:tabs>
          <w:tab w:val="right" w:leader="dot" w:pos="9128"/>
          <w:tab w:val="clear" w:pos="9118"/>
        </w:tabs>
      </w:pPr>
      <w:r>
        <w:fldChar w:fldCharType="begin"/>
      </w:r>
      <w:r>
        <w:instrText xml:space="preserve"> HYPERLINK \l _Toc20170 </w:instrText>
      </w:r>
      <w:r>
        <w:fldChar w:fldCharType="separate"/>
      </w:r>
      <w:r>
        <w:rPr>
          <w:rFonts w:hint="eastAsia"/>
          <w:lang w:val="en-US" w:eastAsia="zh-CN"/>
        </w:rPr>
        <w:t>2</w:t>
      </w:r>
      <w:r>
        <w:rPr>
          <w:rFonts w:hint="eastAsia"/>
        </w:rPr>
        <w:t>总则</w:t>
      </w:r>
      <w:r>
        <w:tab/>
      </w:r>
      <w:r>
        <w:fldChar w:fldCharType="begin"/>
      </w:r>
      <w:r>
        <w:instrText xml:space="preserve"> PAGEREF _Toc20170 </w:instrText>
      </w:r>
      <w:r>
        <w:fldChar w:fldCharType="separate"/>
      </w:r>
      <w:r>
        <w:t>122</w:t>
      </w:r>
      <w:r>
        <w:fldChar w:fldCharType="end"/>
      </w:r>
      <w:r>
        <w:fldChar w:fldCharType="end"/>
      </w:r>
    </w:p>
    <w:p>
      <w:pPr>
        <w:pStyle w:val="13"/>
        <w:tabs>
          <w:tab w:val="right" w:leader="dot" w:pos="9128"/>
          <w:tab w:val="clear" w:pos="9118"/>
        </w:tabs>
      </w:pPr>
      <w:r>
        <w:fldChar w:fldCharType="begin"/>
      </w:r>
      <w:r>
        <w:instrText xml:space="preserve"> HYPERLINK \l _Toc30488 </w:instrText>
      </w:r>
      <w:r>
        <w:fldChar w:fldCharType="separate"/>
      </w:r>
      <w:r>
        <w:rPr>
          <w:rFonts w:hint="eastAsia"/>
          <w:lang w:val="en-US" w:eastAsia="zh-CN"/>
        </w:rPr>
        <w:t>2.1</w:t>
      </w:r>
      <w:r>
        <w:rPr>
          <w:rFonts w:hint="eastAsia"/>
        </w:rPr>
        <w:t>编制原则</w:t>
      </w:r>
      <w:r>
        <w:tab/>
      </w:r>
      <w:r>
        <w:fldChar w:fldCharType="begin"/>
      </w:r>
      <w:r>
        <w:instrText xml:space="preserve"> PAGEREF _Toc30488 </w:instrText>
      </w:r>
      <w:r>
        <w:fldChar w:fldCharType="separate"/>
      </w:r>
      <w:r>
        <w:t>122</w:t>
      </w:r>
      <w:r>
        <w:fldChar w:fldCharType="end"/>
      </w:r>
      <w:r>
        <w:fldChar w:fldCharType="end"/>
      </w:r>
    </w:p>
    <w:p>
      <w:pPr>
        <w:pStyle w:val="13"/>
        <w:tabs>
          <w:tab w:val="right" w:leader="dot" w:pos="9128"/>
          <w:tab w:val="clear" w:pos="9118"/>
        </w:tabs>
      </w:pPr>
      <w:r>
        <w:fldChar w:fldCharType="begin"/>
      </w:r>
      <w:r>
        <w:instrText xml:space="preserve"> HYPERLINK \l _Toc23694 </w:instrText>
      </w:r>
      <w:r>
        <w:fldChar w:fldCharType="separate"/>
      </w:r>
      <w:r>
        <w:rPr>
          <w:rFonts w:hint="eastAsia"/>
          <w:lang w:val="en-US" w:eastAsia="zh-CN"/>
        </w:rPr>
        <w:t>2.2</w:t>
      </w:r>
      <w:r>
        <w:rPr>
          <w:rFonts w:hint="eastAsia"/>
        </w:rPr>
        <w:t>编制依据</w:t>
      </w:r>
      <w:r>
        <w:tab/>
      </w:r>
      <w:r>
        <w:fldChar w:fldCharType="begin"/>
      </w:r>
      <w:r>
        <w:instrText xml:space="preserve"> PAGEREF _Toc23694 </w:instrText>
      </w:r>
      <w:r>
        <w:fldChar w:fldCharType="separate"/>
      </w:r>
      <w:r>
        <w:t>122</w:t>
      </w:r>
      <w:r>
        <w:fldChar w:fldCharType="end"/>
      </w:r>
      <w:r>
        <w:fldChar w:fldCharType="end"/>
      </w:r>
    </w:p>
    <w:p>
      <w:pPr>
        <w:pStyle w:val="12"/>
        <w:tabs>
          <w:tab w:val="right" w:leader="dot" w:pos="9128"/>
          <w:tab w:val="clear" w:pos="9118"/>
        </w:tabs>
      </w:pPr>
      <w:r>
        <w:fldChar w:fldCharType="begin"/>
      </w:r>
      <w:r>
        <w:instrText xml:space="preserve"> HYPERLINK \l _Toc1663 </w:instrText>
      </w:r>
      <w:r>
        <w:fldChar w:fldCharType="separate"/>
      </w:r>
      <w:r>
        <w:rPr>
          <w:rFonts w:hint="eastAsia"/>
          <w:lang w:val="en-US" w:eastAsia="zh-CN"/>
        </w:rPr>
        <w:t>3</w:t>
      </w:r>
      <w:r>
        <w:rPr>
          <w:rFonts w:hint="eastAsia"/>
        </w:rPr>
        <w:t>资料准备与环境风险识别</w:t>
      </w:r>
      <w:r>
        <w:tab/>
      </w:r>
      <w:r>
        <w:fldChar w:fldCharType="begin"/>
      </w:r>
      <w:r>
        <w:instrText xml:space="preserve"> PAGEREF _Toc1663 </w:instrText>
      </w:r>
      <w:r>
        <w:fldChar w:fldCharType="separate"/>
      </w:r>
      <w:r>
        <w:t>127</w:t>
      </w:r>
      <w:r>
        <w:fldChar w:fldCharType="end"/>
      </w:r>
      <w:r>
        <w:fldChar w:fldCharType="end"/>
      </w:r>
    </w:p>
    <w:p>
      <w:pPr>
        <w:pStyle w:val="13"/>
        <w:tabs>
          <w:tab w:val="right" w:leader="dot" w:pos="9128"/>
          <w:tab w:val="clear" w:pos="9118"/>
        </w:tabs>
      </w:pPr>
      <w:r>
        <w:fldChar w:fldCharType="begin"/>
      </w:r>
      <w:r>
        <w:instrText xml:space="preserve"> HYPERLINK \l _Toc22879 </w:instrText>
      </w:r>
      <w:r>
        <w:fldChar w:fldCharType="separate"/>
      </w:r>
      <w:r>
        <w:rPr>
          <w:rFonts w:hint="eastAsia"/>
          <w:lang w:val="en-US" w:eastAsia="zh-CN"/>
        </w:rPr>
        <w:t>3.1</w:t>
      </w:r>
      <w:r>
        <w:rPr>
          <w:rFonts w:hint="eastAsia"/>
        </w:rPr>
        <w:t>企业基本信息</w:t>
      </w:r>
      <w:r>
        <w:tab/>
      </w:r>
      <w:r>
        <w:fldChar w:fldCharType="begin"/>
      </w:r>
      <w:r>
        <w:instrText xml:space="preserve"> PAGEREF _Toc22879 </w:instrText>
      </w:r>
      <w:r>
        <w:fldChar w:fldCharType="separate"/>
      </w:r>
      <w:r>
        <w:t>127</w:t>
      </w:r>
      <w:r>
        <w:fldChar w:fldCharType="end"/>
      </w:r>
      <w:r>
        <w:fldChar w:fldCharType="end"/>
      </w:r>
    </w:p>
    <w:p>
      <w:pPr>
        <w:pStyle w:val="13"/>
        <w:tabs>
          <w:tab w:val="right" w:leader="dot" w:pos="9128"/>
          <w:tab w:val="clear" w:pos="9118"/>
        </w:tabs>
      </w:pPr>
      <w:r>
        <w:fldChar w:fldCharType="begin"/>
      </w:r>
      <w:r>
        <w:instrText xml:space="preserve"> HYPERLINK \l _Toc3989 </w:instrText>
      </w:r>
      <w:r>
        <w:fldChar w:fldCharType="separate"/>
      </w:r>
      <w:r>
        <w:rPr>
          <w:rFonts w:hint="eastAsia"/>
          <w:lang w:val="en-US" w:eastAsia="zh-CN"/>
        </w:rPr>
        <w:t>3.2</w:t>
      </w:r>
      <w:r>
        <w:rPr>
          <w:rFonts w:hint="eastAsia"/>
        </w:rPr>
        <w:t>企业周边环境风险受体情况</w:t>
      </w:r>
      <w:r>
        <w:tab/>
      </w:r>
      <w:r>
        <w:fldChar w:fldCharType="begin"/>
      </w:r>
      <w:r>
        <w:instrText xml:space="preserve"> PAGEREF _Toc3989 </w:instrText>
      </w:r>
      <w:r>
        <w:fldChar w:fldCharType="separate"/>
      </w:r>
      <w:r>
        <w:t>134</w:t>
      </w:r>
      <w:r>
        <w:fldChar w:fldCharType="end"/>
      </w:r>
      <w:r>
        <w:fldChar w:fldCharType="end"/>
      </w:r>
    </w:p>
    <w:p>
      <w:pPr>
        <w:pStyle w:val="13"/>
        <w:tabs>
          <w:tab w:val="right" w:leader="dot" w:pos="9128"/>
          <w:tab w:val="clear" w:pos="9118"/>
        </w:tabs>
      </w:pPr>
      <w:r>
        <w:fldChar w:fldCharType="begin"/>
      </w:r>
      <w:r>
        <w:instrText xml:space="preserve"> HYPERLINK \l _Toc15778 </w:instrText>
      </w:r>
      <w:r>
        <w:fldChar w:fldCharType="separate"/>
      </w:r>
      <w:r>
        <w:rPr>
          <w:rFonts w:hint="eastAsia"/>
          <w:lang w:val="en-US" w:eastAsia="zh-CN"/>
        </w:rPr>
        <w:t>3.3</w:t>
      </w:r>
      <w:r>
        <w:rPr>
          <w:rFonts w:hint="eastAsia"/>
        </w:rPr>
        <w:t>涉及环境风险物质情况</w:t>
      </w:r>
      <w:r>
        <w:tab/>
      </w:r>
      <w:r>
        <w:fldChar w:fldCharType="begin"/>
      </w:r>
      <w:r>
        <w:instrText xml:space="preserve"> PAGEREF _Toc15778 </w:instrText>
      </w:r>
      <w:r>
        <w:fldChar w:fldCharType="separate"/>
      </w:r>
      <w:r>
        <w:t>137</w:t>
      </w:r>
      <w:r>
        <w:fldChar w:fldCharType="end"/>
      </w:r>
      <w:r>
        <w:fldChar w:fldCharType="end"/>
      </w:r>
    </w:p>
    <w:p>
      <w:pPr>
        <w:pStyle w:val="13"/>
        <w:tabs>
          <w:tab w:val="right" w:leader="dot" w:pos="9128"/>
          <w:tab w:val="clear" w:pos="9118"/>
        </w:tabs>
      </w:pPr>
      <w:r>
        <w:fldChar w:fldCharType="begin"/>
      </w:r>
      <w:r>
        <w:instrText xml:space="preserve"> HYPERLINK \l _Toc27102 </w:instrText>
      </w:r>
      <w:r>
        <w:fldChar w:fldCharType="separate"/>
      </w:r>
      <w:r>
        <w:rPr>
          <w:rFonts w:hint="eastAsia"/>
          <w:lang w:val="en-US" w:eastAsia="zh-CN"/>
        </w:rPr>
        <w:t>3.4</w:t>
      </w:r>
      <w:r>
        <w:rPr>
          <w:rFonts w:hint="eastAsia"/>
        </w:rPr>
        <w:t>生产工艺及设备情况</w:t>
      </w:r>
      <w:r>
        <w:tab/>
      </w:r>
      <w:r>
        <w:fldChar w:fldCharType="begin"/>
      </w:r>
      <w:r>
        <w:instrText xml:space="preserve"> PAGEREF _Toc27102 </w:instrText>
      </w:r>
      <w:r>
        <w:fldChar w:fldCharType="separate"/>
      </w:r>
      <w:r>
        <w:t>139</w:t>
      </w:r>
      <w:r>
        <w:fldChar w:fldCharType="end"/>
      </w:r>
      <w:r>
        <w:fldChar w:fldCharType="end"/>
      </w:r>
    </w:p>
    <w:p>
      <w:pPr>
        <w:pStyle w:val="13"/>
        <w:tabs>
          <w:tab w:val="right" w:leader="dot" w:pos="9128"/>
          <w:tab w:val="clear" w:pos="9118"/>
        </w:tabs>
      </w:pPr>
      <w:r>
        <w:fldChar w:fldCharType="begin"/>
      </w:r>
      <w:r>
        <w:instrText xml:space="preserve"> HYPERLINK \l _Toc2227 </w:instrText>
      </w:r>
      <w:r>
        <w:fldChar w:fldCharType="separate"/>
      </w:r>
      <w:r>
        <w:rPr>
          <w:rFonts w:hint="eastAsia"/>
          <w:lang w:val="en-US" w:eastAsia="zh-CN"/>
        </w:rPr>
        <w:t>3.5</w:t>
      </w:r>
      <w:r>
        <w:rPr>
          <w:rFonts w:hint="eastAsia"/>
        </w:rPr>
        <w:t>安全生产管理</w:t>
      </w:r>
      <w:r>
        <w:tab/>
      </w:r>
      <w:r>
        <w:fldChar w:fldCharType="begin"/>
      </w:r>
      <w:r>
        <w:instrText xml:space="preserve"> PAGEREF _Toc2227 </w:instrText>
      </w:r>
      <w:r>
        <w:fldChar w:fldCharType="separate"/>
      </w:r>
      <w:r>
        <w:t>143</w:t>
      </w:r>
      <w:r>
        <w:fldChar w:fldCharType="end"/>
      </w:r>
      <w:r>
        <w:fldChar w:fldCharType="end"/>
      </w:r>
    </w:p>
    <w:p>
      <w:pPr>
        <w:pStyle w:val="13"/>
        <w:tabs>
          <w:tab w:val="right" w:leader="dot" w:pos="9128"/>
          <w:tab w:val="clear" w:pos="9118"/>
        </w:tabs>
      </w:pPr>
      <w:r>
        <w:fldChar w:fldCharType="begin"/>
      </w:r>
      <w:r>
        <w:instrText xml:space="preserve"> HYPERLINK \l _Toc11654 </w:instrText>
      </w:r>
      <w:r>
        <w:fldChar w:fldCharType="separate"/>
      </w:r>
      <w:r>
        <w:rPr>
          <w:rFonts w:hint="eastAsia"/>
          <w:lang w:val="en-US" w:eastAsia="zh-CN"/>
        </w:rPr>
        <w:t>3.6</w:t>
      </w:r>
      <w:r>
        <w:rPr>
          <w:rFonts w:hint="eastAsia"/>
        </w:rPr>
        <w:t>现有环境风险防控与突发环境事件发生情况</w:t>
      </w:r>
      <w:r>
        <w:tab/>
      </w:r>
      <w:r>
        <w:fldChar w:fldCharType="begin"/>
      </w:r>
      <w:r>
        <w:instrText xml:space="preserve"> PAGEREF _Toc11654 </w:instrText>
      </w:r>
      <w:r>
        <w:fldChar w:fldCharType="separate"/>
      </w:r>
      <w:r>
        <w:t>144</w:t>
      </w:r>
      <w:r>
        <w:fldChar w:fldCharType="end"/>
      </w:r>
      <w:r>
        <w:fldChar w:fldCharType="end"/>
      </w:r>
    </w:p>
    <w:p>
      <w:pPr>
        <w:pStyle w:val="13"/>
        <w:tabs>
          <w:tab w:val="right" w:leader="dot" w:pos="9128"/>
          <w:tab w:val="clear" w:pos="9118"/>
        </w:tabs>
      </w:pPr>
      <w:r>
        <w:fldChar w:fldCharType="begin"/>
      </w:r>
      <w:r>
        <w:instrText xml:space="preserve"> HYPERLINK \l _Toc14152 </w:instrText>
      </w:r>
      <w:r>
        <w:fldChar w:fldCharType="separate"/>
      </w:r>
      <w:r>
        <w:rPr>
          <w:rFonts w:hint="eastAsia"/>
          <w:lang w:val="en-US" w:eastAsia="zh-CN"/>
        </w:rPr>
        <w:t>3.7</w:t>
      </w:r>
      <w:r>
        <w:rPr>
          <w:rFonts w:hint="eastAsia"/>
        </w:rPr>
        <w:t>现有应急物资与装备、救援队伍情况</w:t>
      </w:r>
      <w:r>
        <w:tab/>
      </w:r>
      <w:r>
        <w:fldChar w:fldCharType="begin"/>
      </w:r>
      <w:r>
        <w:instrText xml:space="preserve"> PAGEREF _Toc14152 </w:instrText>
      </w:r>
      <w:r>
        <w:fldChar w:fldCharType="separate"/>
      </w:r>
      <w:r>
        <w:t>148</w:t>
      </w:r>
      <w:r>
        <w:fldChar w:fldCharType="end"/>
      </w:r>
      <w:r>
        <w:fldChar w:fldCharType="end"/>
      </w:r>
    </w:p>
    <w:p>
      <w:pPr>
        <w:pStyle w:val="12"/>
        <w:tabs>
          <w:tab w:val="right" w:leader="dot" w:pos="9128"/>
          <w:tab w:val="clear" w:pos="9118"/>
        </w:tabs>
      </w:pPr>
      <w:r>
        <w:fldChar w:fldCharType="begin"/>
      </w:r>
      <w:r>
        <w:instrText xml:space="preserve"> HYPERLINK \l _Toc31933 </w:instrText>
      </w:r>
      <w:r>
        <w:fldChar w:fldCharType="separate"/>
      </w:r>
      <w:r>
        <w:rPr>
          <w:rFonts w:hint="eastAsia"/>
          <w:lang w:val="en-US" w:eastAsia="zh-CN"/>
        </w:rPr>
        <w:t>4</w:t>
      </w:r>
      <w:r>
        <w:rPr>
          <w:rFonts w:hint="eastAsia"/>
        </w:rPr>
        <w:t>突发环境事件及后果分析</w:t>
      </w:r>
      <w:r>
        <w:tab/>
      </w:r>
      <w:r>
        <w:fldChar w:fldCharType="begin"/>
      </w:r>
      <w:r>
        <w:instrText xml:space="preserve"> PAGEREF _Toc31933 </w:instrText>
      </w:r>
      <w:r>
        <w:fldChar w:fldCharType="separate"/>
      </w:r>
      <w:r>
        <w:t>149</w:t>
      </w:r>
      <w:r>
        <w:fldChar w:fldCharType="end"/>
      </w:r>
      <w:r>
        <w:fldChar w:fldCharType="end"/>
      </w:r>
    </w:p>
    <w:p>
      <w:pPr>
        <w:pStyle w:val="13"/>
        <w:tabs>
          <w:tab w:val="right" w:leader="dot" w:pos="9128"/>
          <w:tab w:val="clear" w:pos="9118"/>
        </w:tabs>
      </w:pPr>
      <w:r>
        <w:fldChar w:fldCharType="begin"/>
      </w:r>
      <w:r>
        <w:instrText xml:space="preserve"> HYPERLINK \l _Toc25052 </w:instrText>
      </w:r>
      <w:r>
        <w:fldChar w:fldCharType="separate"/>
      </w:r>
      <w:r>
        <w:rPr>
          <w:rFonts w:hint="eastAsia"/>
          <w:lang w:val="en-US" w:eastAsia="zh-CN"/>
        </w:rPr>
        <w:t>4.1</w:t>
      </w:r>
      <w:r>
        <w:rPr>
          <w:rFonts w:hint="eastAsia"/>
        </w:rPr>
        <w:t>突发环境事件情景分析</w:t>
      </w:r>
      <w:r>
        <w:tab/>
      </w:r>
      <w:r>
        <w:fldChar w:fldCharType="begin"/>
      </w:r>
      <w:r>
        <w:instrText xml:space="preserve"> PAGEREF _Toc25052 </w:instrText>
      </w:r>
      <w:r>
        <w:fldChar w:fldCharType="separate"/>
      </w:r>
      <w:r>
        <w:t>149</w:t>
      </w:r>
      <w:r>
        <w:fldChar w:fldCharType="end"/>
      </w:r>
      <w:r>
        <w:fldChar w:fldCharType="end"/>
      </w:r>
    </w:p>
    <w:p>
      <w:pPr>
        <w:pStyle w:val="13"/>
        <w:tabs>
          <w:tab w:val="right" w:leader="dot" w:pos="9128"/>
          <w:tab w:val="clear" w:pos="9118"/>
        </w:tabs>
      </w:pPr>
      <w:r>
        <w:fldChar w:fldCharType="begin"/>
      </w:r>
      <w:r>
        <w:instrText xml:space="preserve"> HYPERLINK \l _Toc14586 </w:instrText>
      </w:r>
      <w:r>
        <w:fldChar w:fldCharType="separate"/>
      </w:r>
      <w:r>
        <w:rPr>
          <w:rFonts w:hint="eastAsia"/>
          <w:lang w:val="en-US" w:eastAsia="zh-CN"/>
        </w:rPr>
        <w:t>4.2</w:t>
      </w:r>
      <w:r>
        <w:rPr>
          <w:rFonts w:hint="eastAsia"/>
        </w:rPr>
        <w:t>突发环境事件情景源强分析</w:t>
      </w:r>
      <w:r>
        <w:tab/>
      </w:r>
      <w:r>
        <w:fldChar w:fldCharType="begin"/>
      </w:r>
      <w:r>
        <w:instrText xml:space="preserve"> PAGEREF _Toc14586 </w:instrText>
      </w:r>
      <w:r>
        <w:fldChar w:fldCharType="separate"/>
      </w:r>
      <w:r>
        <w:t>149</w:t>
      </w:r>
      <w:r>
        <w:fldChar w:fldCharType="end"/>
      </w:r>
      <w:r>
        <w:fldChar w:fldCharType="end"/>
      </w:r>
    </w:p>
    <w:p>
      <w:pPr>
        <w:pStyle w:val="13"/>
        <w:tabs>
          <w:tab w:val="right" w:leader="dot" w:pos="9128"/>
          <w:tab w:val="clear" w:pos="9118"/>
        </w:tabs>
      </w:pPr>
      <w:r>
        <w:fldChar w:fldCharType="begin"/>
      </w:r>
      <w:r>
        <w:instrText xml:space="preserve"> HYPERLINK \l _Toc27492 </w:instrText>
      </w:r>
      <w:r>
        <w:fldChar w:fldCharType="separate"/>
      </w:r>
      <w:r>
        <w:rPr>
          <w:rFonts w:hint="eastAsia"/>
          <w:lang w:val="en-US" w:eastAsia="zh-CN"/>
        </w:rPr>
        <w:t>4.3</w:t>
      </w:r>
      <w:r>
        <w:rPr>
          <w:rFonts w:hint="eastAsia"/>
        </w:rPr>
        <w:t>释放环境风险物质的扩散途径、涉及环境风险防控与应急措施、应急资源情况分析</w:t>
      </w:r>
      <w:r>
        <w:tab/>
      </w:r>
      <w:r>
        <w:fldChar w:fldCharType="begin"/>
      </w:r>
      <w:r>
        <w:instrText xml:space="preserve"> PAGEREF _Toc27492 </w:instrText>
      </w:r>
      <w:r>
        <w:fldChar w:fldCharType="separate"/>
      </w:r>
      <w:r>
        <w:t>151</w:t>
      </w:r>
      <w:r>
        <w:fldChar w:fldCharType="end"/>
      </w:r>
      <w:r>
        <w:fldChar w:fldCharType="end"/>
      </w:r>
    </w:p>
    <w:p>
      <w:pPr>
        <w:pStyle w:val="13"/>
        <w:tabs>
          <w:tab w:val="right" w:leader="dot" w:pos="9128"/>
          <w:tab w:val="clear" w:pos="9118"/>
        </w:tabs>
      </w:pPr>
      <w:r>
        <w:fldChar w:fldCharType="begin"/>
      </w:r>
      <w:r>
        <w:instrText xml:space="preserve"> HYPERLINK \l _Toc2886 </w:instrText>
      </w:r>
      <w:r>
        <w:fldChar w:fldCharType="separate"/>
      </w:r>
      <w:r>
        <w:rPr>
          <w:rFonts w:hint="eastAsia"/>
          <w:lang w:val="en-US" w:eastAsia="zh-CN"/>
        </w:rPr>
        <w:t>4.4</w:t>
      </w:r>
      <w:r>
        <w:rPr>
          <w:rFonts w:hint="eastAsia"/>
        </w:rPr>
        <w:t>突发环境事件危害后果分析</w:t>
      </w:r>
      <w:r>
        <w:tab/>
      </w:r>
      <w:r>
        <w:fldChar w:fldCharType="begin"/>
      </w:r>
      <w:r>
        <w:instrText xml:space="preserve"> PAGEREF _Toc2886 </w:instrText>
      </w:r>
      <w:r>
        <w:fldChar w:fldCharType="separate"/>
      </w:r>
      <w:r>
        <w:t>152</w:t>
      </w:r>
      <w:r>
        <w:fldChar w:fldCharType="end"/>
      </w:r>
      <w:r>
        <w:fldChar w:fldCharType="end"/>
      </w:r>
    </w:p>
    <w:p>
      <w:pPr>
        <w:pStyle w:val="12"/>
        <w:tabs>
          <w:tab w:val="right" w:leader="dot" w:pos="9128"/>
          <w:tab w:val="clear" w:pos="9118"/>
        </w:tabs>
      </w:pPr>
      <w:r>
        <w:fldChar w:fldCharType="begin"/>
      </w:r>
      <w:r>
        <w:instrText xml:space="preserve"> HYPERLINK \l _Toc10989 </w:instrText>
      </w:r>
      <w:r>
        <w:fldChar w:fldCharType="separate"/>
      </w:r>
      <w:r>
        <w:rPr>
          <w:rFonts w:hint="eastAsia"/>
          <w:lang w:val="en-US" w:eastAsia="zh-CN"/>
        </w:rPr>
        <w:t>5</w:t>
      </w:r>
      <w:r>
        <w:rPr>
          <w:rFonts w:hint="eastAsia"/>
        </w:rPr>
        <w:t>现有环境风险防控和应急措施差距分析</w:t>
      </w:r>
      <w:r>
        <w:tab/>
      </w:r>
      <w:r>
        <w:fldChar w:fldCharType="begin"/>
      </w:r>
      <w:r>
        <w:instrText xml:space="preserve"> PAGEREF _Toc10989 </w:instrText>
      </w:r>
      <w:r>
        <w:fldChar w:fldCharType="separate"/>
      </w:r>
      <w:r>
        <w:t>155</w:t>
      </w:r>
      <w:r>
        <w:fldChar w:fldCharType="end"/>
      </w:r>
      <w:r>
        <w:fldChar w:fldCharType="end"/>
      </w:r>
    </w:p>
    <w:p>
      <w:pPr>
        <w:pStyle w:val="13"/>
        <w:tabs>
          <w:tab w:val="right" w:leader="dot" w:pos="9128"/>
          <w:tab w:val="clear" w:pos="9118"/>
        </w:tabs>
      </w:pPr>
      <w:r>
        <w:fldChar w:fldCharType="begin"/>
      </w:r>
      <w:r>
        <w:instrText xml:space="preserve"> HYPERLINK \l _Toc8196 </w:instrText>
      </w:r>
      <w:r>
        <w:fldChar w:fldCharType="separate"/>
      </w:r>
      <w:r>
        <w:rPr>
          <w:rFonts w:hint="eastAsia"/>
          <w:lang w:val="en-US" w:eastAsia="zh-CN"/>
        </w:rPr>
        <w:t>5.1</w:t>
      </w:r>
      <w:r>
        <w:rPr>
          <w:rFonts w:hint="eastAsia"/>
        </w:rPr>
        <w:t>环境风险管理制度</w:t>
      </w:r>
      <w:r>
        <w:tab/>
      </w:r>
      <w:r>
        <w:fldChar w:fldCharType="begin"/>
      </w:r>
      <w:r>
        <w:instrText xml:space="preserve"> PAGEREF _Toc8196 </w:instrText>
      </w:r>
      <w:r>
        <w:fldChar w:fldCharType="separate"/>
      </w:r>
      <w:r>
        <w:t>155</w:t>
      </w:r>
      <w:r>
        <w:fldChar w:fldCharType="end"/>
      </w:r>
      <w:r>
        <w:fldChar w:fldCharType="end"/>
      </w:r>
    </w:p>
    <w:p>
      <w:pPr>
        <w:pStyle w:val="13"/>
        <w:tabs>
          <w:tab w:val="right" w:leader="dot" w:pos="9128"/>
          <w:tab w:val="clear" w:pos="9118"/>
        </w:tabs>
      </w:pPr>
      <w:r>
        <w:fldChar w:fldCharType="begin"/>
      </w:r>
      <w:r>
        <w:instrText xml:space="preserve"> HYPERLINK \l _Toc3784 </w:instrText>
      </w:r>
      <w:r>
        <w:fldChar w:fldCharType="separate"/>
      </w:r>
      <w:r>
        <w:rPr>
          <w:rFonts w:hint="eastAsia"/>
          <w:lang w:val="en-US" w:eastAsia="zh-CN"/>
        </w:rPr>
        <w:t>5.2</w:t>
      </w:r>
      <w:r>
        <w:rPr>
          <w:rFonts w:hint="eastAsia"/>
        </w:rPr>
        <w:t>环境风险防控与应急措施</w:t>
      </w:r>
      <w:r>
        <w:tab/>
      </w:r>
      <w:r>
        <w:fldChar w:fldCharType="begin"/>
      </w:r>
      <w:r>
        <w:instrText xml:space="preserve"> PAGEREF _Toc3784 </w:instrText>
      </w:r>
      <w:r>
        <w:fldChar w:fldCharType="separate"/>
      </w:r>
      <w:r>
        <w:t>155</w:t>
      </w:r>
      <w:r>
        <w:fldChar w:fldCharType="end"/>
      </w:r>
      <w:r>
        <w:fldChar w:fldCharType="end"/>
      </w:r>
    </w:p>
    <w:p>
      <w:pPr>
        <w:pStyle w:val="13"/>
        <w:tabs>
          <w:tab w:val="right" w:leader="dot" w:pos="9128"/>
          <w:tab w:val="clear" w:pos="9118"/>
        </w:tabs>
      </w:pPr>
      <w:r>
        <w:fldChar w:fldCharType="begin"/>
      </w:r>
      <w:r>
        <w:instrText xml:space="preserve"> HYPERLINK \l _Toc14801 </w:instrText>
      </w:r>
      <w:r>
        <w:fldChar w:fldCharType="separate"/>
      </w:r>
      <w:r>
        <w:rPr>
          <w:rFonts w:hint="eastAsia"/>
          <w:lang w:val="en-US" w:eastAsia="zh-CN"/>
        </w:rPr>
        <w:t>5.3</w:t>
      </w:r>
      <w:r>
        <w:rPr>
          <w:rFonts w:hint="eastAsia"/>
        </w:rPr>
        <w:t>环境应急资源</w:t>
      </w:r>
      <w:r>
        <w:tab/>
      </w:r>
      <w:r>
        <w:fldChar w:fldCharType="begin"/>
      </w:r>
      <w:r>
        <w:instrText xml:space="preserve"> PAGEREF _Toc14801 </w:instrText>
      </w:r>
      <w:r>
        <w:fldChar w:fldCharType="separate"/>
      </w:r>
      <w:r>
        <w:t>156</w:t>
      </w:r>
      <w:r>
        <w:fldChar w:fldCharType="end"/>
      </w:r>
      <w:r>
        <w:fldChar w:fldCharType="end"/>
      </w:r>
    </w:p>
    <w:p>
      <w:pPr>
        <w:pStyle w:val="13"/>
        <w:tabs>
          <w:tab w:val="right" w:leader="dot" w:pos="9128"/>
          <w:tab w:val="clear" w:pos="9118"/>
        </w:tabs>
      </w:pPr>
      <w:r>
        <w:fldChar w:fldCharType="begin"/>
      </w:r>
      <w:r>
        <w:instrText xml:space="preserve"> HYPERLINK \l _Toc28269 </w:instrText>
      </w:r>
      <w:r>
        <w:fldChar w:fldCharType="separate"/>
      </w:r>
      <w:r>
        <w:rPr>
          <w:rFonts w:hint="eastAsia"/>
          <w:lang w:val="en-US" w:eastAsia="zh-CN"/>
        </w:rPr>
        <w:t>5.4</w:t>
      </w:r>
      <w:r>
        <w:rPr>
          <w:rFonts w:hint="eastAsia"/>
        </w:rPr>
        <w:t>历史经验教训总结</w:t>
      </w:r>
      <w:r>
        <w:tab/>
      </w:r>
      <w:r>
        <w:fldChar w:fldCharType="begin"/>
      </w:r>
      <w:r>
        <w:instrText xml:space="preserve"> PAGEREF _Toc28269 </w:instrText>
      </w:r>
      <w:r>
        <w:fldChar w:fldCharType="separate"/>
      </w:r>
      <w:r>
        <w:t>157</w:t>
      </w:r>
      <w:r>
        <w:fldChar w:fldCharType="end"/>
      </w:r>
      <w:r>
        <w:fldChar w:fldCharType="end"/>
      </w:r>
    </w:p>
    <w:p>
      <w:pPr>
        <w:pStyle w:val="13"/>
        <w:tabs>
          <w:tab w:val="right" w:leader="dot" w:pos="9128"/>
          <w:tab w:val="clear" w:pos="9118"/>
        </w:tabs>
      </w:pPr>
      <w:r>
        <w:fldChar w:fldCharType="begin"/>
      </w:r>
      <w:r>
        <w:instrText xml:space="preserve"> HYPERLINK \l _Toc7268 </w:instrText>
      </w:r>
      <w:r>
        <w:fldChar w:fldCharType="separate"/>
      </w:r>
      <w:r>
        <w:rPr>
          <w:rFonts w:hint="eastAsia"/>
          <w:lang w:val="en-US" w:eastAsia="zh-CN"/>
        </w:rPr>
        <w:t>5.5</w:t>
      </w:r>
      <w:r>
        <w:rPr>
          <w:rFonts w:hint="eastAsia"/>
        </w:rPr>
        <w:t>需要整改的短期、中期和长期项目内容</w:t>
      </w:r>
      <w:r>
        <w:tab/>
      </w:r>
      <w:r>
        <w:fldChar w:fldCharType="begin"/>
      </w:r>
      <w:r>
        <w:instrText xml:space="preserve"> PAGEREF _Toc7268 </w:instrText>
      </w:r>
      <w:r>
        <w:fldChar w:fldCharType="separate"/>
      </w:r>
      <w:r>
        <w:t>158</w:t>
      </w:r>
      <w:r>
        <w:fldChar w:fldCharType="end"/>
      </w:r>
      <w:r>
        <w:fldChar w:fldCharType="end"/>
      </w:r>
    </w:p>
    <w:p>
      <w:pPr>
        <w:pStyle w:val="12"/>
        <w:tabs>
          <w:tab w:val="right" w:leader="dot" w:pos="9128"/>
          <w:tab w:val="clear" w:pos="9118"/>
        </w:tabs>
      </w:pPr>
      <w:r>
        <w:fldChar w:fldCharType="begin"/>
      </w:r>
      <w:r>
        <w:instrText xml:space="preserve"> HYPERLINK \l _Toc10314 </w:instrText>
      </w:r>
      <w:r>
        <w:fldChar w:fldCharType="separate"/>
      </w:r>
      <w:r>
        <w:rPr>
          <w:rFonts w:hint="eastAsia"/>
          <w:lang w:val="en-US" w:eastAsia="zh-CN"/>
        </w:rPr>
        <w:t>6</w:t>
      </w:r>
      <w:r>
        <w:rPr>
          <w:rFonts w:hint="eastAsia"/>
        </w:rPr>
        <w:t>完善环境风险防控和应急措施的建议与实施计划</w:t>
      </w:r>
      <w:r>
        <w:tab/>
      </w:r>
      <w:r>
        <w:fldChar w:fldCharType="begin"/>
      </w:r>
      <w:r>
        <w:instrText xml:space="preserve"> PAGEREF _Toc10314 </w:instrText>
      </w:r>
      <w:r>
        <w:fldChar w:fldCharType="separate"/>
      </w:r>
      <w:r>
        <w:t>159</w:t>
      </w:r>
      <w:r>
        <w:fldChar w:fldCharType="end"/>
      </w:r>
      <w:r>
        <w:fldChar w:fldCharType="end"/>
      </w:r>
    </w:p>
    <w:p>
      <w:pPr>
        <w:pStyle w:val="12"/>
        <w:tabs>
          <w:tab w:val="right" w:leader="dot" w:pos="9128"/>
          <w:tab w:val="clear" w:pos="9118"/>
        </w:tabs>
      </w:pPr>
      <w:r>
        <w:fldChar w:fldCharType="begin"/>
      </w:r>
      <w:r>
        <w:instrText xml:space="preserve"> HYPERLINK \l _Toc6057 </w:instrText>
      </w:r>
      <w:r>
        <w:fldChar w:fldCharType="separate"/>
      </w:r>
      <w:r>
        <w:rPr>
          <w:rFonts w:hint="eastAsia"/>
          <w:lang w:val="en-US" w:eastAsia="zh-CN"/>
        </w:rPr>
        <w:t>7</w:t>
      </w:r>
      <w:r>
        <w:rPr>
          <w:rFonts w:hint="eastAsia"/>
        </w:rPr>
        <w:t>企业突发环境事件风险等级</w:t>
      </w:r>
      <w:r>
        <w:tab/>
      </w:r>
      <w:r>
        <w:fldChar w:fldCharType="begin"/>
      </w:r>
      <w:r>
        <w:instrText xml:space="preserve"> PAGEREF _Toc6057 </w:instrText>
      </w:r>
      <w:r>
        <w:fldChar w:fldCharType="separate"/>
      </w:r>
      <w:r>
        <w:t>161</w:t>
      </w:r>
      <w:r>
        <w:fldChar w:fldCharType="end"/>
      </w:r>
      <w:r>
        <w:fldChar w:fldCharType="end"/>
      </w:r>
    </w:p>
    <w:p>
      <w:pPr>
        <w:pStyle w:val="13"/>
        <w:tabs>
          <w:tab w:val="right" w:leader="dot" w:pos="9128"/>
          <w:tab w:val="clear" w:pos="9118"/>
        </w:tabs>
      </w:pPr>
      <w:r>
        <w:fldChar w:fldCharType="begin"/>
      </w:r>
      <w:r>
        <w:instrText xml:space="preserve"> HYPERLINK \l _Toc21256 </w:instrText>
      </w:r>
      <w:r>
        <w:fldChar w:fldCharType="separate"/>
      </w:r>
      <w:r>
        <w:rPr>
          <w:rFonts w:hint="eastAsia"/>
          <w:lang w:val="en-US" w:eastAsia="zh-CN"/>
        </w:rPr>
        <w:t>7.1</w:t>
      </w:r>
      <w:r>
        <w:rPr>
          <w:rFonts w:hint="eastAsia"/>
        </w:rPr>
        <w:t>突发大气环境事件风险分级</w:t>
      </w:r>
      <w:r>
        <w:tab/>
      </w:r>
      <w:r>
        <w:fldChar w:fldCharType="begin"/>
      </w:r>
      <w:r>
        <w:instrText xml:space="preserve"> PAGEREF _Toc21256 </w:instrText>
      </w:r>
      <w:r>
        <w:fldChar w:fldCharType="separate"/>
      </w:r>
      <w:r>
        <w:t>162</w:t>
      </w:r>
      <w:r>
        <w:fldChar w:fldCharType="end"/>
      </w:r>
      <w:r>
        <w:fldChar w:fldCharType="end"/>
      </w:r>
    </w:p>
    <w:p>
      <w:pPr>
        <w:pStyle w:val="13"/>
        <w:tabs>
          <w:tab w:val="right" w:leader="dot" w:pos="9128"/>
          <w:tab w:val="clear" w:pos="9118"/>
        </w:tabs>
      </w:pPr>
      <w:r>
        <w:fldChar w:fldCharType="begin"/>
      </w:r>
      <w:r>
        <w:instrText xml:space="preserve"> HYPERLINK \l _Toc31843 </w:instrText>
      </w:r>
      <w:r>
        <w:fldChar w:fldCharType="separate"/>
      </w:r>
      <w:r>
        <w:rPr>
          <w:rFonts w:hint="eastAsia"/>
          <w:lang w:val="en-US" w:eastAsia="zh-CN"/>
        </w:rPr>
        <w:t>7.2</w:t>
      </w:r>
      <w:r>
        <w:rPr>
          <w:rFonts w:hint="eastAsia"/>
        </w:rPr>
        <w:t>突发水环境事件风险分级</w:t>
      </w:r>
      <w:r>
        <w:tab/>
      </w:r>
      <w:r>
        <w:fldChar w:fldCharType="begin"/>
      </w:r>
      <w:r>
        <w:instrText xml:space="preserve"> PAGEREF _Toc31843 </w:instrText>
      </w:r>
      <w:r>
        <w:fldChar w:fldCharType="separate"/>
      </w:r>
      <w:r>
        <w:t>165</w:t>
      </w:r>
      <w:r>
        <w:fldChar w:fldCharType="end"/>
      </w:r>
      <w:r>
        <w:fldChar w:fldCharType="end"/>
      </w:r>
    </w:p>
    <w:p>
      <w:pPr>
        <w:pStyle w:val="13"/>
        <w:tabs>
          <w:tab w:val="right" w:leader="dot" w:pos="9128"/>
          <w:tab w:val="clear" w:pos="9118"/>
        </w:tabs>
      </w:pPr>
      <w:r>
        <w:fldChar w:fldCharType="begin"/>
      </w:r>
      <w:r>
        <w:instrText xml:space="preserve"> HYPERLINK \l _Toc17945 </w:instrText>
      </w:r>
      <w:r>
        <w:fldChar w:fldCharType="separate"/>
      </w:r>
      <w:r>
        <w:rPr>
          <w:rFonts w:hint="eastAsia"/>
          <w:lang w:val="en-US" w:eastAsia="zh-CN"/>
        </w:rPr>
        <w:t>7.3</w:t>
      </w:r>
      <w:r>
        <w:rPr>
          <w:rFonts w:hint="eastAsia"/>
        </w:rPr>
        <w:t>企业突发环境事件风险等级确定与调整</w:t>
      </w:r>
      <w:r>
        <w:tab/>
      </w:r>
      <w:r>
        <w:fldChar w:fldCharType="begin"/>
      </w:r>
      <w:r>
        <w:instrText xml:space="preserve"> PAGEREF _Toc17945 </w:instrText>
      </w:r>
      <w:r>
        <w:fldChar w:fldCharType="separate"/>
      </w:r>
      <w:r>
        <w:t>167</w:t>
      </w:r>
      <w:r>
        <w:fldChar w:fldCharType="end"/>
      </w:r>
      <w:r>
        <w:fldChar w:fldCharType="end"/>
      </w:r>
    </w:p>
    <w:p>
      <w:pPr>
        <w:pStyle w:val="12"/>
        <w:tabs>
          <w:tab w:val="right" w:leader="dot" w:pos="9128"/>
          <w:tab w:val="clear" w:pos="9118"/>
        </w:tabs>
      </w:pPr>
      <w:r>
        <w:fldChar w:fldCharType="begin"/>
      </w:r>
      <w:r>
        <w:instrText xml:space="preserve"> HYPERLINK \l _Toc20243 </w:instrText>
      </w:r>
      <w:r>
        <w:fldChar w:fldCharType="separate"/>
      </w:r>
      <w:r>
        <w:rPr>
          <w:rFonts w:hint="eastAsia"/>
          <w:lang w:val="en-US" w:eastAsia="zh-CN"/>
        </w:rPr>
        <w:t>8</w:t>
      </w:r>
      <w:r>
        <w:rPr>
          <w:rFonts w:hint="eastAsia"/>
        </w:rPr>
        <w:t>附图</w:t>
      </w:r>
      <w:r>
        <w:tab/>
      </w:r>
      <w:r>
        <w:fldChar w:fldCharType="begin"/>
      </w:r>
      <w:r>
        <w:instrText xml:space="preserve"> PAGEREF _Toc20243 </w:instrText>
      </w:r>
      <w:r>
        <w:fldChar w:fldCharType="separate"/>
      </w:r>
      <w:r>
        <w:t>169</w:t>
      </w:r>
      <w:r>
        <w:fldChar w:fldCharType="end"/>
      </w:r>
      <w:r>
        <w:fldChar w:fldCharType="end"/>
      </w:r>
    </w:p>
    <w:p>
      <w:pPr>
        <w:pStyle w:val="13"/>
        <w:tabs>
          <w:tab w:val="right" w:leader="dot" w:pos="9128"/>
          <w:tab w:val="clear" w:pos="9118"/>
        </w:tabs>
      </w:pPr>
      <w:r>
        <w:fldChar w:fldCharType="begin"/>
      </w:r>
      <w:r>
        <w:instrText xml:space="preserve"> HYPERLINK \l _Toc7045 </w:instrText>
      </w:r>
      <w:r>
        <w:fldChar w:fldCharType="separate"/>
      </w:r>
      <w:r>
        <w:rPr>
          <w:rFonts w:hint="eastAsia"/>
        </w:rPr>
        <w:t>附图1企业地理位置图</w:t>
      </w:r>
      <w:r>
        <w:tab/>
      </w:r>
      <w:r>
        <w:fldChar w:fldCharType="begin"/>
      </w:r>
      <w:r>
        <w:instrText xml:space="preserve"> PAGEREF _Toc7045 </w:instrText>
      </w:r>
      <w:r>
        <w:fldChar w:fldCharType="separate"/>
      </w:r>
      <w:r>
        <w:t>170</w:t>
      </w:r>
      <w:r>
        <w:fldChar w:fldCharType="end"/>
      </w:r>
      <w:r>
        <w:fldChar w:fldCharType="end"/>
      </w:r>
    </w:p>
    <w:p>
      <w:pPr>
        <w:pStyle w:val="13"/>
        <w:tabs>
          <w:tab w:val="right" w:leader="dot" w:pos="9128"/>
          <w:tab w:val="clear" w:pos="9118"/>
        </w:tabs>
      </w:pPr>
      <w:r>
        <w:fldChar w:fldCharType="begin"/>
      </w:r>
      <w:r>
        <w:instrText xml:space="preserve"> HYPERLINK \l _Toc29439 </w:instrText>
      </w:r>
      <w:r>
        <w:fldChar w:fldCharType="separate"/>
      </w:r>
      <w:r>
        <w:rPr>
          <w:rFonts w:hint="eastAsia"/>
        </w:rPr>
        <w:t>附图2</w:t>
      </w:r>
      <w:r>
        <w:t xml:space="preserve"> </w:t>
      </w:r>
      <w:r>
        <w:rPr>
          <w:rFonts w:hint="eastAsia"/>
        </w:rPr>
        <w:t>厂区平面布置图</w:t>
      </w:r>
      <w:r>
        <w:tab/>
      </w:r>
      <w:r>
        <w:fldChar w:fldCharType="begin"/>
      </w:r>
      <w:r>
        <w:instrText xml:space="preserve"> PAGEREF _Toc29439 </w:instrText>
      </w:r>
      <w:r>
        <w:fldChar w:fldCharType="separate"/>
      </w:r>
      <w:r>
        <w:t>171</w:t>
      </w:r>
      <w:r>
        <w:fldChar w:fldCharType="end"/>
      </w:r>
      <w:r>
        <w:fldChar w:fldCharType="end"/>
      </w:r>
    </w:p>
    <w:p>
      <w:pPr>
        <w:pStyle w:val="13"/>
        <w:tabs>
          <w:tab w:val="right" w:leader="dot" w:pos="9128"/>
          <w:tab w:val="clear" w:pos="9118"/>
        </w:tabs>
      </w:pPr>
      <w:r>
        <w:fldChar w:fldCharType="begin"/>
      </w:r>
      <w:r>
        <w:instrText xml:space="preserve"> HYPERLINK \l _Toc7505 </w:instrText>
      </w:r>
      <w:r>
        <w:fldChar w:fldCharType="separate"/>
      </w:r>
      <w:r>
        <w:rPr>
          <w:rFonts w:hint="eastAsia"/>
        </w:rPr>
        <w:t>附图3</w:t>
      </w:r>
      <w:r>
        <w:t xml:space="preserve"> </w:t>
      </w:r>
      <w:r>
        <w:rPr>
          <w:rFonts w:hint="eastAsia"/>
        </w:rPr>
        <w:t>周边大气环境风险受体分布图</w:t>
      </w:r>
      <w:r>
        <w:tab/>
      </w:r>
      <w:r>
        <w:fldChar w:fldCharType="begin"/>
      </w:r>
      <w:r>
        <w:instrText xml:space="preserve"> PAGEREF _Toc7505 </w:instrText>
      </w:r>
      <w:r>
        <w:fldChar w:fldCharType="separate"/>
      </w:r>
      <w:r>
        <w:t>172</w:t>
      </w:r>
      <w:r>
        <w:fldChar w:fldCharType="end"/>
      </w:r>
      <w:r>
        <w:fldChar w:fldCharType="end"/>
      </w:r>
    </w:p>
    <w:p>
      <w:pPr>
        <w:pStyle w:val="13"/>
        <w:tabs>
          <w:tab w:val="right" w:leader="dot" w:pos="9128"/>
          <w:tab w:val="clear" w:pos="9118"/>
        </w:tabs>
      </w:pPr>
      <w:r>
        <w:fldChar w:fldCharType="begin"/>
      </w:r>
      <w:r>
        <w:instrText xml:space="preserve"> HYPERLINK \l _Toc5772 </w:instrText>
      </w:r>
      <w:r>
        <w:fldChar w:fldCharType="separate"/>
      </w:r>
      <w:r>
        <w:rPr>
          <w:rFonts w:hint="eastAsia"/>
        </w:rPr>
        <w:t>附图4</w:t>
      </w:r>
      <w:r>
        <w:t xml:space="preserve"> </w:t>
      </w:r>
      <w:r>
        <w:rPr>
          <w:rFonts w:hint="eastAsia"/>
          <w:lang w:val="en-US" w:eastAsia="zh-CN"/>
        </w:rPr>
        <w:t>项目所在地</w:t>
      </w:r>
      <w:r>
        <w:rPr>
          <w:rFonts w:hint="eastAsia"/>
        </w:rPr>
        <w:t>地表水功能区划图</w:t>
      </w:r>
      <w:r>
        <w:tab/>
      </w:r>
      <w:r>
        <w:fldChar w:fldCharType="begin"/>
      </w:r>
      <w:r>
        <w:instrText xml:space="preserve"> PAGEREF _Toc5772 </w:instrText>
      </w:r>
      <w:r>
        <w:fldChar w:fldCharType="separate"/>
      </w:r>
      <w:r>
        <w:t>173</w:t>
      </w:r>
      <w:r>
        <w:fldChar w:fldCharType="end"/>
      </w:r>
      <w:r>
        <w:fldChar w:fldCharType="end"/>
      </w:r>
    </w:p>
    <w:p>
      <w:pPr>
        <w:pStyle w:val="13"/>
        <w:tabs>
          <w:tab w:val="right" w:leader="dot" w:pos="9128"/>
          <w:tab w:val="clear" w:pos="9118"/>
        </w:tabs>
      </w:pPr>
      <w:r>
        <w:fldChar w:fldCharType="begin"/>
      </w:r>
      <w:r>
        <w:instrText xml:space="preserve"> HYPERLINK \l _Toc25336 </w:instrText>
      </w:r>
      <w:r>
        <w:fldChar w:fldCharType="separate"/>
      </w:r>
      <w:r>
        <w:rPr>
          <w:rFonts w:hint="eastAsia"/>
        </w:rPr>
        <w:t>附图</w:t>
      </w:r>
      <w:r>
        <w:t xml:space="preserve">5 </w:t>
      </w:r>
      <w:r>
        <w:rPr>
          <w:rFonts w:hint="eastAsia"/>
        </w:rPr>
        <w:t>企业雨污管网分布图</w:t>
      </w:r>
      <w:r>
        <w:tab/>
      </w:r>
      <w:r>
        <w:fldChar w:fldCharType="begin"/>
      </w:r>
      <w:r>
        <w:instrText xml:space="preserve"> PAGEREF _Toc25336 </w:instrText>
      </w:r>
      <w:r>
        <w:fldChar w:fldCharType="separate"/>
      </w:r>
      <w:r>
        <w:t>174</w:t>
      </w:r>
      <w:r>
        <w:fldChar w:fldCharType="end"/>
      </w:r>
      <w:r>
        <w:fldChar w:fldCharType="end"/>
      </w:r>
    </w:p>
    <w:p>
      <w:pPr>
        <w:pStyle w:val="12"/>
        <w:tabs>
          <w:tab w:val="right" w:leader="dot" w:pos="9128"/>
          <w:tab w:val="clear" w:pos="9118"/>
        </w:tabs>
      </w:pPr>
      <w:r>
        <w:fldChar w:fldCharType="begin"/>
      </w:r>
      <w:r>
        <w:instrText xml:space="preserve"> HYPERLINK \l _Toc13128 </w:instrText>
      </w:r>
      <w:r>
        <w:fldChar w:fldCharType="separate"/>
      </w:r>
      <w:r>
        <w:t>第</w:t>
      </w:r>
      <w:r>
        <w:rPr>
          <w:rFonts w:hint="eastAsia"/>
          <w:lang w:eastAsia="zh-CN"/>
        </w:rPr>
        <w:t>四</w:t>
      </w:r>
      <w:r>
        <w:t>部分：突发环境事件应急资源调查报告</w:t>
      </w:r>
      <w:r>
        <w:tab/>
      </w:r>
      <w:r>
        <w:fldChar w:fldCharType="begin"/>
      </w:r>
      <w:r>
        <w:instrText xml:space="preserve"> PAGEREF _Toc13128 </w:instrText>
      </w:r>
      <w:r>
        <w:fldChar w:fldCharType="separate"/>
      </w:r>
      <w:r>
        <w:t>175</w:t>
      </w:r>
      <w:r>
        <w:fldChar w:fldCharType="end"/>
      </w:r>
      <w:r>
        <w:fldChar w:fldCharType="end"/>
      </w:r>
    </w:p>
    <w:p>
      <w:pPr>
        <w:pStyle w:val="12"/>
        <w:tabs>
          <w:tab w:val="right" w:leader="dot" w:pos="9128"/>
          <w:tab w:val="clear" w:pos="9118"/>
        </w:tabs>
      </w:pPr>
      <w:r>
        <w:fldChar w:fldCharType="begin"/>
      </w:r>
      <w:r>
        <w:instrText xml:space="preserve"> HYPERLINK \l _Toc18380 </w:instrText>
      </w:r>
      <w:r>
        <w:fldChar w:fldCharType="separate"/>
      </w:r>
      <w:r>
        <w:rPr>
          <w:rFonts w:hint="eastAsia"/>
          <w:lang w:val="en-US" w:eastAsia="zh-CN"/>
        </w:rPr>
        <w:t>1</w:t>
      </w:r>
      <w:r>
        <w:rPr>
          <w:rFonts w:hint="eastAsia"/>
        </w:rPr>
        <w:t>编制目的</w:t>
      </w:r>
      <w:r>
        <w:tab/>
      </w:r>
      <w:r>
        <w:fldChar w:fldCharType="begin"/>
      </w:r>
      <w:r>
        <w:instrText xml:space="preserve"> PAGEREF _Toc18380 </w:instrText>
      </w:r>
      <w:r>
        <w:fldChar w:fldCharType="separate"/>
      </w:r>
      <w:r>
        <w:t>176</w:t>
      </w:r>
      <w:r>
        <w:fldChar w:fldCharType="end"/>
      </w:r>
      <w:r>
        <w:fldChar w:fldCharType="end"/>
      </w:r>
    </w:p>
    <w:p>
      <w:pPr>
        <w:pStyle w:val="12"/>
        <w:tabs>
          <w:tab w:val="right" w:leader="dot" w:pos="9128"/>
          <w:tab w:val="clear" w:pos="9118"/>
        </w:tabs>
      </w:pPr>
      <w:r>
        <w:fldChar w:fldCharType="begin"/>
      </w:r>
      <w:r>
        <w:instrText xml:space="preserve"> HYPERLINK \l _Toc18259 </w:instrText>
      </w:r>
      <w:r>
        <w:fldChar w:fldCharType="separate"/>
      </w:r>
      <w:r>
        <w:rPr>
          <w:rFonts w:hint="eastAsia"/>
          <w:lang w:val="en-US" w:eastAsia="zh-CN"/>
        </w:rPr>
        <w:t>2</w:t>
      </w:r>
      <w:r>
        <w:rPr>
          <w:rFonts w:hint="eastAsia"/>
        </w:rPr>
        <w:t>突发环境事件类型及所需应急资源配置</w:t>
      </w:r>
      <w:r>
        <w:tab/>
      </w:r>
      <w:r>
        <w:fldChar w:fldCharType="begin"/>
      </w:r>
      <w:r>
        <w:instrText xml:space="preserve"> PAGEREF _Toc18259 </w:instrText>
      </w:r>
      <w:r>
        <w:fldChar w:fldCharType="separate"/>
      </w:r>
      <w:r>
        <w:t>177</w:t>
      </w:r>
      <w:r>
        <w:fldChar w:fldCharType="end"/>
      </w:r>
      <w:r>
        <w:fldChar w:fldCharType="end"/>
      </w:r>
    </w:p>
    <w:p>
      <w:pPr>
        <w:pStyle w:val="13"/>
        <w:tabs>
          <w:tab w:val="right" w:leader="dot" w:pos="9128"/>
          <w:tab w:val="clear" w:pos="9118"/>
        </w:tabs>
      </w:pPr>
      <w:r>
        <w:fldChar w:fldCharType="begin"/>
      </w:r>
      <w:r>
        <w:instrText xml:space="preserve"> HYPERLINK \l _Toc26937 </w:instrText>
      </w:r>
      <w:r>
        <w:fldChar w:fldCharType="separate"/>
      </w:r>
      <w:r>
        <w:rPr>
          <w:rFonts w:hint="eastAsia"/>
          <w:lang w:val="en-US" w:eastAsia="zh-CN"/>
        </w:rPr>
        <w:t>2.1</w:t>
      </w:r>
      <w:r>
        <w:rPr>
          <w:rFonts w:hint="eastAsia"/>
        </w:rPr>
        <w:t>环境风险物质及环境风险源</w:t>
      </w:r>
      <w:r>
        <w:tab/>
      </w:r>
      <w:r>
        <w:fldChar w:fldCharType="begin"/>
      </w:r>
      <w:r>
        <w:instrText xml:space="preserve"> PAGEREF _Toc26937 </w:instrText>
      </w:r>
      <w:r>
        <w:fldChar w:fldCharType="separate"/>
      </w:r>
      <w:r>
        <w:t>177</w:t>
      </w:r>
      <w:r>
        <w:fldChar w:fldCharType="end"/>
      </w:r>
      <w:r>
        <w:fldChar w:fldCharType="end"/>
      </w:r>
    </w:p>
    <w:p>
      <w:pPr>
        <w:pStyle w:val="13"/>
        <w:tabs>
          <w:tab w:val="right" w:leader="dot" w:pos="9128"/>
          <w:tab w:val="clear" w:pos="9118"/>
        </w:tabs>
      </w:pPr>
      <w:r>
        <w:fldChar w:fldCharType="begin"/>
      </w:r>
      <w:r>
        <w:instrText xml:space="preserve"> HYPERLINK \l _Toc23306 </w:instrText>
      </w:r>
      <w:r>
        <w:fldChar w:fldCharType="separate"/>
      </w:r>
      <w:r>
        <w:rPr>
          <w:rFonts w:hint="eastAsia"/>
          <w:lang w:val="en-US" w:eastAsia="zh-CN"/>
        </w:rPr>
        <w:t>2.2</w:t>
      </w:r>
      <w:r>
        <w:rPr>
          <w:rFonts w:hint="eastAsia"/>
        </w:rPr>
        <w:t>突发环境事件类型及扩散途径</w:t>
      </w:r>
      <w:r>
        <w:tab/>
      </w:r>
      <w:r>
        <w:fldChar w:fldCharType="begin"/>
      </w:r>
      <w:r>
        <w:instrText xml:space="preserve"> PAGEREF _Toc23306 </w:instrText>
      </w:r>
      <w:r>
        <w:fldChar w:fldCharType="separate"/>
      </w:r>
      <w:r>
        <w:t>177</w:t>
      </w:r>
      <w:r>
        <w:fldChar w:fldCharType="end"/>
      </w:r>
      <w:r>
        <w:fldChar w:fldCharType="end"/>
      </w:r>
    </w:p>
    <w:p>
      <w:pPr>
        <w:pStyle w:val="13"/>
        <w:tabs>
          <w:tab w:val="right" w:leader="dot" w:pos="9128"/>
          <w:tab w:val="clear" w:pos="9118"/>
        </w:tabs>
      </w:pPr>
      <w:r>
        <w:fldChar w:fldCharType="begin"/>
      </w:r>
      <w:r>
        <w:instrText xml:space="preserve"> HYPERLINK \l _Toc5180 </w:instrText>
      </w:r>
      <w:r>
        <w:fldChar w:fldCharType="separate"/>
      </w:r>
      <w:r>
        <w:rPr>
          <w:rFonts w:hint="eastAsia"/>
          <w:lang w:val="en-US" w:eastAsia="zh-CN"/>
        </w:rPr>
        <w:t>2.3</w:t>
      </w:r>
      <w:r>
        <w:rPr>
          <w:rFonts w:hint="eastAsia"/>
        </w:rPr>
        <w:t>所需应急资源配置</w:t>
      </w:r>
      <w:r>
        <w:tab/>
      </w:r>
      <w:r>
        <w:fldChar w:fldCharType="begin"/>
      </w:r>
      <w:r>
        <w:instrText xml:space="preserve"> PAGEREF _Toc5180 </w:instrText>
      </w:r>
      <w:r>
        <w:fldChar w:fldCharType="separate"/>
      </w:r>
      <w:r>
        <w:t>177</w:t>
      </w:r>
      <w:r>
        <w:fldChar w:fldCharType="end"/>
      </w:r>
      <w:r>
        <w:fldChar w:fldCharType="end"/>
      </w:r>
    </w:p>
    <w:p>
      <w:pPr>
        <w:pStyle w:val="12"/>
        <w:tabs>
          <w:tab w:val="right" w:leader="dot" w:pos="9128"/>
          <w:tab w:val="clear" w:pos="9118"/>
        </w:tabs>
      </w:pPr>
      <w:r>
        <w:fldChar w:fldCharType="begin"/>
      </w:r>
      <w:r>
        <w:instrText xml:space="preserve"> HYPERLINK \l _Toc15655 </w:instrText>
      </w:r>
      <w:r>
        <w:fldChar w:fldCharType="separate"/>
      </w:r>
      <w:r>
        <w:rPr>
          <w:rFonts w:hint="eastAsia"/>
          <w:lang w:val="en-US" w:eastAsia="zh-CN"/>
        </w:rPr>
        <w:t>3</w:t>
      </w:r>
      <w:r>
        <w:rPr>
          <w:rFonts w:hint="eastAsia"/>
        </w:rPr>
        <w:t>环境应急人力资源调查</w:t>
      </w:r>
      <w:r>
        <w:tab/>
      </w:r>
      <w:r>
        <w:fldChar w:fldCharType="begin"/>
      </w:r>
      <w:r>
        <w:instrText xml:space="preserve"> PAGEREF _Toc15655 </w:instrText>
      </w:r>
      <w:r>
        <w:fldChar w:fldCharType="separate"/>
      </w:r>
      <w:r>
        <w:t>179</w:t>
      </w:r>
      <w:r>
        <w:fldChar w:fldCharType="end"/>
      </w:r>
      <w:r>
        <w:fldChar w:fldCharType="end"/>
      </w:r>
    </w:p>
    <w:p>
      <w:pPr>
        <w:pStyle w:val="13"/>
        <w:tabs>
          <w:tab w:val="right" w:leader="dot" w:pos="9128"/>
          <w:tab w:val="clear" w:pos="9118"/>
        </w:tabs>
      </w:pPr>
      <w:r>
        <w:fldChar w:fldCharType="begin"/>
      </w:r>
      <w:r>
        <w:instrText xml:space="preserve"> HYPERLINK \l _Toc916 </w:instrText>
      </w:r>
      <w:r>
        <w:fldChar w:fldCharType="separate"/>
      </w:r>
      <w:r>
        <w:rPr>
          <w:rFonts w:hint="eastAsia"/>
          <w:lang w:val="en-US" w:eastAsia="zh-CN"/>
        </w:rPr>
        <w:t>3.1</w:t>
      </w:r>
      <w:r>
        <w:rPr>
          <w:rFonts w:hint="eastAsia"/>
        </w:rPr>
        <w:t>企业内部应急队伍</w:t>
      </w:r>
      <w:r>
        <w:tab/>
      </w:r>
      <w:r>
        <w:fldChar w:fldCharType="begin"/>
      </w:r>
      <w:r>
        <w:instrText xml:space="preserve"> PAGEREF _Toc916 </w:instrText>
      </w:r>
      <w:r>
        <w:fldChar w:fldCharType="separate"/>
      </w:r>
      <w:r>
        <w:t>179</w:t>
      </w:r>
      <w:r>
        <w:fldChar w:fldCharType="end"/>
      </w:r>
      <w:r>
        <w:fldChar w:fldCharType="end"/>
      </w:r>
    </w:p>
    <w:p>
      <w:pPr>
        <w:pStyle w:val="13"/>
        <w:tabs>
          <w:tab w:val="right" w:leader="dot" w:pos="9128"/>
          <w:tab w:val="clear" w:pos="9118"/>
        </w:tabs>
      </w:pPr>
      <w:r>
        <w:fldChar w:fldCharType="begin"/>
      </w:r>
      <w:r>
        <w:instrText xml:space="preserve"> HYPERLINK \l _Toc28844 </w:instrText>
      </w:r>
      <w:r>
        <w:fldChar w:fldCharType="separate"/>
      </w:r>
      <w:r>
        <w:rPr>
          <w:rFonts w:hint="eastAsia"/>
          <w:lang w:val="en-US" w:eastAsia="zh-CN"/>
        </w:rPr>
        <w:t>3.2</w:t>
      </w:r>
      <w:r>
        <w:rPr>
          <w:rFonts w:hint="eastAsia"/>
        </w:rPr>
        <w:t>外部救援人力资源</w:t>
      </w:r>
      <w:r>
        <w:tab/>
      </w:r>
      <w:r>
        <w:fldChar w:fldCharType="begin"/>
      </w:r>
      <w:r>
        <w:instrText xml:space="preserve"> PAGEREF _Toc28844 </w:instrText>
      </w:r>
      <w:r>
        <w:fldChar w:fldCharType="separate"/>
      </w:r>
      <w:r>
        <w:t>183</w:t>
      </w:r>
      <w:r>
        <w:fldChar w:fldCharType="end"/>
      </w:r>
      <w:r>
        <w:fldChar w:fldCharType="end"/>
      </w:r>
    </w:p>
    <w:p>
      <w:pPr>
        <w:pStyle w:val="12"/>
        <w:tabs>
          <w:tab w:val="right" w:leader="dot" w:pos="9128"/>
          <w:tab w:val="clear" w:pos="9118"/>
        </w:tabs>
      </w:pPr>
      <w:r>
        <w:fldChar w:fldCharType="begin"/>
      </w:r>
      <w:r>
        <w:instrText xml:space="preserve"> HYPERLINK \l _Toc7286 </w:instrText>
      </w:r>
      <w:r>
        <w:fldChar w:fldCharType="separate"/>
      </w:r>
      <w:r>
        <w:rPr>
          <w:rFonts w:hint="eastAsia"/>
          <w:lang w:val="en-US" w:eastAsia="zh-CN"/>
        </w:rPr>
        <w:t>4</w:t>
      </w:r>
      <w:r>
        <w:rPr>
          <w:rFonts w:hint="eastAsia"/>
        </w:rPr>
        <w:t>环境应急设施装备调查</w:t>
      </w:r>
      <w:r>
        <w:tab/>
      </w:r>
      <w:r>
        <w:fldChar w:fldCharType="begin"/>
      </w:r>
      <w:r>
        <w:instrText xml:space="preserve"> PAGEREF _Toc7286 </w:instrText>
      </w:r>
      <w:r>
        <w:fldChar w:fldCharType="separate"/>
      </w:r>
      <w:r>
        <w:t>186</w:t>
      </w:r>
      <w:r>
        <w:fldChar w:fldCharType="end"/>
      </w:r>
      <w:r>
        <w:fldChar w:fldCharType="end"/>
      </w:r>
    </w:p>
    <w:p>
      <w:pPr>
        <w:pStyle w:val="12"/>
        <w:tabs>
          <w:tab w:val="right" w:leader="dot" w:pos="9128"/>
          <w:tab w:val="clear" w:pos="9118"/>
        </w:tabs>
      </w:pPr>
      <w:r>
        <w:fldChar w:fldCharType="begin"/>
      </w:r>
      <w:r>
        <w:instrText xml:space="preserve"> HYPERLINK \l _Toc25426 </w:instrText>
      </w:r>
      <w:r>
        <w:fldChar w:fldCharType="separate"/>
      </w:r>
      <w:r>
        <w:rPr>
          <w:rFonts w:hint="eastAsia"/>
          <w:lang w:val="en-US" w:eastAsia="zh-CN"/>
        </w:rPr>
        <w:t>5</w:t>
      </w:r>
      <w:r>
        <w:rPr>
          <w:rFonts w:hint="eastAsia"/>
        </w:rPr>
        <w:t>环境应急专项经费调查</w:t>
      </w:r>
      <w:r>
        <w:tab/>
      </w:r>
      <w:r>
        <w:fldChar w:fldCharType="begin"/>
      </w:r>
      <w:r>
        <w:instrText xml:space="preserve"> PAGEREF _Toc25426 </w:instrText>
      </w:r>
      <w:r>
        <w:fldChar w:fldCharType="separate"/>
      </w:r>
      <w:r>
        <w:t>187</w:t>
      </w:r>
      <w:r>
        <w:fldChar w:fldCharType="end"/>
      </w:r>
      <w:r>
        <w:fldChar w:fldCharType="end"/>
      </w:r>
    </w:p>
    <w:p>
      <w:pPr>
        <w:pStyle w:val="12"/>
        <w:tabs>
          <w:tab w:val="right" w:leader="dot" w:pos="9128"/>
          <w:tab w:val="clear" w:pos="9118"/>
        </w:tabs>
      </w:pPr>
      <w:r>
        <w:fldChar w:fldCharType="begin"/>
      </w:r>
      <w:r>
        <w:instrText xml:space="preserve"> HYPERLINK \l _Toc1474 </w:instrText>
      </w:r>
      <w:r>
        <w:fldChar w:fldCharType="separate"/>
      </w:r>
      <w:r>
        <w:rPr>
          <w:rFonts w:hint="eastAsia"/>
          <w:lang w:val="en-US" w:eastAsia="zh-CN"/>
        </w:rPr>
        <w:t>6</w:t>
      </w:r>
      <w:r>
        <w:rPr>
          <w:rFonts w:hint="eastAsia"/>
        </w:rPr>
        <w:t>结论</w:t>
      </w:r>
      <w:r>
        <w:tab/>
      </w:r>
      <w:r>
        <w:fldChar w:fldCharType="begin"/>
      </w:r>
      <w:r>
        <w:instrText xml:space="preserve"> PAGEREF _Toc1474 </w:instrText>
      </w:r>
      <w:r>
        <w:fldChar w:fldCharType="separate"/>
      </w:r>
      <w:r>
        <w:t>189</w:t>
      </w:r>
      <w:r>
        <w:fldChar w:fldCharType="end"/>
      </w:r>
      <w:r>
        <w:fldChar w:fldCharType="end"/>
      </w:r>
    </w:p>
    <w:p>
      <w:pPr>
        <w:pStyle w:val="13"/>
        <w:tabs>
          <w:tab w:val="right" w:leader="dot" w:pos="9128"/>
          <w:tab w:val="clear" w:pos="9118"/>
        </w:tabs>
      </w:pPr>
      <w:r>
        <w:fldChar w:fldCharType="begin"/>
      </w:r>
      <w:r>
        <w:instrText xml:space="preserve"> HYPERLINK \l _Toc30808 </w:instrText>
      </w:r>
      <w:r>
        <w:fldChar w:fldCharType="separate"/>
      </w:r>
      <w:r>
        <w:rPr>
          <w:rFonts w:hint="eastAsia"/>
          <w:lang w:val="en-US" w:eastAsia="zh-CN"/>
        </w:rPr>
        <w:t>6.1</w:t>
      </w:r>
      <w:r>
        <w:rPr>
          <w:rFonts w:hint="eastAsia"/>
        </w:rPr>
        <w:t>现状</w:t>
      </w:r>
      <w:r>
        <w:tab/>
      </w:r>
      <w:r>
        <w:fldChar w:fldCharType="begin"/>
      </w:r>
      <w:r>
        <w:instrText xml:space="preserve"> PAGEREF _Toc30808 </w:instrText>
      </w:r>
      <w:r>
        <w:fldChar w:fldCharType="separate"/>
      </w:r>
      <w:r>
        <w:t>189</w:t>
      </w:r>
      <w:r>
        <w:fldChar w:fldCharType="end"/>
      </w:r>
      <w:r>
        <w:fldChar w:fldCharType="end"/>
      </w:r>
    </w:p>
    <w:p>
      <w:pPr>
        <w:pStyle w:val="13"/>
        <w:tabs>
          <w:tab w:val="right" w:leader="dot" w:pos="9128"/>
          <w:tab w:val="clear" w:pos="9118"/>
        </w:tabs>
      </w:pPr>
      <w:r>
        <w:fldChar w:fldCharType="begin"/>
      </w:r>
      <w:r>
        <w:instrText xml:space="preserve"> HYPERLINK \l _Toc5649 </w:instrText>
      </w:r>
      <w:r>
        <w:fldChar w:fldCharType="separate"/>
      </w:r>
      <w:r>
        <w:rPr>
          <w:rFonts w:hint="eastAsia"/>
          <w:lang w:val="en-US" w:eastAsia="zh-CN"/>
        </w:rPr>
        <w:t>6.2</w:t>
      </w:r>
      <w:r>
        <w:rPr>
          <w:rFonts w:hint="eastAsia"/>
        </w:rPr>
        <w:t>存在问题</w:t>
      </w:r>
      <w:r>
        <w:tab/>
      </w:r>
      <w:r>
        <w:fldChar w:fldCharType="begin"/>
      </w:r>
      <w:r>
        <w:instrText xml:space="preserve"> PAGEREF _Toc5649 </w:instrText>
      </w:r>
      <w:r>
        <w:fldChar w:fldCharType="separate"/>
      </w:r>
      <w:r>
        <w:t>189</w:t>
      </w:r>
      <w:r>
        <w:fldChar w:fldCharType="end"/>
      </w:r>
      <w:r>
        <w:fldChar w:fldCharType="end"/>
      </w:r>
    </w:p>
    <w:p>
      <w:pPr>
        <w:pStyle w:val="13"/>
        <w:tabs>
          <w:tab w:val="right" w:leader="dot" w:pos="9128"/>
          <w:tab w:val="clear" w:pos="9118"/>
        </w:tabs>
      </w:pPr>
      <w:r>
        <w:fldChar w:fldCharType="begin"/>
      </w:r>
      <w:r>
        <w:instrText xml:space="preserve"> HYPERLINK \l _Toc4838 </w:instrText>
      </w:r>
      <w:r>
        <w:fldChar w:fldCharType="separate"/>
      </w:r>
      <w:r>
        <w:rPr>
          <w:rFonts w:hint="eastAsia"/>
          <w:lang w:val="en-US" w:eastAsia="zh-CN"/>
        </w:rPr>
        <w:t>6.3</w:t>
      </w:r>
      <w:r>
        <w:rPr>
          <w:rFonts w:hint="eastAsia"/>
        </w:rPr>
        <w:t>需补充、完善应急物资及装备</w:t>
      </w:r>
      <w:r>
        <w:tab/>
      </w:r>
      <w:r>
        <w:fldChar w:fldCharType="begin"/>
      </w:r>
      <w:r>
        <w:instrText xml:space="preserve"> PAGEREF _Toc4838 </w:instrText>
      </w:r>
      <w:r>
        <w:fldChar w:fldCharType="separate"/>
      </w:r>
      <w:r>
        <w:t>189</w:t>
      </w:r>
      <w:r>
        <w:fldChar w:fldCharType="end"/>
      </w:r>
      <w:r>
        <w:fldChar w:fldCharType="end"/>
      </w:r>
    </w:p>
    <w:p>
      <w:pPr>
        <w:pStyle w:val="12"/>
        <w:tabs>
          <w:tab w:val="right" w:leader="dot" w:pos="9128"/>
          <w:tab w:val="clear" w:pos="9118"/>
        </w:tabs>
      </w:pPr>
      <w:r>
        <w:fldChar w:fldCharType="begin"/>
      </w:r>
      <w:r>
        <w:instrText xml:space="preserve"> HYPERLINK \l _Toc14104 </w:instrText>
      </w:r>
      <w:r>
        <w:fldChar w:fldCharType="separate"/>
      </w:r>
      <w:r>
        <w:t>第</w:t>
      </w:r>
      <w:r>
        <w:rPr>
          <w:rFonts w:hint="eastAsia"/>
          <w:lang w:eastAsia="zh-CN"/>
        </w:rPr>
        <w:t>五</w:t>
      </w:r>
      <w:r>
        <w:t>部分：突发环境事件应急预案评审意见</w:t>
      </w:r>
      <w:r>
        <w:tab/>
      </w:r>
      <w:r>
        <w:fldChar w:fldCharType="begin"/>
      </w:r>
      <w:r>
        <w:instrText xml:space="preserve"> PAGEREF _Toc14104 </w:instrText>
      </w:r>
      <w:r>
        <w:fldChar w:fldCharType="separate"/>
      </w:r>
      <w:r>
        <w:t>190</w:t>
      </w:r>
      <w:r>
        <w:fldChar w:fldCharType="end"/>
      </w:r>
      <w:r>
        <w:fldChar w:fldCharType="end"/>
      </w:r>
    </w:p>
    <w:p>
      <w:pPr>
        <w:ind w:firstLine="0" w:firstLineChars="0"/>
        <w:jc w:val="left"/>
      </w:pPr>
      <w:r>
        <w:fldChar w:fldCharType="end"/>
      </w:r>
    </w:p>
    <w:p>
      <w:pPr>
        <w:ind w:firstLine="0" w:firstLineChars="0"/>
        <w:jc w:val="left"/>
        <w:sectPr>
          <w:headerReference r:id="rId5" w:type="first"/>
          <w:footerReference r:id="rId8" w:type="first"/>
          <w:headerReference r:id="rId3" w:type="default"/>
          <w:footerReference r:id="rId6" w:type="default"/>
          <w:headerReference r:id="rId4" w:type="even"/>
          <w:footerReference r:id="rId7" w:type="even"/>
          <w:pgSz w:w="11906" w:h="16838"/>
          <w:pgMar w:top="1304" w:right="1247" w:bottom="1304" w:left="1531" w:header="851" w:footer="851" w:gutter="0"/>
          <w:pgBorders>
            <w:top w:val="none" w:sz="0" w:space="0"/>
            <w:left w:val="none" w:sz="0" w:space="0"/>
            <w:bottom w:val="none" w:sz="0" w:space="0"/>
            <w:right w:val="none" w:sz="0" w:space="0"/>
          </w:pgBorders>
          <w:cols w:space="425" w:num="1"/>
          <w:docGrid w:type="lines" w:linePitch="312" w:charSpace="0"/>
        </w:sectPr>
      </w:pPr>
    </w:p>
    <w:p>
      <w:pPr>
        <w:widowControl/>
        <w:spacing w:line="240" w:lineRule="auto"/>
        <w:ind w:firstLine="0" w:firstLineChars="0"/>
        <w:jc w:val="left"/>
      </w:pPr>
      <w:bookmarkStart w:id="0" w:name="_Toc20944"/>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center"/>
        <w:outlineLvl w:val="0"/>
        <w:rPr>
          <w:b/>
        </w:rPr>
      </w:pPr>
      <w:bookmarkStart w:id="1" w:name="_Toc27868"/>
      <w:r>
        <w:rPr>
          <w:b/>
          <w:sz w:val="40"/>
        </w:rPr>
        <w:t>第一部分：突发环境事件应急预案</w:t>
      </w:r>
      <w:bookmarkEnd w:id="0"/>
      <w:bookmarkEnd w:id="1"/>
    </w:p>
    <w:p>
      <w:pPr>
        <w:widowControl/>
        <w:spacing w:line="240" w:lineRule="auto"/>
        <w:ind w:firstLine="0" w:firstLineChars="0"/>
        <w:jc w:val="left"/>
        <w:sectPr>
          <w:headerReference r:id="rId9" w:type="default"/>
          <w:footerReference r:id="rId10" w:type="default"/>
          <w:pgSz w:w="11906" w:h="16838"/>
          <w:pgMar w:top="1304" w:right="1247" w:bottom="1304" w:left="1531" w:header="851" w:footer="851" w:gutter="0"/>
          <w:pgBorders>
            <w:top w:val="none" w:sz="0" w:space="0"/>
            <w:left w:val="none" w:sz="0" w:space="0"/>
            <w:bottom w:val="none" w:sz="0" w:space="0"/>
            <w:right w:val="none" w:sz="0" w:space="0"/>
          </w:pgBorders>
          <w:pgNumType w:fmt="decimal" w:start="1"/>
          <w:cols w:space="425" w:num="1"/>
          <w:docGrid w:type="lines" w:linePitch="312" w:charSpace="0"/>
        </w:sectPr>
      </w:pPr>
      <w:r>
        <w:br w:type="page"/>
      </w:r>
    </w:p>
    <w:p>
      <w:pPr>
        <w:pStyle w:val="4"/>
      </w:pPr>
      <w:bookmarkStart w:id="2" w:name="_Toc1831"/>
      <w:r>
        <w:rPr>
          <w:rFonts w:hint="eastAsia"/>
        </w:rPr>
        <w:t>总则</w:t>
      </w:r>
      <w:bookmarkEnd w:id="2"/>
    </w:p>
    <w:p>
      <w:pPr>
        <w:pStyle w:val="5"/>
      </w:pPr>
      <w:bookmarkStart w:id="3" w:name="_Toc29488"/>
      <w:r>
        <w:rPr>
          <w:rFonts w:hint="eastAsia"/>
        </w:rPr>
        <w:t>编制目的</w:t>
      </w:r>
      <w:bookmarkEnd w:id="3"/>
    </w:p>
    <w:p>
      <w:pPr>
        <w:ind w:firstLine="560"/>
      </w:pPr>
      <w:r>
        <w:rPr>
          <w:rFonts w:hint="eastAsia"/>
        </w:rPr>
        <w:t>环境应急预案是指针对本企业生产的特点，为了加强对环境事件危险源的监测、监控并实施监督管理，建立环境事件风险防范体系，积极预防、及时控制、消除隐患，提高环境事件防范和处理能力，尽可能地避免或减少突发环境事件的发生，消除或减轻环境事件造成的中长期影响，最大程度地保障公众健康，保护人民群众生命财产安全。针对不同污染源所造成的环境污染、生态污染、放射性污染的特点，实行分类管理，充分发挥部门专业优势，使采取的措施与突发环境事件造成的危害范围和社会影响相适应。</w:t>
      </w:r>
    </w:p>
    <w:p>
      <w:pPr>
        <w:ind w:firstLine="560"/>
      </w:pPr>
      <w:r>
        <w:rPr>
          <w:rFonts w:hint="eastAsia"/>
        </w:rPr>
        <w:t>本次应急预案编制目的为：</w:t>
      </w:r>
    </w:p>
    <w:p>
      <w:pPr>
        <w:ind w:firstLine="560"/>
      </w:pPr>
      <w:r>
        <w:rPr>
          <w:rFonts w:hint="eastAsia"/>
        </w:rPr>
        <w:t>1、有效提高本公司防范和处置突发环境事件的能力，建立紧急情况下的快速、科学、有效地组织事故抢险、救援的应急机制；</w:t>
      </w:r>
    </w:p>
    <w:p>
      <w:pPr>
        <w:ind w:firstLine="560"/>
      </w:pPr>
      <w:r>
        <w:rPr>
          <w:rFonts w:hint="eastAsia"/>
        </w:rPr>
        <w:t>2、切实加强和规范环境风险源的监控和环境污染事件应急的措施，全面控制和消除污染，维护自然生态环境，保障人民身心健康，确保社会稳定和环境安全；</w:t>
      </w:r>
    </w:p>
    <w:p>
      <w:pPr>
        <w:ind w:firstLine="560"/>
      </w:pPr>
      <w:r>
        <w:rPr>
          <w:rFonts w:hint="eastAsia"/>
        </w:rPr>
        <w:t>3、预防重大污染事故的发生，对已发生的污染事故能迅速、有效、妥善处理，防止重大污染事故的发生，减少事故危害、损失和影响。</w:t>
      </w:r>
    </w:p>
    <w:p>
      <w:pPr>
        <w:pStyle w:val="5"/>
      </w:pPr>
      <w:bookmarkStart w:id="4" w:name="_Toc23877"/>
      <w:r>
        <w:rPr>
          <w:rFonts w:hint="eastAsia"/>
        </w:rPr>
        <w:t>编制依据</w:t>
      </w:r>
      <w:bookmarkEnd w:id="4"/>
    </w:p>
    <w:p>
      <w:pPr>
        <w:pStyle w:val="6"/>
      </w:pPr>
      <w:r>
        <w:rPr>
          <w:rFonts w:hint="eastAsia"/>
        </w:rPr>
        <w:t>法律法规、规章</w:t>
      </w:r>
    </w:p>
    <w:p>
      <w:pPr>
        <w:ind w:firstLine="560"/>
      </w:pPr>
      <w:r>
        <w:rPr>
          <w:rFonts w:hint="eastAsia"/>
        </w:rPr>
        <w:t>（1）《中华人民共和国突发事件应对法》（2007年11月1日施行）；</w:t>
      </w:r>
    </w:p>
    <w:p>
      <w:pPr>
        <w:ind w:firstLine="560"/>
      </w:pPr>
      <w:r>
        <w:rPr>
          <w:rFonts w:hint="eastAsia"/>
        </w:rPr>
        <w:t>（2）《中华人民共和国环境保护法》（2015年1月1日施行）；</w:t>
      </w:r>
    </w:p>
    <w:p>
      <w:pPr>
        <w:ind w:firstLine="560"/>
      </w:pPr>
      <w:r>
        <w:rPr>
          <w:rFonts w:hint="eastAsia"/>
        </w:rPr>
        <w:t>（3）《中华人民共和国水污染防治法》（20</w:t>
      </w:r>
      <w:r>
        <w:t>1</w:t>
      </w:r>
      <w:r>
        <w:rPr>
          <w:rFonts w:hint="eastAsia"/>
        </w:rPr>
        <w:t>8年</w:t>
      </w:r>
      <w:r>
        <w:t>1</w:t>
      </w:r>
      <w:r>
        <w:rPr>
          <w:rFonts w:hint="eastAsia"/>
        </w:rPr>
        <w:t>月1日施行）；</w:t>
      </w:r>
    </w:p>
    <w:p>
      <w:pPr>
        <w:ind w:firstLine="560"/>
      </w:pPr>
      <w:r>
        <w:rPr>
          <w:rFonts w:hint="eastAsia"/>
        </w:rPr>
        <w:t>（4）《中华人民共和国大气污染防治法》（2016年1月1日施行）；</w:t>
      </w:r>
    </w:p>
    <w:p>
      <w:pPr>
        <w:ind w:firstLine="560"/>
      </w:pPr>
      <w:r>
        <w:rPr>
          <w:rFonts w:hint="eastAsia"/>
        </w:rPr>
        <w:t>（5）《中华人民共和国固体废物污染环境防治法》（20</w:t>
      </w:r>
      <w:r>
        <w:rPr>
          <w:rFonts w:hint="eastAsia"/>
          <w:lang w:val="en-US" w:eastAsia="zh-CN"/>
        </w:rPr>
        <w:t>20</w:t>
      </w:r>
      <w:r>
        <w:rPr>
          <w:rFonts w:hint="eastAsia"/>
        </w:rPr>
        <w:t>年</w:t>
      </w:r>
      <w:r>
        <w:rPr>
          <w:rFonts w:hint="eastAsia"/>
          <w:lang w:val="en-US" w:eastAsia="zh-CN"/>
        </w:rPr>
        <w:t>04</w:t>
      </w:r>
      <w:r>
        <w:rPr>
          <w:rFonts w:hint="eastAsia"/>
        </w:rPr>
        <w:t>月</w:t>
      </w:r>
      <w:r>
        <w:rPr>
          <w:rFonts w:hint="eastAsia"/>
          <w:lang w:val="en-US" w:eastAsia="zh-CN"/>
        </w:rPr>
        <w:t>29</w:t>
      </w:r>
      <w:r>
        <w:rPr>
          <w:rFonts w:hint="eastAsia"/>
        </w:rPr>
        <w:t>日修订）；</w:t>
      </w:r>
    </w:p>
    <w:p>
      <w:pPr>
        <w:ind w:firstLine="560"/>
      </w:pPr>
      <w:r>
        <w:rPr>
          <w:rFonts w:hint="eastAsia"/>
        </w:rPr>
        <w:t>（</w:t>
      </w:r>
      <w:r>
        <w:t>6</w:t>
      </w:r>
      <w:r>
        <w:rPr>
          <w:rFonts w:hint="eastAsia"/>
        </w:rPr>
        <w:t>）《危险化学品安全管理条例》（2013年12月7日实施）；</w:t>
      </w:r>
    </w:p>
    <w:p>
      <w:pPr>
        <w:ind w:firstLine="560"/>
      </w:pPr>
      <w:r>
        <w:rPr>
          <w:rFonts w:hint="eastAsia"/>
        </w:rPr>
        <w:t>（</w:t>
      </w:r>
      <w:r>
        <w:t>7</w:t>
      </w:r>
      <w:r>
        <w:rPr>
          <w:rFonts w:hint="eastAsia"/>
        </w:rPr>
        <w:t>）《突发环境事件应急管理办法》（环保部令第34号，201</w:t>
      </w:r>
      <w:r>
        <w:t>5</w:t>
      </w:r>
      <w:r>
        <w:rPr>
          <w:rFonts w:hint="eastAsia"/>
        </w:rPr>
        <w:t>年</w:t>
      </w:r>
      <w:r>
        <w:t>6</w:t>
      </w:r>
      <w:r>
        <w:rPr>
          <w:rFonts w:hint="eastAsia"/>
        </w:rPr>
        <w:t>月</w:t>
      </w:r>
      <w:r>
        <w:t>5</w:t>
      </w:r>
      <w:r>
        <w:rPr>
          <w:rFonts w:hint="eastAsia"/>
        </w:rPr>
        <w:t>日施行）；</w:t>
      </w:r>
    </w:p>
    <w:p>
      <w:pPr>
        <w:ind w:firstLine="560"/>
      </w:pPr>
      <w:r>
        <w:rPr>
          <w:rFonts w:hint="eastAsia"/>
        </w:rPr>
        <w:t>（8）《中华人民共和国特种设备安全法》（2014年1月1日施行）；</w:t>
      </w:r>
    </w:p>
    <w:p>
      <w:pPr>
        <w:ind w:firstLine="560"/>
      </w:pPr>
      <w:r>
        <w:rPr>
          <w:rFonts w:hint="eastAsia"/>
        </w:rPr>
        <w:t>（9）《突发环境事件调查处理办法》（201</w:t>
      </w:r>
      <w:r>
        <w:t>5</w:t>
      </w:r>
      <w:r>
        <w:rPr>
          <w:rFonts w:hint="eastAsia"/>
        </w:rPr>
        <w:t>年</w:t>
      </w:r>
      <w:r>
        <w:t>3</w:t>
      </w:r>
      <w:r>
        <w:rPr>
          <w:rFonts w:hint="eastAsia"/>
        </w:rPr>
        <w:t>月1日施行）；</w:t>
      </w:r>
    </w:p>
    <w:p>
      <w:pPr>
        <w:ind w:firstLine="560"/>
      </w:pPr>
      <w:r>
        <w:rPr>
          <w:rFonts w:hint="eastAsia"/>
        </w:rPr>
        <w:t>（10）《突发环境事件应急处置阶段环境损害评估推荐方法》（环办[2014]118号，2014年12月31日）。</w:t>
      </w:r>
    </w:p>
    <w:p>
      <w:pPr>
        <w:ind w:firstLine="560"/>
      </w:pPr>
      <w:r>
        <w:rPr>
          <w:rFonts w:hint="eastAsia"/>
        </w:rPr>
        <w:t>（11）《突发环境事件应急预案管理暂行办法》（环发[2010]113号）；</w:t>
      </w:r>
    </w:p>
    <w:p>
      <w:pPr>
        <w:ind w:firstLine="560"/>
      </w:pPr>
      <w:r>
        <w:rPr>
          <w:rFonts w:hint="eastAsia"/>
        </w:rPr>
        <w:t>（12）《关于进一步加强环境影响评价管理防范环境风险的通知》（环发[2012]77号，201</w:t>
      </w:r>
      <w:r>
        <w:t>2</w:t>
      </w:r>
      <w:r>
        <w:rPr>
          <w:rFonts w:hint="eastAsia"/>
        </w:rPr>
        <w:t>年</w:t>
      </w:r>
      <w:r>
        <w:t>7</w:t>
      </w:r>
      <w:r>
        <w:rPr>
          <w:rFonts w:hint="eastAsia"/>
        </w:rPr>
        <w:t>月3日）；</w:t>
      </w:r>
    </w:p>
    <w:p>
      <w:pPr>
        <w:ind w:firstLine="560"/>
      </w:pPr>
      <w:r>
        <w:rPr>
          <w:rFonts w:hint="eastAsia"/>
        </w:rPr>
        <w:t>（13）《突发环境事件信息报告办法》（环境保护部令第17号，2011年5月1日实施）；</w:t>
      </w:r>
    </w:p>
    <w:p>
      <w:pPr>
        <w:ind w:firstLine="560"/>
      </w:pPr>
      <w:r>
        <w:rPr>
          <w:rFonts w:hint="eastAsia"/>
        </w:rPr>
        <w:t>（14）《国家突发环境事件应急预案》（201</w:t>
      </w:r>
      <w:r>
        <w:t>4</w:t>
      </w:r>
      <w:r>
        <w:rPr>
          <w:rFonts w:hint="eastAsia"/>
        </w:rPr>
        <w:t>年</w:t>
      </w:r>
      <w:r>
        <w:t>12</w:t>
      </w:r>
      <w:r>
        <w:rPr>
          <w:rFonts w:hint="eastAsia"/>
        </w:rPr>
        <w:t>月</w:t>
      </w:r>
      <w:r>
        <w:t>29</w:t>
      </w:r>
      <w:r>
        <w:rPr>
          <w:rFonts w:hint="eastAsia"/>
        </w:rPr>
        <w:t>日施行）；</w:t>
      </w:r>
    </w:p>
    <w:p>
      <w:pPr>
        <w:ind w:firstLine="560"/>
      </w:pPr>
      <w:r>
        <w:rPr>
          <w:rFonts w:hint="eastAsia"/>
        </w:rPr>
        <w:t>（15）《国家突发公共事件总体应急预案》（20</w:t>
      </w:r>
      <w:r>
        <w:t>06</w:t>
      </w:r>
      <w:r>
        <w:rPr>
          <w:rFonts w:hint="eastAsia"/>
        </w:rPr>
        <w:t>年</w:t>
      </w:r>
      <w:r>
        <w:t>1</w:t>
      </w:r>
      <w:r>
        <w:rPr>
          <w:rFonts w:hint="eastAsia"/>
        </w:rPr>
        <w:t>月</w:t>
      </w:r>
      <w:r>
        <w:t>8</w:t>
      </w:r>
      <w:r>
        <w:rPr>
          <w:rFonts w:hint="eastAsia"/>
        </w:rPr>
        <w:t>日施行）。</w:t>
      </w:r>
    </w:p>
    <w:p>
      <w:pPr>
        <w:ind w:firstLine="560"/>
      </w:pPr>
      <w:r>
        <w:rPr>
          <w:rFonts w:hint="eastAsia"/>
        </w:rPr>
        <w:t>（16）《国务院关于加强应急管理工作的意见》（国发[2006[24号，20</w:t>
      </w:r>
      <w:r>
        <w:t>06</w:t>
      </w:r>
      <w:r>
        <w:rPr>
          <w:rFonts w:hint="eastAsia"/>
        </w:rPr>
        <w:t>年</w:t>
      </w:r>
      <w:r>
        <w:t>6</w:t>
      </w:r>
      <w:r>
        <w:rPr>
          <w:rFonts w:hint="eastAsia"/>
        </w:rPr>
        <w:t>月</w:t>
      </w:r>
      <w:r>
        <w:t>15</w:t>
      </w:r>
      <w:r>
        <w:rPr>
          <w:rFonts w:hint="eastAsia"/>
        </w:rPr>
        <w:t>日发布）；</w:t>
      </w:r>
    </w:p>
    <w:p>
      <w:pPr>
        <w:ind w:firstLine="560"/>
      </w:pPr>
      <w:r>
        <w:rPr>
          <w:rFonts w:hint="eastAsia"/>
        </w:rPr>
        <w:t>（17）《国务院关于加强环境保护重点工作的意见》（国发[2011]35号，20</w:t>
      </w:r>
      <w:r>
        <w:t>11</w:t>
      </w:r>
      <w:r>
        <w:rPr>
          <w:rFonts w:hint="eastAsia"/>
        </w:rPr>
        <w:t>年</w:t>
      </w:r>
      <w:r>
        <w:t>10</w:t>
      </w:r>
      <w:r>
        <w:rPr>
          <w:rFonts w:hint="eastAsia"/>
        </w:rPr>
        <w:t>月</w:t>
      </w:r>
      <w:r>
        <w:t>17</w:t>
      </w:r>
      <w:r>
        <w:rPr>
          <w:rFonts w:hint="eastAsia"/>
        </w:rPr>
        <w:t>日发布）；</w:t>
      </w:r>
    </w:p>
    <w:p>
      <w:pPr>
        <w:ind w:firstLine="560"/>
      </w:pPr>
      <w:r>
        <w:rPr>
          <w:rFonts w:hint="eastAsia"/>
        </w:rPr>
        <w:t>（18）《突发事件应急预案管理办法》（国办发[2013[101号，20</w:t>
      </w:r>
      <w:r>
        <w:t>13</w:t>
      </w:r>
      <w:r>
        <w:rPr>
          <w:rFonts w:hint="eastAsia"/>
        </w:rPr>
        <w:t>年</w:t>
      </w:r>
      <w:r>
        <w:t>10</w:t>
      </w:r>
      <w:r>
        <w:rPr>
          <w:rFonts w:hint="eastAsia"/>
        </w:rPr>
        <w:t>月</w:t>
      </w:r>
      <w:r>
        <w:t>25</w:t>
      </w:r>
      <w:r>
        <w:rPr>
          <w:rFonts w:hint="eastAsia"/>
        </w:rPr>
        <w:t>日发布）；</w:t>
      </w:r>
    </w:p>
    <w:p>
      <w:pPr>
        <w:ind w:firstLine="560"/>
      </w:pPr>
      <w:r>
        <w:rPr>
          <w:rFonts w:hint="eastAsia"/>
        </w:rPr>
        <w:t>（19）《国务院办公厅关于印发国家突发环境事件应急预案的通知》（国办函[2014]119号，2014年12月29日）；</w:t>
      </w:r>
    </w:p>
    <w:p>
      <w:pPr>
        <w:ind w:firstLine="560"/>
      </w:pPr>
      <w:r>
        <w:rPr>
          <w:rFonts w:hint="eastAsia"/>
        </w:rPr>
        <w:t>（20）《企业事业单位突发环境事件应急预案备案管理办法》（试行）（环发[2015]4号，201</w:t>
      </w:r>
      <w:r>
        <w:t>5</w:t>
      </w:r>
      <w:r>
        <w:rPr>
          <w:rFonts w:hint="eastAsia"/>
        </w:rPr>
        <w:t>年1月</w:t>
      </w:r>
      <w:r>
        <w:t>8</w:t>
      </w:r>
      <w:r>
        <w:rPr>
          <w:rFonts w:hint="eastAsia"/>
        </w:rPr>
        <w:t>日施行）；</w:t>
      </w:r>
    </w:p>
    <w:p>
      <w:pPr>
        <w:ind w:firstLine="560"/>
      </w:pPr>
      <w:r>
        <w:rPr>
          <w:rFonts w:hint="eastAsia"/>
        </w:rPr>
        <w:t>（</w:t>
      </w:r>
      <w:r>
        <w:t>21</w:t>
      </w:r>
      <w:r>
        <w:rPr>
          <w:rFonts w:hint="eastAsia"/>
        </w:rPr>
        <w:t>）《突发环境事件调查处理办法》（环保部令第32号，201</w:t>
      </w:r>
      <w:r>
        <w:t>5</w:t>
      </w:r>
      <w:r>
        <w:rPr>
          <w:rFonts w:hint="eastAsia"/>
        </w:rPr>
        <w:t>年</w:t>
      </w:r>
      <w:r>
        <w:t>3</w:t>
      </w:r>
      <w:r>
        <w:rPr>
          <w:rFonts w:hint="eastAsia"/>
        </w:rPr>
        <w:t>月</w:t>
      </w:r>
      <w:r>
        <w:t>1</w:t>
      </w:r>
      <w:r>
        <w:rPr>
          <w:rFonts w:hint="eastAsia"/>
        </w:rPr>
        <w:t>日施行）；</w:t>
      </w:r>
    </w:p>
    <w:p>
      <w:pPr>
        <w:ind w:firstLine="560"/>
      </w:pPr>
      <w:r>
        <w:rPr>
          <w:rFonts w:hint="eastAsia"/>
        </w:rPr>
        <w:t>（</w:t>
      </w:r>
      <w:r>
        <w:t>22</w:t>
      </w:r>
      <w:r>
        <w:rPr>
          <w:rFonts w:hint="eastAsia"/>
        </w:rPr>
        <w:t>）《江西省突发环境事件应急预案》；</w:t>
      </w:r>
    </w:p>
    <w:p>
      <w:pPr>
        <w:ind w:firstLine="560"/>
      </w:pPr>
      <w:r>
        <w:rPr>
          <w:rFonts w:hint="eastAsia"/>
        </w:rPr>
        <w:t>（2</w:t>
      </w:r>
      <w:r>
        <w:t>3</w:t>
      </w:r>
      <w:r>
        <w:rPr>
          <w:rFonts w:hint="eastAsia"/>
        </w:rPr>
        <w:t>）《江西省突发事件应对条例》（201</w:t>
      </w:r>
      <w:r>
        <w:t>3</w:t>
      </w:r>
      <w:r>
        <w:rPr>
          <w:rFonts w:hint="eastAsia"/>
        </w:rPr>
        <w:t>年</w:t>
      </w:r>
      <w:r>
        <w:t>7</w:t>
      </w:r>
      <w:r>
        <w:rPr>
          <w:rFonts w:hint="eastAsia"/>
        </w:rPr>
        <w:t>月</w:t>
      </w:r>
      <w:r>
        <w:t>27</w:t>
      </w:r>
      <w:r>
        <w:rPr>
          <w:rFonts w:hint="eastAsia"/>
        </w:rPr>
        <w:t>日发布）；</w:t>
      </w:r>
    </w:p>
    <w:p>
      <w:pPr>
        <w:ind w:firstLine="560"/>
      </w:pPr>
      <w:r>
        <w:rPr>
          <w:rFonts w:hint="eastAsia"/>
        </w:rPr>
        <w:t>（</w:t>
      </w:r>
      <w:r>
        <w:t>24</w:t>
      </w:r>
      <w:r>
        <w:rPr>
          <w:rFonts w:hint="eastAsia"/>
        </w:rPr>
        <w:t>）《江西省环境污染防治条例》（2009年1月1日施行）。</w:t>
      </w:r>
    </w:p>
    <w:p>
      <w:pPr>
        <w:pStyle w:val="6"/>
      </w:pPr>
      <w:r>
        <w:rPr>
          <w:rFonts w:hint="eastAsia"/>
        </w:rPr>
        <w:t>标准、规范性文件</w:t>
      </w:r>
    </w:p>
    <w:p>
      <w:pPr>
        <w:ind w:firstLine="560"/>
      </w:pPr>
      <w:r>
        <w:rPr>
          <w:rFonts w:hint="eastAsia"/>
        </w:rPr>
        <w:t>（</w:t>
      </w:r>
      <w:r>
        <w:t>1</w:t>
      </w:r>
      <w:r>
        <w:rPr>
          <w:rFonts w:hint="eastAsia"/>
        </w:rPr>
        <w:t>）《建设项目环境风险评价技术导则》（HJ/T 169-2004）；</w:t>
      </w:r>
    </w:p>
    <w:p>
      <w:pPr>
        <w:ind w:firstLine="560"/>
      </w:pPr>
      <w:r>
        <w:rPr>
          <w:rFonts w:hint="eastAsia"/>
        </w:rPr>
        <w:t>（</w:t>
      </w:r>
      <w:r>
        <w:t>2</w:t>
      </w:r>
      <w:r>
        <w:rPr>
          <w:rFonts w:hint="eastAsia"/>
        </w:rPr>
        <w:t>）《国家危险废物名录》（中华人民共和国环境保护部令第39号，2016年8月1日起施行）；</w:t>
      </w:r>
    </w:p>
    <w:p>
      <w:pPr>
        <w:ind w:firstLine="560"/>
      </w:pPr>
      <w:r>
        <w:rPr>
          <w:rFonts w:hint="eastAsia"/>
        </w:rPr>
        <w:t>（</w:t>
      </w:r>
      <w:r>
        <w:t>3</w:t>
      </w:r>
      <w:r>
        <w:rPr>
          <w:rFonts w:hint="eastAsia"/>
        </w:rPr>
        <w:t>）《危险货物品名表》（GB</w:t>
      </w:r>
      <w:r>
        <w:t xml:space="preserve"> </w:t>
      </w:r>
      <w:r>
        <w:rPr>
          <w:rFonts w:hint="eastAsia"/>
        </w:rPr>
        <w:t>12268-2012）；</w:t>
      </w:r>
    </w:p>
    <w:p>
      <w:pPr>
        <w:ind w:firstLine="560"/>
      </w:pPr>
      <w:r>
        <w:rPr>
          <w:rFonts w:hint="eastAsia"/>
        </w:rPr>
        <w:t>（</w:t>
      </w:r>
      <w:r>
        <w:t>4</w:t>
      </w:r>
      <w:r>
        <w:rPr>
          <w:rFonts w:hint="eastAsia"/>
        </w:rPr>
        <w:t>）《危险废物鉴别标准腐蚀性鉴别》（GB 5085.1-2007）；</w:t>
      </w:r>
    </w:p>
    <w:p>
      <w:pPr>
        <w:ind w:firstLine="560"/>
      </w:pPr>
      <w:r>
        <w:rPr>
          <w:rFonts w:hint="eastAsia"/>
        </w:rPr>
        <w:t>（</w:t>
      </w:r>
      <w:r>
        <w:t>5</w:t>
      </w:r>
      <w:r>
        <w:rPr>
          <w:rFonts w:hint="eastAsia"/>
        </w:rPr>
        <w:t>）《危险废物鉴别标准急性毒性初筛》（GB 5085.</w:t>
      </w:r>
      <w:r>
        <w:t>2</w:t>
      </w:r>
      <w:r>
        <w:rPr>
          <w:rFonts w:hint="eastAsia"/>
        </w:rPr>
        <w:t>-2007）；</w:t>
      </w:r>
    </w:p>
    <w:p>
      <w:pPr>
        <w:ind w:firstLine="560"/>
      </w:pPr>
      <w:r>
        <w:rPr>
          <w:rFonts w:hint="eastAsia"/>
        </w:rPr>
        <w:t>（</w:t>
      </w:r>
      <w:r>
        <w:t>6</w:t>
      </w:r>
      <w:r>
        <w:rPr>
          <w:rFonts w:hint="eastAsia"/>
        </w:rPr>
        <w:t>）《危险废物鉴别标准浸出毒性鉴别》（GB 5085.</w:t>
      </w:r>
      <w:r>
        <w:t>3</w:t>
      </w:r>
      <w:r>
        <w:rPr>
          <w:rFonts w:hint="eastAsia"/>
        </w:rPr>
        <w:t>-2007）；</w:t>
      </w:r>
    </w:p>
    <w:p>
      <w:pPr>
        <w:ind w:firstLine="560"/>
      </w:pPr>
      <w:r>
        <w:rPr>
          <w:rFonts w:hint="eastAsia"/>
        </w:rPr>
        <w:t>（</w:t>
      </w:r>
      <w:r>
        <w:t>7</w:t>
      </w:r>
      <w:r>
        <w:rPr>
          <w:rFonts w:hint="eastAsia"/>
        </w:rPr>
        <w:t>）《危险废物鉴别标准易燃性鉴别》（GB 5085.</w:t>
      </w:r>
      <w:r>
        <w:t>4</w:t>
      </w:r>
      <w:r>
        <w:rPr>
          <w:rFonts w:hint="eastAsia"/>
        </w:rPr>
        <w:t>-2007）；</w:t>
      </w:r>
    </w:p>
    <w:p>
      <w:pPr>
        <w:ind w:firstLine="560"/>
      </w:pPr>
      <w:r>
        <w:rPr>
          <w:rFonts w:hint="eastAsia"/>
        </w:rPr>
        <w:t>（</w:t>
      </w:r>
      <w:r>
        <w:t>8</w:t>
      </w:r>
      <w:r>
        <w:rPr>
          <w:rFonts w:hint="eastAsia"/>
        </w:rPr>
        <w:t>）《危险废物鉴别标准反应性鉴别（GB 5085.</w:t>
      </w:r>
      <w:r>
        <w:t>5</w:t>
      </w:r>
      <w:r>
        <w:rPr>
          <w:rFonts w:hint="eastAsia"/>
        </w:rPr>
        <w:t>-2007）；</w:t>
      </w:r>
    </w:p>
    <w:p>
      <w:pPr>
        <w:ind w:firstLine="560"/>
      </w:pPr>
      <w:r>
        <w:rPr>
          <w:rFonts w:hint="eastAsia"/>
        </w:rPr>
        <w:t>（</w:t>
      </w:r>
      <w:r>
        <w:t>9</w:t>
      </w:r>
      <w:r>
        <w:rPr>
          <w:rFonts w:hint="eastAsia"/>
        </w:rPr>
        <w:t>）《危险废物鉴别标准毒性物质含量鉴别》（GB 5085.</w:t>
      </w:r>
      <w:r>
        <w:t>6</w:t>
      </w:r>
      <w:r>
        <w:rPr>
          <w:rFonts w:hint="eastAsia"/>
        </w:rPr>
        <w:t>-2007）；</w:t>
      </w:r>
    </w:p>
    <w:p>
      <w:pPr>
        <w:ind w:firstLine="560"/>
      </w:pPr>
      <w:r>
        <w:rPr>
          <w:rFonts w:hint="eastAsia"/>
        </w:rPr>
        <w:t>（1</w:t>
      </w:r>
      <w:r>
        <w:t>0</w:t>
      </w:r>
      <w:r>
        <w:rPr>
          <w:rFonts w:hint="eastAsia"/>
        </w:rPr>
        <w:t>）《危险废物鉴别标准通则</w:t>
      </w:r>
      <w:r>
        <w:rPr>
          <w:rFonts w:hint="eastAsia"/>
          <w:lang w:eastAsia="zh-CN"/>
        </w:rPr>
        <w:t>》</w:t>
      </w:r>
      <w:r>
        <w:rPr>
          <w:rFonts w:hint="eastAsia"/>
        </w:rPr>
        <w:t>（GB 5085.</w:t>
      </w:r>
      <w:r>
        <w:t>7</w:t>
      </w:r>
      <w:r>
        <w:rPr>
          <w:rFonts w:hint="eastAsia"/>
        </w:rPr>
        <w:t>-20</w:t>
      </w:r>
      <w:r>
        <w:rPr>
          <w:rFonts w:hint="eastAsia"/>
          <w:lang w:val="en-US" w:eastAsia="zh-CN"/>
        </w:rPr>
        <w:t>19</w:t>
      </w:r>
      <w:r>
        <w:rPr>
          <w:rFonts w:hint="eastAsia"/>
        </w:rPr>
        <w:t>）；</w:t>
      </w:r>
    </w:p>
    <w:p>
      <w:pPr>
        <w:ind w:firstLine="560"/>
      </w:pPr>
      <w:r>
        <w:rPr>
          <w:rFonts w:hint="eastAsia"/>
        </w:rPr>
        <w:t>（1</w:t>
      </w:r>
      <w:r>
        <w:t>1</w:t>
      </w:r>
      <w:r>
        <w:rPr>
          <w:rFonts w:hint="eastAsia"/>
        </w:rPr>
        <w:t>）《危险废物鉴别技术规范》(HJ/T</w:t>
      </w:r>
      <w:r>
        <w:t xml:space="preserve"> </w:t>
      </w:r>
      <w:r>
        <w:rPr>
          <w:rFonts w:hint="eastAsia"/>
        </w:rPr>
        <w:t>298-2007)；</w:t>
      </w:r>
    </w:p>
    <w:p>
      <w:pPr>
        <w:ind w:firstLine="560"/>
      </w:pPr>
      <w:r>
        <w:rPr>
          <w:rFonts w:hint="eastAsia"/>
        </w:rPr>
        <w:t>（1</w:t>
      </w:r>
      <w:r>
        <w:t>2</w:t>
      </w:r>
      <w:r>
        <w:rPr>
          <w:rFonts w:hint="eastAsia"/>
        </w:rPr>
        <w:t>）《危险化学品重大危险源辨识》(GB</w:t>
      </w:r>
      <w:r>
        <w:t xml:space="preserve"> </w:t>
      </w:r>
      <w:r>
        <w:rPr>
          <w:rFonts w:hint="eastAsia"/>
        </w:rPr>
        <w:t>18218-2009)；</w:t>
      </w:r>
    </w:p>
    <w:p>
      <w:pPr>
        <w:ind w:firstLine="560"/>
      </w:pPr>
      <w:r>
        <w:rPr>
          <w:rFonts w:hint="eastAsia"/>
        </w:rPr>
        <w:t>（1</w:t>
      </w:r>
      <w:r>
        <w:t>3</w:t>
      </w:r>
      <w:r>
        <w:rPr>
          <w:rFonts w:hint="eastAsia"/>
        </w:rPr>
        <w:t>）《环境空气质量标准》（GB3</w:t>
      </w:r>
      <w:r>
        <w:t xml:space="preserve"> </w:t>
      </w:r>
      <w:r>
        <w:rPr>
          <w:rFonts w:hint="eastAsia"/>
        </w:rPr>
        <w:t>095-2012）；</w:t>
      </w:r>
    </w:p>
    <w:p>
      <w:pPr>
        <w:ind w:firstLine="560"/>
      </w:pPr>
      <w:r>
        <w:rPr>
          <w:rFonts w:hint="eastAsia"/>
        </w:rPr>
        <w:t>（1</w:t>
      </w:r>
      <w:r>
        <w:t>4</w:t>
      </w:r>
      <w:r>
        <w:rPr>
          <w:rFonts w:hint="eastAsia"/>
        </w:rPr>
        <w:t>）《地表水环境质量标准》（GB</w:t>
      </w:r>
      <w:r>
        <w:t xml:space="preserve"> </w:t>
      </w:r>
      <w:r>
        <w:rPr>
          <w:rFonts w:hint="eastAsia"/>
        </w:rPr>
        <w:t>3838-2002）；</w:t>
      </w:r>
    </w:p>
    <w:p>
      <w:pPr>
        <w:ind w:firstLine="560"/>
      </w:pPr>
      <w:r>
        <w:rPr>
          <w:rFonts w:hint="eastAsia"/>
        </w:rPr>
        <w:t>（1</w:t>
      </w:r>
      <w:r>
        <w:t>5</w:t>
      </w:r>
      <w:r>
        <w:rPr>
          <w:rFonts w:hint="eastAsia"/>
        </w:rPr>
        <w:t>）《工业企业设计卫生标准》(TJ</w:t>
      </w:r>
      <w:r>
        <w:t xml:space="preserve"> </w:t>
      </w:r>
      <w:r>
        <w:rPr>
          <w:rFonts w:hint="eastAsia"/>
        </w:rPr>
        <w:t>36-79)；</w:t>
      </w:r>
    </w:p>
    <w:p>
      <w:pPr>
        <w:ind w:firstLine="560"/>
      </w:pPr>
      <w:r>
        <w:rPr>
          <w:rFonts w:hint="eastAsia"/>
        </w:rPr>
        <w:t>（</w:t>
      </w:r>
      <w:r>
        <w:t>16</w:t>
      </w:r>
      <w:r>
        <w:rPr>
          <w:rFonts w:hint="eastAsia"/>
        </w:rPr>
        <w:t>）《地下水质量标准》(GB/T</w:t>
      </w:r>
      <w:r>
        <w:t xml:space="preserve"> </w:t>
      </w:r>
      <w:r>
        <w:rPr>
          <w:rFonts w:hint="eastAsia"/>
        </w:rPr>
        <w:t>14848-</w:t>
      </w:r>
      <w:r>
        <w:t>2018</w:t>
      </w:r>
      <w:r>
        <w:rPr>
          <w:rFonts w:hint="eastAsia"/>
        </w:rPr>
        <w:t>)；</w:t>
      </w:r>
    </w:p>
    <w:p>
      <w:pPr>
        <w:ind w:firstLine="560"/>
      </w:pPr>
      <w:r>
        <w:rPr>
          <w:rFonts w:hint="eastAsia"/>
        </w:rPr>
        <w:t>（</w:t>
      </w:r>
      <w:r>
        <w:t>17</w:t>
      </w:r>
      <w:r>
        <w:rPr>
          <w:rFonts w:hint="eastAsia"/>
        </w:rPr>
        <w:t>）《声环境质量标准》（GB</w:t>
      </w:r>
      <w:r>
        <w:t xml:space="preserve"> </w:t>
      </w:r>
      <w:r>
        <w:rPr>
          <w:rFonts w:hint="eastAsia"/>
        </w:rPr>
        <w:t>3096-2008）；</w:t>
      </w:r>
    </w:p>
    <w:p>
      <w:pPr>
        <w:ind w:firstLine="560"/>
      </w:pPr>
      <w:r>
        <w:rPr>
          <w:rFonts w:hint="eastAsia"/>
        </w:rPr>
        <w:t>（1</w:t>
      </w:r>
      <w:r>
        <w:t>8</w:t>
      </w:r>
      <w:r>
        <w:rPr>
          <w:rFonts w:hint="eastAsia"/>
        </w:rPr>
        <w:t>）《大气污染物综合排放标准》（GB</w:t>
      </w:r>
      <w:r>
        <w:t xml:space="preserve"> </w:t>
      </w:r>
      <w:r>
        <w:rPr>
          <w:rFonts w:hint="eastAsia"/>
        </w:rPr>
        <w:t>16297-1996）；</w:t>
      </w:r>
    </w:p>
    <w:p>
      <w:pPr>
        <w:ind w:firstLine="560"/>
      </w:pPr>
      <w:r>
        <w:rPr>
          <w:rFonts w:hint="eastAsia"/>
        </w:rPr>
        <w:t>（</w:t>
      </w:r>
      <w:r>
        <w:t>19</w:t>
      </w:r>
      <w:r>
        <w:rPr>
          <w:rFonts w:hint="eastAsia"/>
        </w:rPr>
        <w:t>）《工业企业厂界环境噪声排放标准》（GB</w:t>
      </w:r>
      <w:r>
        <w:t xml:space="preserve"> </w:t>
      </w:r>
      <w:r>
        <w:rPr>
          <w:rFonts w:hint="eastAsia"/>
        </w:rPr>
        <w:t>12348-2008）；</w:t>
      </w:r>
    </w:p>
    <w:p>
      <w:pPr>
        <w:ind w:firstLine="560"/>
      </w:pPr>
      <w:r>
        <w:rPr>
          <w:rFonts w:hint="eastAsia"/>
        </w:rPr>
        <w:t>（2</w:t>
      </w:r>
      <w:r>
        <w:t>0</w:t>
      </w:r>
      <w:r>
        <w:rPr>
          <w:rFonts w:hint="eastAsia"/>
        </w:rPr>
        <w:t>）《一般工业固体废物贮存、处置场污染控制标准》（GB</w:t>
      </w:r>
      <w:r>
        <w:t xml:space="preserve"> </w:t>
      </w:r>
      <w:r>
        <w:rPr>
          <w:rFonts w:hint="eastAsia"/>
        </w:rPr>
        <w:t>18599-2001）及修改单要求；</w:t>
      </w:r>
    </w:p>
    <w:p>
      <w:pPr>
        <w:ind w:firstLine="560"/>
      </w:pPr>
      <w:r>
        <w:rPr>
          <w:rFonts w:hint="eastAsia"/>
        </w:rPr>
        <w:t>（2</w:t>
      </w:r>
      <w:r>
        <w:t>1</w:t>
      </w:r>
      <w:r>
        <w:rPr>
          <w:rFonts w:hint="eastAsia"/>
        </w:rPr>
        <w:t>）《危险废物贮存污染控制标准》（GB</w:t>
      </w:r>
      <w:r>
        <w:t xml:space="preserve"> </w:t>
      </w:r>
      <w:r>
        <w:rPr>
          <w:rFonts w:hint="eastAsia"/>
        </w:rPr>
        <w:t>18597-2001）及修改单要求。</w:t>
      </w:r>
    </w:p>
    <w:p>
      <w:pPr>
        <w:ind w:firstLine="560"/>
      </w:pPr>
      <w:r>
        <w:rPr>
          <w:rFonts w:hint="eastAsia"/>
        </w:rPr>
        <w:t>（2</w:t>
      </w:r>
      <w:r>
        <w:t>2</w:t>
      </w:r>
      <w:r>
        <w:rPr>
          <w:rFonts w:hint="eastAsia"/>
        </w:rPr>
        <w:t>）《工作场所有害因素职业接触限值》（GBZ</w:t>
      </w:r>
      <w:r>
        <w:t xml:space="preserve"> </w:t>
      </w:r>
      <w:r>
        <w:rPr>
          <w:rFonts w:hint="eastAsia"/>
        </w:rPr>
        <w:t>2.2-2007）；</w:t>
      </w:r>
    </w:p>
    <w:p>
      <w:pPr>
        <w:ind w:firstLine="560"/>
      </w:pPr>
      <w:r>
        <w:rPr>
          <w:rFonts w:hint="eastAsia"/>
        </w:rPr>
        <w:t>（2</w:t>
      </w:r>
      <w:r>
        <w:t>3</w:t>
      </w:r>
      <w:r>
        <w:rPr>
          <w:rFonts w:hint="eastAsia"/>
        </w:rPr>
        <w:t>）《危险化学品名录（2015版）》（2015年5月1日起实施）；</w:t>
      </w:r>
    </w:p>
    <w:p>
      <w:pPr>
        <w:ind w:firstLine="560"/>
      </w:pPr>
      <w:r>
        <w:rPr>
          <w:rFonts w:hint="eastAsia"/>
        </w:rPr>
        <w:t>（2</w:t>
      </w:r>
      <w:r>
        <w:t>4</w:t>
      </w:r>
      <w:r>
        <w:rPr>
          <w:rFonts w:hint="eastAsia"/>
        </w:rPr>
        <w:t>）《突发环境事件应急监测技术规范》（HJ</w:t>
      </w:r>
      <w:r>
        <w:t xml:space="preserve"> </w:t>
      </w:r>
      <w:r>
        <w:rPr>
          <w:rFonts w:hint="eastAsia"/>
        </w:rPr>
        <w:t>589-2010）（2011年1月1日起实施）。</w:t>
      </w:r>
    </w:p>
    <w:p>
      <w:pPr>
        <w:pStyle w:val="6"/>
      </w:pPr>
      <w:r>
        <w:rPr>
          <w:rFonts w:hint="eastAsia"/>
        </w:rPr>
        <w:t>其他文件</w:t>
      </w:r>
    </w:p>
    <w:p>
      <w:pPr>
        <w:numPr>
          <w:ilvl w:val="0"/>
          <w:numId w:val="2"/>
        </w:numPr>
        <w:ind w:firstLine="560"/>
        <w:rPr>
          <w:rFonts w:hint="eastAsia"/>
        </w:rPr>
      </w:pPr>
      <w:r>
        <w:rPr>
          <w:rFonts w:hint="eastAsia"/>
        </w:rPr>
        <w:t>《关于</w:t>
      </w:r>
      <w:r>
        <w:rPr>
          <w:rFonts w:hint="eastAsia"/>
          <w:lang w:eastAsia="zh-CN"/>
        </w:rPr>
        <w:t>南昌双港供水有限公司南昌双港水厂扩建工程</w:t>
      </w:r>
      <w:r>
        <w:rPr>
          <w:rFonts w:hint="eastAsia"/>
        </w:rPr>
        <w:t>环境影响报告表</w:t>
      </w:r>
      <w:r>
        <w:rPr>
          <w:rFonts w:hint="eastAsia"/>
          <w:lang w:eastAsia="zh-CN"/>
        </w:rPr>
        <w:t>审查意见的函》（南昌市环境保护局，洪环审批【</w:t>
      </w:r>
      <w:r>
        <w:rPr>
          <w:rFonts w:hint="eastAsia"/>
          <w:lang w:val="en-US" w:eastAsia="zh-CN"/>
        </w:rPr>
        <w:t>2011</w:t>
      </w:r>
      <w:r>
        <w:rPr>
          <w:rFonts w:hint="eastAsia"/>
          <w:lang w:eastAsia="zh-CN"/>
        </w:rPr>
        <w:t>】</w:t>
      </w:r>
      <w:r>
        <w:rPr>
          <w:rFonts w:hint="eastAsia"/>
          <w:lang w:val="en-US" w:eastAsia="zh-CN"/>
        </w:rPr>
        <w:t>160号，2011年6月17日</w:t>
      </w:r>
      <w:r>
        <w:rPr>
          <w:rFonts w:hint="eastAsia"/>
          <w:lang w:eastAsia="zh-CN"/>
        </w:rPr>
        <w:t>）；</w:t>
      </w:r>
    </w:p>
    <w:p>
      <w:pPr>
        <w:numPr>
          <w:ilvl w:val="0"/>
          <w:numId w:val="2"/>
        </w:numPr>
        <w:ind w:firstLine="560"/>
        <w:rPr>
          <w:rFonts w:hint="eastAsia"/>
        </w:rPr>
      </w:pPr>
      <w:r>
        <w:rPr>
          <w:rFonts w:hint="eastAsia"/>
        </w:rPr>
        <w:t>《</w:t>
      </w:r>
      <w:r>
        <w:rPr>
          <w:rFonts w:hint="eastAsia"/>
          <w:lang w:eastAsia="zh-CN"/>
        </w:rPr>
        <w:t>南昌双港供水有限公司南昌双港水厂污泥处理系统工程</w:t>
      </w:r>
      <w:r>
        <w:rPr>
          <w:rFonts w:hint="eastAsia"/>
        </w:rPr>
        <w:t>环境影响报告表</w:t>
      </w:r>
      <w:r>
        <w:rPr>
          <w:rFonts w:hint="eastAsia"/>
          <w:lang w:eastAsia="zh-CN"/>
        </w:rPr>
        <w:t>》（公司，</w:t>
      </w:r>
      <w:r>
        <w:rPr>
          <w:rFonts w:hint="eastAsia"/>
          <w:highlight w:val="none"/>
          <w:lang w:val="en-US" w:eastAsia="zh-CN"/>
        </w:rPr>
        <w:t>2019年</w:t>
      </w:r>
      <w:r>
        <w:rPr>
          <w:rFonts w:hint="eastAsia"/>
          <w:lang w:eastAsia="zh-CN"/>
        </w:rPr>
        <w:t>）；</w:t>
      </w:r>
    </w:p>
    <w:p>
      <w:pPr>
        <w:numPr>
          <w:ilvl w:val="0"/>
          <w:numId w:val="2"/>
        </w:numPr>
        <w:ind w:left="0" w:leftChars="0" w:firstLine="560" w:firstLineChars="200"/>
        <w:rPr>
          <w:rFonts w:hint="eastAsia"/>
        </w:rPr>
      </w:pPr>
      <w:r>
        <w:rPr>
          <w:rFonts w:hint="eastAsia"/>
        </w:rPr>
        <w:t>《关于</w:t>
      </w:r>
      <w:r>
        <w:rPr>
          <w:rFonts w:hint="eastAsia"/>
          <w:lang w:eastAsia="zh-CN"/>
        </w:rPr>
        <w:t>南昌双港供水有限公司南昌双港水厂污泥处理系统工程</w:t>
      </w:r>
      <w:r>
        <w:rPr>
          <w:rFonts w:hint="eastAsia"/>
        </w:rPr>
        <w:t>环境影响报告表的批复》（</w:t>
      </w:r>
      <w:r>
        <w:rPr>
          <w:rFonts w:hint="eastAsia"/>
          <w:lang w:eastAsia="zh-CN"/>
        </w:rPr>
        <w:t>南昌经济技术开发区城市管理和环境保护局，洪经城环审字【</w:t>
      </w:r>
      <w:r>
        <w:rPr>
          <w:rFonts w:hint="eastAsia"/>
          <w:lang w:val="en-US" w:eastAsia="zh-CN"/>
        </w:rPr>
        <w:t>2019</w:t>
      </w:r>
      <w:r>
        <w:rPr>
          <w:rFonts w:hint="eastAsia"/>
          <w:lang w:eastAsia="zh-CN"/>
        </w:rPr>
        <w:t>】</w:t>
      </w:r>
      <w:r>
        <w:rPr>
          <w:rFonts w:hint="eastAsia"/>
          <w:lang w:val="en-US" w:eastAsia="zh-CN"/>
        </w:rPr>
        <w:t>5号</w:t>
      </w:r>
      <w:r>
        <w:rPr>
          <w:rFonts w:hint="eastAsia"/>
        </w:rPr>
        <w:t>，2</w:t>
      </w:r>
      <w:r>
        <w:t>0</w:t>
      </w:r>
      <w:r>
        <w:rPr>
          <w:rFonts w:hint="eastAsia"/>
          <w:lang w:val="en-US" w:eastAsia="zh-CN"/>
        </w:rPr>
        <w:t>19</w:t>
      </w:r>
      <w:r>
        <w:rPr>
          <w:rFonts w:hint="eastAsia"/>
        </w:rPr>
        <w:t>年1</w:t>
      </w:r>
      <w:r>
        <w:rPr>
          <w:rFonts w:hint="eastAsia"/>
          <w:lang w:val="en-US" w:eastAsia="zh-CN"/>
        </w:rPr>
        <w:t>2</w:t>
      </w:r>
      <w:r>
        <w:rPr>
          <w:rFonts w:hint="eastAsia"/>
        </w:rPr>
        <w:t>月</w:t>
      </w:r>
      <w:r>
        <w:rPr>
          <w:rFonts w:hint="eastAsia"/>
          <w:lang w:val="en-US" w:eastAsia="zh-CN"/>
        </w:rPr>
        <w:t>27</w:t>
      </w:r>
      <w:r>
        <w:rPr>
          <w:rFonts w:hint="eastAsia"/>
        </w:rPr>
        <w:t>日）；</w:t>
      </w:r>
    </w:p>
    <w:p>
      <w:pPr>
        <w:numPr>
          <w:ilvl w:val="0"/>
          <w:numId w:val="2"/>
        </w:numPr>
        <w:ind w:left="0" w:leftChars="0" w:firstLine="560" w:firstLineChars="200"/>
        <w:rPr>
          <w:rFonts w:hint="eastAsia"/>
        </w:rPr>
      </w:pPr>
      <w:r>
        <w:rPr>
          <w:rFonts w:hint="eastAsia"/>
        </w:rPr>
        <w:t>《</w:t>
      </w:r>
      <w:r>
        <w:rPr>
          <w:rFonts w:hint="eastAsia"/>
          <w:lang w:eastAsia="zh-CN"/>
        </w:rPr>
        <w:t>南昌双港供水有限公司使用危险化学品专项安全评价报告》（江西赣昌安全生产科技服务有限公司，</w:t>
      </w:r>
      <w:r>
        <w:rPr>
          <w:rFonts w:hint="eastAsia"/>
          <w:lang w:val="en-US" w:eastAsia="zh-CN"/>
        </w:rPr>
        <w:t>2019年5月20日</w:t>
      </w:r>
      <w:r>
        <w:rPr>
          <w:rFonts w:hint="eastAsia"/>
          <w:lang w:eastAsia="zh-CN"/>
        </w:rPr>
        <w:t>）；</w:t>
      </w:r>
    </w:p>
    <w:p>
      <w:pPr>
        <w:numPr>
          <w:ilvl w:val="0"/>
          <w:numId w:val="2"/>
        </w:numPr>
        <w:ind w:left="0" w:leftChars="0" w:firstLine="560" w:firstLineChars="200"/>
        <w:rPr>
          <w:rFonts w:hint="eastAsia"/>
        </w:rPr>
      </w:pPr>
      <w:r>
        <w:rPr>
          <w:rFonts w:hint="eastAsia"/>
        </w:rPr>
        <w:t>《</w:t>
      </w:r>
      <w:r>
        <w:rPr>
          <w:rFonts w:hint="eastAsia"/>
          <w:lang w:eastAsia="zh-CN"/>
        </w:rPr>
        <w:t>南昌双港供水有限公司</w:t>
      </w:r>
      <w:r>
        <w:rPr>
          <w:rFonts w:hint="eastAsia" w:ascii="Times New Roman" w:hAnsi="Times New Roman"/>
          <w:lang w:eastAsia="zh-CN"/>
        </w:rPr>
        <w:t>生产安全事故应急预案》（</w:t>
      </w:r>
      <w:r>
        <w:rPr>
          <w:rFonts w:hint="eastAsia"/>
          <w:lang w:eastAsia="zh-CN"/>
        </w:rPr>
        <w:t>南昌双港供水有限公司</w:t>
      </w:r>
      <w:r>
        <w:rPr>
          <w:rFonts w:hint="eastAsia" w:ascii="Times New Roman" w:hAnsi="Times New Roman"/>
          <w:lang w:eastAsia="zh-CN"/>
        </w:rPr>
        <w:t>，</w:t>
      </w:r>
      <w:r>
        <w:rPr>
          <w:rFonts w:hint="eastAsia" w:ascii="Times New Roman" w:hAnsi="Times New Roman"/>
          <w:lang w:val="en-US" w:eastAsia="zh-CN"/>
        </w:rPr>
        <w:t>2020</w:t>
      </w:r>
      <w:r>
        <w:rPr>
          <w:rFonts w:hint="eastAsia"/>
          <w:lang w:val="en-US" w:eastAsia="zh-CN"/>
        </w:rPr>
        <w:t>年2月15日</w:t>
      </w:r>
      <w:r>
        <w:rPr>
          <w:rFonts w:hint="eastAsia"/>
          <w:lang w:eastAsia="zh-CN"/>
        </w:rPr>
        <w:t>）。</w:t>
      </w:r>
    </w:p>
    <w:p>
      <w:pPr>
        <w:pStyle w:val="5"/>
      </w:pPr>
      <w:bookmarkStart w:id="5" w:name="_Toc14250"/>
      <w:r>
        <w:rPr>
          <w:rFonts w:hint="eastAsia"/>
        </w:rPr>
        <w:t>适用范围</w:t>
      </w:r>
      <w:bookmarkEnd w:id="5"/>
    </w:p>
    <w:p>
      <w:pPr>
        <w:ind w:firstLine="560"/>
      </w:pPr>
      <w:r>
        <w:rPr>
          <w:rFonts w:hint="eastAsia"/>
        </w:rPr>
        <w:t>本预案适用于本公司在生产、经营、贮存、运输、使用和处置过程中发生的人为或自然因素造成的废气、废水、固废、危险化学品、有毒化学品等环境污染、破坏事件以及发生的火灾、泄漏等事故及所造成的伴生或者次生环境污染事故。</w:t>
      </w:r>
    </w:p>
    <w:p>
      <w:pPr>
        <w:pStyle w:val="5"/>
      </w:pPr>
      <w:bookmarkStart w:id="6" w:name="_Toc13571"/>
      <w:r>
        <w:rPr>
          <w:rFonts w:hint="eastAsia"/>
        </w:rPr>
        <w:t>事件分级</w:t>
      </w:r>
      <w:bookmarkEnd w:id="6"/>
    </w:p>
    <w:p>
      <w:pPr>
        <w:ind w:firstLine="560"/>
      </w:pPr>
      <w:r>
        <w:rPr>
          <w:rFonts w:hint="eastAsia"/>
        </w:rPr>
        <w:t>为了有效处置各类环境应急事故，依据应急事故可能造成的危害程度、波及范围、影响力大小、人员及财产损失等情况，本公司应急事故划分为：重大（Ⅰ级）、较大（Ⅱ级）和一般（Ⅲ级）。</w:t>
      </w:r>
    </w:p>
    <w:p>
      <w:pPr>
        <w:ind w:firstLine="560"/>
      </w:pPr>
      <w:r>
        <w:rPr>
          <w:rFonts w:hint="eastAsia"/>
        </w:rPr>
        <w:t>一般事故（Ⅲ级）：主要指造成直接经济损失50万以下，未造成人员受伤中毒、中毒或者重伤，未造成人员死亡，或事故危害在厂区范围内，经自救或组织救援能予以控制，并无进一步发展趋势；或未对环境造成危害。</w:t>
      </w:r>
    </w:p>
    <w:p>
      <w:pPr>
        <w:ind w:firstLine="560"/>
      </w:pPr>
      <w:r>
        <w:rPr>
          <w:rFonts w:hint="eastAsia"/>
        </w:rPr>
        <w:t>较大事故（Ⅱ级）：主要指造成直接经济损失在50万元以上200万以下，造成人员轻度伤害，未造成人员受伤中毒、中毒或者重伤的，未造成人员死亡，或事故危害在厂区范围内，经自救或组织救援能予以控制，并无进一步发展趋势；或未对环境造成危害。</w:t>
      </w:r>
    </w:p>
    <w:p>
      <w:pPr>
        <w:ind w:firstLine="560"/>
      </w:pPr>
      <w:r>
        <w:rPr>
          <w:rFonts w:hint="eastAsia"/>
        </w:rPr>
        <w:t>重大事故（Ⅰ级）：主要指造成直接经济损失在200万元以上；或造成人员受伤中毒、中毒或者重伤；或造成人员死亡；或对环境造成危害。</w:t>
      </w:r>
    </w:p>
    <w:p>
      <w:pPr>
        <w:pStyle w:val="8"/>
        <w:keepNext/>
      </w:pPr>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1</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1</w:t>
      </w:r>
      <w:r>
        <w:fldChar w:fldCharType="end"/>
      </w:r>
      <w:r>
        <w:rPr>
          <w:rFonts w:hint="eastAsia"/>
        </w:rPr>
        <w:t>企业突发性环境事件的等级划分</w:t>
      </w:r>
    </w:p>
    <w:tbl>
      <w:tblPr>
        <w:tblStyle w:val="15"/>
        <w:tblpPr w:leftFromText="180" w:rightFromText="180" w:vertAnchor="text" w:tblpXSpec="center" w:tblpY="1"/>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6"/>
        <w:gridCol w:w="833"/>
        <w:gridCol w:w="1017"/>
        <w:gridCol w:w="2035"/>
        <w:gridCol w:w="2177"/>
        <w:gridCol w:w="20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40" w:type="pct"/>
            <w:vAlign w:val="center"/>
          </w:tcPr>
          <w:p>
            <w:pPr>
              <w:spacing w:line="240" w:lineRule="auto"/>
              <w:ind w:firstLine="0" w:firstLineChars="0"/>
              <w:jc w:val="center"/>
              <w:rPr>
                <w:rFonts w:cs="Times New Roman"/>
                <w:sz w:val="21"/>
                <w:szCs w:val="21"/>
              </w:rPr>
            </w:pPr>
            <w:r>
              <w:rPr>
                <w:rFonts w:cs="Times New Roman"/>
                <w:sz w:val="21"/>
                <w:szCs w:val="21"/>
              </w:rPr>
              <w:t>等级</w:t>
            </w:r>
          </w:p>
        </w:tc>
        <w:tc>
          <w:tcPr>
            <w:tcW w:w="446" w:type="pct"/>
            <w:vAlign w:val="center"/>
          </w:tcPr>
          <w:p>
            <w:pPr>
              <w:spacing w:line="240" w:lineRule="auto"/>
              <w:ind w:firstLine="0" w:firstLineChars="0"/>
              <w:jc w:val="center"/>
              <w:rPr>
                <w:rFonts w:cs="Times New Roman"/>
                <w:sz w:val="21"/>
                <w:szCs w:val="21"/>
              </w:rPr>
            </w:pPr>
            <w:r>
              <w:rPr>
                <w:rFonts w:cs="Times New Roman"/>
                <w:sz w:val="21"/>
                <w:szCs w:val="21"/>
              </w:rPr>
              <w:t>预警</w:t>
            </w:r>
          </w:p>
          <w:p>
            <w:pPr>
              <w:spacing w:line="240" w:lineRule="auto"/>
              <w:ind w:firstLine="0" w:firstLineChars="0"/>
              <w:jc w:val="center"/>
              <w:rPr>
                <w:rFonts w:cs="Times New Roman"/>
                <w:sz w:val="21"/>
                <w:szCs w:val="21"/>
              </w:rPr>
            </w:pPr>
            <w:r>
              <w:rPr>
                <w:rFonts w:cs="Times New Roman"/>
                <w:sz w:val="21"/>
                <w:szCs w:val="21"/>
              </w:rPr>
              <w:t>等级</w:t>
            </w:r>
          </w:p>
        </w:tc>
        <w:tc>
          <w:tcPr>
            <w:tcW w:w="544" w:type="pct"/>
            <w:vAlign w:val="center"/>
          </w:tcPr>
          <w:p>
            <w:pPr>
              <w:spacing w:line="240" w:lineRule="auto"/>
              <w:ind w:firstLine="0" w:firstLineChars="0"/>
              <w:jc w:val="center"/>
              <w:rPr>
                <w:rFonts w:cs="Times New Roman"/>
                <w:sz w:val="21"/>
                <w:szCs w:val="21"/>
              </w:rPr>
            </w:pPr>
            <w:r>
              <w:rPr>
                <w:rFonts w:cs="Times New Roman"/>
                <w:sz w:val="21"/>
                <w:szCs w:val="21"/>
              </w:rPr>
              <w:t>响应</w:t>
            </w:r>
          </w:p>
          <w:p>
            <w:pPr>
              <w:spacing w:line="240" w:lineRule="auto"/>
              <w:ind w:firstLine="0" w:firstLineChars="0"/>
              <w:jc w:val="center"/>
              <w:rPr>
                <w:rFonts w:cs="Times New Roman"/>
                <w:sz w:val="21"/>
                <w:szCs w:val="21"/>
              </w:rPr>
            </w:pPr>
            <w:r>
              <w:rPr>
                <w:rFonts w:cs="Times New Roman"/>
                <w:sz w:val="21"/>
                <w:szCs w:val="21"/>
              </w:rPr>
              <w:t>等级</w:t>
            </w:r>
          </w:p>
        </w:tc>
        <w:tc>
          <w:tcPr>
            <w:tcW w:w="1089" w:type="pct"/>
            <w:vAlign w:val="center"/>
          </w:tcPr>
          <w:p>
            <w:pPr>
              <w:spacing w:line="240" w:lineRule="auto"/>
              <w:ind w:firstLine="0" w:firstLineChars="0"/>
              <w:jc w:val="center"/>
              <w:rPr>
                <w:rFonts w:cs="Times New Roman"/>
                <w:sz w:val="21"/>
                <w:szCs w:val="21"/>
              </w:rPr>
            </w:pPr>
            <w:r>
              <w:rPr>
                <w:rFonts w:cs="Times New Roman"/>
                <w:sz w:val="21"/>
                <w:szCs w:val="21"/>
              </w:rPr>
              <w:t>人员伤亡情况</w:t>
            </w:r>
          </w:p>
        </w:tc>
        <w:tc>
          <w:tcPr>
            <w:tcW w:w="1165" w:type="pct"/>
            <w:vAlign w:val="center"/>
          </w:tcPr>
          <w:p>
            <w:pPr>
              <w:spacing w:line="240" w:lineRule="auto"/>
              <w:ind w:firstLine="0" w:firstLineChars="0"/>
              <w:jc w:val="center"/>
              <w:rPr>
                <w:rFonts w:cs="Times New Roman"/>
                <w:sz w:val="21"/>
                <w:szCs w:val="21"/>
              </w:rPr>
            </w:pPr>
            <w:r>
              <w:rPr>
                <w:rFonts w:cs="Times New Roman"/>
                <w:sz w:val="21"/>
                <w:szCs w:val="21"/>
              </w:rPr>
              <w:t>财产损失情况</w:t>
            </w:r>
          </w:p>
        </w:tc>
        <w:tc>
          <w:tcPr>
            <w:tcW w:w="1116" w:type="pct"/>
            <w:vAlign w:val="center"/>
          </w:tcPr>
          <w:p>
            <w:pPr>
              <w:spacing w:line="240" w:lineRule="auto"/>
              <w:ind w:firstLine="0" w:firstLineChars="0"/>
              <w:jc w:val="center"/>
              <w:rPr>
                <w:rFonts w:cs="Times New Roman"/>
                <w:sz w:val="21"/>
                <w:szCs w:val="21"/>
              </w:rPr>
            </w:pPr>
            <w:r>
              <w:rPr>
                <w:rFonts w:cs="Times New Roman"/>
                <w:sz w:val="21"/>
                <w:szCs w:val="21"/>
              </w:rPr>
              <w:t>疏散转移人数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40" w:type="pct"/>
            <w:vAlign w:val="center"/>
          </w:tcPr>
          <w:p>
            <w:pPr>
              <w:spacing w:line="240" w:lineRule="auto"/>
              <w:ind w:firstLine="0" w:firstLineChars="0"/>
              <w:jc w:val="center"/>
              <w:rPr>
                <w:rFonts w:cs="Times New Roman"/>
                <w:sz w:val="21"/>
                <w:szCs w:val="21"/>
              </w:rPr>
            </w:pPr>
            <w:r>
              <w:rPr>
                <w:rFonts w:cs="Times New Roman"/>
                <w:sz w:val="21"/>
                <w:szCs w:val="21"/>
              </w:rPr>
              <w:t>一般事故</w:t>
            </w:r>
          </w:p>
        </w:tc>
        <w:tc>
          <w:tcPr>
            <w:tcW w:w="446" w:type="pct"/>
            <w:vAlign w:val="center"/>
          </w:tcPr>
          <w:p>
            <w:pPr>
              <w:spacing w:line="240" w:lineRule="auto"/>
              <w:ind w:firstLine="0" w:firstLineChars="0"/>
              <w:jc w:val="center"/>
              <w:rPr>
                <w:rFonts w:cs="Times New Roman"/>
                <w:sz w:val="21"/>
                <w:szCs w:val="21"/>
              </w:rPr>
            </w:pPr>
            <w:r>
              <w:rPr>
                <w:rFonts w:cs="Times New Roman"/>
                <w:sz w:val="21"/>
                <w:szCs w:val="21"/>
              </w:rPr>
              <w:t>III级</w:t>
            </w:r>
          </w:p>
        </w:tc>
        <w:tc>
          <w:tcPr>
            <w:tcW w:w="544" w:type="pct"/>
            <w:vAlign w:val="center"/>
          </w:tcPr>
          <w:p>
            <w:pPr>
              <w:spacing w:line="240" w:lineRule="auto"/>
              <w:ind w:firstLine="0" w:firstLineChars="0"/>
              <w:jc w:val="center"/>
              <w:rPr>
                <w:rFonts w:cs="Times New Roman"/>
                <w:sz w:val="21"/>
                <w:szCs w:val="21"/>
              </w:rPr>
            </w:pPr>
            <w:r>
              <w:rPr>
                <w:rFonts w:cs="Times New Roman"/>
                <w:sz w:val="21"/>
                <w:szCs w:val="21"/>
              </w:rPr>
              <w:t>III级</w:t>
            </w:r>
          </w:p>
        </w:tc>
        <w:tc>
          <w:tcPr>
            <w:tcW w:w="1089" w:type="pct"/>
            <w:vAlign w:val="center"/>
          </w:tcPr>
          <w:p>
            <w:pPr>
              <w:spacing w:line="240" w:lineRule="auto"/>
              <w:ind w:firstLine="0" w:firstLineChars="0"/>
              <w:jc w:val="center"/>
              <w:rPr>
                <w:rFonts w:cs="Times New Roman"/>
                <w:sz w:val="21"/>
                <w:szCs w:val="21"/>
              </w:rPr>
            </w:pPr>
            <w:r>
              <w:rPr>
                <w:rFonts w:cs="Times New Roman"/>
                <w:sz w:val="21"/>
                <w:szCs w:val="21"/>
              </w:rPr>
              <w:t>无人员受伤或死亡</w:t>
            </w:r>
          </w:p>
        </w:tc>
        <w:tc>
          <w:tcPr>
            <w:tcW w:w="1165" w:type="pct"/>
            <w:vAlign w:val="center"/>
          </w:tcPr>
          <w:p>
            <w:pPr>
              <w:spacing w:line="240" w:lineRule="auto"/>
              <w:ind w:firstLine="0" w:firstLineChars="0"/>
              <w:jc w:val="center"/>
              <w:rPr>
                <w:rFonts w:cs="Times New Roman"/>
                <w:sz w:val="21"/>
                <w:szCs w:val="21"/>
              </w:rPr>
            </w:pPr>
            <w:r>
              <w:rPr>
                <w:rFonts w:cs="Times New Roman"/>
                <w:sz w:val="21"/>
                <w:szCs w:val="21"/>
              </w:rPr>
              <w:t>直接经济损失50万以下</w:t>
            </w:r>
          </w:p>
        </w:tc>
        <w:tc>
          <w:tcPr>
            <w:tcW w:w="1116" w:type="pct"/>
            <w:vAlign w:val="center"/>
          </w:tcPr>
          <w:p>
            <w:pPr>
              <w:spacing w:line="240" w:lineRule="auto"/>
              <w:ind w:firstLine="0" w:firstLineChars="0"/>
              <w:jc w:val="center"/>
              <w:rPr>
                <w:rFonts w:cs="Times New Roman"/>
                <w:sz w:val="21"/>
                <w:szCs w:val="21"/>
              </w:rPr>
            </w:pPr>
            <w:r>
              <w:rPr>
                <w:rFonts w:cs="Times New Roman"/>
                <w:sz w:val="21"/>
                <w:szCs w:val="21"/>
              </w:rPr>
              <w:t>不需要转移人员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40" w:type="pct"/>
            <w:vAlign w:val="center"/>
          </w:tcPr>
          <w:p>
            <w:pPr>
              <w:spacing w:line="240" w:lineRule="auto"/>
              <w:ind w:firstLine="0" w:firstLineChars="0"/>
              <w:jc w:val="center"/>
              <w:rPr>
                <w:rFonts w:cs="Times New Roman"/>
                <w:sz w:val="21"/>
                <w:szCs w:val="21"/>
              </w:rPr>
            </w:pPr>
            <w:r>
              <w:rPr>
                <w:rFonts w:cs="Times New Roman"/>
                <w:sz w:val="21"/>
                <w:szCs w:val="21"/>
              </w:rPr>
              <w:t>较大事故</w:t>
            </w:r>
          </w:p>
        </w:tc>
        <w:tc>
          <w:tcPr>
            <w:tcW w:w="446" w:type="pct"/>
            <w:vAlign w:val="center"/>
          </w:tcPr>
          <w:p>
            <w:pPr>
              <w:spacing w:line="240" w:lineRule="auto"/>
              <w:ind w:firstLine="0" w:firstLineChars="0"/>
              <w:jc w:val="center"/>
              <w:rPr>
                <w:rFonts w:cs="Times New Roman"/>
                <w:sz w:val="21"/>
                <w:szCs w:val="21"/>
              </w:rPr>
            </w:pPr>
            <w:r>
              <w:rPr>
                <w:rFonts w:cs="Times New Roman"/>
                <w:sz w:val="21"/>
                <w:szCs w:val="21"/>
              </w:rPr>
              <w:t>II级</w:t>
            </w:r>
          </w:p>
        </w:tc>
        <w:tc>
          <w:tcPr>
            <w:tcW w:w="544" w:type="pct"/>
            <w:vAlign w:val="center"/>
          </w:tcPr>
          <w:p>
            <w:pPr>
              <w:spacing w:line="240" w:lineRule="auto"/>
              <w:ind w:firstLine="0" w:firstLineChars="0"/>
              <w:jc w:val="center"/>
              <w:rPr>
                <w:rFonts w:cs="Times New Roman"/>
                <w:sz w:val="21"/>
                <w:szCs w:val="21"/>
              </w:rPr>
            </w:pPr>
            <w:r>
              <w:rPr>
                <w:rFonts w:cs="Times New Roman"/>
                <w:sz w:val="21"/>
                <w:szCs w:val="21"/>
              </w:rPr>
              <w:t>II级</w:t>
            </w:r>
          </w:p>
        </w:tc>
        <w:tc>
          <w:tcPr>
            <w:tcW w:w="1089" w:type="pct"/>
            <w:vAlign w:val="center"/>
          </w:tcPr>
          <w:p>
            <w:pPr>
              <w:spacing w:line="240" w:lineRule="auto"/>
              <w:ind w:firstLine="0" w:firstLineChars="0"/>
              <w:jc w:val="center"/>
              <w:rPr>
                <w:rFonts w:cs="Times New Roman"/>
                <w:sz w:val="21"/>
                <w:szCs w:val="21"/>
              </w:rPr>
            </w:pPr>
            <w:r>
              <w:rPr>
                <w:rFonts w:cs="Times New Roman"/>
                <w:sz w:val="21"/>
                <w:szCs w:val="21"/>
              </w:rPr>
              <w:t>有人员受伤（轻度伤害）但无死亡</w:t>
            </w:r>
          </w:p>
        </w:tc>
        <w:tc>
          <w:tcPr>
            <w:tcW w:w="1165" w:type="pct"/>
            <w:vAlign w:val="center"/>
          </w:tcPr>
          <w:p>
            <w:pPr>
              <w:spacing w:line="240" w:lineRule="auto"/>
              <w:ind w:firstLine="0" w:firstLineChars="0"/>
              <w:jc w:val="center"/>
              <w:rPr>
                <w:rFonts w:cs="Times New Roman"/>
                <w:sz w:val="21"/>
                <w:szCs w:val="21"/>
              </w:rPr>
            </w:pPr>
            <w:r>
              <w:rPr>
                <w:rFonts w:cs="Times New Roman"/>
                <w:sz w:val="21"/>
                <w:szCs w:val="21"/>
              </w:rPr>
              <w:t>直接经济损失50万以上200万以下</w:t>
            </w:r>
          </w:p>
        </w:tc>
        <w:tc>
          <w:tcPr>
            <w:tcW w:w="1116" w:type="pct"/>
            <w:vAlign w:val="center"/>
          </w:tcPr>
          <w:p>
            <w:pPr>
              <w:spacing w:line="240" w:lineRule="auto"/>
              <w:ind w:firstLine="0" w:firstLineChars="0"/>
              <w:jc w:val="center"/>
              <w:rPr>
                <w:rFonts w:cs="Times New Roman"/>
                <w:sz w:val="21"/>
                <w:szCs w:val="21"/>
              </w:rPr>
            </w:pPr>
            <w:r>
              <w:rPr>
                <w:rFonts w:cs="Times New Roman"/>
                <w:sz w:val="21"/>
                <w:szCs w:val="21"/>
              </w:rPr>
              <w:t>需要转移人员超过公司总人数的1/4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40" w:type="pct"/>
            <w:vAlign w:val="center"/>
          </w:tcPr>
          <w:p>
            <w:pPr>
              <w:spacing w:line="240" w:lineRule="auto"/>
              <w:ind w:firstLine="0" w:firstLineChars="0"/>
              <w:jc w:val="center"/>
              <w:rPr>
                <w:rFonts w:cs="Times New Roman"/>
                <w:sz w:val="21"/>
                <w:szCs w:val="21"/>
              </w:rPr>
            </w:pPr>
            <w:r>
              <w:rPr>
                <w:rFonts w:cs="Times New Roman"/>
                <w:sz w:val="21"/>
                <w:szCs w:val="21"/>
              </w:rPr>
              <w:t>重大事故</w:t>
            </w:r>
          </w:p>
        </w:tc>
        <w:tc>
          <w:tcPr>
            <w:tcW w:w="446" w:type="pct"/>
            <w:vAlign w:val="center"/>
          </w:tcPr>
          <w:p>
            <w:pPr>
              <w:spacing w:line="240" w:lineRule="auto"/>
              <w:ind w:firstLine="0" w:firstLineChars="0"/>
              <w:jc w:val="center"/>
              <w:rPr>
                <w:rFonts w:cs="Times New Roman"/>
                <w:sz w:val="21"/>
                <w:szCs w:val="21"/>
              </w:rPr>
            </w:pPr>
            <w:r>
              <w:rPr>
                <w:rFonts w:cs="Times New Roman"/>
                <w:sz w:val="21"/>
                <w:szCs w:val="21"/>
              </w:rPr>
              <w:t>I级</w:t>
            </w:r>
          </w:p>
        </w:tc>
        <w:tc>
          <w:tcPr>
            <w:tcW w:w="544" w:type="pct"/>
            <w:vAlign w:val="center"/>
          </w:tcPr>
          <w:p>
            <w:pPr>
              <w:spacing w:line="240" w:lineRule="auto"/>
              <w:ind w:firstLine="0" w:firstLineChars="0"/>
              <w:jc w:val="center"/>
              <w:rPr>
                <w:rFonts w:cs="Times New Roman"/>
                <w:sz w:val="21"/>
                <w:szCs w:val="21"/>
              </w:rPr>
            </w:pPr>
            <w:r>
              <w:rPr>
                <w:rFonts w:cs="Times New Roman"/>
                <w:sz w:val="21"/>
                <w:szCs w:val="21"/>
              </w:rPr>
              <w:t>I级</w:t>
            </w:r>
          </w:p>
        </w:tc>
        <w:tc>
          <w:tcPr>
            <w:tcW w:w="1089" w:type="pct"/>
            <w:vAlign w:val="center"/>
          </w:tcPr>
          <w:p>
            <w:pPr>
              <w:spacing w:line="240" w:lineRule="auto"/>
              <w:ind w:firstLine="0" w:firstLineChars="0"/>
              <w:jc w:val="center"/>
              <w:rPr>
                <w:rFonts w:cs="Times New Roman"/>
                <w:sz w:val="21"/>
                <w:szCs w:val="21"/>
              </w:rPr>
            </w:pPr>
            <w:r>
              <w:rPr>
                <w:rFonts w:cs="Times New Roman"/>
                <w:sz w:val="21"/>
                <w:szCs w:val="21"/>
              </w:rPr>
              <w:t>有人员受伤（中毒或重伤）但无死亡</w:t>
            </w:r>
          </w:p>
        </w:tc>
        <w:tc>
          <w:tcPr>
            <w:tcW w:w="1165" w:type="pct"/>
            <w:vAlign w:val="center"/>
          </w:tcPr>
          <w:p>
            <w:pPr>
              <w:spacing w:line="240" w:lineRule="auto"/>
              <w:ind w:firstLine="0" w:firstLineChars="0"/>
              <w:jc w:val="center"/>
              <w:rPr>
                <w:rFonts w:cs="Times New Roman"/>
                <w:sz w:val="21"/>
                <w:szCs w:val="21"/>
              </w:rPr>
            </w:pPr>
            <w:r>
              <w:rPr>
                <w:rFonts w:cs="Times New Roman"/>
                <w:sz w:val="21"/>
                <w:szCs w:val="21"/>
              </w:rPr>
              <w:t>直接经济损失200万以上</w:t>
            </w:r>
          </w:p>
        </w:tc>
        <w:tc>
          <w:tcPr>
            <w:tcW w:w="1116" w:type="pct"/>
            <w:vAlign w:val="center"/>
          </w:tcPr>
          <w:p>
            <w:pPr>
              <w:spacing w:line="240" w:lineRule="auto"/>
              <w:ind w:firstLine="0" w:firstLineChars="0"/>
              <w:jc w:val="center"/>
              <w:rPr>
                <w:rFonts w:cs="Times New Roman"/>
                <w:sz w:val="21"/>
                <w:szCs w:val="21"/>
              </w:rPr>
            </w:pPr>
            <w:r>
              <w:rPr>
                <w:rFonts w:cs="Times New Roman"/>
                <w:sz w:val="21"/>
                <w:szCs w:val="21"/>
              </w:rPr>
              <w:t>需要转移人员超过人员总人数的2/3</w:t>
            </w:r>
          </w:p>
        </w:tc>
      </w:tr>
    </w:tbl>
    <w:p>
      <w:pPr>
        <w:adjustRightInd w:val="0"/>
        <w:snapToGrid w:val="0"/>
        <w:ind w:firstLine="361"/>
        <w:rPr>
          <w:b/>
          <w:sz w:val="18"/>
        </w:rPr>
      </w:pPr>
      <w:r>
        <w:rPr>
          <w:rFonts w:hint="eastAsia"/>
          <w:b/>
          <w:sz w:val="18"/>
        </w:rPr>
        <w:t>注：因环境污染而致人死亡，不同于普通安全生产，是较严重的后果，因此，死亡人数的等级划分较安全生产相对严格。</w:t>
      </w:r>
    </w:p>
    <w:p>
      <w:pPr>
        <w:pStyle w:val="5"/>
      </w:pPr>
      <w:bookmarkStart w:id="7" w:name="_Toc21521"/>
      <w:r>
        <w:rPr>
          <w:rFonts w:hint="eastAsia"/>
        </w:rPr>
        <w:t>工作原则</w:t>
      </w:r>
      <w:bookmarkEnd w:id="7"/>
    </w:p>
    <w:p>
      <w:pPr>
        <w:ind w:firstLine="560"/>
      </w:pPr>
      <w:r>
        <w:rPr>
          <w:rFonts w:hint="eastAsia"/>
        </w:rPr>
        <w:t>突发环境事件应对工作坚持预防为主、减少危害，统一领导、分级负责，企业自救、属地管理，整合资源、联动处置的原则。突发环境事件发生后，公司各负责人及小组成员坚持自救为主，以人为本的基本原则，立即自动按照职责分工和相关预案开展应急处置工作。</w:t>
      </w:r>
    </w:p>
    <w:p>
      <w:pPr>
        <w:ind w:firstLine="560"/>
      </w:pPr>
      <w:r>
        <w:rPr>
          <w:rFonts w:hint="eastAsia"/>
        </w:rPr>
        <w:t>1、预防为主，减少危害。</w:t>
      </w:r>
    </w:p>
    <w:p>
      <w:pPr>
        <w:ind w:firstLine="560"/>
      </w:pPr>
      <w:r>
        <w:rPr>
          <w:rFonts w:hint="eastAsia"/>
        </w:rPr>
        <w:t>增强忧患意识，高度重视突发环境事件，居安思危，常抓不懈，防患于未然。坚持预防与应急相结合，常态与非常态相结合，作好应对突发环境事件的思想准备、预案准备、组织准备以及物资准备等。</w:t>
      </w:r>
    </w:p>
    <w:p>
      <w:pPr>
        <w:ind w:firstLine="560"/>
      </w:pPr>
      <w:r>
        <w:rPr>
          <w:rFonts w:hint="eastAsia"/>
        </w:rPr>
        <w:t>2、统一领导，分级负责。</w:t>
      </w:r>
    </w:p>
    <w:p>
      <w:pPr>
        <w:ind w:firstLine="560"/>
      </w:pPr>
      <w:r>
        <w:rPr>
          <w:rFonts w:hint="eastAsia"/>
        </w:rPr>
        <w:t>在</w:t>
      </w:r>
      <w:r>
        <w:rPr>
          <w:rFonts w:hint="eastAsia"/>
          <w:lang w:eastAsia="zh-CN"/>
        </w:rPr>
        <w:t>南昌市昌北生态环境局</w:t>
      </w:r>
      <w:r>
        <w:rPr>
          <w:rFonts w:hint="eastAsia"/>
        </w:rPr>
        <w:t>应急办和公司应急指挥部的统一领导下，公司应急指挥中心负责现场指挥突发环境事件的应急救援工作。公司有关部门按照各自职责和权限，负责事故的应急处置工作。突发环境事件发生后，当地立即自动按照职责分工和相关预案开展应急处置工作。</w:t>
      </w:r>
    </w:p>
    <w:p>
      <w:pPr>
        <w:ind w:firstLine="560"/>
      </w:pPr>
      <w:r>
        <w:rPr>
          <w:rFonts w:hint="eastAsia"/>
        </w:rPr>
        <w:t>3、企业自救，属地管理。</w:t>
      </w:r>
    </w:p>
    <w:p>
      <w:pPr>
        <w:ind w:firstLine="560"/>
      </w:pPr>
      <w:r>
        <w:rPr>
          <w:rFonts w:hint="eastAsia"/>
        </w:rPr>
        <w:t>企业自身积极做好应对突发环境事故的思想准备、物资准备、技术准备、工作准备，加强培训演练，应急系统做到常备不懈，可为本公司和其它企业及社会提供服务，在应急时快速有效。</w:t>
      </w:r>
    </w:p>
    <w:p>
      <w:pPr>
        <w:ind w:firstLine="560"/>
      </w:pPr>
      <w:r>
        <w:rPr>
          <w:rFonts w:hint="eastAsia"/>
        </w:rPr>
        <w:t>4、整合资源，联动处置。</w:t>
      </w:r>
    </w:p>
    <w:p>
      <w:pPr>
        <w:ind w:firstLine="560"/>
      </w:pPr>
      <w:r>
        <w:rPr>
          <w:rFonts w:hint="eastAsia"/>
        </w:rPr>
        <w:t>整合现有突发环境事件的监测、预测、预警等信息系统，建立网络互联、信息共享、科学有效的防范体系；整合现有突发环境事件应急指挥和组织网络，建立统一、科学、高效的指挥体系；整合现有突发环境事件应急处置资源，建立分工明确、责任落实、常备不懈的保障体系。建立和完善联动协调制度，加强公司各部门之间协同与合作，提高快速反应能力。</w:t>
      </w:r>
    </w:p>
    <w:p>
      <w:pPr>
        <w:pStyle w:val="5"/>
      </w:pPr>
      <w:bookmarkStart w:id="8" w:name="_Toc15241"/>
      <w:r>
        <w:rPr>
          <w:rFonts w:hint="eastAsia"/>
        </w:rPr>
        <w:t>应急预案体系</w:t>
      </w:r>
      <w:bookmarkEnd w:id="8"/>
    </w:p>
    <w:p>
      <w:pPr>
        <w:ind w:firstLine="560"/>
      </w:pPr>
      <w:r>
        <w:rPr>
          <w:rFonts w:hint="eastAsia"/>
        </w:rPr>
        <w:t>公司按照上级环保部门要求，认真学习了《国家突发公共事件总体应急预案》、《国家突发环境事件应急预案》、《江西省突发公共事件总体应急预案》、《江西省突发环境事件应急预案》、《南昌市突发环境事件应急预案》，制订了公司突发环境事件应急预案体系。根据环境风险等级评估结果，本公司为一般风险企业，因此综合应急预案、专项应急预案和现场应急处置方案可合并编制。</w:t>
      </w:r>
    </w:p>
    <w:p>
      <w:pPr>
        <w:ind w:firstLine="560"/>
      </w:pPr>
      <w:r>
        <w:rPr>
          <w:rFonts w:hint="eastAsia"/>
        </w:rPr>
        <w:t>事故发生后，立即启动我公司应急预案采取切断或者控制污染源以及其他防止危害扩大的必要措施及时通报可能受到危害的单位和居民，同时上报政府和主管部门，部门预案、政府预案启动后，公司各部门无条件服从政府总指挥部调动，提供各方面的支持。</w:t>
      </w:r>
    </w:p>
    <w:p>
      <w:pPr>
        <w:ind w:firstLine="560"/>
      </w:pPr>
    </w:p>
    <w:p>
      <w:pPr>
        <w:ind w:firstLine="0" w:firstLineChars="0"/>
        <w:sectPr>
          <w:pgSz w:w="11906" w:h="16838"/>
          <w:pgMar w:top="1304" w:right="1247" w:bottom="1304" w:left="1531" w:header="851" w:footer="851" w:gutter="0"/>
          <w:pgBorders>
            <w:top w:val="none" w:sz="0" w:space="0"/>
            <w:left w:val="none" w:sz="0" w:space="0"/>
            <w:bottom w:val="none" w:sz="0" w:space="0"/>
            <w:right w:val="none" w:sz="0" w:space="0"/>
          </w:pgBorders>
          <w:pgNumType w:fmt="decimal"/>
          <w:cols w:space="425" w:num="1"/>
          <w:docGrid w:type="lines" w:linePitch="312" w:charSpace="0"/>
        </w:sectPr>
      </w:pPr>
    </w:p>
    <w:p>
      <w:pPr>
        <w:pStyle w:val="4"/>
      </w:pPr>
      <w:bookmarkStart w:id="9" w:name="_Toc22889"/>
      <w:r>
        <w:rPr>
          <w:rFonts w:hint="eastAsia"/>
        </w:rPr>
        <w:t>基本情况</w:t>
      </w:r>
      <w:bookmarkEnd w:id="9"/>
    </w:p>
    <w:p>
      <w:pPr>
        <w:pStyle w:val="5"/>
      </w:pPr>
      <w:bookmarkStart w:id="10" w:name="_Toc23650"/>
      <w:r>
        <w:rPr>
          <w:rFonts w:hint="eastAsia"/>
        </w:rPr>
        <w:t>企业概况</w:t>
      </w:r>
      <w:bookmarkEnd w:id="10"/>
    </w:p>
    <w:p>
      <w:pPr>
        <w:pStyle w:val="6"/>
      </w:pPr>
      <w:r>
        <w:rPr>
          <w:rFonts w:hint="eastAsia"/>
        </w:rPr>
        <w:t>基本情况</w:t>
      </w:r>
    </w:p>
    <w:p>
      <w:pPr>
        <w:ind w:firstLine="560"/>
      </w:pPr>
      <w:r>
        <w:rPr>
          <w:rFonts w:hint="eastAsia"/>
          <w:sz w:val="28"/>
        </w:rPr>
        <w:t>南昌双港供水有限公司是南昌市水业集团有限责任公司与中法水务投资有限公司合作经营的以制水、供水为主的企业，在生产过程中要使用次氯酸钠对自来水进行消毒处理。公司日供水量</w:t>
      </w:r>
      <w:r>
        <w:rPr>
          <w:rFonts w:hint="eastAsia"/>
          <w:sz w:val="28"/>
          <w:lang w:val="en-US" w:eastAsia="zh-CN"/>
        </w:rPr>
        <w:t>10</w:t>
      </w:r>
      <w:r>
        <w:rPr>
          <w:rFonts w:hint="eastAsia"/>
          <w:sz w:val="28"/>
        </w:rPr>
        <w:t>万立方米，主要负担着南昌市的昌北、下罗、蛟桥、双港等地区的生产、生活用水。公司自一九九五年成立，注册资本365万美元，职工5</w:t>
      </w:r>
      <w:r>
        <w:rPr>
          <w:rFonts w:hint="eastAsia"/>
          <w:sz w:val="28"/>
          <w:lang w:val="en-US" w:eastAsia="zh-CN"/>
        </w:rPr>
        <w:t>6</w:t>
      </w:r>
      <w:r>
        <w:rPr>
          <w:rFonts w:hint="eastAsia"/>
          <w:sz w:val="28"/>
        </w:rPr>
        <w:t>人，技术管理人员7人，安全</w:t>
      </w:r>
      <w:r>
        <w:rPr>
          <w:rFonts w:hint="eastAsia"/>
          <w:sz w:val="28"/>
          <w:lang w:eastAsia="zh-CN"/>
        </w:rPr>
        <w:t>环保</w:t>
      </w:r>
      <w:r>
        <w:rPr>
          <w:rFonts w:hint="eastAsia"/>
          <w:sz w:val="28"/>
        </w:rPr>
        <w:t>管理人员3人</w:t>
      </w:r>
      <w:r>
        <w:rPr>
          <w:rFonts w:hint="eastAsia"/>
        </w:rPr>
        <w:t>。</w:t>
      </w:r>
    </w:p>
    <w:p>
      <w:pPr>
        <w:ind w:firstLine="560"/>
        <w:rPr>
          <w:rFonts w:hint="eastAsia"/>
          <w:highlight w:val="none"/>
          <w:lang w:eastAsia="zh-CN"/>
        </w:rPr>
      </w:pPr>
      <w:r>
        <w:rPr>
          <w:rFonts w:hint="eastAsia"/>
          <w:highlight w:val="none"/>
        </w:rPr>
        <w:t>20</w:t>
      </w:r>
      <w:r>
        <w:rPr>
          <w:rFonts w:hint="eastAsia"/>
          <w:highlight w:val="none"/>
          <w:lang w:val="en-US" w:eastAsia="zh-CN"/>
        </w:rPr>
        <w:t>11</w:t>
      </w:r>
      <w:r>
        <w:rPr>
          <w:rFonts w:hint="eastAsia"/>
          <w:highlight w:val="none"/>
        </w:rPr>
        <w:t>年</w:t>
      </w:r>
      <w:r>
        <w:rPr>
          <w:rFonts w:hint="eastAsia"/>
          <w:highlight w:val="none"/>
          <w:lang w:val="en-US" w:eastAsia="zh-CN"/>
        </w:rPr>
        <w:t>6</w:t>
      </w:r>
      <w:r>
        <w:rPr>
          <w:rFonts w:hint="eastAsia"/>
          <w:highlight w:val="none"/>
        </w:rPr>
        <w:t>月</w:t>
      </w:r>
      <w:r>
        <w:rPr>
          <w:rFonts w:hint="eastAsia"/>
          <w:highlight w:val="none"/>
          <w:lang w:val="en-US" w:eastAsia="zh-CN"/>
        </w:rPr>
        <w:t>17</w:t>
      </w:r>
      <w:r>
        <w:rPr>
          <w:rFonts w:hint="eastAsia"/>
          <w:highlight w:val="none"/>
        </w:rPr>
        <w:t>日取得《关于</w:t>
      </w:r>
      <w:r>
        <w:rPr>
          <w:rFonts w:hint="eastAsia"/>
          <w:highlight w:val="none"/>
          <w:lang w:eastAsia="zh-CN"/>
        </w:rPr>
        <w:t>南昌双港供水有限公司南昌双港水厂扩建工程</w:t>
      </w:r>
      <w:r>
        <w:rPr>
          <w:rFonts w:hint="eastAsia"/>
          <w:highlight w:val="none"/>
        </w:rPr>
        <w:t>环境影响报告表</w:t>
      </w:r>
      <w:r>
        <w:rPr>
          <w:rFonts w:hint="eastAsia"/>
          <w:highlight w:val="none"/>
          <w:lang w:eastAsia="zh-CN"/>
        </w:rPr>
        <w:t>审查意见的函</w:t>
      </w:r>
      <w:r>
        <w:rPr>
          <w:rFonts w:hint="eastAsia"/>
          <w:highlight w:val="none"/>
        </w:rPr>
        <w:t>》（</w:t>
      </w:r>
      <w:r>
        <w:rPr>
          <w:rFonts w:hint="eastAsia"/>
          <w:highlight w:val="none"/>
          <w:lang w:eastAsia="zh-CN"/>
        </w:rPr>
        <w:t>南昌市环境保护局，洪环审批【</w:t>
      </w:r>
      <w:r>
        <w:rPr>
          <w:rFonts w:hint="eastAsia"/>
          <w:highlight w:val="none"/>
          <w:lang w:val="en-US" w:eastAsia="zh-CN"/>
        </w:rPr>
        <w:t>2011</w:t>
      </w:r>
      <w:r>
        <w:rPr>
          <w:rFonts w:hint="eastAsia"/>
          <w:highlight w:val="none"/>
          <w:lang w:eastAsia="zh-CN"/>
        </w:rPr>
        <w:t>】</w:t>
      </w:r>
      <w:r>
        <w:rPr>
          <w:rFonts w:hint="eastAsia"/>
          <w:highlight w:val="none"/>
          <w:lang w:val="en-US" w:eastAsia="zh-CN"/>
        </w:rPr>
        <w:t>160号</w:t>
      </w:r>
      <w:r>
        <w:rPr>
          <w:rFonts w:hint="eastAsia"/>
          <w:highlight w:val="none"/>
        </w:rPr>
        <w:t>）；201</w:t>
      </w:r>
      <w:r>
        <w:rPr>
          <w:rFonts w:hint="eastAsia"/>
          <w:highlight w:val="none"/>
          <w:lang w:val="en-US" w:eastAsia="zh-CN"/>
        </w:rPr>
        <w:t>9</w:t>
      </w:r>
      <w:r>
        <w:rPr>
          <w:rFonts w:hint="eastAsia"/>
          <w:highlight w:val="none"/>
        </w:rPr>
        <w:t>年1</w:t>
      </w:r>
      <w:r>
        <w:rPr>
          <w:rFonts w:hint="eastAsia"/>
          <w:highlight w:val="none"/>
          <w:lang w:val="en-US" w:eastAsia="zh-CN"/>
        </w:rPr>
        <w:t>2</w:t>
      </w:r>
      <w:r>
        <w:rPr>
          <w:rFonts w:hint="eastAsia"/>
          <w:highlight w:val="none"/>
        </w:rPr>
        <w:t>月</w:t>
      </w:r>
      <w:r>
        <w:rPr>
          <w:rFonts w:hint="eastAsia"/>
          <w:highlight w:val="none"/>
          <w:lang w:val="en-US" w:eastAsia="zh-CN"/>
        </w:rPr>
        <w:t>27日</w:t>
      </w:r>
      <w:r>
        <w:rPr>
          <w:rFonts w:hint="eastAsia"/>
          <w:highlight w:val="none"/>
          <w:lang w:eastAsia="zh-CN"/>
        </w:rPr>
        <w:t>取得</w:t>
      </w:r>
      <w:r>
        <w:rPr>
          <w:rFonts w:hint="eastAsia"/>
          <w:highlight w:val="none"/>
        </w:rPr>
        <w:t>《关于</w:t>
      </w:r>
      <w:r>
        <w:rPr>
          <w:rFonts w:hint="eastAsia"/>
          <w:highlight w:val="none"/>
          <w:lang w:eastAsia="zh-CN"/>
        </w:rPr>
        <w:t>南昌双港供水有限公司南昌双港水厂污泥处理系统工程</w:t>
      </w:r>
      <w:r>
        <w:rPr>
          <w:rFonts w:hint="eastAsia"/>
          <w:highlight w:val="none"/>
        </w:rPr>
        <w:t>环境影响报告表的批复》（</w:t>
      </w:r>
      <w:r>
        <w:rPr>
          <w:rFonts w:hint="eastAsia"/>
          <w:highlight w:val="none"/>
          <w:lang w:eastAsia="zh-CN"/>
        </w:rPr>
        <w:t>南昌经济技术开发区城市管理和环境保护局，洪经城环审字【</w:t>
      </w:r>
      <w:r>
        <w:rPr>
          <w:rFonts w:hint="eastAsia"/>
          <w:highlight w:val="none"/>
          <w:lang w:val="en-US" w:eastAsia="zh-CN"/>
        </w:rPr>
        <w:t>2019</w:t>
      </w:r>
      <w:r>
        <w:rPr>
          <w:rFonts w:hint="eastAsia"/>
          <w:highlight w:val="none"/>
          <w:lang w:eastAsia="zh-CN"/>
        </w:rPr>
        <w:t>】</w:t>
      </w:r>
      <w:r>
        <w:rPr>
          <w:rFonts w:hint="eastAsia"/>
          <w:highlight w:val="none"/>
          <w:lang w:val="en-US" w:eastAsia="zh-CN"/>
        </w:rPr>
        <w:t>5号）</w:t>
      </w:r>
      <w:r>
        <w:rPr>
          <w:rFonts w:hint="eastAsia"/>
          <w:highlight w:val="none"/>
          <w:lang w:eastAsia="zh-CN"/>
        </w:rPr>
        <w:t>。</w:t>
      </w:r>
    </w:p>
    <w:p>
      <w:pPr>
        <w:pStyle w:val="8"/>
        <w:keepNext/>
      </w:pPr>
      <w:bookmarkStart w:id="11" w:name="_Ref526599075"/>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2</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1</w:t>
      </w:r>
      <w:r>
        <w:fldChar w:fldCharType="end"/>
      </w:r>
      <w:bookmarkEnd w:id="11"/>
      <w:r>
        <w:rPr>
          <w:rFonts w:hint="eastAsia"/>
        </w:rPr>
        <w:t>企业基本信息</w:t>
      </w:r>
    </w:p>
    <w:tbl>
      <w:tblPr>
        <w:tblStyle w:val="15"/>
        <w:tblW w:w="5008"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1927"/>
        <w:gridCol w:w="1227"/>
        <w:gridCol w:w="273"/>
        <w:gridCol w:w="901"/>
        <w:gridCol w:w="1839"/>
        <w:gridCol w:w="1092"/>
        <w:gridCol w:w="190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trPr>
        <w:tc>
          <w:tcPr>
            <w:tcW w:w="1052" w:type="pct"/>
            <w:vAlign w:val="center"/>
          </w:tcPr>
          <w:p>
            <w:pPr>
              <w:pStyle w:val="29"/>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企业名称</w:t>
            </w:r>
          </w:p>
        </w:tc>
        <w:tc>
          <w:tcPr>
            <w:tcW w:w="1311" w:type="pct"/>
            <w:gridSpan w:val="3"/>
            <w:vAlign w:val="center"/>
          </w:tcPr>
          <w:p>
            <w:pPr>
              <w:spacing w:line="240" w:lineRule="auto"/>
              <w:ind w:firstLine="0" w:firstLineChars="0"/>
              <w:contextualSpacing/>
              <w:jc w:val="left"/>
              <w:rPr>
                <w:rFonts w:hint="eastAsia" w:eastAsia="宋体" w:cs="Times New Roman"/>
                <w:sz w:val="21"/>
                <w:szCs w:val="21"/>
                <w:lang w:eastAsia="zh-CN"/>
              </w:rPr>
            </w:pPr>
            <w:r>
              <w:rPr>
                <w:rFonts w:hint="eastAsia" w:cs="Times New Roman"/>
                <w:sz w:val="21"/>
                <w:szCs w:val="21"/>
                <w:lang w:eastAsia="zh-CN"/>
              </w:rPr>
              <w:t>南昌双港供水有限公司</w:t>
            </w:r>
          </w:p>
        </w:tc>
        <w:tc>
          <w:tcPr>
            <w:tcW w:w="1003" w:type="pct"/>
            <w:vAlign w:val="center"/>
          </w:tcPr>
          <w:p>
            <w:pPr>
              <w:pStyle w:val="29"/>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法人代码</w:t>
            </w:r>
          </w:p>
        </w:tc>
        <w:tc>
          <w:tcPr>
            <w:tcW w:w="1632" w:type="pct"/>
            <w:gridSpan w:val="2"/>
            <w:vAlign w:val="center"/>
          </w:tcPr>
          <w:p>
            <w:pPr>
              <w:spacing w:line="240" w:lineRule="auto"/>
              <w:ind w:firstLine="0" w:firstLineChars="0"/>
              <w:contextualSpacing/>
              <w:jc w:val="center"/>
              <w:rPr>
                <w:rFonts w:cs="Times New Roman"/>
                <w:sz w:val="21"/>
                <w:szCs w:val="21"/>
              </w:rPr>
            </w:pPr>
            <w:r>
              <w:rPr>
                <w:rFonts w:hint="eastAsia" w:cs="Times New Roman"/>
                <w:sz w:val="21"/>
                <w:szCs w:val="21"/>
                <w:lang w:eastAsia="zh-CN"/>
              </w:rPr>
              <w:t>91360100612419064X</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trPr>
        <w:tc>
          <w:tcPr>
            <w:tcW w:w="1052" w:type="pct"/>
            <w:vAlign w:val="center"/>
          </w:tcPr>
          <w:p>
            <w:pPr>
              <w:pStyle w:val="29"/>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法人代表</w:t>
            </w:r>
          </w:p>
        </w:tc>
        <w:tc>
          <w:tcPr>
            <w:tcW w:w="819" w:type="pct"/>
            <w:gridSpan w:val="2"/>
            <w:vAlign w:val="center"/>
          </w:tcPr>
          <w:p>
            <w:pPr>
              <w:spacing w:line="240" w:lineRule="auto"/>
              <w:ind w:firstLine="0" w:firstLineChars="0"/>
              <w:contextualSpacing/>
              <w:jc w:val="center"/>
              <w:rPr>
                <w:rFonts w:hint="eastAsia" w:cs="Times New Roman"/>
                <w:sz w:val="21"/>
                <w:szCs w:val="21"/>
                <w:highlight w:val="none"/>
                <w:lang w:val="en-US" w:eastAsia="zh-CN"/>
              </w:rPr>
            </w:pPr>
            <w:r>
              <w:rPr>
                <w:rFonts w:hint="eastAsia" w:cs="Times New Roman"/>
                <w:sz w:val="21"/>
                <w:szCs w:val="21"/>
                <w:highlight w:val="none"/>
                <w:lang w:val="en-US" w:eastAsia="zh-CN"/>
              </w:rPr>
              <w:t>魏桂生</w:t>
            </w:r>
          </w:p>
        </w:tc>
        <w:tc>
          <w:tcPr>
            <w:tcW w:w="492" w:type="pct"/>
            <w:vAlign w:val="center"/>
          </w:tcPr>
          <w:p>
            <w:pPr>
              <w:spacing w:line="240" w:lineRule="auto"/>
              <w:ind w:firstLine="0" w:firstLineChars="0"/>
              <w:contextualSpacing/>
              <w:jc w:val="center"/>
              <w:rPr>
                <w:rFonts w:hint="eastAsia" w:cs="Times New Roman"/>
                <w:sz w:val="21"/>
                <w:szCs w:val="21"/>
                <w:highlight w:val="none"/>
                <w:lang w:val="en-US" w:eastAsia="zh-CN"/>
              </w:rPr>
            </w:pPr>
            <w:r>
              <w:rPr>
                <w:rFonts w:hint="eastAsia" w:cs="Times New Roman"/>
                <w:sz w:val="21"/>
                <w:szCs w:val="21"/>
                <w:highlight w:val="none"/>
                <w:lang w:val="en-US" w:eastAsia="zh-CN"/>
              </w:rPr>
              <w:t>邮政编码</w:t>
            </w:r>
          </w:p>
        </w:tc>
        <w:tc>
          <w:tcPr>
            <w:tcW w:w="1003" w:type="pct"/>
            <w:vAlign w:val="center"/>
          </w:tcPr>
          <w:p>
            <w:pPr>
              <w:spacing w:line="240" w:lineRule="auto"/>
              <w:ind w:firstLine="0" w:firstLineChars="0"/>
              <w:contextualSpacing/>
              <w:jc w:val="center"/>
              <w:rPr>
                <w:rFonts w:hint="default" w:cs="Times New Roman"/>
                <w:sz w:val="21"/>
                <w:szCs w:val="21"/>
                <w:highlight w:val="none"/>
                <w:lang w:val="en-US" w:eastAsia="zh-CN"/>
              </w:rPr>
            </w:pPr>
            <w:r>
              <w:rPr>
                <w:rFonts w:hint="eastAsia" w:cs="Times New Roman"/>
                <w:sz w:val="21"/>
                <w:szCs w:val="21"/>
                <w:highlight w:val="none"/>
                <w:lang w:val="en-US" w:eastAsia="zh-CN"/>
              </w:rPr>
              <w:t>330013</w:t>
            </w:r>
          </w:p>
        </w:tc>
        <w:tc>
          <w:tcPr>
            <w:tcW w:w="596" w:type="pct"/>
            <w:vAlign w:val="center"/>
          </w:tcPr>
          <w:p>
            <w:pPr>
              <w:spacing w:line="240" w:lineRule="auto"/>
              <w:ind w:firstLine="0" w:firstLineChars="0"/>
              <w:contextualSpacing/>
              <w:jc w:val="center"/>
              <w:rPr>
                <w:rFonts w:hint="eastAsia" w:cs="Times New Roman"/>
                <w:sz w:val="21"/>
                <w:szCs w:val="21"/>
                <w:highlight w:val="none"/>
                <w:lang w:val="en-US" w:eastAsia="zh-CN"/>
              </w:rPr>
            </w:pPr>
            <w:r>
              <w:rPr>
                <w:rFonts w:hint="eastAsia" w:cs="Times New Roman"/>
                <w:sz w:val="21"/>
                <w:szCs w:val="21"/>
                <w:highlight w:val="none"/>
                <w:lang w:val="en-US" w:eastAsia="zh-CN"/>
              </w:rPr>
              <w:t>厂区面积</w:t>
            </w:r>
          </w:p>
        </w:tc>
        <w:tc>
          <w:tcPr>
            <w:tcW w:w="1036" w:type="pct"/>
            <w:vAlign w:val="center"/>
          </w:tcPr>
          <w:p>
            <w:pPr>
              <w:spacing w:line="240" w:lineRule="auto"/>
              <w:ind w:firstLine="0" w:firstLineChars="0"/>
              <w:contextualSpacing/>
              <w:jc w:val="center"/>
              <w:rPr>
                <w:rFonts w:hint="default" w:cs="Times New Roman"/>
                <w:sz w:val="21"/>
                <w:szCs w:val="21"/>
                <w:highlight w:val="none"/>
                <w:lang w:val="en-US" w:eastAsia="zh-CN"/>
              </w:rPr>
            </w:pPr>
            <w:r>
              <w:rPr>
                <w:rFonts w:hint="eastAsia" w:cs="Times New Roman"/>
                <w:sz w:val="21"/>
                <w:szCs w:val="21"/>
                <w:highlight w:val="none"/>
                <w:lang w:val="en-US" w:eastAsia="zh-CN"/>
              </w:rPr>
              <w:t>28097.8㎡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trPr>
        <w:tc>
          <w:tcPr>
            <w:tcW w:w="1052" w:type="pct"/>
            <w:vAlign w:val="center"/>
          </w:tcPr>
          <w:p>
            <w:pPr>
              <w:pStyle w:val="29"/>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联系人</w:t>
            </w:r>
          </w:p>
        </w:tc>
        <w:tc>
          <w:tcPr>
            <w:tcW w:w="819" w:type="pct"/>
            <w:gridSpan w:val="2"/>
            <w:vAlign w:val="center"/>
          </w:tcPr>
          <w:p>
            <w:pPr>
              <w:spacing w:line="240" w:lineRule="auto"/>
              <w:ind w:firstLine="0" w:firstLineChars="0"/>
              <w:contextualSpacing/>
              <w:jc w:val="center"/>
              <w:rPr>
                <w:rFonts w:hint="default" w:cs="Times New Roman"/>
                <w:sz w:val="21"/>
                <w:szCs w:val="21"/>
                <w:highlight w:val="none"/>
                <w:lang w:val="en-US" w:eastAsia="zh-CN"/>
              </w:rPr>
            </w:pPr>
            <w:r>
              <w:rPr>
                <w:rFonts w:hint="eastAsia" w:cs="Times New Roman"/>
                <w:sz w:val="21"/>
                <w:szCs w:val="21"/>
                <w:highlight w:val="none"/>
                <w:lang w:val="en-US" w:eastAsia="zh-CN"/>
              </w:rPr>
              <w:t>魏道钲</w:t>
            </w:r>
          </w:p>
        </w:tc>
        <w:tc>
          <w:tcPr>
            <w:tcW w:w="492" w:type="pct"/>
            <w:vAlign w:val="center"/>
          </w:tcPr>
          <w:p>
            <w:pPr>
              <w:spacing w:line="240" w:lineRule="auto"/>
              <w:ind w:firstLine="0" w:firstLineChars="0"/>
              <w:contextualSpacing/>
              <w:jc w:val="center"/>
              <w:rPr>
                <w:rFonts w:hint="eastAsia" w:cs="Times New Roman"/>
                <w:sz w:val="21"/>
                <w:szCs w:val="21"/>
                <w:highlight w:val="none"/>
                <w:lang w:val="en-US" w:eastAsia="en-US"/>
              </w:rPr>
            </w:pPr>
            <w:r>
              <w:rPr>
                <w:rFonts w:hint="eastAsia" w:cs="Times New Roman"/>
                <w:sz w:val="21"/>
                <w:szCs w:val="21"/>
                <w:highlight w:val="none"/>
                <w:lang w:val="en-US" w:eastAsia="zh-CN"/>
              </w:rPr>
              <w:t>电话</w:t>
            </w:r>
          </w:p>
        </w:tc>
        <w:tc>
          <w:tcPr>
            <w:tcW w:w="1003" w:type="pct"/>
            <w:vAlign w:val="center"/>
          </w:tcPr>
          <w:p>
            <w:pPr>
              <w:spacing w:line="240" w:lineRule="auto"/>
              <w:ind w:firstLine="0" w:firstLineChars="0"/>
              <w:contextualSpacing/>
              <w:jc w:val="center"/>
              <w:rPr>
                <w:rFonts w:hint="default" w:cs="Times New Roman"/>
                <w:sz w:val="21"/>
                <w:szCs w:val="21"/>
                <w:highlight w:val="none"/>
                <w:lang w:val="en-US" w:eastAsia="zh-CN"/>
              </w:rPr>
            </w:pPr>
            <w:r>
              <w:rPr>
                <w:rFonts w:hint="eastAsia" w:cs="Times New Roman"/>
                <w:sz w:val="21"/>
                <w:szCs w:val="21"/>
                <w:highlight w:val="none"/>
                <w:lang w:val="en-US" w:eastAsia="zh-CN"/>
              </w:rPr>
              <w:t>18579068807</w:t>
            </w:r>
          </w:p>
        </w:tc>
        <w:tc>
          <w:tcPr>
            <w:tcW w:w="596" w:type="pct"/>
            <w:vAlign w:val="center"/>
          </w:tcPr>
          <w:p>
            <w:pPr>
              <w:spacing w:line="240" w:lineRule="auto"/>
              <w:ind w:firstLine="0" w:firstLineChars="0"/>
              <w:contextualSpacing/>
              <w:jc w:val="center"/>
              <w:rPr>
                <w:rFonts w:hint="eastAsia" w:cs="Times New Roman"/>
                <w:sz w:val="21"/>
                <w:szCs w:val="21"/>
                <w:highlight w:val="none"/>
                <w:lang w:val="en-US" w:eastAsia="zh-CN"/>
              </w:rPr>
            </w:pPr>
            <w:r>
              <w:rPr>
                <w:rFonts w:hint="eastAsia" w:cs="Times New Roman"/>
                <w:sz w:val="21"/>
                <w:szCs w:val="21"/>
                <w:highlight w:val="none"/>
                <w:lang w:val="en-US" w:eastAsia="zh-CN"/>
              </w:rPr>
              <w:t>电子邮箱</w:t>
            </w:r>
          </w:p>
        </w:tc>
        <w:tc>
          <w:tcPr>
            <w:tcW w:w="1036" w:type="pct"/>
            <w:vAlign w:val="center"/>
          </w:tcPr>
          <w:p>
            <w:pPr>
              <w:spacing w:line="240" w:lineRule="auto"/>
              <w:ind w:firstLine="0" w:firstLineChars="0"/>
              <w:contextualSpacing/>
              <w:jc w:val="center"/>
              <w:rPr>
                <w:rFonts w:hint="eastAsia" w:cs="Times New Roman"/>
                <w:sz w:val="21"/>
                <w:szCs w:val="21"/>
                <w:highlight w:val="none"/>
                <w:lang w:val="en-US" w:eastAsia="zh-CN"/>
              </w:rPr>
            </w:pPr>
            <w:r>
              <w:rPr>
                <w:rFonts w:hint="eastAsia" w:cs="Times New Roman"/>
                <w:sz w:val="21"/>
                <w:szCs w:val="21"/>
                <w:highlight w:val="none"/>
                <w:lang w:val="en-US" w:eastAsia="zh-CN"/>
              </w:rPr>
              <w:t>376605630@qq.com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trPr>
        <w:tc>
          <w:tcPr>
            <w:tcW w:w="1052" w:type="pct"/>
            <w:vAlign w:val="center"/>
          </w:tcPr>
          <w:p>
            <w:pPr>
              <w:pStyle w:val="29"/>
              <w:kinsoku w:val="0"/>
              <w:overflowPunct w:val="0"/>
              <w:contextualSpacing/>
              <w:jc w:val="center"/>
              <w:rPr>
                <w:rFonts w:ascii="Times New Roman" w:hAnsi="Times New Roman" w:eastAsia="宋体" w:cs="Times New Roman"/>
                <w:sz w:val="21"/>
                <w:szCs w:val="21"/>
              </w:rPr>
            </w:pPr>
            <w:r>
              <w:rPr>
                <w:rFonts w:hint="eastAsia" w:ascii="Times New Roman" w:hAnsi="Times New Roman" w:eastAsia="宋体" w:cs="Times New Roman"/>
                <w:sz w:val="21"/>
                <w:szCs w:val="21"/>
                <w:lang w:eastAsia="zh-CN"/>
              </w:rPr>
              <w:t>从业人数</w:t>
            </w:r>
          </w:p>
        </w:tc>
        <w:tc>
          <w:tcPr>
            <w:tcW w:w="819" w:type="pct"/>
            <w:gridSpan w:val="2"/>
            <w:vAlign w:val="center"/>
          </w:tcPr>
          <w:p>
            <w:pPr>
              <w:spacing w:line="240" w:lineRule="auto"/>
              <w:ind w:firstLine="0" w:firstLineChars="0"/>
              <w:contextualSpacing/>
              <w:jc w:val="center"/>
              <w:rPr>
                <w:rFonts w:hint="default" w:cs="Times New Roman"/>
                <w:sz w:val="21"/>
                <w:szCs w:val="21"/>
                <w:highlight w:val="none"/>
                <w:lang w:val="en-US" w:eastAsia="zh-CN"/>
              </w:rPr>
            </w:pPr>
            <w:r>
              <w:rPr>
                <w:rFonts w:hint="eastAsia" w:cs="Times New Roman"/>
                <w:color w:val="auto"/>
                <w:sz w:val="21"/>
                <w:szCs w:val="21"/>
                <w:highlight w:val="none"/>
                <w:lang w:val="en-US" w:eastAsia="zh-CN"/>
              </w:rPr>
              <w:t>54</w:t>
            </w:r>
          </w:p>
        </w:tc>
        <w:tc>
          <w:tcPr>
            <w:tcW w:w="1496" w:type="pct"/>
            <w:gridSpan w:val="2"/>
            <w:vAlign w:val="center"/>
          </w:tcPr>
          <w:p>
            <w:pPr>
              <w:spacing w:line="240" w:lineRule="auto"/>
              <w:ind w:firstLine="0" w:firstLineChars="0"/>
              <w:contextualSpacing/>
              <w:jc w:val="center"/>
              <w:rPr>
                <w:rFonts w:hint="eastAsia" w:cs="Times New Roman"/>
                <w:sz w:val="21"/>
                <w:szCs w:val="21"/>
                <w:highlight w:val="none"/>
                <w:lang w:val="en-US" w:eastAsia="zh-CN"/>
              </w:rPr>
            </w:pPr>
            <w:r>
              <w:rPr>
                <w:rFonts w:hint="eastAsia" w:cs="Times New Roman"/>
                <w:sz w:val="21"/>
                <w:szCs w:val="21"/>
                <w:highlight w:val="none"/>
                <w:lang w:val="en-US" w:eastAsia="zh-CN"/>
              </w:rPr>
              <w:t>上级公司/所属集团公司</w:t>
            </w:r>
          </w:p>
        </w:tc>
        <w:tc>
          <w:tcPr>
            <w:tcW w:w="1632" w:type="pct"/>
            <w:gridSpan w:val="2"/>
            <w:vAlign w:val="center"/>
          </w:tcPr>
          <w:p>
            <w:pPr>
              <w:spacing w:line="240" w:lineRule="auto"/>
              <w:ind w:firstLine="0" w:firstLineChars="0"/>
              <w:contextualSpacing/>
              <w:jc w:val="center"/>
              <w:rPr>
                <w:rFonts w:hint="eastAsia" w:cs="Times New Roman"/>
                <w:sz w:val="21"/>
                <w:szCs w:val="21"/>
                <w:highlight w:val="none"/>
                <w:lang w:val="en-US" w:eastAsia="zh-CN"/>
              </w:rPr>
            </w:pPr>
            <w:r>
              <w:rPr>
                <w:rFonts w:hint="eastAsia" w:cs="Times New Roman"/>
                <w:sz w:val="21"/>
                <w:szCs w:val="21"/>
                <w:highlight w:val="none"/>
                <w:lang w:val="en-US" w:eastAsia="zh-CN"/>
              </w:rPr>
              <w:t>南昌市水业集团有限责任公司</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trPr>
        <w:tc>
          <w:tcPr>
            <w:tcW w:w="1052" w:type="pct"/>
            <w:vAlign w:val="center"/>
          </w:tcPr>
          <w:p>
            <w:pPr>
              <w:pStyle w:val="29"/>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单位地址</w:t>
            </w:r>
          </w:p>
        </w:tc>
        <w:tc>
          <w:tcPr>
            <w:tcW w:w="3947" w:type="pct"/>
            <w:gridSpan w:val="6"/>
            <w:vAlign w:val="center"/>
          </w:tcPr>
          <w:p>
            <w:pPr>
              <w:spacing w:line="240" w:lineRule="auto"/>
              <w:ind w:firstLine="0" w:firstLineChars="0"/>
              <w:contextualSpacing/>
              <w:jc w:val="center"/>
              <w:rPr>
                <w:rFonts w:hint="eastAsia" w:cs="Times New Roman"/>
                <w:sz w:val="21"/>
                <w:szCs w:val="21"/>
                <w:highlight w:val="none"/>
                <w:lang w:val="en-US" w:eastAsia="zh-CN"/>
              </w:rPr>
            </w:pPr>
            <w:r>
              <w:rPr>
                <w:rFonts w:hint="eastAsia" w:cs="Times New Roman"/>
                <w:sz w:val="21"/>
                <w:szCs w:val="21"/>
                <w:highlight w:val="none"/>
                <w:lang w:val="en-US" w:eastAsia="zh-CN"/>
              </w:rPr>
              <w:t>南昌市经开区双港东大街1568号</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trPr>
        <w:tc>
          <w:tcPr>
            <w:tcW w:w="1052" w:type="pct"/>
            <w:vAlign w:val="center"/>
          </w:tcPr>
          <w:p>
            <w:pPr>
              <w:pStyle w:val="29"/>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所在工业园区</w:t>
            </w:r>
          </w:p>
        </w:tc>
        <w:tc>
          <w:tcPr>
            <w:tcW w:w="670" w:type="pct"/>
            <w:vAlign w:val="center"/>
          </w:tcPr>
          <w:p>
            <w:pPr>
              <w:spacing w:line="240" w:lineRule="auto"/>
              <w:ind w:firstLine="0" w:firstLineChars="0"/>
              <w:contextualSpacing/>
              <w:jc w:val="center"/>
              <w:rPr>
                <w:rFonts w:hint="eastAsia" w:cs="Times New Roman"/>
                <w:sz w:val="21"/>
                <w:szCs w:val="21"/>
                <w:highlight w:val="none"/>
                <w:lang w:val="en-US" w:eastAsia="zh-CN"/>
              </w:rPr>
            </w:pPr>
            <w:r>
              <w:rPr>
                <w:rFonts w:hint="eastAsia" w:cs="Times New Roman"/>
                <w:sz w:val="21"/>
                <w:szCs w:val="21"/>
                <w:highlight w:val="none"/>
                <w:lang w:val="en-US" w:eastAsia="zh-CN"/>
              </w:rPr>
              <w:t>南昌经济技术开发区</w:t>
            </w:r>
          </w:p>
        </w:tc>
        <w:tc>
          <w:tcPr>
            <w:tcW w:w="640" w:type="pct"/>
            <w:gridSpan w:val="2"/>
            <w:vAlign w:val="center"/>
          </w:tcPr>
          <w:p>
            <w:pPr>
              <w:spacing w:line="240" w:lineRule="auto"/>
              <w:ind w:firstLine="0" w:firstLineChars="0"/>
              <w:contextualSpacing/>
              <w:jc w:val="center"/>
              <w:rPr>
                <w:rFonts w:hint="eastAsia" w:cs="Times New Roman"/>
                <w:sz w:val="21"/>
                <w:szCs w:val="21"/>
                <w:highlight w:val="none"/>
                <w:lang w:val="en-US" w:eastAsia="zh-CN"/>
              </w:rPr>
            </w:pPr>
            <w:r>
              <w:rPr>
                <w:rFonts w:hint="eastAsia" w:cs="Times New Roman"/>
                <w:sz w:val="21"/>
                <w:szCs w:val="21"/>
                <w:highlight w:val="none"/>
                <w:lang w:val="en-US" w:eastAsia="zh-CN"/>
              </w:rPr>
              <w:t>地理坐标</w:t>
            </w:r>
          </w:p>
        </w:tc>
        <w:tc>
          <w:tcPr>
            <w:tcW w:w="2636" w:type="pct"/>
            <w:gridSpan w:val="3"/>
            <w:vAlign w:val="center"/>
          </w:tcPr>
          <w:p>
            <w:pPr>
              <w:spacing w:line="240" w:lineRule="auto"/>
              <w:ind w:firstLine="0" w:firstLineChars="0"/>
              <w:contextualSpacing/>
              <w:jc w:val="center"/>
              <w:rPr>
                <w:rFonts w:hint="eastAsia" w:cs="Times New Roman"/>
                <w:sz w:val="21"/>
                <w:szCs w:val="21"/>
                <w:highlight w:val="none"/>
                <w:lang w:val="en-US" w:eastAsia="zh-CN"/>
              </w:rPr>
            </w:pPr>
            <w:r>
              <w:rPr>
                <w:rFonts w:hint="eastAsia" w:cs="Times New Roman"/>
                <w:sz w:val="21"/>
                <w:szCs w:val="21"/>
                <w:highlight w:val="none"/>
                <w:lang w:val="en-US" w:eastAsia="zh-CN"/>
              </w:rPr>
              <w:t>经度：115°52′53.76″E</w:t>
            </w:r>
          </w:p>
          <w:p>
            <w:pPr>
              <w:spacing w:line="240" w:lineRule="auto"/>
              <w:ind w:firstLine="0" w:firstLineChars="0"/>
              <w:contextualSpacing/>
              <w:jc w:val="center"/>
              <w:rPr>
                <w:rFonts w:hint="eastAsia" w:cs="Times New Roman"/>
                <w:sz w:val="21"/>
                <w:szCs w:val="21"/>
                <w:highlight w:val="none"/>
                <w:lang w:val="en-US" w:eastAsia="zh-CN"/>
              </w:rPr>
            </w:pPr>
            <w:r>
              <w:rPr>
                <w:rFonts w:hint="eastAsia" w:cs="Times New Roman"/>
                <w:sz w:val="21"/>
                <w:szCs w:val="21"/>
                <w:highlight w:val="none"/>
                <w:lang w:val="en-US" w:eastAsia="zh-CN"/>
              </w:rPr>
              <w:t>纬度：28°44′46.68″N</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trPr>
        <w:tc>
          <w:tcPr>
            <w:tcW w:w="1052" w:type="pct"/>
            <w:vAlign w:val="center"/>
          </w:tcPr>
          <w:p>
            <w:pPr>
              <w:pStyle w:val="29"/>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年运行天数（天）</w:t>
            </w:r>
          </w:p>
        </w:tc>
        <w:tc>
          <w:tcPr>
            <w:tcW w:w="670" w:type="pct"/>
            <w:vAlign w:val="center"/>
          </w:tcPr>
          <w:p>
            <w:pPr>
              <w:tabs>
                <w:tab w:val="left" w:pos="1215"/>
              </w:tabs>
              <w:spacing w:line="240" w:lineRule="auto"/>
              <w:ind w:firstLine="0" w:firstLineChars="0"/>
              <w:contextualSpacing/>
              <w:jc w:val="center"/>
              <w:rPr>
                <w:rFonts w:hint="default" w:eastAsia="宋体" w:cs="Times New Roman"/>
                <w:sz w:val="21"/>
                <w:szCs w:val="21"/>
                <w:lang w:val="en-US" w:eastAsia="zh-CN"/>
              </w:rPr>
            </w:pPr>
            <w:r>
              <w:rPr>
                <w:rFonts w:hint="eastAsia" w:cs="Times New Roman"/>
                <w:sz w:val="21"/>
                <w:szCs w:val="21"/>
                <w:lang w:val="en-US" w:eastAsia="zh-CN"/>
              </w:rPr>
              <w:t>365</w:t>
            </w:r>
          </w:p>
        </w:tc>
        <w:tc>
          <w:tcPr>
            <w:tcW w:w="640" w:type="pct"/>
            <w:gridSpan w:val="2"/>
            <w:vAlign w:val="center"/>
          </w:tcPr>
          <w:p>
            <w:pPr>
              <w:pStyle w:val="29"/>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主要业务</w:t>
            </w:r>
          </w:p>
        </w:tc>
        <w:tc>
          <w:tcPr>
            <w:tcW w:w="2636" w:type="pct"/>
            <w:gridSpan w:val="3"/>
            <w:vAlign w:val="center"/>
          </w:tcPr>
          <w:p>
            <w:pPr>
              <w:spacing w:line="240" w:lineRule="auto"/>
              <w:ind w:firstLine="0" w:firstLineChars="0"/>
              <w:contextualSpacing/>
              <w:jc w:val="center"/>
              <w:rPr>
                <w:rFonts w:cs="Times New Roman"/>
                <w:sz w:val="21"/>
                <w:szCs w:val="21"/>
              </w:rPr>
            </w:pPr>
            <w:r>
              <w:rPr>
                <w:rFonts w:hint="eastAsia" w:cs="Times New Roman"/>
                <w:sz w:val="21"/>
                <w:szCs w:val="21"/>
                <w:highlight w:val="none"/>
                <w:lang w:val="en-US" w:eastAsia="zh-CN"/>
              </w:rPr>
              <w:t>生产营销饮用水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trPr>
        <w:tc>
          <w:tcPr>
            <w:tcW w:w="1052" w:type="pct"/>
            <w:vAlign w:val="center"/>
          </w:tcPr>
          <w:p>
            <w:pPr>
              <w:pStyle w:val="29"/>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行业类别</w:t>
            </w:r>
          </w:p>
        </w:tc>
        <w:tc>
          <w:tcPr>
            <w:tcW w:w="1311" w:type="pct"/>
            <w:gridSpan w:val="3"/>
            <w:vAlign w:val="center"/>
          </w:tcPr>
          <w:p>
            <w:pPr>
              <w:tabs>
                <w:tab w:val="left" w:pos="826"/>
              </w:tabs>
              <w:spacing w:line="240" w:lineRule="auto"/>
              <w:ind w:firstLine="0" w:firstLineChars="0"/>
              <w:contextualSpacing/>
              <w:jc w:val="center"/>
              <w:rPr>
                <w:rFonts w:hint="eastAsia" w:eastAsia="宋体" w:cs="Times New Roman"/>
                <w:sz w:val="21"/>
                <w:szCs w:val="21"/>
                <w:highlight w:val="none"/>
                <w:lang w:eastAsia="zh-CN"/>
              </w:rPr>
            </w:pPr>
            <w:r>
              <w:rPr>
                <w:rFonts w:hint="eastAsia" w:cs="Times New Roman"/>
                <w:sz w:val="21"/>
                <w:szCs w:val="21"/>
                <w:lang w:val="en-US" w:eastAsia="zh-CN"/>
              </w:rPr>
              <w:t>自来水生产和供应</w:t>
            </w:r>
          </w:p>
        </w:tc>
        <w:tc>
          <w:tcPr>
            <w:tcW w:w="1003" w:type="pct"/>
            <w:vAlign w:val="center"/>
          </w:tcPr>
          <w:p>
            <w:pPr>
              <w:pStyle w:val="29"/>
              <w:kinsoku w:val="0"/>
              <w:overflowPunct w:val="0"/>
              <w:contextualSpacing/>
              <w:jc w:val="center"/>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行业代码</w:t>
            </w:r>
          </w:p>
        </w:tc>
        <w:tc>
          <w:tcPr>
            <w:tcW w:w="1632" w:type="pct"/>
            <w:gridSpan w:val="2"/>
            <w:vAlign w:val="center"/>
          </w:tcPr>
          <w:p>
            <w:pPr>
              <w:tabs>
                <w:tab w:val="left" w:pos="889"/>
              </w:tabs>
              <w:spacing w:line="240" w:lineRule="auto"/>
              <w:ind w:firstLine="0" w:firstLineChars="0"/>
              <w:contextualSpacing/>
              <w:jc w:val="center"/>
              <w:rPr>
                <w:rFonts w:hint="default" w:eastAsia="宋体" w:cs="Times New Roman"/>
                <w:sz w:val="21"/>
                <w:szCs w:val="21"/>
                <w:highlight w:val="none"/>
                <w:lang w:val="en-US" w:eastAsia="zh-CN"/>
              </w:rPr>
            </w:pPr>
            <w:r>
              <w:rPr>
                <w:rFonts w:hint="eastAsia" w:cs="Times New Roman"/>
                <w:sz w:val="21"/>
                <w:szCs w:val="21"/>
                <w:highlight w:val="none"/>
                <w:lang w:val="en-US" w:eastAsia="zh-CN"/>
              </w:rPr>
              <w:t>D4610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trPr>
        <w:tc>
          <w:tcPr>
            <w:tcW w:w="1052" w:type="pct"/>
            <w:vAlign w:val="center"/>
          </w:tcPr>
          <w:p>
            <w:pPr>
              <w:pStyle w:val="29"/>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登记注册类型</w:t>
            </w:r>
          </w:p>
        </w:tc>
        <w:tc>
          <w:tcPr>
            <w:tcW w:w="1311" w:type="pct"/>
            <w:gridSpan w:val="3"/>
            <w:vAlign w:val="center"/>
          </w:tcPr>
          <w:p>
            <w:pPr>
              <w:pStyle w:val="33"/>
              <w:spacing w:line="240" w:lineRule="auto"/>
              <w:ind w:left="0" w:leftChars="0" w:firstLine="0" w:firstLineChars="0"/>
              <w:contextualSpacing/>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kern w:val="2"/>
                <w:sz w:val="21"/>
                <w:szCs w:val="21"/>
                <w:lang w:val="en-US" w:eastAsia="zh-CN" w:bidi="ar-SA"/>
              </w:rPr>
              <w:t>有限责任公司(台港澳与境内合作)</w:t>
            </w:r>
          </w:p>
        </w:tc>
        <w:tc>
          <w:tcPr>
            <w:tcW w:w="1003" w:type="pct"/>
            <w:vAlign w:val="center"/>
          </w:tcPr>
          <w:p>
            <w:pPr>
              <w:pStyle w:val="29"/>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企业规模</w:t>
            </w:r>
          </w:p>
        </w:tc>
        <w:tc>
          <w:tcPr>
            <w:tcW w:w="1632" w:type="pct"/>
            <w:gridSpan w:val="2"/>
            <w:vAlign w:val="center"/>
          </w:tcPr>
          <w:p>
            <w:pPr>
              <w:pStyle w:val="29"/>
              <w:tabs>
                <w:tab w:val="left" w:pos="1170"/>
                <w:tab w:val="left" w:pos="2154"/>
              </w:tabs>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○大型</w:t>
            </w:r>
            <w:r>
              <w:rPr>
                <w:rFonts w:hint="eastAsia" w:ascii="Times New Roman" w:hAnsi="Times New Roman" w:eastAsia="宋体" w:cs="Times New Roman"/>
                <w:sz w:val="21"/>
                <w:szCs w:val="21"/>
                <w:lang w:eastAsia="zh-CN"/>
              </w:rPr>
              <w:t xml:space="preserve"> </w:t>
            </w:r>
            <w:r>
              <w:rPr>
                <w:rFonts w:ascii="Times New Roman" w:hAnsi="Times New Roman" w:eastAsia="宋体" w:cs="Times New Roman"/>
                <w:sz w:val="21"/>
                <w:szCs w:val="21"/>
                <w:lang w:eastAsia="zh-CN"/>
              </w:rPr>
              <w:t xml:space="preserve"> </w:t>
            </w:r>
            <w:r>
              <w:rPr>
                <w:rFonts w:hint="eastAsia" w:ascii="Times New Roman" w:hAnsi="Times New Roman" w:eastAsia="宋体" w:cs="Times New Roman"/>
                <w:sz w:val="21"/>
                <w:szCs w:val="21"/>
                <w:lang w:eastAsia="zh-CN"/>
              </w:rPr>
              <w:t xml:space="preserve"> </w:t>
            </w:r>
            <w:r>
              <w:rPr>
                <w:rFonts w:ascii="Times New Roman" w:hAnsi="Times New Roman" w:eastAsia="宋体" w:cs="Times New Roman"/>
                <w:sz w:val="21"/>
                <w:szCs w:val="21"/>
              </w:rPr>
              <w:t>○中型</w:t>
            </w:r>
            <w:r>
              <w:rPr>
                <w:rFonts w:hint="eastAsia" w:ascii="Times New Roman" w:hAnsi="Times New Roman" w:eastAsia="宋体" w:cs="Times New Roman"/>
                <w:sz w:val="21"/>
                <w:szCs w:val="21"/>
                <w:lang w:eastAsia="zh-CN"/>
              </w:rPr>
              <w:t xml:space="preserve"> </w:t>
            </w:r>
            <w:r>
              <w:rPr>
                <w:rFonts w:ascii="Times New Roman" w:hAnsi="Times New Roman" w:eastAsia="宋体" w:cs="Times New Roman"/>
                <w:sz w:val="21"/>
                <w:szCs w:val="21"/>
                <w:lang w:eastAsia="zh-CN"/>
              </w:rPr>
              <w:t xml:space="preserve"> </w:t>
            </w:r>
            <w:r>
              <w:rPr>
                <w:rFonts w:hint="eastAsia" w:ascii="Times New Roman" w:hAnsi="Times New Roman" w:eastAsia="宋体" w:cs="Times New Roman"/>
                <w:sz w:val="21"/>
                <w:szCs w:val="21"/>
                <w:lang w:eastAsia="zh-CN"/>
              </w:rPr>
              <w:t xml:space="preserve"> </w:t>
            </w:r>
            <w:r>
              <w:rPr>
                <w:rFonts w:ascii="Times New Roman" w:hAnsi="Times New Roman" w:eastAsia="宋体" w:cs="Times New Roman"/>
                <w:sz w:val="21"/>
                <w:szCs w:val="21"/>
              </w:rPr>
              <w:t>●小型</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trPr>
        <w:tc>
          <w:tcPr>
            <w:tcW w:w="1052" w:type="pct"/>
            <w:vAlign w:val="center"/>
          </w:tcPr>
          <w:p>
            <w:pPr>
              <w:pStyle w:val="29"/>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建厂时间</w:t>
            </w:r>
          </w:p>
        </w:tc>
        <w:tc>
          <w:tcPr>
            <w:tcW w:w="1311" w:type="pct"/>
            <w:gridSpan w:val="3"/>
            <w:vAlign w:val="center"/>
          </w:tcPr>
          <w:p>
            <w:pPr>
              <w:spacing w:line="240" w:lineRule="auto"/>
              <w:ind w:firstLine="0" w:firstLineChars="0"/>
              <w:contextualSpacing/>
              <w:jc w:val="center"/>
              <w:rPr>
                <w:rFonts w:cs="Times New Roman"/>
                <w:sz w:val="21"/>
                <w:szCs w:val="21"/>
              </w:rPr>
            </w:pPr>
            <w:r>
              <w:rPr>
                <w:rFonts w:hint="eastAsia" w:cs="Times New Roman"/>
                <w:sz w:val="21"/>
                <w:szCs w:val="21"/>
                <w:lang w:val="en-US" w:eastAsia="zh-CN"/>
              </w:rPr>
              <w:t>1995</w:t>
            </w:r>
            <w:r>
              <w:rPr>
                <w:rFonts w:hint="eastAsia" w:cs="Times New Roman"/>
                <w:sz w:val="21"/>
                <w:szCs w:val="21"/>
              </w:rPr>
              <w:t>年</w:t>
            </w:r>
            <w:r>
              <w:rPr>
                <w:rFonts w:hint="eastAsia" w:cs="Times New Roman"/>
                <w:sz w:val="21"/>
                <w:szCs w:val="21"/>
                <w:lang w:val="en-US" w:eastAsia="zh-CN"/>
              </w:rPr>
              <w:t>5</w:t>
            </w:r>
            <w:r>
              <w:rPr>
                <w:rFonts w:hint="eastAsia" w:cs="Times New Roman"/>
                <w:sz w:val="21"/>
                <w:szCs w:val="21"/>
              </w:rPr>
              <w:t>月</w:t>
            </w:r>
          </w:p>
        </w:tc>
        <w:tc>
          <w:tcPr>
            <w:tcW w:w="1003" w:type="pct"/>
            <w:vAlign w:val="center"/>
          </w:tcPr>
          <w:p>
            <w:pPr>
              <w:pStyle w:val="29"/>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最新改扩建时间</w:t>
            </w:r>
          </w:p>
        </w:tc>
        <w:tc>
          <w:tcPr>
            <w:tcW w:w="1632" w:type="pct"/>
            <w:gridSpan w:val="2"/>
            <w:vAlign w:val="center"/>
          </w:tcPr>
          <w:p>
            <w:pPr>
              <w:spacing w:line="240" w:lineRule="auto"/>
              <w:ind w:firstLine="0" w:firstLineChars="0"/>
              <w:contextualSpacing/>
              <w:jc w:val="center"/>
              <w:rPr>
                <w:rFonts w:cs="Times New Roman"/>
                <w:sz w:val="21"/>
                <w:szCs w:val="21"/>
              </w:rPr>
            </w:pPr>
            <w:r>
              <w:rPr>
                <w:rFonts w:hint="eastAsia" w:cs="Times New Roman"/>
                <w:sz w:val="21"/>
                <w:szCs w:val="21"/>
              </w:rPr>
              <w:t>20</w:t>
            </w:r>
            <w:r>
              <w:rPr>
                <w:rFonts w:hint="eastAsia" w:cs="Times New Roman"/>
                <w:sz w:val="21"/>
                <w:szCs w:val="21"/>
                <w:lang w:val="en-US" w:eastAsia="zh-CN"/>
              </w:rPr>
              <w:t>06</w:t>
            </w:r>
            <w:r>
              <w:rPr>
                <w:rFonts w:hint="eastAsia" w:cs="Times New Roman"/>
                <w:sz w:val="21"/>
                <w:szCs w:val="21"/>
              </w:rPr>
              <w:t>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trPr>
        <w:tc>
          <w:tcPr>
            <w:tcW w:w="1052" w:type="pct"/>
            <w:vAlign w:val="center"/>
          </w:tcPr>
          <w:p>
            <w:pPr>
              <w:pStyle w:val="29"/>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废水排放量（吨）</w:t>
            </w:r>
          </w:p>
        </w:tc>
        <w:tc>
          <w:tcPr>
            <w:tcW w:w="1311" w:type="pct"/>
            <w:gridSpan w:val="3"/>
            <w:vAlign w:val="center"/>
          </w:tcPr>
          <w:p>
            <w:pPr>
              <w:spacing w:line="240" w:lineRule="auto"/>
              <w:ind w:firstLine="0" w:firstLineChars="0"/>
              <w:contextualSpacing/>
              <w:jc w:val="center"/>
              <w:rPr>
                <w:rFonts w:hint="default" w:cs="Times New Roman"/>
                <w:sz w:val="21"/>
                <w:szCs w:val="21"/>
                <w:lang w:val="en-US"/>
              </w:rPr>
            </w:pPr>
            <w:r>
              <w:rPr>
                <w:rFonts w:hint="eastAsia" w:cs="Times New Roman"/>
                <w:sz w:val="21"/>
                <w:szCs w:val="21"/>
                <w:lang w:val="en-US" w:eastAsia="zh-CN"/>
              </w:rPr>
              <w:t>1227878.25</w:t>
            </w:r>
          </w:p>
        </w:tc>
        <w:tc>
          <w:tcPr>
            <w:tcW w:w="1003" w:type="pct"/>
            <w:vAlign w:val="center"/>
          </w:tcPr>
          <w:p>
            <w:pPr>
              <w:pStyle w:val="29"/>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废水排放去向</w:t>
            </w:r>
          </w:p>
        </w:tc>
        <w:tc>
          <w:tcPr>
            <w:tcW w:w="1632" w:type="pct"/>
            <w:gridSpan w:val="2"/>
            <w:vAlign w:val="center"/>
          </w:tcPr>
          <w:p>
            <w:pPr>
              <w:spacing w:line="240" w:lineRule="auto"/>
              <w:ind w:firstLine="0" w:firstLineChars="0"/>
              <w:contextualSpacing/>
              <w:jc w:val="center"/>
              <w:rPr>
                <w:rFonts w:cs="Times New Roman"/>
                <w:sz w:val="21"/>
                <w:szCs w:val="21"/>
              </w:rPr>
            </w:pPr>
            <w:r>
              <w:rPr>
                <w:rFonts w:hint="eastAsia" w:cs="Times New Roman"/>
                <w:sz w:val="21"/>
                <w:szCs w:val="21"/>
                <w:lang w:val="en-US" w:eastAsia="zh-CN"/>
              </w:rPr>
              <w:t>2190t/a生活污水、18.25t/a检验室废水经开区白水湖污水处理厂处理，尾水排入赣江。798t/d沉淀池排泥水、2560t/d滤池的反冲洗废水直排赣江</w:t>
            </w:r>
          </w:p>
        </w:tc>
      </w:tr>
    </w:tbl>
    <w:p>
      <w:pPr>
        <w:pStyle w:val="6"/>
      </w:pPr>
      <w:r>
        <w:rPr>
          <w:rFonts w:hint="eastAsia"/>
        </w:rPr>
        <w:t>生产工艺</w:t>
      </w:r>
    </w:p>
    <w:p>
      <w:pPr>
        <w:ind w:firstLine="560"/>
      </w:pPr>
      <w:r>
        <w:rPr>
          <w:rFonts w:hint="eastAsia"/>
        </w:rPr>
        <w:t>本公司</w:t>
      </w:r>
      <w:r>
        <w:rPr>
          <w:rFonts w:hint="eastAsia"/>
          <w:lang w:eastAsia="zh-CN"/>
        </w:rPr>
        <w:t>主要取赣江原水加入净化剂、消毒剂等生产饮用水；其中</w:t>
      </w:r>
      <w:r>
        <w:rPr>
          <w:rFonts w:ascii="Times New Roman" w:hAnsi="宋体"/>
          <w:b w:val="0"/>
        </w:rPr>
        <w:t>折板絮凝平流沉淀池排泥水、普快滤池反冲洗废水进行深度处理净化后回用</w:t>
      </w:r>
      <w:r>
        <w:rPr>
          <w:rFonts w:hint="eastAsia"/>
        </w:rPr>
        <w:t>。</w:t>
      </w:r>
      <w:r>
        <w:rPr>
          <w:rFonts w:hint="eastAsia"/>
          <w:lang w:eastAsia="zh-CN"/>
        </w:rPr>
        <w:t>具体</w:t>
      </w:r>
      <w:r>
        <w:rPr>
          <w:rFonts w:hint="eastAsia"/>
        </w:rPr>
        <w:t>的工艺流程见</w:t>
      </w:r>
      <w:r>
        <w:fldChar w:fldCharType="begin"/>
      </w:r>
      <w:r>
        <w:instrText xml:space="preserve"> </w:instrText>
      </w:r>
      <w:r>
        <w:rPr>
          <w:rFonts w:hint="eastAsia"/>
        </w:rPr>
        <w:instrText xml:space="preserve">REF _Ref526611240 \h</w:instrText>
      </w:r>
      <w:r>
        <w:instrText xml:space="preserve"> </w:instrText>
      </w:r>
      <w:r>
        <w:fldChar w:fldCharType="separate"/>
      </w:r>
      <w:r>
        <w:rPr>
          <w:rFonts w:hint="eastAsia"/>
        </w:rPr>
        <w:t xml:space="preserve">图 </w:t>
      </w:r>
      <w:r>
        <w:t>2</w:t>
      </w:r>
      <w:r>
        <w:noBreakHyphen/>
      </w:r>
      <w:r>
        <w:t>1</w:t>
      </w:r>
      <w:r>
        <w:fldChar w:fldCharType="end"/>
      </w:r>
      <w:r>
        <w:rPr>
          <w:rFonts w:hint="eastAsia"/>
        </w:rPr>
        <w:t>。</w:t>
      </w:r>
    </w:p>
    <w:p>
      <w:pPr>
        <w:keepNext/>
        <w:ind w:firstLine="0" w:firstLineChars="0"/>
        <w:jc w:val="left"/>
        <w:rPr>
          <w:rFonts w:hint="eastAsia"/>
          <w:lang w:eastAsia="zh-CN"/>
        </w:rPr>
      </w:pPr>
      <w:r>
        <w:rPr>
          <w:rFonts w:ascii="Times New Roman" w:hAnsi="Times New Roman" w:eastAsia="宋体"/>
        </w:rPr>
        <w:drawing>
          <wp:inline distT="0" distB="0" distL="0" distR="0">
            <wp:extent cx="5835650" cy="3744595"/>
            <wp:effectExtent l="9525" t="9525" r="22225" b="1778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8" cstate="print"/>
                    <a:stretch>
                      <a:fillRect/>
                    </a:stretch>
                  </pic:blipFill>
                  <pic:spPr>
                    <a:xfrm>
                      <a:off x="0" y="0"/>
                      <a:ext cx="5839222" cy="3746791"/>
                    </a:xfrm>
                    <a:prstGeom prst="rect">
                      <a:avLst/>
                    </a:prstGeom>
                    <a:ln>
                      <a:solidFill>
                        <a:schemeClr val="tx1"/>
                      </a:solidFill>
                    </a:ln>
                  </pic:spPr>
                </pic:pic>
              </a:graphicData>
            </a:graphic>
          </wp:inline>
        </w:drawing>
      </w:r>
    </w:p>
    <w:p>
      <w:pPr>
        <w:pStyle w:val="8"/>
        <w:jc w:val="center"/>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2</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1</w:t>
      </w:r>
      <w:r>
        <w:fldChar w:fldCharType="end"/>
      </w:r>
      <w:r>
        <w:rPr>
          <w:rFonts w:hint="eastAsia"/>
        </w:rPr>
        <w:t>生产工艺流程图</w:t>
      </w:r>
    </w:p>
    <w:p>
      <w:pPr>
        <w:pStyle w:val="37"/>
        <w:spacing w:beforeLines="30"/>
        <w:ind w:firstLine="482"/>
        <w:rPr>
          <w:rFonts w:hint="eastAsia" w:ascii="Times New Roman" w:hAnsi="Times New Roman" w:eastAsia="宋体" w:cstheme="minorBidi"/>
          <w:kern w:val="2"/>
          <w:sz w:val="28"/>
          <w:szCs w:val="22"/>
          <w:lang w:val="en-US" w:eastAsia="zh-CN" w:bidi="ar-SA"/>
        </w:rPr>
      </w:pPr>
      <w:r>
        <w:rPr>
          <w:rFonts w:hint="eastAsia" w:ascii="Times New Roman" w:hAnsi="Times New Roman" w:eastAsia="宋体" w:cstheme="minorBidi"/>
          <w:kern w:val="2"/>
          <w:sz w:val="28"/>
          <w:szCs w:val="22"/>
          <w:lang w:val="en-US" w:eastAsia="zh-CN" w:bidi="ar-SA"/>
        </w:rPr>
        <w:t>排泥水处理工艺流程简述如下：</w:t>
      </w:r>
    </w:p>
    <w:p>
      <w:pPr>
        <w:keepNext/>
        <w:ind w:firstLine="0" w:firstLineChars="0"/>
        <w:jc w:val="left"/>
        <w:rPr>
          <w:rFonts w:hint="eastAsia" w:ascii="Times New Roman" w:hAnsi="Times New Roman" w:eastAsia="宋体" w:cstheme="minorBidi"/>
          <w:kern w:val="2"/>
          <w:sz w:val="28"/>
          <w:szCs w:val="22"/>
          <w:lang w:val="en-US" w:eastAsia="zh-CN" w:bidi="ar-SA"/>
        </w:rPr>
      </w:pPr>
      <w:r>
        <w:rPr>
          <w:rFonts w:hint="eastAsia" w:ascii="Times New Roman" w:hAnsi="Times New Roman" w:eastAsia="宋体" w:cstheme="minorBidi"/>
          <w:kern w:val="2"/>
          <w:sz w:val="28"/>
          <w:szCs w:val="22"/>
          <w:lang w:val="en-US" w:eastAsia="zh-CN" w:bidi="ar-SA"/>
        </w:rPr>
        <w:t>由于现有净水系统折板絮凝平流沉淀池排泥水含固率较大，且其排泥方式为间歇式排泥，故净水系统沉淀池排泥水和普快滤池的反冲洗废水经本工程新建排泥水池调节（含水率为99.8），排泥水池上清液（W1）回收至取水原水管道进入现有净水系统净化回收利用。排泥水池底部沉积物通过潜水泵提升至高效浓缩池浓缩，浓缩池上清液（W2）回流至取水原水管道进入现有净水系统净化回收利用。在高效浓缩池投入PAM（阴离子聚丙烯酰胺），然后采用叠螺式污泥脱水机进行脱水后制干泥（含水率&lt;80％）并在脱水机中添加PAM（阳离子聚丙烯酰胺），干泥交由由洪城水业外运统一运送至麦园垃圾填埋厂进行无害化处置。脱水浓缩液（W3）回流至排泥水池。</w:t>
      </w:r>
    </w:p>
    <w:p>
      <w:pPr>
        <w:spacing w:line="600" w:lineRule="exact"/>
        <w:ind w:firstLine="570"/>
        <w:rPr>
          <w:rFonts w:hint="eastAsia"/>
          <w:b w:val="0"/>
          <w:bCs w:val="0"/>
          <w:sz w:val="28"/>
        </w:rPr>
      </w:pPr>
      <w:r>
        <w:rPr>
          <w:rFonts w:hint="eastAsia"/>
          <w:b w:val="0"/>
          <w:bCs w:val="0"/>
          <w:sz w:val="28"/>
          <w:lang w:eastAsia="zh-CN"/>
        </w:rPr>
        <w:t>消毒剂投加工艺</w:t>
      </w:r>
      <w:r>
        <w:rPr>
          <w:rFonts w:hint="eastAsia"/>
          <w:b w:val="0"/>
          <w:bCs w:val="0"/>
          <w:sz w:val="28"/>
        </w:rPr>
        <w:t>流程简述：</w:t>
      </w:r>
    </w:p>
    <w:p>
      <w:pPr>
        <w:spacing w:line="600" w:lineRule="exact"/>
        <w:ind w:firstLine="570"/>
        <w:rPr>
          <w:rFonts w:hint="eastAsia"/>
          <w:sz w:val="28"/>
        </w:rPr>
      </w:pPr>
      <w:r>
        <w:rPr>
          <w:rFonts w:hint="eastAsia"/>
          <w:sz w:val="28"/>
        </w:rPr>
        <w:t>公司次氯酸钠储存罐，共4座储罐，每座储罐最大储存量</w:t>
      </w:r>
      <w:r>
        <w:rPr>
          <w:rFonts w:hint="eastAsia"/>
          <w:sz w:val="28"/>
          <w:lang w:val="en-US" w:eastAsia="zh-CN"/>
        </w:rPr>
        <w:t>8</w:t>
      </w:r>
      <w:r>
        <w:rPr>
          <w:rFonts w:hint="eastAsia"/>
          <w:sz w:val="28"/>
        </w:rPr>
        <w:t>t，储存的次氯酸钠含量为5%，公司有两组投加次氯酸钠设施，其中一组工作，一组备用。次氯酸钠系统主要包括储存系统、投加系统和控制系统。系统采用10%有效氯的成品次氯酸钠溶液稀释成5%后投加。成品次氯酸钠溶液由药剂槽罐车运至现场，用卸料泵将成品药剂泵入储液罐，并对药剂进行1:1软水稀释。投加系统：储罐内稀释后的药剂由计量泵实现投加。控制系统：配置PLC实现对出药电动阀和计量泵的手/自动控制，系统具备异常状态的声光报警。</w:t>
      </w:r>
    </w:p>
    <w:p>
      <w:pPr>
        <w:spacing w:line="600" w:lineRule="exact"/>
        <w:ind w:firstLine="570"/>
        <w:rPr>
          <w:rFonts w:hint="eastAsia"/>
          <w:b/>
          <w:bCs/>
          <w:sz w:val="28"/>
        </w:rPr>
      </w:pPr>
      <w:r>
        <w:rPr>
          <w:rFonts w:hint="eastAsia"/>
          <w:b/>
          <w:bCs/>
          <w:sz w:val="28"/>
        </w:rPr>
        <w:t>工艺流程</w:t>
      </w:r>
      <w:r>
        <w:rPr>
          <w:rFonts w:hint="eastAsia"/>
          <w:b/>
          <w:bCs/>
          <w:sz w:val="28"/>
          <w:lang w:eastAsia="zh-CN"/>
        </w:rPr>
        <w:t>图</w:t>
      </w:r>
      <w:r>
        <w:rPr>
          <w:rFonts w:hint="eastAsia"/>
          <w:b/>
          <w:bCs/>
          <w:sz w:val="28"/>
        </w:rPr>
        <w:t>：</w:t>
      </w:r>
    </w:p>
    <w:p>
      <w:pPr>
        <w:spacing w:line="600" w:lineRule="exact"/>
        <w:ind w:firstLine="560" w:firstLineChars="200"/>
        <w:rPr>
          <w:color w:val="C00000"/>
          <w:sz w:val="28"/>
          <w:szCs w:val="28"/>
        </w:rPr>
      </w:pPr>
      <w:r>
        <w:rPr>
          <w:color w:val="C00000"/>
          <w:sz w:val="28"/>
          <w:szCs w:val="28"/>
        </w:rPr>
        <mc:AlternateContent>
          <mc:Choice Requires="wpg">
            <w:drawing>
              <wp:anchor distT="0" distB="0" distL="114300" distR="114300" simplePos="0" relativeHeight="875301888" behindDoc="0" locked="0" layoutInCell="1" allowOverlap="1">
                <wp:simplePos x="0" y="0"/>
                <wp:positionH relativeFrom="column">
                  <wp:posOffset>-809625</wp:posOffset>
                </wp:positionH>
                <wp:positionV relativeFrom="paragraph">
                  <wp:posOffset>198120</wp:posOffset>
                </wp:positionV>
                <wp:extent cx="6946900" cy="297180"/>
                <wp:effectExtent l="0" t="5080" r="6350" b="21590"/>
                <wp:wrapNone/>
                <wp:docPr id="113" name="组合 113"/>
                <wp:cNvGraphicFramePr/>
                <a:graphic xmlns:a="http://schemas.openxmlformats.org/drawingml/2006/main">
                  <a:graphicData uri="http://schemas.microsoft.com/office/word/2010/wordprocessingGroup">
                    <wpg:wgp>
                      <wpg:cNvGrpSpPr/>
                      <wpg:grpSpPr>
                        <a:xfrm>
                          <a:off x="0" y="0"/>
                          <a:ext cx="6946900" cy="297180"/>
                          <a:chOff x="1929" y="6120"/>
                          <a:chExt cx="8452" cy="468"/>
                        </a:xfrm>
                      </wpg:grpSpPr>
                      <wps:wsp>
                        <wps:cNvPr id="32" name="矩形 32"/>
                        <wps:cNvSpPr/>
                        <wps:spPr>
                          <a:xfrm>
                            <a:off x="3739" y="6120"/>
                            <a:ext cx="932"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300" w:lineRule="exact"/>
                                <w:ind w:left="0" w:leftChars="0" w:firstLine="0" w:firstLineChars="0"/>
                                <w:rPr>
                                  <w:rFonts w:hint="eastAsia"/>
                                  <w:sz w:val="24"/>
                                </w:rPr>
                              </w:pPr>
                              <w:r>
                                <w:rPr>
                                  <w:rFonts w:hint="eastAsia"/>
                                  <w:sz w:val="24"/>
                                </w:rPr>
                                <w:t>提升泵</w:t>
                              </w:r>
                            </w:p>
                          </w:txbxContent>
                        </wps:txbx>
                        <wps:bodyPr upright="1"/>
                      </wps:wsp>
                      <wps:wsp>
                        <wps:cNvPr id="33" name="矩形 33"/>
                        <wps:cNvSpPr/>
                        <wps:spPr>
                          <a:xfrm>
                            <a:off x="1929" y="6185"/>
                            <a:ext cx="1130" cy="328"/>
                          </a:xfrm>
                          <a:prstGeom prst="rect">
                            <a:avLst/>
                          </a:prstGeom>
                          <a:noFill/>
                          <a:ln>
                            <a:noFill/>
                          </a:ln>
                        </wps:spPr>
                        <wps:txbx>
                          <w:txbxContent>
                            <w:p>
                              <w:pPr>
                                <w:spacing w:line="300" w:lineRule="exact"/>
                                <w:jc w:val="right"/>
                                <w:rPr>
                                  <w:rFonts w:hint="eastAsia"/>
                                  <w:sz w:val="24"/>
                                </w:rPr>
                              </w:pPr>
                              <w:r>
                                <w:rPr>
                                  <w:rFonts w:hint="eastAsia"/>
                                  <w:sz w:val="24"/>
                                </w:rPr>
                                <w:t>原液</w:t>
                              </w:r>
                            </w:p>
                          </w:txbxContent>
                        </wps:txbx>
                        <wps:bodyPr lIns="0" tIns="0" rIns="0" bIns="0" upright="1"/>
                      </wps:wsp>
                      <wps:wsp>
                        <wps:cNvPr id="34" name="直接连接符 34"/>
                        <wps:cNvCnPr/>
                        <wps:spPr>
                          <a:xfrm>
                            <a:off x="3107" y="6354"/>
                            <a:ext cx="640" cy="0"/>
                          </a:xfrm>
                          <a:prstGeom prst="line">
                            <a:avLst/>
                          </a:prstGeom>
                          <a:ln w="9525" cap="flat" cmpd="sng">
                            <a:solidFill>
                              <a:srgbClr val="000000"/>
                            </a:solidFill>
                            <a:prstDash val="solid"/>
                            <a:headEnd type="none" w="med" len="med"/>
                            <a:tailEnd type="triangle" w="med" len="med"/>
                          </a:ln>
                        </wps:spPr>
                        <wps:bodyPr upright="1"/>
                      </wps:wsp>
                      <wps:wsp>
                        <wps:cNvPr id="35" name="矩形 35"/>
                        <wps:cNvSpPr/>
                        <wps:spPr>
                          <a:xfrm>
                            <a:off x="5116" y="6120"/>
                            <a:ext cx="1290"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300" w:lineRule="exact"/>
                                <w:ind w:left="0" w:leftChars="0" w:firstLine="0" w:firstLineChars="0"/>
                                <w:rPr>
                                  <w:rFonts w:hint="eastAsia"/>
                                  <w:sz w:val="24"/>
                                </w:rPr>
                              </w:pPr>
                              <w:r>
                                <w:rPr>
                                  <w:rFonts w:hint="eastAsia"/>
                                  <w:sz w:val="24"/>
                                </w:rPr>
                                <w:t>储罐（稀释）</w:t>
                              </w:r>
                            </w:p>
                          </w:txbxContent>
                        </wps:txbx>
                        <wps:bodyPr upright="1"/>
                      </wps:wsp>
                      <wps:wsp>
                        <wps:cNvPr id="39" name="直接连接符 39"/>
                        <wps:cNvCnPr/>
                        <wps:spPr>
                          <a:xfrm>
                            <a:off x="4680" y="6354"/>
                            <a:ext cx="441" cy="0"/>
                          </a:xfrm>
                          <a:prstGeom prst="line">
                            <a:avLst/>
                          </a:prstGeom>
                          <a:ln w="9525" cap="flat" cmpd="sng">
                            <a:solidFill>
                              <a:srgbClr val="000000"/>
                            </a:solidFill>
                            <a:prstDash val="solid"/>
                            <a:headEnd type="none" w="med" len="med"/>
                            <a:tailEnd type="triangle" w="med" len="med"/>
                          </a:ln>
                        </wps:spPr>
                        <wps:bodyPr upright="1"/>
                      </wps:wsp>
                      <wps:wsp>
                        <wps:cNvPr id="40" name="矩形 40"/>
                        <wps:cNvSpPr/>
                        <wps:spPr>
                          <a:xfrm>
                            <a:off x="6853" y="6120"/>
                            <a:ext cx="1046"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300" w:lineRule="exact"/>
                                <w:ind w:left="0" w:leftChars="0" w:firstLine="0" w:firstLineChars="0"/>
                                <w:jc w:val="center"/>
                                <w:rPr>
                                  <w:rFonts w:hint="eastAsia"/>
                                  <w:sz w:val="24"/>
                                </w:rPr>
                              </w:pPr>
                              <w:r>
                                <w:rPr>
                                  <w:rFonts w:hint="eastAsia"/>
                                  <w:sz w:val="24"/>
                                </w:rPr>
                                <w:t>加药泵</w:t>
                              </w:r>
                            </w:p>
                          </w:txbxContent>
                        </wps:txbx>
                        <wps:bodyPr upright="1"/>
                      </wps:wsp>
                      <wps:wsp>
                        <wps:cNvPr id="41" name="矩形 41"/>
                        <wps:cNvSpPr/>
                        <wps:spPr>
                          <a:xfrm>
                            <a:off x="8353" y="6120"/>
                            <a:ext cx="789"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300" w:lineRule="exact"/>
                                <w:ind w:left="0" w:leftChars="0" w:firstLine="0" w:firstLineChars="0"/>
                                <w:jc w:val="left"/>
                                <w:rPr>
                                  <w:sz w:val="24"/>
                                </w:rPr>
                              </w:pPr>
                              <w:r>
                                <w:rPr>
                                  <w:rFonts w:hint="eastAsia"/>
                                  <w:szCs w:val="21"/>
                                </w:rPr>
                                <w:t>投加</w:t>
                              </w:r>
                              <w:r>
                                <w:rPr>
                                  <w:rFonts w:hint="eastAsia"/>
                                  <w:sz w:val="24"/>
                                </w:rPr>
                                <w:t>点</w:t>
                              </w:r>
                            </w:p>
                          </w:txbxContent>
                        </wps:txbx>
                        <wps:bodyPr upright="1"/>
                      </wps:wsp>
                      <wps:wsp>
                        <wps:cNvPr id="42" name="直接连接符 42"/>
                        <wps:cNvCnPr/>
                        <wps:spPr>
                          <a:xfrm>
                            <a:off x="6414" y="6354"/>
                            <a:ext cx="441" cy="0"/>
                          </a:xfrm>
                          <a:prstGeom prst="line">
                            <a:avLst/>
                          </a:prstGeom>
                          <a:ln w="9525" cap="flat" cmpd="sng">
                            <a:solidFill>
                              <a:srgbClr val="000000"/>
                            </a:solidFill>
                            <a:prstDash val="solid"/>
                            <a:headEnd type="none" w="med" len="med"/>
                            <a:tailEnd type="triangle" w="med" len="med"/>
                          </a:ln>
                        </wps:spPr>
                        <wps:bodyPr upright="1"/>
                      </wps:wsp>
                      <wps:wsp>
                        <wps:cNvPr id="56" name="直接连接符 56"/>
                        <wps:cNvCnPr/>
                        <wps:spPr>
                          <a:xfrm>
                            <a:off x="7904" y="6354"/>
                            <a:ext cx="441" cy="0"/>
                          </a:xfrm>
                          <a:prstGeom prst="line">
                            <a:avLst/>
                          </a:prstGeom>
                          <a:ln w="9525" cap="flat" cmpd="sng">
                            <a:solidFill>
                              <a:srgbClr val="000000"/>
                            </a:solidFill>
                            <a:prstDash val="solid"/>
                            <a:headEnd type="none" w="med" len="med"/>
                            <a:tailEnd type="triangle" w="med" len="med"/>
                          </a:ln>
                        </wps:spPr>
                        <wps:bodyPr upright="1"/>
                      </wps:wsp>
                      <wps:wsp>
                        <wps:cNvPr id="58" name="矩形 58"/>
                        <wps:cNvSpPr/>
                        <wps:spPr>
                          <a:xfrm>
                            <a:off x="9592" y="6120"/>
                            <a:ext cx="789"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300" w:lineRule="exact"/>
                                <w:ind w:left="0" w:leftChars="0" w:firstLine="0" w:firstLineChars="0"/>
                                <w:rPr>
                                  <w:rFonts w:hint="eastAsia"/>
                                  <w:sz w:val="24"/>
                                </w:rPr>
                              </w:pPr>
                              <w:r>
                                <w:rPr>
                                  <w:rFonts w:hint="eastAsia"/>
                                  <w:sz w:val="24"/>
                                </w:rPr>
                                <w:t>水池</w:t>
                              </w:r>
                            </w:p>
                          </w:txbxContent>
                        </wps:txbx>
                        <wps:bodyPr upright="1"/>
                      </wps:wsp>
                      <wps:wsp>
                        <wps:cNvPr id="112" name="直接连接符 112"/>
                        <wps:cNvCnPr/>
                        <wps:spPr>
                          <a:xfrm>
                            <a:off x="9143" y="6354"/>
                            <a:ext cx="441" cy="0"/>
                          </a:xfrm>
                          <a:prstGeom prst="line">
                            <a:avLst/>
                          </a:prstGeom>
                          <a:ln w="9525" cap="flat" cmpd="sng">
                            <a:solidFill>
                              <a:srgbClr val="000000"/>
                            </a:solidFill>
                            <a:prstDash val="solid"/>
                            <a:headEnd type="none" w="med" len="med"/>
                            <a:tailEnd type="triangle" w="med" len="med"/>
                          </a:ln>
                        </wps:spPr>
                        <wps:bodyPr upright="1"/>
                      </wps:wsp>
                    </wpg:wgp>
                  </a:graphicData>
                </a:graphic>
              </wp:anchor>
            </w:drawing>
          </mc:Choice>
          <mc:Fallback>
            <w:pict>
              <v:group id="_x0000_s1026" o:spid="_x0000_s1026" o:spt="203" style="position:absolute;left:0pt;margin-left:-63.75pt;margin-top:15.6pt;height:23.4pt;width:547pt;z-index:875301888;mso-width-relative:page;mso-height-relative:page;" coordorigin="1929,6120" coordsize="8452,468" o:gfxdata="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">
                <o:lock v:ext="edit" aspectratio="f"/>
                <v:rect id="_x0000_s1026" o:spid="_x0000_s1026" o:spt="1" style="position:absolute;left:3739;top:6120;height:468;width:932;" fillcolor="#FFFFFF" filled="t" stroked="t" coordsize="21600,21600" o:gfxdata="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G3eR2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spacing w:line="300" w:lineRule="exact"/>
                          <w:ind w:left="0" w:leftChars="0" w:firstLine="0" w:firstLineChars="0"/>
                          <w:rPr>
                            <w:rFonts w:hint="eastAsia"/>
                            <w:sz w:val="24"/>
                          </w:rPr>
                        </w:pPr>
                        <w:r>
                          <w:rPr>
                            <w:rFonts w:hint="eastAsia"/>
                            <w:sz w:val="24"/>
                          </w:rPr>
                          <w:t>提升泵</w:t>
                        </w:r>
                      </w:p>
                    </w:txbxContent>
                  </v:textbox>
                </v:rect>
                <v:rect id="_x0000_s1026" o:spid="_x0000_s1026" o:spt="1" style="position:absolute;left:1929;top:6185;height:328;width:1130;" filled="f" stroked="f" coordsize="21600,21600" o:gfxdata="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qGMY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line="300" w:lineRule="exact"/>
                          <w:jc w:val="right"/>
                          <w:rPr>
                            <w:rFonts w:hint="eastAsia"/>
                            <w:sz w:val="24"/>
                          </w:rPr>
                        </w:pPr>
                        <w:r>
                          <w:rPr>
                            <w:rFonts w:hint="eastAsia"/>
                            <w:sz w:val="24"/>
                          </w:rPr>
                          <w:t>原液</w:t>
                        </w:r>
                      </w:p>
                    </w:txbxContent>
                  </v:textbox>
                </v:rect>
                <v:line id="_x0000_s1026" o:spid="_x0000_s1026" o:spt="20" style="position:absolute;left:3107;top:6354;height:0;width:640;" filled="f" stroked="t" coordsize="21600,21600" o:gfxdata="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0npsi/&#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_x0000_s1026" o:spid="_x0000_s1026" o:spt="1" style="position:absolute;left:5116;top:6120;height:468;width:1290;" fillcolor="#FFFFFF" filled="t" stroked="t" coordsize="21600,21600" o:gfxdata="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5e4Wm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spacing w:line="300" w:lineRule="exact"/>
                          <w:ind w:left="0" w:leftChars="0" w:firstLine="0" w:firstLineChars="0"/>
                          <w:rPr>
                            <w:rFonts w:hint="eastAsia"/>
                            <w:sz w:val="24"/>
                          </w:rPr>
                        </w:pPr>
                        <w:r>
                          <w:rPr>
                            <w:rFonts w:hint="eastAsia"/>
                            <w:sz w:val="24"/>
                          </w:rPr>
                          <w:t>储罐（稀释）</w:t>
                        </w:r>
                      </w:p>
                    </w:txbxContent>
                  </v:textbox>
                </v:rect>
                <v:line id="_x0000_s1026" o:spid="_x0000_s1026" o:spt="20" style="position:absolute;left:4680;top:6354;height:0;width:441;" filled="f" stroked="t" coordsize="21600,21600" o:gfxdata="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MmCVa/&#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_x0000_s1026" o:spid="_x0000_s1026" o:spt="1" style="position:absolute;left:6853;top:6120;height:468;width:1046;" fillcolor="#FFFFFF" filled="t" stroked="t" coordsize="21600,21600" o:gfxdata="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WLzGM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spacing w:line="300" w:lineRule="exact"/>
                          <w:ind w:left="0" w:leftChars="0" w:firstLine="0" w:firstLineChars="0"/>
                          <w:jc w:val="center"/>
                          <w:rPr>
                            <w:rFonts w:hint="eastAsia"/>
                            <w:sz w:val="24"/>
                          </w:rPr>
                        </w:pPr>
                        <w:r>
                          <w:rPr>
                            <w:rFonts w:hint="eastAsia"/>
                            <w:sz w:val="24"/>
                          </w:rPr>
                          <w:t>加药泵</w:t>
                        </w:r>
                      </w:p>
                    </w:txbxContent>
                  </v:textbox>
                </v:rect>
                <v:rect id="_x0000_s1026" o:spid="_x0000_s1026" o:spt="1" style="position:absolute;left:8353;top:6120;height:468;width:789;" fillcolor="#FFFFFF" filled="t" stroked="t" coordsize="21600,21600" o:gfxdata="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5Y5QX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spacing w:line="300" w:lineRule="exact"/>
                          <w:ind w:left="0" w:leftChars="0" w:firstLine="0" w:firstLineChars="0"/>
                          <w:jc w:val="left"/>
                          <w:rPr>
                            <w:sz w:val="24"/>
                          </w:rPr>
                        </w:pPr>
                        <w:r>
                          <w:rPr>
                            <w:rFonts w:hint="eastAsia"/>
                            <w:szCs w:val="21"/>
                          </w:rPr>
                          <w:t>投加</w:t>
                        </w:r>
                        <w:r>
                          <w:rPr>
                            <w:rFonts w:hint="eastAsia"/>
                            <w:sz w:val="24"/>
                          </w:rPr>
                          <w:t>点</w:t>
                        </w:r>
                      </w:p>
                    </w:txbxContent>
                  </v:textbox>
                </v:rect>
                <v:line id="_x0000_s1026" o:spid="_x0000_s1026" o:spt="20" style="position:absolute;left:6414;top:6354;height:0;width:441;" filled="f" stroked="t" coordsize="21600,21600" o:gfxdata="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WE6Fq/&#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7904;top:6354;height:0;width:441;" filled="f" stroked="t" coordsize="21600,21600" o:gfxdata="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9meIS/&#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_x0000_s1026" o:spid="_x0000_s1026" o:spt="1" style="position:absolute;left:9592;top:6120;height:468;width:789;" fillcolor="#FFFFFF" filled="t" stroked="t" coordsize="21600,21600" o:gfxdata="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tgKtX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spacing w:line="300" w:lineRule="exact"/>
                          <w:ind w:left="0" w:leftChars="0" w:firstLine="0" w:firstLineChars="0"/>
                          <w:rPr>
                            <w:rFonts w:hint="eastAsia"/>
                            <w:sz w:val="24"/>
                          </w:rPr>
                        </w:pPr>
                        <w:r>
                          <w:rPr>
                            <w:rFonts w:hint="eastAsia"/>
                            <w:sz w:val="24"/>
                          </w:rPr>
                          <w:t>水池</w:t>
                        </w:r>
                      </w:p>
                    </w:txbxContent>
                  </v:textbox>
                </v:rect>
                <v:line id="_x0000_s1026" o:spid="_x0000_s1026" o:spt="20" style="position:absolute;left:9143;top:6354;height:0;width:441;" filled="f" stroked="t" coordsize="21600,21600" o:gfxdata="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pTh7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group>
            </w:pict>
          </mc:Fallback>
        </mc:AlternateContent>
      </w:r>
    </w:p>
    <w:p>
      <w:pPr>
        <w:spacing w:line="600" w:lineRule="exact"/>
        <w:ind w:firstLine="590" w:firstLineChars="196"/>
        <w:rPr>
          <w:rFonts w:hint="eastAsia"/>
          <w:b/>
          <w:sz w:val="30"/>
        </w:rPr>
      </w:pPr>
    </w:p>
    <w:p>
      <w:pPr>
        <w:pStyle w:val="6"/>
      </w:pPr>
      <w:r>
        <w:rPr>
          <w:rFonts w:hint="eastAsia"/>
        </w:rPr>
        <w:t>主要原、辅材料</w:t>
      </w:r>
    </w:p>
    <w:p>
      <w:pPr>
        <w:ind w:firstLine="560"/>
      </w:pPr>
      <w:r>
        <w:rPr>
          <w:rFonts w:hint="eastAsia"/>
        </w:rPr>
        <w:t>本公司的主要原料名称及用量详见</w:t>
      </w:r>
      <w:r>
        <w:fldChar w:fldCharType="begin"/>
      </w:r>
      <w:r>
        <w:instrText xml:space="preserve"> </w:instrText>
      </w:r>
      <w:r>
        <w:rPr>
          <w:rFonts w:hint="eastAsia"/>
        </w:rPr>
        <w:instrText xml:space="preserve">REF _Ref526947812 \h</w:instrText>
      </w:r>
      <w:r>
        <w:instrText xml:space="preserve"> </w:instrText>
      </w:r>
      <w:r>
        <w:fldChar w:fldCharType="separate"/>
      </w:r>
      <w:r>
        <w:rPr>
          <w:rFonts w:hint="eastAsia"/>
        </w:rPr>
        <w:t xml:space="preserve">表 </w:t>
      </w:r>
      <w:r>
        <w:t>2</w:t>
      </w:r>
      <w:r>
        <w:noBreakHyphen/>
      </w:r>
      <w:r>
        <w:rPr>
          <w:rFonts w:hint="eastAsia"/>
          <w:lang w:val="en-US" w:eastAsia="zh-CN"/>
        </w:rPr>
        <w:t>2</w:t>
      </w:r>
      <w:r>
        <w:fldChar w:fldCharType="end"/>
      </w:r>
      <w:r>
        <w:rPr>
          <w:rFonts w:hint="eastAsia"/>
        </w:rPr>
        <w:t>。</w:t>
      </w:r>
    </w:p>
    <w:p>
      <w:pPr>
        <w:pStyle w:val="8"/>
        <w:keepNext/>
      </w:pPr>
      <w:bookmarkStart w:id="12" w:name="_Ref526947812"/>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2</w:t>
      </w:r>
      <w:r>
        <w:fldChar w:fldCharType="end"/>
      </w:r>
      <w:r>
        <w:noBreakHyphen/>
      </w:r>
      <w:bookmarkEnd w:id="12"/>
      <w:r>
        <w:rPr>
          <w:rFonts w:hint="eastAsia"/>
          <w:lang w:val="en-US" w:eastAsia="zh-CN"/>
        </w:rPr>
        <w:t>2</w:t>
      </w:r>
      <w:r>
        <w:rPr>
          <w:rFonts w:hint="eastAsia"/>
        </w:rPr>
        <w:t>主要原辅材料情况一览表</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3"/>
        <w:gridCol w:w="2511"/>
        <w:gridCol w:w="1569"/>
        <w:gridCol w:w="2266"/>
        <w:gridCol w:w="20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contextualSpacing/>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序号</w:t>
            </w:r>
          </w:p>
        </w:tc>
        <w:tc>
          <w:tcPr>
            <w:tcW w:w="1343" w:type="pct"/>
            <w:vAlign w:val="center"/>
          </w:tcPr>
          <w:p>
            <w:pPr>
              <w:pStyle w:val="29"/>
              <w:kinsoku w:val="0"/>
              <w:overflowPunct w:val="0"/>
              <w:contextualSpacing/>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物料名称及主要成分</w:t>
            </w:r>
          </w:p>
        </w:tc>
        <w:tc>
          <w:tcPr>
            <w:tcW w:w="839" w:type="pct"/>
            <w:vAlign w:val="center"/>
          </w:tcPr>
          <w:p>
            <w:pPr>
              <w:pStyle w:val="29"/>
              <w:kinsoku w:val="0"/>
              <w:overflowPunct w:val="0"/>
              <w:contextualSpacing/>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用途</w:t>
            </w:r>
          </w:p>
        </w:tc>
        <w:tc>
          <w:tcPr>
            <w:tcW w:w="1212" w:type="pct"/>
            <w:vAlign w:val="center"/>
          </w:tcPr>
          <w:p>
            <w:pPr>
              <w:pStyle w:val="29"/>
              <w:kinsoku w:val="0"/>
              <w:overflowPunct w:val="0"/>
              <w:contextualSpacing/>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年</w:t>
            </w:r>
            <w:r>
              <w:rPr>
                <w:rFonts w:ascii="Times New Roman" w:hAnsi="Times New Roman" w:eastAsia="宋体" w:cs="Times New Roman"/>
                <w:sz w:val="21"/>
                <w:szCs w:val="21"/>
                <w:lang w:eastAsia="zh-CN"/>
              </w:rPr>
              <w:t>产量、消耗量</w:t>
            </w:r>
          </w:p>
        </w:tc>
        <w:tc>
          <w:tcPr>
            <w:tcW w:w="1115" w:type="pct"/>
            <w:vAlign w:val="center"/>
          </w:tcPr>
          <w:p>
            <w:pPr>
              <w:pStyle w:val="29"/>
              <w:kinsoku w:val="0"/>
              <w:overflowPunct w:val="0"/>
              <w:contextualSpacing/>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存储</w:t>
            </w:r>
          </w:p>
          <w:p>
            <w:pPr>
              <w:pStyle w:val="29"/>
              <w:kinsoku w:val="0"/>
              <w:overflowPunct w:val="0"/>
              <w:contextualSpacing/>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形式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contextualSpacing/>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1</w:t>
            </w:r>
          </w:p>
        </w:tc>
        <w:tc>
          <w:tcPr>
            <w:tcW w:w="1343" w:type="pct"/>
            <w:vAlign w:val="center"/>
          </w:tcPr>
          <w:p>
            <w:pPr>
              <w:pStyle w:val="29"/>
              <w:kinsoku w:val="0"/>
              <w:overflowPunct w:val="0"/>
              <w:contextualSpacing/>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赣江原水</w:t>
            </w:r>
          </w:p>
        </w:tc>
        <w:tc>
          <w:tcPr>
            <w:tcW w:w="839" w:type="pct"/>
            <w:vAlign w:val="center"/>
          </w:tcPr>
          <w:p>
            <w:pPr>
              <w:pStyle w:val="29"/>
              <w:kinsoku w:val="0"/>
              <w:overflowPunct w:val="0"/>
              <w:contextualSpacing/>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原料</w:t>
            </w:r>
          </w:p>
        </w:tc>
        <w:tc>
          <w:tcPr>
            <w:tcW w:w="1212"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2614万t</w:t>
            </w:r>
          </w:p>
        </w:tc>
        <w:tc>
          <w:tcPr>
            <w:tcW w:w="1115"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sz w:val="21"/>
                <w:szCs w:val="21"/>
                <w:lang w:eastAsia="zh-CN"/>
              </w:rPr>
              <w:t>2</w:t>
            </w:r>
          </w:p>
        </w:tc>
        <w:tc>
          <w:tcPr>
            <w:tcW w:w="1343" w:type="pct"/>
            <w:vAlign w:val="center"/>
          </w:tcPr>
          <w:p>
            <w:pPr>
              <w:pStyle w:val="29"/>
              <w:kinsoku w:val="0"/>
              <w:overflowPunct w:val="0"/>
              <w:contextualSpacing/>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eastAsia="zh-CN"/>
              </w:rPr>
              <w:t>净水剂（聚合氯化铝）</w:t>
            </w:r>
          </w:p>
        </w:tc>
        <w:tc>
          <w:tcPr>
            <w:tcW w:w="839"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净水剂</w:t>
            </w:r>
          </w:p>
        </w:tc>
        <w:tc>
          <w:tcPr>
            <w:tcW w:w="1212" w:type="pct"/>
            <w:vAlign w:val="center"/>
          </w:tcPr>
          <w:p>
            <w:pPr>
              <w:pStyle w:val="29"/>
              <w:kinsoku w:val="0"/>
              <w:overflowPunct w:val="0"/>
              <w:ind w:firstLine="0" w:firstLineChars="0"/>
              <w:contextualSpacing/>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365t</w:t>
            </w:r>
          </w:p>
        </w:tc>
        <w:tc>
          <w:tcPr>
            <w:tcW w:w="1115" w:type="pct"/>
            <w:vAlign w:val="center"/>
          </w:tcPr>
          <w:p>
            <w:pPr>
              <w:pStyle w:val="29"/>
              <w:kinsoku w:val="0"/>
              <w:overflowPunct w:val="0"/>
              <w:ind w:firstLine="0" w:firstLineChars="0"/>
              <w:contextualSpacing/>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净水系统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sz w:val="21"/>
                <w:szCs w:val="21"/>
                <w:lang w:eastAsia="zh-CN"/>
              </w:rPr>
              <w:t>3</w:t>
            </w:r>
          </w:p>
        </w:tc>
        <w:tc>
          <w:tcPr>
            <w:tcW w:w="1343" w:type="pct"/>
            <w:vAlign w:val="center"/>
          </w:tcPr>
          <w:p>
            <w:pPr>
              <w:pStyle w:val="29"/>
              <w:kinsoku w:val="0"/>
              <w:overflowPunct w:val="0"/>
              <w:contextualSpacing/>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eastAsia="zh-CN"/>
              </w:rPr>
              <w:t>消毒剂（次氯酸钠）</w:t>
            </w:r>
          </w:p>
        </w:tc>
        <w:tc>
          <w:tcPr>
            <w:tcW w:w="839" w:type="pct"/>
            <w:vAlign w:val="center"/>
          </w:tcPr>
          <w:p>
            <w:pPr>
              <w:pStyle w:val="29"/>
              <w:kinsoku w:val="0"/>
              <w:overflowPunct w:val="0"/>
              <w:contextualSpacing/>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消毒剂</w:t>
            </w:r>
          </w:p>
        </w:tc>
        <w:tc>
          <w:tcPr>
            <w:tcW w:w="1212"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240t</w:t>
            </w:r>
          </w:p>
        </w:tc>
        <w:tc>
          <w:tcPr>
            <w:tcW w:w="1115" w:type="pct"/>
            <w:vAlign w:val="center"/>
          </w:tcPr>
          <w:p>
            <w:pPr>
              <w:pStyle w:val="29"/>
              <w:kinsoku w:val="0"/>
              <w:overflowPunct w:val="0"/>
              <w:contextualSpacing/>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次氯酸钠间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sz w:val="21"/>
                <w:szCs w:val="21"/>
                <w:lang w:eastAsia="zh-CN"/>
              </w:rPr>
              <w:t>4</w:t>
            </w:r>
          </w:p>
        </w:tc>
        <w:tc>
          <w:tcPr>
            <w:tcW w:w="1343" w:type="pct"/>
            <w:vAlign w:val="center"/>
          </w:tcPr>
          <w:p>
            <w:pPr>
              <w:pStyle w:val="29"/>
              <w:kinsoku w:val="0"/>
              <w:overflowPunct w:val="0"/>
              <w:contextualSpacing/>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eastAsia="zh-CN"/>
              </w:rPr>
              <w:t>PAM（阴）</w:t>
            </w:r>
          </w:p>
        </w:tc>
        <w:tc>
          <w:tcPr>
            <w:tcW w:w="839" w:type="pct"/>
            <w:vAlign w:val="center"/>
          </w:tcPr>
          <w:p>
            <w:pPr>
              <w:pStyle w:val="29"/>
              <w:kinsoku w:val="0"/>
              <w:overflowPunct w:val="0"/>
              <w:contextualSpacing/>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絮凝剂</w:t>
            </w:r>
          </w:p>
        </w:tc>
        <w:tc>
          <w:tcPr>
            <w:tcW w:w="1212" w:type="pct"/>
            <w:vAlign w:val="center"/>
          </w:tcPr>
          <w:p>
            <w:pPr>
              <w:pStyle w:val="29"/>
              <w:kinsoku w:val="0"/>
              <w:overflowPunct w:val="0"/>
              <w:contextualSpacing/>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eastAsia="zh-CN"/>
              </w:rPr>
              <w:t>1927.2kg</w:t>
            </w:r>
          </w:p>
        </w:tc>
        <w:tc>
          <w:tcPr>
            <w:tcW w:w="1115" w:type="pct"/>
            <w:vAlign w:val="center"/>
          </w:tcPr>
          <w:p>
            <w:pPr>
              <w:pStyle w:val="29"/>
              <w:kinsoku w:val="0"/>
              <w:overflowPunct w:val="0"/>
              <w:contextualSpacing/>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脱水</w:t>
            </w:r>
            <w:r>
              <w:rPr>
                <w:rFonts w:ascii="Times New Roman" w:hAnsi="Times New Roman" w:eastAsia="宋体" w:cs="Times New Roman"/>
                <w:sz w:val="21"/>
                <w:szCs w:val="21"/>
                <w:lang w:eastAsia="zh-CN"/>
              </w:rPr>
              <w:t>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sz w:val="21"/>
                <w:szCs w:val="21"/>
                <w:lang w:eastAsia="zh-CN"/>
              </w:rPr>
              <w:t>5</w:t>
            </w:r>
          </w:p>
        </w:tc>
        <w:tc>
          <w:tcPr>
            <w:tcW w:w="1343" w:type="pct"/>
            <w:vAlign w:val="center"/>
          </w:tcPr>
          <w:p>
            <w:pPr>
              <w:pStyle w:val="29"/>
              <w:kinsoku w:val="0"/>
              <w:overflowPunct w:val="0"/>
              <w:contextualSpacing/>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eastAsia="zh-CN"/>
              </w:rPr>
              <w:t>PAM（阳）</w:t>
            </w:r>
          </w:p>
        </w:tc>
        <w:tc>
          <w:tcPr>
            <w:tcW w:w="839" w:type="pct"/>
            <w:vAlign w:val="center"/>
          </w:tcPr>
          <w:p>
            <w:pPr>
              <w:pStyle w:val="29"/>
              <w:kinsoku w:val="0"/>
              <w:overflowPunct w:val="0"/>
              <w:contextualSpacing/>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eastAsia="zh-CN"/>
              </w:rPr>
              <w:t>絮凝剂</w:t>
            </w:r>
          </w:p>
        </w:tc>
        <w:tc>
          <w:tcPr>
            <w:tcW w:w="1212" w:type="pct"/>
            <w:vAlign w:val="center"/>
          </w:tcPr>
          <w:p>
            <w:pPr>
              <w:pStyle w:val="29"/>
              <w:kinsoku w:val="0"/>
              <w:overflowPunct w:val="0"/>
              <w:contextualSpacing/>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eastAsia="zh-CN"/>
              </w:rPr>
              <w:t>6351 kg</w:t>
            </w:r>
          </w:p>
        </w:tc>
        <w:tc>
          <w:tcPr>
            <w:tcW w:w="1115"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脱水</w:t>
            </w:r>
            <w:r>
              <w:rPr>
                <w:rFonts w:ascii="Times New Roman" w:hAnsi="Times New Roman" w:eastAsia="宋体" w:cs="Times New Roman"/>
                <w:sz w:val="21"/>
                <w:szCs w:val="21"/>
                <w:lang w:eastAsia="zh-CN"/>
              </w:rPr>
              <w:t>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sz w:val="21"/>
                <w:szCs w:val="21"/>
                <w:lang w:eastAsia="zh-CN"/>
              </w:rPr>
              <w:t>6</w:t>
            </w:r>
          </w:p>
        </w:tc>
        <w:tc>
          <w:tcPr>
            <w:tcW w:w="1343" w:type="pct"/>
            <w:vAlign w:val="center"/>
          </w:tcPr>
          <w:p>
            <w:pPr>
              <w:pStyle w:val="29"/>
              <w:kinsoku w:val="0"/>
              <w:overflowPunct w:val="0"/>
              <w:contextualSpacing/>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氯化钡</w:t>
            </w:r>
          </w:p>
        </w:tc>
        <w:tc>
          <w:tcPr>
            <w:tcW w:w="839" w:type="pct"/>
            <w:vAlign w:val="center"/>
          </w:tcPr>
          <w:p>
            <w:pPr>
              <w:pStyle w:val="29"/>
              <w:kinsoku w:val="0"/>
              <w:overflowPunct w:val="0"/>
              <w:ind w:firstLine="0" w:firstLineChars="0"/>
              <w:contextualSpacing/>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化验试剂</w:t>
            </w:r>
          </w:p>
        </w:tc>
        <w:tc>
          <w:tcPr>
            <w:tcW w:w="1212"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100g</w:t>
            </w:r>
          </w:p>
        </w:tc>
        <w:tc>
          <w:tcPr>
            <w:tcW w:w="1115" w:type="pct"/>
            <w:vAlign w:val="center"/>
          </w:tcPr>
          <w:p>
            <w:pPr>
              <w:pStyle w:val="29"/>
              <w:kinsoku w:val="0"/>
              <w:overflowPunct w:val="0"/>
              <w:ind w:firstLine="0" w:firstLineChars="0"/>
              <w:contextualSpacing/>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化验室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sz w:val="21"/>
                <w:szCs w:val="21"/>
                <w:lang w:eastAsia="zh-CN"/>
              </w:rPr>
              <w:t>7</w:t>
            </w:r>
          </w:p>
        </w:tc>
        <w:tc>
          <w:tcPr>
            <w:tcW w:w="1343" w:type="pct"/>
            <w:vAlign w:val="center"/>
          </w:tcPr>
          <w:p>
            <w:pPr>
              <w:pStyle w:val="29"/>
              <w:kinsoku w:val="0"/>
              <w:overflowPunct w:val="0"/>
              <w:contextualSpacing/>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氯化钴</w:t>
            </w:r>
          </w:p>
        </w:tc>
        <w:tc>
          <w:tcPr>
            <w:tcW w:w="839"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化验试剂</w:t>
            </w:r>
          </w:p>
        </w:tc>
        <w:tc>
          <w:tcPr>
            <w:tcW w:w="1212"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5g</w:t>
            </w:r>
          </w:p>
        </w:tc>
        <w:tc>
          <w:tcPr>
            <w:tcW w:w="1115" w:type="pct"/>
            <w:vAlign w:val="center"/>
          </w:tcPr>
          <w:p>
            <w:pPr>
              <w:pStyle w:val="29"/>
              <w:kinsoku w:val="0"/>
              <w:overflowPunct w:val="0"/>
              <w:ind w:firstLine="0" w:firstLineChars="0"/>
              <w:contextualSpacing/>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ind w:firstLine="0" w:firstLineChars="0"/>
              <w:contextualSpacing/>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8</w:t>
            </w:r>
          </w:p>
        </w:tc>
        <w:tc>
          <w:tcPr>
            <w:tcW w:w="1343" w:type="pct"/>
            <w:vAlign w:val="center"/>
          </w:tcPr>
          <w:p>
            <w:pPr>
              <w:pStyle w:val="29"/>
              <w:kinsoku w:val="0"/>
              <w:overflowPunct w:val="0"/>
              <w:contextualSpacing/>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氯化铵</w:t>
            </w:r>
          </w:p>
        </w:tc>
        <w:tc>
          <w:tcPr>
            <w:tcW w:w="839"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化验试剂</w:t>
            </w:r>
          </w:p>
        </w:tc>
        <w:tc>
          <w:tcPr>
            <w:tcW w:w="1212"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5g</w:t>
            </w:r>
          </w:p>
        </w:tc>
        <w:tc>
          <w:tcPr>
            <w:tcW w:w="1115" w:type="pct"/>
            <w:vAlign w:val="center"/>
          </w:tcPr>
          <w:p>
            <w:pPr>
              <w:pStyle w:val="29"/>
              <w:kinsoku w:val="0"/>
              <w:overflowPunct w:val="0"/>
              <w:ind w:firstLine="0" w:firstLineChars="0"/>
              <w:contextualSpacing/>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ind w:firstLine="0" w:firstLineChars="0"/>
              <w:contextualSpacing/>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9</w:t>
            </w:r>
          </w:p>
        </w:tc>
        <w:tc>
          <w:tcPr>
            <w:tcW w:w="1343" w:type="pct"/>
            <w:vAlign w:val="center"/>
          </w:tcPr>
          <w:p>
            <w:pPr>
              <w:pStyle w:val="29"/>
              <w:kinsoku w:val="0"/>
              <w:overflowPunct w:val="0"/>
              <w:contextualSpacing/>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氯铂酸钾</w:t>
            </w:r>
          </w:p>
        </w:tc>
        <w:tc>
          <w:tcPr>
            <w:tcW w:w="839"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化验试剂</w:t>
            </w:r>
          </w:p>
        </w:tc>
        <w:tc>
          <w:tcPr>
            <w:tcW w:w="1212"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5g</w:t>
            </w:r>
          </w:p>
        </w:tc>
        <w:tc>
          <w:tcPr>
            <w:tcW w:w="1115"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ind w:firstLine="0" w:firstLineChars="0"/>
              <w:contextualSpacing/>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10</w:t>
            </w:r>
          </w:p>
        </w:tc>
        <w:tc>
          <w:tcPr>
            <w:tcW w:w="1343" w:type="pct"/>
            <w:vAlign w:val="center"/>
          </w:tcPr>
          <w:p>
            <w:pPr>
              <w:pStyle w:val="29"/>
              <w:kinsoku w:val="0"/>
              <w:overflowPunct w:val="0"/>
              <w:contextualSpacing/>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苯二甲酸氢钾</w:t>
            </w:r>
          </w:p>
        </w:tc>
        <w:tc>
          <w:tcPr>
            <w:tcW w:w="839"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化验试剂</w:t>
            </w:r>
          </w:p>
        </w:tc>
        <w:tc>
          <w:tcPr>
            <w:tcW w:w="1212"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300g</w:t>
            </w:r>
          </w:p>
        </w:tc>
        <w:tc>
          <w:tcPr>
            <w:tcW w:w="1115"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ind w:firstLine="0" w:firstLineChars="0"/>
              <w:contextualSpacing/>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11</w:t>
            </w:r>
          </w:p>
        </w:tc>
        <w:tc>
          <w:tcPr>
            <w:tcW w:w="1343" w:type="pct"/>
            <w:vAlign w:val="center"/>
          </w:tcPr>
          <w:p>
            <w:pPr>
              <w:pStyle w:val="29"/>
              <w:kinsoku w:val="0"/>
              <w:overflowPunct w:val="0"/>
              <w:contextualSpacing/>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磷酸二氢钾</w:t>
            </w:r>
          </w:p>
        </w:tc>
        <w:tc>
          <w:tcPr>
            <w:tcW w:w="839"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化验试剂</w:t>
            </w:r>
          </w:p>
        </w:tc>
        <w:tc>
          <w:tcPr>
            <w:tcW w:w="1212"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200g</w:t>
            </w:r>
          </w:p>
        </w:tc>
        <w:tc>
          <w:tcPr>
            <w:tcW w:w="1115"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12</w:t>
            </w:r>
          </w:p>
        </w:tc>
        <w:tc>
          <w:tcPr>
            <w:tcW w:w="1343" w:type="pct"/>
            <w:vAlign w:val="center"/>
          </w:tcPr>
          <w:p>
            <w:pPr>
              <w:pStyle w:val="29"/>
              <w:kinsoku w:val="0"/>
              <w:overflowPunct w:val="0"/>
              <w:contextualSpacing/>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硫酸二氢钠</w:t>
            </w:r>
          </w:p>
        </w:tc>
        <w:tc>
          <w:tcPr>
            <w:tcW w:w="839"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化验试剂</w:t>
            </w:r>
          </w:p>
        </w:tc>
        <w:tc>
          <w:tcPr>
            <w:tcW w:w="1212"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200g</w:t>
            </w:r>
          </w:p>
        </w:tc>
        <w:tc>
          <w:tcPr>
            <w:tcW w:w="1115"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13</w:t>
            </w:r>
          </w:p>
        </w:tc>
        <w:tc>
          <w:tcPr>
            <w:tcW w:w="1343" w:type="pct"/>
            <w:vAlign w:val="center"/>
          </w:tcPr>
          <w:p>
            <w:pPr>
              <w:pStyle w:val="29"/>
              <w:kinsoku w:val="0"/>
              <w:overflowPunct w:val="0"/>
              <w:contextualSpacing/>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硼酸钠</w:t>
            </w:r>
          </w:p>
        </w:tc>
        <w:tc>
          <w:tcPr>
            <w:tcW w:w="839"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化验试剂</w:t>
            </w:r>
          </w:p>
        </w:tc>
        <w:tc>
          <w:tcPr>
            <w:tcW w:w="1212"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4g</w:t>
            </w:r>
          </w:p>
        </w:tc>
        <w:tc>
          <w:tcPr>
            <w:tcW w:w="1115"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14</w:t>
            </w:r>
          </w:p>
        </w:tc>
        <w:tc>
          <w:tcPr>
            <w:tcW w:w="1343" w:type="pct"/>
            <w:vAlign w:val="center"/>
          </w:tcPr>
          <w:p>
            <w:pPr>
              <w:pStyle w:val="29"/>
              <w:kinsoku w:val="0"/>
              <w:overflowPunct w:val="0"/>
              <w:contextualSpacing/>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硫酸亚铁铵</w:t>
            </w:r>
          </w:p>
        </w:tc>
        <w:tc>
          <w:tcPr>
            <w:tcW w:w="839"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sz w:val="21"/>
                <w:szCs w:val="21"/>
                <w:highlight w:val="none"/>
                <w:lang w:eastAsia="zh-CN"/>
              </w:rPr>
              <w:t>化验试剂</w:t>
            </w:r>
          </w:p>
        </w:tc>
        <w:tc>
          <w:tcPr>
            <w:tcW w:w="1212" w:type="pct"/>
            <w:vAlign w:val="center"/>
          </w:tcPr>
          <w:p>
            <w:pPr>
              <w:pStyle w:val="29"/>
              <w:kinsoku w:val="0"/>
              <w:overflowPunct w:val="0"/>
              <w:contextualSpacing/>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25g</w:t>
            </w:r>
          </w:p>
        </w:tc>
        <w:tc>
          <w:tcPr>
            <w:tcW w:w="1115"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sz w:val="21"/>
                <w:szCs w:val="21"/>
                <w:highlight w:val="none"/>
                <w:lang w:eastAsia="zh-CN"/>
              </w:rPr>
              <w:t>化验室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15</w:t>
            </w:r>
          </w:p>
        </w:tc>
        <w:tc>
          <w:tcPr>
            <w:tcW w:w="1343" w:type="pct"/>
            <w:vAlign w:val="center"/>
          </w:tcPr>
          <w:p>
            <w:pPr>
              <w:pStyle w:val="29"/>
              <w:kinsoku w:val="0"/>
              <w:overflowPunct w:val="0"/>
              <w:contextualSpacing/>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硫酸铝钾</w:t>
            </w:r>
          </w:p>
        </w:tc>
        <w:tc>
          <w:tcPr>
            <w:tcW w:w="839"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化验试剂</w:t>
            </w:r>
          </w:p>
        </w:tc>
        <w:tc>
          <w:tcPr>
            <w:tcW w:w="1212"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250g</w:t>
            </w:r>
          </w:p>
        </w:tc>
        <w:tc>
          <w:tcPr>
            <w:tcW w:w="1115"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16</w:t>
            </w:r>
          </w:p>
        </w:tc>
        <w:tc>
          <w:tcPr>
            <w:tcW w:w="1343" w:type="pct"/>
            <w:vAlign w:val="center"/>
          </w:tcPr>
          <w:p>
            <w:pPr>
              <w:pStyle w:val="29"/>
              <w:kinsoku w:val="0"/>
              <w:overflowPunct w:val="0"/>
              <w:contextualSpacing/>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酚酞</w:t>
            </w:r>
          </w:p>
        </w:tc>
        <w:tc>
          <w:tcPr>
            <w:tcW w:w="839"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化验试剂</w:t>
            </w:r>
          </w:p>
        </w:tc>
        <w:tc>
          <w:tcPr>
            <w:tcW w:w="1212"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10g</w:t>
            </w:r>
          </w:p>
        </w:tc>
        <w:tc>
          <w:tcPr>
            <w:tcW w:w="1115" w:type="pct"/>
            <w:vAlign w:val="center"/>
          </w:tcPr>
          <w:p>
            <w:pPr>
              <w:pStyle w:val="29"/>
              <w:kinsoku w:val="0"/>
              <w:overflowPunct w:val="0"/>
              <w:ind w:firstLine="0" w:firstLineChars="0"/>
              <w:contextualSpacing/>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17</w:t>
            </w:r>
          </w:p>
        </w:tc>
        <w:tc>
          <w:tcPr>
            <w:tcW w:w="1343" w:type="pct"/>
            <w:vAlign w:val="center"/>
          </w:tcPr>
          <w:p>
            <w:pPr>
              <w:pStyle w:val="29"/>
              <w:kinsoku w:val="0"/>
              <w:overflowPunct w:val="0"/>
              <w:contextualSpacing/>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无水碳酸钠</w:t>
            </w:r>
          </w:p>
        </w:tc>
        <w:tc>
          <w:tcPr>
            <w:tcW w:w="839"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化验试剂</w:t>
            </w:r>
          </w:p>
        </w:tc>
        <w:tc>
          <w:tcPr>
            <w:tcW w:w="1212"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20g</w:t>
            </w:r>
          </w:p>
        </w:tc>
        <w:tc>
          <w:tcPr>
            <w:tcW w:w="1115" w:type="pct"/>
            <w:vAlign w:val="center"/>
          </w:tcPr>
          <w:p>
            <w:pPr>
              <w:pStyle w:val="29"/>
              <w:kinsoku w:val="0"/>
              <w:overflowPunct w:val="0"/>
              <w:ind w:firstLine="0" w:firstLineChars="0"/>
              <w:contextualSpacing/>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18</w:t>
            </w:r>
          </w:p>
        </w:tc>
        <w:tc>
          <w:tcPr>
            <w:tcW w:w="1343" w:type="pct"/>
            <w:vAlign w:val="center"/>
          </w:tcPr>
          <w:p>
            <w:pPr>
              <w:pStyle w:val="29"/>
              <w:kinsoku w:val="0"/>
              <w:overflowPunct w:val="0"/>
              <w:contextualSpacing/>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硝酸镧</w:t>
            </w:r>
          </w:p>
        </w:tc>
        <w:tc>
          <w:tcPr>
            <w:tcW w:w="839"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化验试剂</w:t>
            </w:r>
          </w:p>
        </w:tc>
        <w:tc>
          <w:tcPr>
            <w:tcW w:w="1212"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5g</w:t>
            </w:r>
          </w:p>
        </w:tc>
        <w:tc>
          <w:tcPr>
            <w:tcW w:w="1115"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19</w:t>
            </w:r>
          </w:p>
        </w:tc>
        <w:tc>
          <w:tcPr>
            <w:tcW w:w="1343" w:type="pct"/>
            <w:vAlign w:val="center"/>
          </w:tcPr>
          <w:p>
            <w:pPr>
              <w:pStyle w:val="29"/>
              <w:kinsoku w:val="0"/>
              <w:overflowPunct w:val="0"/>
              <w:contextualSpacing/>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乙酸钠</w:t>
            </w:r>
          </w:p>
        </w:tc>
        <w:tc>
          <w:tcPr>
            <w:tcW w:w="839"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化验试剂</w:t>
            </w:r>
          </w:p>
        </w:tc>
        <w:tc>
          <w:tcPr>
            <w:tcW w:w="1212"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150g</w:t>
            </w:r>
          </w:p>
        </w:tc>
        <w:tc>
          <w:tcPr>
            <w:tcW w:w="1115"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20</w:t>
            </w:r>
          </w:p>
        </w:tc>
        <w:tc>
          <w:tcPr>
            <w:tcW w:w="1343" w:type="pct"/>
            <w:vAlign w:val="center"/>
          </w:tcPr>
          <w:p>
            <w:pPr>
              <w:pStyle w:val="29"/>
              <w:kinsoku w:val="0"/>
              <w:overflowPunct w:val="0"/>
              <w:contextualSpacing/>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硫酸银</w:t>
            </w:r>
          </w:p>
        </w:tc>
        <w:tc>
          <w:tcPr>
            <w:tcW w:w="839"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化验试剂</w:t>
            </w:r>
          </w:p>
        </w:tc>
        <w:tc>
          <w:tcPr>
            <w:tcW w:w="1212"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10g</w:t>
            </w:r>
          </w:p>
        </w:tc>
        <w:tc>
          <w:tcPr>
            <w:tcW w:w="1115"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21</w:t>
            </w:r>
          </w:p>
        </w:tc>
        <w:tc>
          <w:tcPr>
            <w:tcW w:w="1343" w:type="pct"/>
            <w:vAlign w:val="center"/>
          </w:tcPr>
          <w:p>
            <w:pPr>
              <w:pStyle w:val="29"/>
              <w:kinsoku w:val="0"/>
              <w:overflowPunct w:val="0"/>
              <w:contextualSpacing/>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碘化钾</w:t>
            </w:r>
          </w:p>
        </w:tc>
        <w:tc>
          <w:tcPr>
            <w:tcW w:w="839"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化验试剂</w:t>
            </w:r>
          </w:p>
        </w:tc>
        <w:tc>
          <w:tcPr>
            <w:tcW w:w="1212"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250g</w:t>
            </w:r>
          </w:p>
        </w:tc>
        <w:tc>
          <w:tcPr>
            <w:tcW w:w="1115"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22</w:t>
            </w:r>
          </w:p>
        </w:tc>
        <w:tc>
          <w:tcPr>
            <w:tcW w:w="1343" w:type="pct"/>
            <w:vAlign w:val="center"/>
          </w:tcPr>
          <w:p>
            <w:pPr>
              <w:pStyle w:val="29"/>
              <w:kinsoku w:val="0"/>
              <w:overflowPunct w:val="0"/>
              <w:ind w:firstLine="0" w:firstLineChars="0"/>
              <w:contextualSpacing/>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氢氧化钠</w:t>
            </w:r>
          </w:p>
        </w:tc>
        <w:tc>
          <w:tcPr>
            <w:tcW w:w="839"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化验试剂</w:t>
            </w:r>
          </w:p>
        </w:tc>
        <w:tc>
          <w:tcPr>
            <w:tcW w:w="1212" w:type="pct"/>
            <w:vAlign w:val="center"/>
          </w:tcPr>
          <w:p>
            <w:pPr>
              <w:pStyle w:val="29"/>
              <w:kinsoku w:val="0"/>
              <w:overflowPunct w:val="0"/>
              <w:ind w:firstLine="0" w:firstLineChars="0"/>
              <w:contextualSpacing/>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500g</w:t>
            </w:r>
          </w:p>
        </w:tc>
        <w:tc>
          <w:tcPr>
            <w:tcW w:w="1115"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23</w:t>
            </w:r>
          </w:p>
        </w:tc>
        <w:tc>
          <w:tcPr>
            <w:tcW w:w="1343" w:type="pct"/>
            <w:vAlign w:val="center"/>
          </w:tcPr>
          <w:p>
            <w:pPr>
              <w:pStyle w:val="29"/>
              <w:kinsoku w:val="0"/>
              <w:overflowPunct w:val="0"/>
              <w:ind w:firstLine="0" w:firstLineChars="0"/>
              <w:contextualSpacing/>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硫酸锌</w:t>
            </w:r>
          </w:p>
        </w:tc>
        <w:tc>
          <w:tcPr>
            <w:tcW w:w="839"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化验试剂</w:t>
            </w:r>
          </w:p>
        </w:tc>
        <w:tc>
          <w:tcPr>
            <w:tcW w:w="1212" w:type="pct"/>
            <w:vAlign w:val="center"/>
          </w:tcPr>
          <w:p>
            <w:pPr>
              <w:pStyle w:val="29"/>
              <w:kinsoku w:val="0"/>
              <w:overflowPunct w:val="0"/>
              <w:ind w:firstLine="0" w:firstLineChars="0"/>
              <w:contextualSpacing/>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500g</w:t>
            </w:r>
          </w:p>
        </w:tc>
        <w:tc>
          <w:tcPr>
            <w:tcW w:w="1115"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5" w:hRule="atLeast"/>
          <w:jc w:val="center"/>
        </w:trPr>
        <w:tc>
          <w:tcPr>
            <w:tcW w:w="488"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24</w:t>
            </w:r>
          </w:p>
        </w:tc>
        <w:tc>
          <w:tcPr>
            <w:tcW w:w="1343" w:type="pct"/>
            <w:vAlign w:val="center"/>
          </w:tcPr>
          <w:p>
            <w:pPr>
              <w:pStyle w:val="29"/>
              <w:kinsoku w:val="0"/>
              <w:overflowPunct w:val="0"/>
              <w:ind w:firstLine="0" w:firstLineChars="0"/>
              <w:contextualSpacing/>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碘化汞</w:t>
            </w:r>
          </w:p>
        </w:tc>
        <w:tc>
          <w:tcPr>
            <w:tcW w:w="839"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化验试剂</w:t>
            </w:r>
          </w:p>
        </w:tc>
        <w:tc>
          <w:tcPr>
            <w:tcW w:w="1212" w:type="pct"/>
            <w:vAlign w:val="center"/>
          </w:tcPr>
          <w:p>
            <w:pPr>
              <w:pStyle w:val="29"/>
              <w:kinsoku w:val="0"/>
              <w:overflowPunct w:val="0"/>
              <w:ind w:firstLine="0" w:firstLineChars="0"/>
              <w:contextualSpacing/>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400g</w:t>
            </w:r>
          </w:p>
        </w:tc>
        <w:tc>
          <w:tcPr>
            <w:tcW w:w="1115" w:type="pct"/>
            <w:vAlign w:val="center"/>
          </w:tcPr>
          <w:p>
            <w:pPr>
              <w:pStyle w:val="29"/>
              <w:kinsoku w:val="0"/>
              <w:overflowPunct w:val="0"/>
              <w:ind w:firstLine="0" w:firstLineChars="0"/>
              <w:contextualSpacing/>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25</w:t>
            </w:r>
          </w:p>
        </w:tc>
        <w:tc>
          <w:tcPr>
            <w:tcW w:w="1343" w:type="pct"/>
            <w:vAlign w:val="center"/>
          </w:tcPr>
          <w:p>
            <w:pPr>
              <w:pStyle w:val="29"/>
              <w:kinsoku w:val="0"/>
              <w:overflowPunct w:val="0"/>
              <w:ind w:firstLine="0" w:firstLineChars="0"/>
              <w:contextualSpacing/>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草酸钠</w:t>
            </w:r>
          </w:p>
        </w:tc>
        <w:tc>
          <w:tcPr>
            <w:tcW w:w="839"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化验试剂</w:t>
            </w:r>
          </w:p>
        </w:tc>
        <w:tc>
          <w:tcPr>
            <w:tcW w:w="1212" w:type="pct"/>
            <w:vAlign w:val="center"/>
          </w:tcPr>
          <w:p>
            <w:pPr>
              <w:pStyle w:val="29"/>
              <w:kinsoku w:val="0"/>
              <w:overflowPunct w:val="0"/>
              <w:ind w:firstLine="0" w:firstLineChars="0"/>
              <w:contextualSpacing/>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25g</w:t>
            </w:r>
          </w:p>
        </w:tc>
        <w:tc>
          <w:tcPr>
            <w:tcW w:w="1115" w:type="pct"/>
            <w:vAlign w:val="center"/>
          </w:tcPr>
          <w:p>
            <w:pPr>
              <w:pStyle w:val="29"/>
              <w:kinsoku w:val="0"/>
              <w:overflowPunct w:val="0"/>
              <w:ind w:firstLine="0" w:firstLineChars="0"/>
              <w:contextualSpacing/>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26</w:t>
            </w:r>
          </w:p>
        </w:tc>
        <w:tc>
          <w:tcPr>
            <w:tcW w:w="1343" w:type="pct"/>
            <w:vAlign w:val="center"/>
          </w:tcPr>
          <w:p>
            <w:pPr>
              <w:pStyle w:val="29"/>
              <w:kinsoku w:val="0"/>
              <w:overflowPunct w:val="0"/>
              <w:ind w:firstLine="0" w:firstLineChars="0"/>
              <w:contextualSpacing/>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高锰酸钾</w:t>
            </w:r>
          </w:p>
        </w:tc>
        <w:tc>
          <w:tcPr>
            <w:tcW w:w="839"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化验试剂</w:t>
            </w:r>
          </w:p>
        </w:tc>
        <w:tc>
          <w:tcPr>
            <w:tcW w:w="1212" w:type="pct"/>
            <w:vAlign w:val="center"/>
          </w:tcPr>
          <w:p>
            <w:pPr>
              <w:pStyle w:val="29"/>
              <w:kinsoku w:val="0"/>
              <w:overflowPunct w:val="0"/>
              <w:ind w:firstLine="0" w:firstLineChars="0"/>
              <w:contextualSpacing/>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10g</w:t>
            </w:r>
          </w:p>
        </w:tc>
        <w:tc>
          <w:tcPr>
            <w:tcW w:w="1115" w:type="pct"/>
            <w:vAlign w:val="center"/>
          </w:tcPr>
          <w:p>
            <w:pPr>
              <w:pStyle w:val="29"/>
              <w:kinsoku w:val="0"/>
              <w:overflowPunct w:val="0"/>
              <w:ind w:firstLine="0" w:firstLineChars="0"/>
              <w:contextualSpacing/>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27</w:t>
            </w:r>
          </w:p>
        </w:tc>
        <w:tc>
          <w:tcPr>
            <w:tcW w:w="1343" w:type="pct"/>
            <w:vAlign w:val="center"/>
          </w:tcPr>
          <w:p>
            <w:pPr>
              <w:pStyle w:val="29"/>
              <w:kinsoku w:val="0"/>
              <w:overflowPunct w:val="0"/>
              <w:ind w:firstLine="0" w:firstLineChars="0"/>
              <w:contextualSpacing/>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铂酸铵</w:t>
            </w:r>
          </w:p>
        </w:tc>
        <w:tc>
          <w:tcPr>
            <w:tcW w:w="839"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化验试剂</w:t>
            </w:r>
          </w:p>
        </w:tc>
        <w:tc>
          <w:tcPr>
            <w:tcW w:w="1212" w:type="pct"/>
            <w:vAlign w:val="center"/>
          </w:tcPr>
          <w:p>
            <w:pPr>
              <w:pStyle w:val="29"/>
              <w:kinsoku w:val="0"/>
              <w:overflowPunct w:val="0"/>
              <w:ind w:firstLine="0" w:firstLineChars="0"/>
              <w:contextualSpacing/>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100g</w:t>
            </w:r>
          </w:p>
        </w:tc>
        <w:tc>
          <w:tcPr>
            <w:tcW w:w="1115"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28</w:t>
            </w:r>
          </w:p>
        </w:tc>
        <w:tc>
          <w:tcPr>
            <w:tcW w:w="1343" w:type="pct"/>
            <w:vAlign w:val="center"/>
          </w:tcPr>
          <w:p>
            <w:pPr>
              <w:pStyle w:val="29"/>
              <w:kinsoku w:val="0"/>
              <w:overflowPunct w:val="0"/>
              <w:ind w:firstLine="0" w:firstLineChars="0"/>
              <w:contextualSpacing/>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氯化亚锡</w:t>
            </w:r>
          </w:p>
        </w:tc>
        <w:tc>
          <w:tcPr>
            <w:tcW w:w="839"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化验试剂</w:t>
            </w:r>
          </w:p>
        </w:tc>
        <w:tc>
          <w:tcPr>
            <w:tcW w:w="1212" w:type="pct"/>
            <w:vAlign w:val="center"/>
          </w:tcPr>
          <w:p>
            <w:pPr>
              <w:pStyle w:val="29"/>
              <w:kinsoku w:val="0"/>
              <w:overflowPunct w:val="0"/>
              <w:ind w:firstLine="0" w:firstLineChars="0"/>
              <w:contextualSpacing/>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10g</w:t>
            </w:r>
          </w:p>
        </w:tc>
        <w:tc>
          <w:tcPr>
            <w:tcW w:w="1115"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29</w:t>
            </w:r>
          </w:p>
        </w:tc>
        <w:tc>
          <w:tcPr>
            <w:tcW w:w="1343" w:type="pct"/>
            <w:vAlign w:val="center"/>
          </w:tcPr>
          <w:p>
            <w:pPr>
              <w:pStyle w:val="29"/>
              <w:kinsoku w:val="0"/>
              <w:overflowPunct w:val="0"/>
              <w:ind w:firstLine="0" w:firstLineChars="0"/>
              <w:contextualSpacing/>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碳酸氢钠</w:t>
            </w:r>
          </w:p>
        </w:tc>
        <w:tc>
          <w:tcPr>
            <w:tcW w:w="839"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化验试剂</w:t>
            </w:r>
          </w:p>
        </w:tc>
        <w:tc>
          <w:tcPr>
            <w:tcW w:w="1212" w:type="pct"/>
            <w:vAlign w:val="center"/>
          </w:tcPr>
          <w:p>
            <w:pPr>
              <w:pStyle w:val="29"/>
              <w:kinsoku w:val="0"/>
              <w:overflowPunct w:val="0"/>
              <w:ind w:firstLine="0" w:firstLineChars="0"/>
              <w:contextualSpacing/>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20g</w:t>
            </w:r>
          </w:p>
        </w:tc>
        <w:tc>
          <w:tcPr>
            <w:tcW w:w="1115"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30</w:t>
            </w:r>
          </w:p>
        </w:tc>
        <w:tc>
          <w:tcPr>
            <w:tcW w:w="1343" w:type="pct"/>
            <w:vAlign w:val="center"/>
          </w:tcPr>
          <w:p>
            <w:pPr>
              <w:pStyle w:val="29"/>
              <w:kinsoku w:val="0"/>
              <w:overflowPunct w:val="0"/>
              <w:ind w:firstLine="0" w:firstLineChars="0"/>
              <w:contextualSpacing/>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乙酸铵</w:t>
            </w:r>
          </w:p>
        </w:tc>
        <w:tc>
          <w:tcPr>
            <w:tcW w:w="839"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化验试剂</w:t>
            </w:r>
          </w:p>
        </w:tc>
        <w:tc>
          <w:tcPr>
            <w:tcW w:w="1212" w:type="pct"/>
            <w:vAlign w:val="center"/>
          </w:tcPr>
          <w:p>
            <w:pPr>
              <w:pStyle w:val="29"/>
              <w:kinsoku w:val="0"/>
              <w:overflowPunct w:val="0"/>
              <w:ind w:firstLine="0" w:firstLineChars="0"/>
              <w:contextualSpacing/>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1000g</w:t>
            </w:r>
          </w:p>
        </w:tc>
        <w:tc>
          <w:tcPr>
            <w:tcW w:w="1115"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31</w:t>
            </w:r>
          </w:p>
        </w:tc>
        <w:tc>
          <w:tcPr>
            <w:tcW w:w="1343" w:type="pct"/>
            <w:vAlign w:val="center"/>
          </w:tcPr>
          <w:p>
            <w:pPr>
              <w:pStyle w:val="29"/>
              <w:kinsoku w:val="0"/>
              <w:overflowPunct w:val="0"/>
              <w:ind w:firstLine="0" w:firstLineChars="0"/>
              <w:contextualSpacing/>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铬酸钾</w:t>
            </w:r>
          </w:p>
        </w:tc>
        <w:tc>
          <w:tcPr>
            <w:tcW w:w="839"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化验试剂</w:t>
            </w:r>
          </w:p>
        </w:tc>
        <w:tc>
          <w:tcPr>
            <w:tcW w:w="1212" w:type="pct"/>
            <w:vAlign w:val="center"/>
          </w:tcPr>
          <w:p>
            <w:pPr>
              <w:pStyle w:val="29"/>
              <w:kinsoku w:val="0"/>
              <w:overflowPunct w:val="0"/>
              <w:ind w:firstLine="0" w:firstLineChars="0"/>
              <w:contextualSpacing/>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200g</w:t>
            </w:r>
          </w:p>
        </w:tc>
        <w:tc>
          <w:tcPr>
            <w:tcW w:w="1115"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32</w:t>
            </w:r>
          </w:p>
        </w:tc>
        <w:tc>
          <w:tcPr>
            <w:tcW w:w="1343" w:type="pct"/>
            <w:vAlign w:val="center"/>
          </w:tcPr>
          <w:p>
            <w:pPr>
              <w:pStyle w:val="29"/>
              <w:kinsoku w:val="0"/>
              <w:overflowPunct w:val="0"/>
              <w:ind w:firstLine="0" w:firstLineChars="0"/>
              <w:contextualSpacing/>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无水亚硝酸钠</w:t>
            </w:r>
          </w:p>
        </w:tc>
        <w:tc>
          <w:tcPr>
            <w:tcW w:w="839"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化验试剂</w:t>
            </w:r>
          </w:p>
        </w:tc>
        <w:tc>
          <w:tcPr>
            <w:tcW w:w="1212" w:type="pct"/>
            <w:vAlign w:val="center"/>
          </w:tcPr>
          <w:p>
            <w:pPr>
              <w:pStyle w:val="29"/>
              <w:kinsoku w:val="0"/>
              <w:overflowPunct w:val="0"/>
              <w:ind w:firstLine="0" w:firstLineChars="0"/>
              <w:contextualSpacing/>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10g</w:t>
            </w:r>
          </w:p>
        </w:tc>
        <w:tc>
          <w:tcPr>
            <w:tcW w:w="1115"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33</w:t>
            </w:r>
          </w:p>
        </w:tc>
        <w:tc>
          <w:tcPr>
            <w:tcW w:w="1343" w:type="pct"/>
            <w:vAlign w:val="center"/>
          </w:tcPr>
          <w:p>
            <w:pPr>
              <w:pStyle w:val="29"/>
              <w:kinsoku w:val="0"/>
              <w:overflowPunct w:val="0"/>
              <w:ind w:firstLine="0" w:firstLineChars="0"/>
              <w:contextualSpacing/>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无水硫酸钠</w:t>
            </w:r>
          </w:p>
        </w:tc>
        <w:tc>
          <w:tcPr>
            <w:tcW w:w="839"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化验试剂</w:t>
            </w:r>
          </w:p>
        </w:tc>
        <w:tc>
          <w:tcPr>
            <w:tcW w:w="1212" w:type="pct"/>
            <w:vAlign w:val="center"/>
          </w:tcPr>
          <w:p>
            <w:pPr>
              <w:pStyle w:val="29"/>
              <w:kinsoku w:val="0"/>
              <w:overflowPunct w:val="0"/>
              <w:ind w:firstLine="0" w:firstLineChars="0"/>
              <w:contextualSpacing/>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25g</w:t>
            </w:r>
          </w:p>
        </w:tc>
        <w:tc>
          <w:tcPr>
            <w:tcW w:w="1115" w:type="pct"/>
            <w:vAlign w:val="center"/>
          </w:tcPr>
          <w:p>
            <w:pPr>
              <w:pStyle w:val="29"/>
              <w:kinsoku w:val="0"/>
              <w:overflowPunct w:val="0"/>
              <w:ind w:firstLine="0" w:firstLineChars="0"/>
              <w:contextualSpacing/>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34</w:t>
            </w:r>
          </w:p>
        </w:tc>
        <w:tc>
          <w:tcPr>
            <w:tcW w:w="1343" w:type="pct"/>
            <w:vAlign w:val="center"/>
          </w:tcPr>
          <w:p>
            <w:pPr>
              <w:pStyle w:val="29"/>
              <w:kinsoku w:val="0"/>
              <w:overflowPunct w:val="0"/>
              <w:ind w:firstLine="0" w:firstLineChars="0"/>
              <w:contextualSpacing/>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结晶紫</w:t>
            </w:r>
          </w:p>
        </w:tc>
        <w:tc>
          <w:tcPr>
            <w:tcW w:w="839"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化验试剂</w:t>
            </w:r>
          </w:p>
        </w:tc>
        <w:tc>
          <w:tcPr>
            <w:tcW w:w="1212" w:type="pct"/>
            <w:vAlign w:val="center"/>
          </w:tcPr>
          <w:p>
            <w:pPr>
              <w:pStyle w:val="29"/>
              <w:kinsoku w:val="0"/>
              <w:overflowPunct w:val="0"/>
              <w:ind w:firstLine="0" w:firstLineChars="0"/>
              <w:contextualSpacing/>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5g</w:t>
            </w:r>
          </w:p>
        </w:tc>
        <w:tc>
          <w:tcPr>
            <w:tcW w:w="1115" w:type="pct"/>
            <w:vAlign w:val="center"/>
          </w:tcPr>
          <w:p>
            <w:pPr>
              <w:pStyle w:val="29"/>
              <w:kinsoku w:val="0"/>
              <w:overflowPunct w:val="0"/>
              <w:ind w:firstLine="0" w:firstLineChars="0"/>
              <w:contextualSpacing/>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35</w:t>
            </w:r>
          </w:p>
        </w:tc>
        <w:tc>
          <w:tcPr>
            <w:tcW w:w="1343" w:type="pct"/>
            <w:vAlign w:val="center"/>
          </w:tcPr>
          <w:p>
            <w:pPr>
              <w:pStyle w:val="29"/>
              <w:kinsoku w:val="0"/>
              <w:overflowPunct w:val="0"/>
              <w:ind w:firstLine="0" w:firstLineChars="0"/>
              <w:contextualSpacing/>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对硝基酚</w:t>
            </w:r>
          </w:p>
        </w:tc>
        <w:tc>
          <w:tcPr>
            <w:tcW w:w="839"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化验试剂</w:t>
            </w:r>
          </w:p>
        </w:tc>
        <w:tc>
          <w:tcPr>
            <w:tcW w:w="1212" w:type="pct"/>
            <w:vAlign w:val="center"/>
          </w:tcPr>
          <w:p>
            <w:pPr>
              <w:pStyle w:val="29"/>
              <w:kinsoku w:val="0"/>
              <w:overflowPunct w:val="0"/>
              <w:ind w:firstLine="0" w:firstLineChars="0"/>
              <w:contextualSpacing/>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5g</w:t>
            </w:r>
          </w:p>
        </w:tc>
        <w:tc>
          <w:tcPr>
            <w:tcW w:w="1115"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88" w:type="pct"/>
            <w:vAlign w:val="center"/>
          </w:tcPr>
          <w:p>
            <w:pPr>
              <w:pStyle w:val="29"/>
              <w:kinsoku w:val="0"/>
              <w:overflowPunct w:val="0"/>
              <w:contextualSpacing/>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36</w:t>
            </w:r>
          </w:p>
        </w:tc>
        <w:tc>
          <w:tcPr>
            <w:tcW w:w="1343" w:type="pct"/>
            <w:vAlign w:val="center"/>
          </w:tcPr>
          <w:p>
            <w:pPr>
              <w:pStyle w:val="29"/>
              <w:kinsoku w:val="0"/>
              <w:overflowPunct w:val="0"/>
              <w:ind w:firstLine="0" w:firstLineChars="0"/>
              <w:contextualSpacing/>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无水乙二胺</w:t>
            </w:r>
          </w:p>
        </w:tc>
        <w:tc>
          <w:tcPr>
            <w:tcW w:w="839"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化验试剂</w:t>
            </w:r>
          </w:p>
        </w:tc>
        <w:tc>
          <w:tcPr>
            <w:tcW w:w="1212" w:type="pct"/>
            <w:vAlign w:val="center"/>
          </w:tcPr>
          <w:p>
            <w:pPr>
              <w:pStyle w:val="29"/>
              <w:kinsoku w:val="0"/>
              <w:overflowPunct w:val="0"/>
              <w:ind w:firstLine="0" w:firstLineChars="0"/>
              <w:contextualSpacing/>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400g</w:t>
            </w:r>
          </w:p>
        </w:tc>
        <w:tc>
          <w:tcPr>
            <w:tcW w:w="1115"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eastAsia="zh-CN"/>
              </w:rPr>
              <w:t>化验室</w:t>
            </w:r>
          </w:p>
        </w:tc>
      </w:tr>
    </w:tbl>
    <w:p>
      <w:pPr>
        <w:pStyle w:val="6"/>
        <w:numPr>
          <w:ilvl w:val="2"/>
          <w:numId w:val="0"/>
        </w:numPr>
        <w:ind w:leftChars="0"/>
      </w:pPr>
      <w:r>
        <w:rPr>
          <w:rFonts w:hint="eastAsia"/>
          <w:lang w:val="en-US" w:eastAsia="zh-CN"/>
        </w:rPr>
        <w:t>2.1.4</w:t>
      </w:r>
      <w:r>
        <w:rPr>
          <w:rFonts w:hint="eastAsia"/>
        </w:rPr>
        <w:t>主要设备</w:t>
      </w:r>
    </w:p>
    <w:p>
      <w:pPr>
        <w:ind w:firstLine="560"/>
      </w:pPr>
      <w:r>
        <w:t>本</w:t>
      </w:r>
      <w:r>
        <w:rPr>
          <w:rFonts w:hint="eastAsia"/>
        </w:rPr>
        <w:t>公司</w:t>
      </w:r>
      <w:r>
        <w:t>工程主要生产设备见</w:t>
      </w:r>
      <w:r>
        <w:fldChar w:fldCharType="begin"/>
      </w:r>
      <w:r>
        <w:instrText xml:space="preserve"> REF _Ref526611488 \h </w:instrText>
      </w:r>
      <w:r>
        <w:fldChar w:fldCharType="separate"/>
      </w:r>
      <w:r>
        <w:rPr>
          <w:rFonts w:hint="eastAsia"/>
        </w:rPr>
        <w:t xml:space="preserve">表 </w:t>
      </w:r>
      <w:r>
        <w:t>2</w:t>
      </w:r>
      <w:r>
        <w:noBreakHyphen/>
      </w:r>
      <w:r>
        <w:rPr>
          <w:rFonts w:hint="eastAsia"/>
          <w:lang w:val="en-US" w:eastAsia="zh-CN"/>
        </w:rPr>
        <w:t>3</w:t>
      </w:r>
      <w:r>
        <w:fldChar w:fldCharType="end"/>
      </w:r>
      <w:r>
        <w:t>。</w:t>
      </w:r>
    </w:p>
    <w:p>
      <w:pPr>
        <w:pStyle w:val="8"/>
        <w:keepNext/>
      </w:pPr>
      <w:bookmarkStart w:id="13" w:name="_Ref526611488"/>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2</w:t>
      </w:r>
      <w:r>
        <w:fldChar w:fldCharType="end"/>
      </w:r>
      <w:r>
        <w:noBreakHyphen/>
      </w:r>
      <w:bookmarkEnd w:id="13"/>
      <w:r>
        <w:rPr>
          <w:rFonts w:hint="eastAsia"/>
          <w:lang w:val="en-US" w:eastAsia="zh-CN"/>
        </w:rPr>
        <w:t>3</w:t>
      </w:r>
      <w:r>
        <w:t>主要生产设备一览表</w:t>
      </w:r>
    </w:p>
    <w:tbl>
      <w:tblPr>
        <w:tblStyle w:val="39"/>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985"/>
        <w:gridCol w:w="1557"/>
        <w:gridCol w:w="3193"/>
        <w:gridCol w:w="985"/>
        <w:gridCol w:w="2624"/>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insideV w:val="single" w:sz="6" w:space="0"/>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序号</w:t>
            </w:r>
          </w:p>
        </w:tc>
        <w:tc>
          <w:tcPr>
            <w:tcW w:w="833" w:type="pct"/>
            <w:tcBorders>
              <w:insideV w:val="single" w:sz="6" w:space="0"/>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设备名称</w:t>
            </w:r>
          </w:p>
        </w:tc>
        <w:tc>
          <w:tcPr>
            <w:tcW w:w="1708" w:type="pct"/>
            <w:tcBorders>
              <w:insideV w:val="single" w:sz="6" w:space="0"/>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型号规格及技术性能</w:t>
            </w:r>
          </w:p>
        </w:tc>
        <w:tc>
          <w:tcPr>
            <w:tcW w:w="527" w:type="pct"/>
            <w:tcBorders>
              <w:insideV w:val="single" w:sz="6" w:space="0"/>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单位</w:t>
            </w:r>
          </w:p>
        </w:tc>
        <w:tc>
          <w:tcPr>
            <w:tcW w:w="1403" w:type="pct"/>
            <w:tcBorders>
              <w:insideV w:val="single" w:sz="6" w:space="0"/>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数量（台</w:t>
            </w:r>
            <w:r>
              <w:rPr>
                <w:rFonts w:hAnsi="Times New Roman" w:eastAsia="宋体"/>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09" w:hRule="atLeast"/>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一</w:t>
            </w:r>
          </w:p>
        </w:tc>
        <w:tc>
          <w:tcPr>
            <w:tcW w:w="4472" w:type="pct"/>
            <w:gridSpan w:val="4"/>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排泥池</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潜水泵</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Q=54m</w:t>
            </w:r>
            <w:r>
              <w:rPr>
                <w:rFonts w:hAnsi="Times New Roman" w:eastAsia="宋体"/>
                <w:vertAlign w:val="superscript"/>
              </w:rPr>
              <w:t>3</w:t>
            </w:r>
            <w:r>
              <w:rPr>
                <w:rFonts w:hAnsi="Times New Roman" w:eastAsia="宋体"/>
              </w:rPr>
              <w:t>/h</w:t>
            </w:r>
            <w:r>
              <w:rPr>
                <w:rFonts w:hAnsi="宋体" w:eastAsia="宋体"/>
              </w:rPr>
              <w:t>，</w:t>
            </w:r>
            <w:r>
              <w:rPr>
                <w:rFonts w:hAnsi="Times New Roman" w:eastAsia="宋体"/>
              </w:rPr>
              <w:t>H=15m</w:t>
            </w:r>
            <w:r>
              <w:rPr>
                <w:rFonts w:hAnsi="宋体" w:eastAsia="宋体"/>
              </w:rPr>
              <w:t>，</w:t>
            </w:r>
            <w:r>
              <w:rPr>
                <w:rFonts w:hAnsi="Times New Roman" w:eastAsia="宋体"/>
              </w:rPr>
              <w:t>N=5.5kW</w:t>
            </w:r>
            <w:r>
              <w:rPr>
                <w:rFonts w:hAnsi="宋体" w:eastAsia="宋体"/>
              </w:rPr>
              <w:t>，变频。自耦安装</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3</w:t>
            </w:r>
            <w:r>
              <w:rPr>
                <w:rFonts w:hAnsi="宋体" w:eastAsia="宋体"/>
              </w:rPr>
              <w:t>（二用一备）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2</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潜水泵</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Q=20m</w:t>
            </w:r>
            <w:r>
              <w:rPr>
                <w:rFonts w:hAnsi="Times New Roman" w:eastAsia="宋体"/>
                <w:vertAlign w:val="superscript"/>
              </w:rPr>
              <w:t>3</w:t>
            </w:r>
            <w:r>
              <w:rPr>
                <w:rFonts w:hAnsi="Times New Roman" w:eastAsia="宋体"/>
              </w:rPr>
              <w:t>/h</w:t>
            </w:r>
            <w:r>
              <w:rPr>
                <w:rFonts w:hAnsi="宋体" w:eastAsia="宋体"/>
              </w:rPr>
              <w:t>，</w:t>
            </w:r>
            <w:r>
              <w:rPr>
                <w:rFonts w:hAnsi="Times New Roman" w:eastAsia="宋体"/>
              </w:rPr>
              <w:t>H=12m</w:t>
            </w:r>
            <w:r>
              <w:rPr>
                <w:rFonts w:hAnsi="宋体" w:eastAsia="宋体"/>
              </w:rPr>
              <w:t>，</w:t>
            </w:r>
            <w:r>
              <w:rPr>
                <w:rFonts w:hAnsi="Times New Roman" w:eastAsia="宋体"/>
              </w:rPr>
              <w:t>N=2.2kW</w:t>
            </w:r>
            <w:r>
              <w:rPr>
                <w:rFonts w:hAnsi="宋体" w:eastAsia="宋体"/>
              </w:rPr>
              <w:t>，自耦安装、变频</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3</w:t>
            </w:r>
            <w:r>
              <w:rPr>
                <w:rFonts w:hAnsi="宋体" w:eastAsia="宋体"/>
              </w:rPr>
              <w:t>（二用一备）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3</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底泥抽排泵</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Q=15m</w:t>
            </w:r>
            <w:r>
              <w:rPr>
                <w:rFonts w:hAnsi="Times New Roman" w:eastAsia="宋体"/>
                <w:vertAlign w:val="superscript"/>
              </w:rPr>
              <w:t>3</w:t>
            </w:r>
            <w:r>
              <w:rPr>
                <w:rFonts w:hAnsi="Times New Roman" w:eastAsia="宋体"/>
              </w:rPr>
              <w:t>/h</w:t>
            </w:r>
            <w:r>
              <w:rPr>
                <w:rFonts w:hAnsi="宋体" w:eastAsia="宋体"/>
              </w:rPr>
              <w:t>，</w:t>
            </w:r>
            <w:r>
              <w:rPr>
                <w:rFonts w:hAnsi="Times New Roman" w:eastAsia="宋体"/>
              </w:rPr>
              <w:t>H=8m</w:t>
            </w:r>
            <w:r>
              <w:rPr>
                <w:rFonts w:hAnsi="宋体" w:eastAsia="宋体"/>
              </w:rPr>
              <w:t>，</w:t>
            </w:r>
            <w:r>
              <w:rPr>
                <w:rFonts w:hAnsi="Times New Roman" w:eastAsia="宋体"/>
              </w:rPr>
              <w:t>N=0.75kW</w:t>
            </w:r>
            <w:r>
              <w:rPr>
                <w:rFonts w:hAnsi="宋体" w:eastAsia="宋体"/>
              </w:rPr>
              <w:t>，自耦安装</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4</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潜水搅拌器</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N=1.5kw</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5</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手动铸铁镶铜闸板阀</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DN800</w:t>
            </w:r>
            <w:r>
              <w:rPr>
                <w:rFonts w:hAnsi="宋体" w:eastAsia="宋体"/>
              </w:rPr>
              <w:t>，带</w:t>
            </w:r>
            <w:r>
              <w:rPr>
                <w:rFonts w:hAnsi="Times New Roman" w:eastAsia="宋体"/>
              </w:rPr>
              <w:t xml:space="preserve">QS </w:t>
            </w:r>
            <w:r>
              <w:rPr>
                <w:rFonts w:hAnsi="宋体" w:eastAsia="宋体"/>
              </w:rPr>
              <w:t>型启闭机</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套</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6</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手动铸铁镶铜闸板阀</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DN700</w:t>
            </w:r>
            <w:r>
              <w:rPr>
                <w:rFonts w:hAnsi="宋体" w:eastAsia="宋体"/>
              </w:rPr>
              <w:t>，带</w:t>
            </w:r>
            <w:r>
              <w:rPr>
                <w:rFonts w:hAnsi="Times New Roman" w:eastAsia="宋体"/>
              </w:rPr>
              <w:t xml:space="preserve">QS </w:t>
            </w:r>
            <w:r>
              <w:rPr>
                <w:rFonts w:hAnsi="宋体" w:eastAsia="宋体"/>
              </w:rPr>
              <w:t>型启闭机</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套</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7</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超声波液位计</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套</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8</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配电柜</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室外式</w:t>
            </w:r>
            <w:r>
              <w:rPr>
                <w:rFonts w:hAnsi="Times New Roman" w:eastAsia="宋体"/>
              </w:rPr>
              <w:t>QGBD800</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套</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5" w:hRule="atLeast"/>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二</w:t>
            </w:r>
          </w:p>
        </w:tc>
        <w:tc>
          <w:tcPr>
            <w:tcW w:w="4472" w:type="pct"/>
            <w:gridSpan w:val="4"/>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高效浓缩池系统</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潜水搅拌器</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N=2.2w</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2</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混凝搅拌机</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1.1kW</w:t>
            </w:r>
            <w:r>
              <w:rPr>
                <w:rFonts w:hAnsi="宋体" w:eastAsia="宋体"/>
              </w:rPr>
              <w:t>，</w:t>
            </w:r>
            <w:r>
              <w:rPr>
                <w:rFonts w:hAnsi="Times New Roman" w:eastAsia="宋体"/>
              </w:rPr>
              <w:t xml:space="preserve">SS304 </w:t>
            </w:r>
            <w:r>
              <w:rPr>
                <w:rFonts w:hAnsi="宋体" w:eastAsia="宋体"/>
              </w:rPr>
              <w:t>材质</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3</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絮凝搅拌机</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1.5kW</w:t>
            </w:r>
            <w:r>
              <w:rPr>
                <w:rFonts w:hAnsi="宋体" w:eastAsia="宋体"/>
              </w:rPr>
              <w:t>，</w:t>
            </w:r>
            <w:r>
              <w:rPr>
                <w:rFonts w:hAnsi="Times New Roman" w:eastAsia="宋体"/>
              </w:rPr>
              <w:t xml:space="preserve">SS304 </w:t>
            </w:r>
            <w:r>
              <w:rPr>
                <w:rFonts w:hAnsi="宋体" w:eastAsia="宋体"/>
              </w:rPr>
              <w:t>材质，变频</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4</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中心传动污泥浓缩机</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D=3.5m,N=0.37kW</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5</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斜管</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Θ=60°</w:t>
            </w:r>
            <w:r>
              <w:rPr>
                <w:rFonts w:hAnsi="宋体" w:eastAsia="宋体"/>
              </w:rPr>
              <w:t>，</w:t>
            </w:r>
            <w:r>
              <w:rPr>
                <w:rFonts w:hAnsi="Times New Roman" w:eastAsia="宋体"/>
              </w:rPr>
              <w:t>l=0.75m</w:t>
            </w:r>
            <w:r>
              <w:rPr>
                <w:rFonts w:hAnsi="宋体" w:eastAsia="宋体"/>
              </w:rPr>
              <w:t>，</w:t>
            </w:r>
            <w:r>
              <w:rPr>
                <w:rFonts w:hAnsi="Times New Roman" w:eastAsia="宋体"/>
              </w:rPr>
              <w:t>D=50mm</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7.4m</w:t>
            </w:r>
            <w:r>
              <w:rPr>
                <w:rFonts w:hAnsi="Times New Roman" w:eastAsia="宋体"/>
                <w:vertAlign w:val="superscript"/>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6</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回流</w:t>
            </w:r>
            <w:r>
              <w:rPr>
                <w:rFonts w:hAnsi="Times New Roman" w:eastAsia="宋体"/>
              </w:rPr>
              <w:t>/</w:t>
            </w:r>
            <w:r>
              <w:rPr>
                <w:rFonts w:hAnsi="宋体" w:eastAsia="宋体"/>
              </w:rPr>
              <w:t>剩余污泥泵</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Q=20m</w:t>
            </w:r>
            <w:r>
              <w:rPr>
                <w:rFonts w:hAnsi="Times New Roman" w:eastAsia="宋体"/>
                <w:vertAlign w:val="superscript"/>
              </w:rPr>
              <w:t>3</w:t>
            </w:r>
            <w:r>
              <w:rPr>
                <w:rFonts w:hAnsi="Times New Roman" w:eastAsia="宋体"/>
              </w:rPr>
              <w:t>/h</w:t>
            </w:r>
            <w:r>
              <w:rPr>
                <w:rFonts w:hAnsi="宋体" w:eastAsia="宋体"/>
              </w:rPr>
              <w:t>，</w:t>
            </w:r>
            <w:r>
              <w:rPr>
                <w:rFonts w:hAnsi="Times New Roman" w:eastAsia="宋体"/>
              </w:rPr>
              <w:t>P=0.6MPa</w:t>
            </w:r>
            <w:r>
              <w:rPr>
                <w:rFonts w:hAnsi="宋体" w:eastAsia="宋体"/>
              </w:rPr>
              <w:t>，</w:t>
            </w:r>
            <w:r>
              <w:rPr>
                <w:rFonts w:hAnsi="Times New Roman" w:eastAsia="宋体"/>
              </w:rPr>
              <w:t>N=7.5kW</w:t>
            </w:r>
            <w:r>
              <w:rPr>
                <w:rFonts w:hAnsi="宋体" w:eastAsia="宋体"/>
              </w:rPr>
              <w:t>，变频</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3</w:t>
            </w:r>
            <w:r>
              <w:rPr>
                <w:rFonts w:hAnsi="宋体" w:eastAsia="宋体"/>
              </w:rPr>
              <w:t>（二用一备）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7</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集水槽</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 xml:space="preserve">SS304 </w:t>
            </w:r>
            <w:r>
              <w:rPr>
                <w:rFonts w:hAnsi="宋体" w:eastAsia="宋体"/>
              </w:rPr>
              <w:t>材质</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条</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8</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污泥输送泵</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Q=10m</w:t>
            </w:r>
            <w:r>
              <w:rPr>
                <w:rFonts w:hAnsi="Times New Roman" w:eastAsia="宋体"/>
                <w:vertAlign w:val="superscript"/>
              </w:rPr>
              <w:t>3</w:t>
            </w:r>
            <w:r>
              <w:rPr>
                <w:rFonts w:hAnsi="Times New Roman" w:eastAsia="宋体"/>
              </w:rPr>
              <w:t>/h</w:t>
            </w:r>
            <w:r>
              <w:rPr>
                <w:rFonts w:hAnsi="宋体" w:eastAsia="宋体"/>
              </w:rPr>
              <w:t>，</w:t>
            </w:r>
            <w:r>
              <w:rPr>
                <w:rFonts w:hAnsi="Times New Roman" w:eastAsia="宋体"/>
              </w:rPr>
              <w:t>P=0.6MPa</w:t>
            </w:r>
            <w:r>
              <w:rPr>
                <w:rFonts w:hAnsi="宋体" w:eastAsia="宋体"/>
              </w:rPr>
              <w:t>，</w:t>
            </w:r>
            <w:r>
              <w:rPr>
                <w:rFonts w:hAnsi="Times New Roman" w:eastAsia="宋体"/>
              </w:rPr>
              <w:t>N=5.5kW</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2</w:t>
            </w:r>
            <w:r>
              <w:rPr>
                <w:rFonts w:hAnsi="宋体" w:eastAsia="宋体"/>
              </w:rPr>
              <w:t>（一用一备）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9</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超声波液位计</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套</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10</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泥位计</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套</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11</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浮球开关</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套</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12</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流量计</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DN50</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13</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配电柜</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套</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4" w:hRule="atLeast"/>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三</w:t>
            </w:r>
          </w:p>
        </w:tc>
        <w:tc>
          <w:tcPr>
            <w:tcW w:w="4472" w:type="pct"/>
            <w:gridSpan w:val="4"/>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污泥脱水机房</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污泥脱水机（叠螺式污泥脱水机）</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290 kg/h</w:t>
            </w:r>
            <w:r>
              <w:rPr>
                <w:rFonts w:hAnsi="宋体" w:eastAsia="宋体"/>
              </w:rPr>
              <w:t>，</w:t>
            </w:r>
            <w:r>
              <w:rPr>
                <w:rFonts w:hAnsi="Times New Roman" w:eastAsia="宋体"/>
              </w:rPr>
              <w:t>4.13kW</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2</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出料倾斜螺旋输送机</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2.2kw</w:t>
            </w:r>
            <w:r>
              <w:rPr>
                <w:rFonts w:hAnsi="宋体" w:eastAsia="宋体"/>
              </w:rPr>
              <w:t>，</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3</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 xml:space="preserve">PAM </w:t>
            </w:r>
            <w:r>
              <w:rPr>
                <w:rFonts w:hAnsi="宋体" w:eastAsia="宋体"/>
              </w:rPr>
              <w:t>全自动加药装置（阴离子）</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阴离子</w:t>
            </w:r>
            <w:r>
              <w:rPr>
                <w:rFonts w:hAnsi="Times New Roman" w:eastAsia="宋体"/>
              </w:rPr>
              <w:t>PAM</w:t>
            </w:r>
            <w:r>
              <w:rPr>
                <w:rFonts w:hAnsi="宋体" w:eastAsia="宋体"/>
              </w:rPr>
              <w:t>，</w:t>
            </w:r>
            <w:r>
              <w:rPr>
                <w:rFonts w:hAnsi="Times New Roman" w:eastAsia="宋体"/>
              </w:rPr>
              <w:t>500L/h</w:t>
            </w:r>
            <w:r>
              <w:rPr>
                <w:rFonts w:hAnsi="宋体" w:eastAsia="宋体"/>
              </w:rPr>
              <w:t>，</w:t>
            </w:r>
            <w:r>
              <w:rPr>
                <w:rFonts w:hAnsi="Times New Roman" w:eastAsia="宋体"/>
              </w:rPr>
              <w:t>0.7kw</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4</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 xml:space="preserve">PAM </w:t>
            </w:r>
            <w:r>
              <w:rPr>
                <w:rFonts w:hAnsi="宋体" w:eastAsia="宋体"/>
              </w:rPr>
              <w:t>全自动加药装置（阳离子）</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阳离子</w:t>
            </w:r>
            <w:r>
              <w:rPr>
                <w:rFonts w:hAnsi="Times New Roman" w:eastAsia="宋体"/>
              </w:rPr>
              <w:t>PAM</w:t>
            </w:r>
            <w:r>
              <w:rPr>
                <w:rFonts w:hAnsi="宋体" w:eastAsia="宋体"/>
              </w:rPr>
              <w:t>，</w:t>
            </w:r>
            <w:r>
              <w:rPr>
                <w:rFonts w:hAnsi="Times New Roman" w:eastAsia="宋体"/>
              </w:rPr>
              <w:t>1000L/h</w:t>
            </w:r>
            <w:r>
              <w:rPr>
                <w:rFonts w:hAnsi="宋体" w:eastAsia="宋体"/>
              </w:rPr>
              <w:t>，</w:t>
            </w:r>
            <w:r>
              <w:rPr>
                <w:rFonts w:hAnsi="Times New Roman" w:eastAsia="宋体"/>
              </w:rPr>
              <w:t>1.4kw</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5</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阴离子</w:t>
            </w:r>
            <w:r>
              <w:rPr>
                <w:rFonts w:hAnsi="Times New Roman" w:eastAsia="宋体"/>
              </w:rPr>
              <w:t xml:space="preserve">PAM </w:t>
            </w:r>
            <w:r>
              <w:rPr>
                <w:rFonts w:hAnsi="宋体" w:eastAsia="宋体"/>
              </w:rPr>
              <w:t>投加泵</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240L/h</w:t>
            </w:r>
            <w:r>
              <w:rPr>
                <w:rFonts w:hAnsi="宋体" w:eastAsia="宋体"/>
              </w:rPr>
              <w:t>，</w:t>
            </w:r>
            <w:r>
              <w:rPr>
                <w:rFonts w:hAnsi="Times New Roman" w:eastAsia="宋体"/>
              </w:rPr>
              <w:t>0.55kw</w:t>
            </w:r>
            <w:r>
              <w:rPr>
                <w:rFonts w:hAnsi="宋体" w:eastAsia="宋体"/>
              </w:rPr>
              <w:t>，变频</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6</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阳离子</w:t>
            </w:r>
            <w:r>
              <w:rPr>
                <w:rFonts w:hAnsi="Times New Roman" w:eastAsia="宋体"/>
              </w:rPr>
              <w:t xml:space="preserve">PAM </w:t>
            </w:r>
            <w:r>
              <w:rPr>
                <w:rFonts w:hAnsi="宋体" w:eastAsia="宋体"/>
              </w:rPr>
              <w:t>投加泵</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500L/h</w:t>
            </w:r>
            <w:r>
              <w:rPr>
                <w:rFonts w:hAnsi="宋体" w:eastAsia="宋体"/>
              </w:rPr>
              <w:t>，</w:t>
            </w:r>
            <w:r>
              <w:rPr>
                <w:rFonts w:hAnsi="Times New Roman" w:eastAsia="宋体"/>
              </w:rPr>
              <w:t>0.55kw</w:t>
            </w:r>
            <w:r>
              <w:rPr>
                <w:rFonts w:hAnsi="宋体" w:eastAsia="宋体"/>
              </w:rPr>
              <w:t>，变频</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7</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 xml:space="preserve">PAM </w:t>
            </w:r>
            <w:r>
              <w:rPr>
                <w:rFonts w:hAnsi="宋体" w:eastAsia="宋体"/>
              </w:rPr>
              <w:t>流量计（阳离子）</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8</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钢制污泥料斗</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8m</w:t>
            </w:r>
            <w:r>
              <w:rPr>
                <w:rFonts w:hAnsi="Times New Roman" w:eastAsia="宋体"/>
                <w:vertAlign w:val="superscript"/>
              </w:rPr>
              <w:t>3</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套</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9</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电动插板阀</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DN1000</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10</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流量计</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DN50</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11</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流量计</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DN15</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12</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超声波液位计</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套</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8" w:hRule="atLeast"/>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四</w:t>
            </w:r>
          </w:p>
        </w:tc>
        <w:tc>
          <w:tcPr>
            <w:tcW w:w="4472" w:type="pct"/>
            <w:gridSpan w:val="4"/>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int="eastAsia" w:hAnsi="Times New Roman" w:eastAsia="宋体"/>
                <w:lang w:eastAsia="zh-CN"/>
              </w:rPr>
            </w:pPr>
            <w:r>
              <w:rPr>
                <w:rFonts w:hint="eastAsia" w:hAnsi="宋体" w:eastAsia="宋体"/>
                <w:lang w:eastAsia="zh-CN"/>
              </w:rPr>
              <w:t>加药间</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int="eastAsia" w:ascii="Times New Roman" w:hAnsi="宋体" w:eastAsia="宋体"/>
                <w:lang w:val="en-US" w:eastAsia="zh-CN"/>
              </w:rPr>
            </w:pPr>
            <w:r>
              <w:rPr>
                <w:rFonts w:hint="eastAsia" w:ascii="Times New Roman" w:hAnsi="宋体" w:eastAsia="宋体"/>
              </w:rPr>
              <w:t>立式储罐</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hint="eastAsia" w:ascii="Times New Roman" w:hAnsi="宋体" w:eastAsia="宋体"/>
              </w:rPr>
              <w:t>PTW20000L型/容积:20 m3</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ascii="Times New Roman" w:hAnsi="宋体" w:eastAsia="宋体"/>
              </w:rPr>
              <w:t>个</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int="eastAsia" w:ascii="Times New Roman" w:hAnsi="宋体" w:eastAsia="宋体"/>
                <w:lang w:val="en-US" w:eastAsia="zh-CN"/>
              </w:rPr>
            </w:pPr>
            <w:r>
              <w:rPr>
                <w:rFonts w:hint="eastAsia" w:ascii="Times New Roman" w:hAnsi="宋体" w:eastAsia="宋体"/>
              </w:rPr>
              <w:t>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2</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hint="eastAsia" w:ascii="Times New Roman" w:hAnsi="宋体" w:eastAsia="宋体"/>
              </w:rPr>
              <w:t>卸料泵</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hint="eastAsia" w:ascii="Times New Roman" w:hAnsi="宋体" w:eastAsia="宋体"/>
              </w:rPr>
              <w:t>36m³/h32.5m接液材质为PVDF</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ascii="Times New Roman"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ascii="Times New Roman" w:hAnsi="宋体" w:eastAsia="宋体"/>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3</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hint="eastAsia" w:ascii="Times New Roman" w:hAnsi="宋体" w:eastAsia="宋体"/>
              </w:rPr>
              <w:t>软水装置</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hint="eastAsia" w:ascii="Times New Roman" w:hAnsi="宋体" w:eastAsia="宋体"/>
              </w:rPr>
              <w:t>'Φ1000*1900玻璃钢材质</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int="eastAsia" w:ascii="Times New Roman" w:hAnsi="宋体" w:eastAsia="宋体"/>
                <w:lang w:val="en-US" w:eastAsia="zh-CN"/>
              </w:rPr>
            </w:pPr>
            <w:r>
              <w:rPr>
                <w:rFonts w:hint="eastAsia" w:ascii="Times New Roman" w:hAnsi="宋体" w:eastAsia="宋体"/>
              </w:rPr>
              <w:t>套</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int="eastAsia" w:ascii="Times New Roman" w:hAnsi="宋体" w:eastAsia="宋体"/>
                <w:lang w:val="en-US" w:eastAsia="zh-CN"/>
              </w:rPr>
            </w:pPr>
            <w:r>
              <w:rPr>
                <w:rFonts w:hint="eastAsia" w:ascii="Times New Roman" w:hAnsi="宋体" w:eastAsia="宋体"/>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4</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hint="eastAsia" w:ascii="Times New Roman" w:hAnsi="宋体" w:eastAsia="宋体"/>
              </w:rPr>
              <w:t>计量泵</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hint="eastAsia" w:ascii="Times New Roman" w:hAnsi="宋体" w:eastAsia="宋体"/>
              </w:rPr>
              <w:t>'GM0050TP1MNNN</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ascii="Times New Roman"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int="eastAsia" w:ascii="Times New Roman" w:hAnsi="宋体" w:eastAsia="宋体"/>
                <w:lang w:val="en-US" w:eastAsia="zh-CN"/>
              </w:rPr>
            </w:pPr>
            <w:r>
              <w:rPr>
                <w:rFonts w:hint="eastAsia" w:ascii="Times New Roman" w:hAnsi="宋体" w:eastAsia="宋体"/>
              </w:rPr>
              <w:t>6</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5</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hint="eastAsia" w:ascii="Times New Roman" w:hAnsi="宋体" w:eastAsia="宋体"/>
              </w:rPr>
              <w:t>流量计</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hint="eastAsia" w:ascii="Times New Roman" w:hAnsi="宋体" w:eastAsia="宋体"/>
              </w:rPr>
              <w:t>'科隆 整体式DN10</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ascii="Times New Roman" w:hAnsi="宋体" w:eastAsia="宋体"/>
              </w:rPr>
              <w:t>个</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int="eastAsia" w:ascii="Times New Roman" w:hAnsi="宋体" w:eastAsia="宋体"/>
                <w:lang w:val="en-US" w:eastAsia="zh-CN"/>
              </w:rPr>
            </w:pPr>
            <w:r>
              <w:rPr>
                <w:rFonts w:hint="eastAsia" w:ascii="Times New Roman" w:hAnsi="宋体" w:eastAsia="宋体"/>
              </w:rPr>
              <w:t>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0" w:type="auto"/>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int="eastAsia" w:hAnsi="Times New Roman" w:eastAsia="宋体"/>
                <w:lang w:val="en-US" w:eastAsia="zh-CN"/>
              </w:rPr>
            </w:pPr>
            <w:r>
              <w:rPr>
                <w:rFonts w:hint="eastAsia" w:hAnsi="Times New Roman" w:eastAsia="宋体"/>
                <w:lang w:val="en-US" w:eastAsia="zh-CN"/>
              </w:rPr>
              <w:t>6</w:t>
            </w:r>
          </w:p>
        </w:tc>
        <w:tc>
          <w:tcPr>
            <w:tcW w:w="0" w:type="auto"/>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hint="eastAsia" w:ascii="Times New Roman" w:hAnsi="宋体" w:eastAsia="宋体"/>
              </w:rPr>
              <w:t>现场控制柜次钠机旁箱</w:t>
            </w:r>
          </w:p>
        </w:tc>
        <w:tc>
          <w:tcPr>
            <w:tcW w:w="0" w:type="auto"/>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hint="eastAsia" w:ascii="Times New Roman" w:hAnsi="宋体" w:eastAsia="宋体"/>
              </w:rPr>
              <w:t>'威图IP42</w:t>
            </w:r>
          </w:p>
        </w:tc>
        <w:tc>
          <w:tcPr>
            <w:tcW w:w="0" w:type="auto"/>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int="eastAsia" w:ascii="Times New Roman" w:hAnsi="宋体" w:eastAsia="宋体"/>
                <w:lang w:val="en-US" w:eastAsia="zh-CN"/>
              </w:rPr>
            </w:pPr>
            <w:r>
              <w:rPr>
                <w:rFonts w:hint="eastAsia" w:ascii="Times New Roman" w:hAnsi="宋体" w:eastAsia="宋体"/>
              </w:rPr>
              <w:t>台</w:t>
            </w:r>
          </w:p>
        </w:tc>
        <w:tc>
          <w:tcPr>
            <w:tcW w:w="0" w:type="auto"/>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ascii="Times New Roman" w:hAnsi="宋体" w:eastAsia="宋体"/>
              </w:rPr>
              <w:t>1</w:t>
            </w:r>
          </w:p>
        </w:tc>
      </w:tr>
    </w:tbl>
    <w:p>
      <w:pPr>
        <w:pStyle w:val="5"/>
      </w:pPr>
      <w:bookmarkStart w:id="14" w:name="_Toc29020"/>
      <w:r>
        <w:rPr>
          <w:rFonts w:hint="eastAsia"/>
        </w:rPr>
        <w:t>污染源及其防治措施</w:t>
      </w:r>
      <w:bookmarkEnd w:id="14"/>
    </w:p>
    <w:p>
      <w:pPr>
        <w:pStyle w:val="6"/>
      </w:pPr>
      <w:r>
        <w:rPr>
          <w:rFonts w:hint="eastAsia"/>
        </w:rPr>
        <w:t>废水</w:t>
      </w:r>
    </w:p>
    <w:p>
      <w:pPr>
        <w:ind w:firstLine="560"/>
      </w:pPr>
      <w:r>
        <w:rPr>
          <w:rFonts w:hint="eastAsia"/>
        </w:rPr>
        <w:t>本公司产生的废水包括：生活污水和生产废水。</w:t>
      </w:r>
    </w:p>
    <w:p>
      <w:pPr>
        <w:ind w:firstLine="560"/>
        <w:rPr>
          <w:rFonts w:hint="eastAsia"/>
        </w:rPr>
      </w:pPr>
      <w:r>
        <w:rPr>
          <w:rFonts w:hint="eastAsia"/>
        </w:rPr>
        <w:t>沉淀池排泥水和滤池的反冲洗废水直排入赣江；生活污水</w:t>
      </w:r>
      <w:r>
        <w:rPr>
          <w:rFonts w:hint="eastAsia"/>
          <w:lang w:eastAsia="zh-CN"/>
        </w:rPr>
        <w:t>、化验室检测仪器的清洗废水</w:t>
      </w:r>
      <w:r>
        <w:rPr>
          <w:rFonts w:hint="eastAsia"/>
        </w:rPr>
        <w:t>直排入市政污水管网排到经开区白水湖污水处理厂处理达标后，尾水排放执行《城镇污水处理厂污染物排放标准》(GB18918-2002)表1中一级B标准，尾水排入赣江。</w:t>
      </w:r>
    </w:p>
    <w:p>
      <w:pPr>
        <w:pStyle w:val="6"/>
      </w:pPr>
      <w:r>
        <w:rPr>
          <w:rFonts w:hint="eastAsia"/>
        </w:rPr>
        <w:t>废气</w:t>
      </w:r>
    </w:p>
    <w:p>
      <w:pPr>
        <w:ind w:firstLine="560"/>
        <w:rPr>
          <w:rFonts w:hint="eastAsia"/>
        </w:rPr>
      </w:pPr>
      <w:r>
        <w:rPr>
          <w:rFonts w:hint="eastAsia"/>
        </w:rPr>
        <w:t>废气主要为食堂油烟。</w:t>
      </w:r>
    </w:p>
    <w:p>
      <w:pPr>
        <w:ind w:firstLine="560"/>
        <w:rPr>
          <w:rFonts w:hint="eastAsia"/>
        </w:rPr>
      </w:pPr>
      <w:r>
        <w:rPr>
          <w:rFonts w:hint="eastAsia"/>
        </w:rPr>
        <w:t>食堂油烟：本项目食堂采用1个灶头，建设单位未对油烟进行处理，满足《饮食业油烟排放标准（试行）》（GB18483-2001）要求，处理后的烟气由风机抽至食堂楼顶高空排放。</w:t>
      </w:r>
    </w:p>
    <w:p>
      <w:pPr>
        <w:pStyle w:val="6"/>
      </w:pPr>
      <w:r>
        <w:rPr>
          <w:rFonts w:hint="eastAsia"/>
        </w:rPr>
        <w:t>噪声</w:t>
      </w:r>
    </w:p>
    <w:p>
      <w:pPr>
        <w:ind w:firstLine="560"/>
        <w:rPr>
          <w:rFonts w:hint="eastAsia" w:eastAsia="宋体"/>
          <w:lang w:eastAsia="zh-CN"/>
        </w:rPr>
      </w:pPr>
      <w:r>
        <w:rPr>
          <w:rFonts w:hint="eastAsia"/>
        </w:rPr>
        <w:t>通过选用低噪音设备、合理布置厂区及设备位置，针对噪声源位置及特点分别采取隔音、减震、消声等措施，产生的噪声对周边环境影响较小</w:t>
      </w:r>
      <w:r>
        <w:rPr>
          <w:rFonts w:hint="eastAsia"/>
          <w:lang w:eastAsia="zh-CN"/>
        </w:rPr>
        <w:t>。</w:t>
      </w:r>
    </w:p>
    <w:p>
      <w:pPr>
        <w:pStyle w:val="6"/>
      </w:pPr>
      <w:r>
        <w:rPr>
          <w:rFonts w:hint="eastAsia"/>
        </w:rPr>
        <w:t>固体废弃物</w:t>
      </w:r>
    </w:p>
    <w:p>
      <w:pPr>
        <w:ind w:firstLine="560"/>
        <w:rPr>
          <w:rFonts w:hint="eastAsia"/>
        </w:rPr>
      </w:pPr>
      <w:r>
        <w:rPr>
          <w:rFonts w:hint="eastAsia"/>
        </w:rPr>
        <w:t>本公司产生的固体废物包括：</w:t>
      </w:r>
      <w:r>
        <w:rPr>
          <w:rFonts w:hint="eastAsia"/>
          <w:lang w:eastAsia="zh-CN"/>
        </w:rPr>
        <w:t>泥饼等一般固废</w:t>
      </w:r>
      <w:r>
        <w:rPr>
          <w:rFonts w:hint="eastAsia"/>
        </w:rPr>
        <w:t>、生活垃圾和危险废物（废紫外灯管</w:t>
      </w:r>
      <w:r>
        <w:rPr>
          <w:rFonts w:hint="eastAsia"/>
          <w:lang w:eastAsia="zh-CN"/>
        </w:rPr>
        <w:t>、</w:t>
      </w:r>
      <w:r>
        <w:rPr>
          <w:rFonts w:hint="eastAsia"/>
        </w:rPr>
        <w:t>废化验试剂、废试剂瓶）。</w:t>
      </w:r>
    </w:p>
    <w:p>
      <w:pPr>
        <w:ind w:firstLine="560"/>
      </w:pPr>
      <w:r>
        <w:rPr>
          <w:rFonts w:hint="eastAsia"/>
        </w:rPr>
        <w:t>项目运行过程所产生的污泥，污泥经叠螺式污泥脱水机脱水处理后制成干泥，由洪城水业外运统一运送至麦园垃圾填埋厂进行无害化处置。生活垃圾收集后交由环卫部门处置；危险废物暂存后交由有资质的单位处置。</w:t>
      </w:r>
    </w:p>
    <w:p>
      <w:pPr>
        <w:pStyle w:val="5"/>
      </w:pPr>
      <w:bookmarkStart w:id="15" w:name="_Toc32176"/>
      <w:r>
        <w:rPr>
          <w:rFonts w:hint="eastAsia"/>
        </w:rPr>
        <w:t>环境概况</w:t>
      </w:r>
      <w:bookmarkEnd w:id="15"/>
    </w:p>
    <w:p>
      <w:pPr>
        <w:pStyle w:val="6"/>
      </w:pPr>
      <w:r>
        <w:rPr>
          <w:rFonts w:hint="eastAsia"/>
        </w:rPr>
        <w:t>气象、气候</w:t>
      </w:r>
    </w:p>
    <w:p>
      <w:pPr>
        <w:ind w:firstLine="560"/>
      </w:pPr>
      <w:r>
        <w:rPr>
          <w:rFonts w:hint="eastAsia"/>
        </w:rPr>
        <w:t>南昌市地处亚热带季风湿润气候区，气候温暖，雨量充沛，阳光充足，四季分明。春季平均气温16.8℃；雨季主要在4～6月份，雨量占年总雨量的48%，暴雨天气及洪涝灾害大多出现在雨季；夏季，天气炎热，平均气温27.9℃；秋季晴多雨少，平均气温19.1℃；冬季多风雪天气，平均气温6.7℃。年平均气温17.6℃，年平均降水量1627mm。年平均风速为1.5m/s，年最大风日数为129天，年主导风向为北风，夏季盛行西南风，冬季主导风向是东北风。</w:t>
      </w:r>
    </w:p>
    <w:p>
      <w:pPr>
        <w:ind w:firstLine="560"/>
      </w:pPr>
      <w:r>
        <w:rPr>
          <w:rFonts w:hint="eastAsia"/>
        </w:rPr>
        <w:t>根据南昌气象台近几年地面风资料，统计出该地全年及四季的风向频率及月平均风速，并绘制成风玫瑰图（</w:t>
      </w:r>
      <w:r>
        <w:fldChar w:fldCharType="begin"/>
      </w:r>
      <w:r>
        <w:instrText xml:space="preserve"> </w:instrText>
      </w:r>
      <w:r>
        <w:rPr>
          <w:rFonts w:hint="eastAsia"/>
        </w:rPr>
        <w:instrText xml:space="preserve">REF _Ref526600179 \h</w:instrText>
      </w:r>
      <w:r>
        <w:instrText xml:space="preserve"> </w:instrText>
      </w:r>
      <w:r>
        <w:fldChar w:fldCharType="separate"/>
      </w:r>
      <w:r>
        <w:rPr>
          <w:rFonts w:hint="eastAsia"/>
        </w:rPr>
        <w:t xml:space="preserve">图 </w:t>
      </w:r>
      <w:r>
        <w:t>2</w:t>
      </w:r>
      <w:r>
        <w:noBreakHyphen/>
      </w:r>
      <w:r>
        <w:t>3</w:t>
      </w:r>
      <w:r>
        <w:fldChar w:fldCharType="end"/>
      </w:r>
      <w:r>
        <w:rPr>
          <w:rFonts w:hint="eastAsia"/>
        </w:rPr>
        <w:t>）和月平均风速图（</w:t>
      </w:r>
      <w:r>
        <w:fldChar w:fldCharType="begin"/>
      </w:r>
      <w:r>
        <w:instrText xml:space="preserve"> </w:instrText>
      </w:r>
      <w:r>
        <w:rPr>
          <w:rFonts w:hint="eastAsia"/>
        </w:rPr>
        <w:instrText xml:space="preserve">REF _Ref526600176 \h</w:instrText>
      </w:r>
      <w:r>
        <w:instrText xml:space="preserve"> </w:instrText>
      </w:r>
      <w:r>
        <w:fldChar w:fldCharType="separate"/>
      </w:r>
      <w:r>
        <w:rPr>
          <w:rFonts w:hint="eastAsia"/>
        </w:rPr>
        <w:t xml:space="preserve">图 </w:t>
      </w:r>
      <w:r>
        <w:t>2</w:t>
      </w:r>
      <w:r>
        <w:noBreakHyphen/>
      </w:r>
      <w:r>
        <w:t>2</w:t>
      </w:r>
      <w:r>
        <w:fldChar w:fldCharType="end"/>
      </w:r>
      <w:r>
        <w:rPr>
          <w:rFonts w:hint="eastAsia"/>
        </w:rPr>
        <w:t>）。</w:t>
      </w:r>
    </w:p>
    <w:p>
      <w:pPr>
        <w:ind w:firstLine="560"/>
      </w:pPr>
      <w:r>
        <w:rPr>
          <w:rFonts w:hint="eastAsia"/>
        </w:rPr>
        <w:t>①风向</w:t>
      </w:r>
    </w:p>
    <w:p>
      <w:pPr>
        <w:ind w:firstLine="560"/>
      </w:pPr>
      <w:r>
        <w:rPr>
          <w:rFonts w:hint="eastAsia"/>
        </w:rPr>
        <w:t>由风玫瑰图可见，项目所在地全年主导风为N(北)风，出现频率为17.3%，其次为NE(东北)风，出现频率为13.7%，最小频率的风向出现在SSE(东南偏南)，出现频率为0.5%，全年静风出现频率为24.6%。</w:t>
      </w:r>
    </w:p>
    <w:p>
      <w:pPr>
        <w:ind w:firstLine="560"/>
      </w:pPr>
      <w:r>
        <w:rPr>
          <w:rFonts w:hint="eastAsia"/>
        </w:rPr>
        <w:t>春、秋、冬三季均以N（北）风为主导风向，值分别为15.3%、23.7%、21.3%；夏季以SW（西南）风为主导风向，出现频率为14.5％。春、秋、冬三季均以SSE（东南偏南）风向出现频率最小，出现频率分别为0.4%、0.1%、0.1%；夏季以WNW（西北偏西）风向出现频率最小，出现频率分别为0.3%；春、夏、秋、冬四季静风出现频率分别为25.5%、24.6%、22.2%、25.9%。</w:t>
      </w:r>
    </w:p>
    <w:p>
      <w:pPr>
        <w:ind w:firstLine="560"/>
      </w:pPr>
      <w:r>
        <w:rPr>
          <w:rFonts w:hint="eastAsia"/>
        </w:rPr>
        <w:t>②风速</w:t>
      </w:r>
    </w:p>
    <w:p>
      <w:pPr>
        <w:ind w:firstLine="560"/>
      </w:pPr>
      <w:r>
        <w:rPr>
          <w:rFonts w:hint="eastAsia"/>
        </w:rPr>
        <w:t>项目所在地年平均风速为1.5m/s。春、夏、秋、冬四季平均风速值分别为1.4m/s，1.4m/s、1.7m/s、1.5m/s。从年各月平均风速曲线图2-2来看，各月平均风速在1.42～1.92m/s之间，9月平均风速最大，为1.92m/s，6月平均风速最小，为1.42m/s。各风向平均风速值详见</w:t>
      </w:r>
      <w:r>
        <w:fldChar w:fldCharType="begin"/>
      </w:r>
      <w:r>
        <w:instrText xml:space="preserve"> </w:instrText>
      </w:r>
      <w:r>
        <w:rPr>
          <w:rFonts w:hint="eastAsia"/>
        </w:rPr>
        <w:instrText xml:space="preserve">REF _Ref526600066 \h</w:instrText>
      </w:r>
      <w:r>
        <w:instrText xml:space="preserve"> </w:instrText>
      </w:r>
      <w:r>
        <w:fldChar w:fldCharType="separate"/>
      </w:r>
      <w:r>
        <w:rPr>
          <w:rFonts w:hint="eastAsia"/>
        </w:rPr>
        <w:t xml:space="preserve">表 </w:t>
      </w:r>
      <w:r>
        <w:t>2</w:t>
      </w:r>
      <w:r>
        <w:noBreakHyphen/>
      </w:r>
      <w:r>
        <w:rPr>
          <w:rFonts w:hint="eastAsia"/>
          <w:lang w:val="en-US" w:eastAsia="zh-CN"/>
        </w:rPr>
        <w:t>4</w:t>
      </w:r>
      <w:r>
        <w:fldChar w:fldCharType="end"/>
      </w:r>
      <w:r>
        <w:rPr>
          <w:rFonts w:hint="eastAsia"/>
        </w:rPr>
        <w:t>。</w:t>
      </w:r>
    </w:p>
    <w:p>
      <w:pPr>
        <w:pStyle w:val="8"/>
        <w:keepNext/>
      </w:pPr>
      <w:bookmarkStart w:id="16" w:name="_Ref526600066"/>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2</w:t>
      </w:r>
      <w:r>
        <w:fldChar w:fldCharType="end"/>
      </w:r>
      <w:r>
        <w:noBreakHyphen/>
      </w:r>
      <w:bookmarkEnd w:id="16"/>
      <w:r>
        <w:rPr>
          <w:rFonts w:hint="eastAsia"/>
          <w:lang w:val="en-US" w:eastAsia="zh-CN"/>
        </w:rPr>
        <w:t>4</w:t>
      </w:r>
      <w:r>
        <w:rPr>
          <w:rFonts w:hint="eastAsia"/>
        </w:rPr>
        <w:t>全年及各季各风向下平均风速（m/s）</w:t>
      </w:r>
    </w:p>
    <w:tbl>
      <w:tblPr>
        <w:tblStyle w:val="15"/>
        <w:tblW w:w="5000" w:type="pct"/>
        <w:tblInd w:w="0" w:type="dxa"/>
        <w:tblLayout w:type="autofit"/>
        <w:tblCellMar>
          <w:top w:w="0" w:type="dxa"/>
          <w:left w:w="108" w:type="dxa"/>
          <w:bottom w:w="0" w:type="dxa"/>
          <w:right w:w="108" w:type="dxa"/>
        </w:tblCellMar>
      </w:tblPr>
      <w:tblGrid>
        <w:gridCol w:w="2009"/>
        <w:gridCol w:w="1467"/>
        <w:gridCol w:w="1467"/>
        <w:gridCol w:w="1467"/>
        <w:gridCol w:w="1468"/>
        <w:gridCol w:w="1466"/>
      </w:tblGrid>
      <w:tr>
        <w:tblPrEx>
          <w:tblCellMar>
            <w:top w:w="0" w:type="dxa"/>
            <w:left w:w="108" w:type="dxa"/>
            <w:bottom w:w="0" w:type="dxa"/>
            <w:right w:w="108" w:type="dxa"/>
          </w:tblCellMar>
        </w:tblPrEx>
        <w:trPr>
          <w:trHeight w:val="425" w:hRule="atLeast"/>
        </w:trPr>
        <w:tc>
          <w:tcPr>
            <w:tcW w:w="1075" w:type="pct"/>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widowControl/>
              <w:spacing w:line="240" w:lineRule="auto"/>
              <w:ind w:firstLine="0" w:firstLineChars="0"/>
              <w:jc w:val="center"/>
              <w:rPr>
                <w:rFonts w:ascii="宋体" w:hAnsi="宋体" w:cs="Times New Roman"/>
                <w:b/>
                <w:bCs/>
                <w:color w:val="000000"/>
                <w:kern w:val="0"/>
                <w:sz w:val="21"/>
                <w:szCs w:val="21"/>
              </w:rPr>
            </w:pPr>
            <w:r>
              <w:rPr>
                <w:rFonts w:hint="eastAsia" w:ascii="宋体" w:hAnsi="宋体" w:cs="Times New Roman"/>
                <w:b/>
                <w:bCs/>
                <w:color w:val="000000"/>
                <w:kern w:val="0"/>
                <w:sz w:val="21"/>
                <w:szCs w:val="21"/>
              </w:rPr>
              <w:t>季节</w:t>
            </w:r>
          </w:p>
          <w:p>
            <w:pPr>
              <w:widowControl/>
              <w:spacing w:line="240" w:lineRule="auto"/>
              <w:ind w:firstLine="0" w:firstLineChars="0"/>
              <w:jc w:val="left"/>
              <w:rPr>
                <w:rFonts w:eastAsia="等线" w:cs="Times New Roman"/>
                <w:b/>
                <w:bCs/>
                <w:color w:val="000000"/>
                <w:kern w:val="0"/>
                <w:sz w:val="21"/>
                <w:szCs w:val="21"/>
              </w:rPr>
            </w:pPr>
            <w:r>
              <w:rPr>
                <w:rFonts w:hint="eastAsia" w:ascii="宋体" w:hAnsi="宋体" w:cs="Times New Roman"/>
                <w:b/>
                <w:bCs/>
                <w:color w:val="000000"/>
                <w:kern w:val="0"/>
                <w:sz w:val="21"/>
                <w:szCs w:val="21"/>
              </w:rPr>
              <w:t>风向</w:t>
            </w:r>
          </w:p>
        </w:tc>
        <w:tc>
          <w:tcPr>
            <w:tcW w:w="785"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cs="宋体"/>
                <w:b/>
                <w:bCs/>
                <w:color w:val="000000"/>
                <w:kern w:val="0"/>
                <w:sz w:val="21"/>
                <w:szCs w:val="21"/>
              </w:rPr>
            </w:pPr>
            <w:r>
              <w:rPr>
                <w:rFonts w:hint="eastAsia" w:ascii="宋体" w:hAnsi="宋体" w:cs="宋体"/>
                <w:b/>
                <w:bCs/>
                <w:color w:val="000000"/>
                <w:kern w:val="0"/>
                <w:sz w:val="21"/>
                <w:szCs w:val="21"/>
              </w:rPr>
              <w:t>春</w:t>
            </w:r>
          </w:p>
        </w:tc>
        <w:tc>
          <w:tcPr>
            <w:tcW w:w="785"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cs="宋体"/>
                <w:b/>
                <w:bCs/>
                <w:color w:val="000000"/>
                <w:kern w:val="0"/>
                <w:sz w:val="21"/>
                <w:szCs w:val="21"/>
              </w:rPr>
            </w:pPr>
            <w:r>
              <w:rPr>
                <w:rFonts w:hint="eastAsia" w:ascii="宋体" w:hAnsi="宋体" w:cs="宋体"/>
                <w:b/>
                <w:bCs/>
                <w:color w:val="000000"/>
                <w:kern w:val="0"/>
                <w:sz w:val="21"/>
                <w:szCs w:val="21"/>
              </w:rPr>
              <w:t>夏</w:t>
            </w:r>
          </w:p>
        </w:tc>
        <w:tc>
          <w:tcPr>
            <w:tcW w:w="785"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cs="宋体"/>
                <w:b/>
                <w:bCs/>
                <w:color w:val="000000"/>
                <w:kern w:val="0"/>
                <w:sz w:val="21"/>
                <w:szCs w:val="21"/>
              </w:rPr>
            </w:pPr>
            <w:r>
              <w:rPr>
                <w:rFonts w:hint="eastAsia" w:ascii="宋体" w:hAnsi="宋体" w:cs="宋体"/>
                <w:b/>
                <w:bCs/>
                <w:color w:val="000000"/>
                <w:kern w:val="0"/>
                <w:sz w:val="21"/>
                <w:szCs w:val="21"/>
              </w:rPr>
              <w:t>秋</w:t>
            </w:r>
          </w:p>
        </w:tc>
        <w:tc>
          <w:tcPr>
            <w:tcW w:w="785"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cs="宋体"/>
                <w:b/>
                <w:bCs/>
                <w:color w:val="000000"/>
                <w:kern w:val="0"/>
                <w:sz w:val="21"/>
                <w:szCs w:val="21"/>
              </w:rPr>
            </w:pPr>
            <w:r>
              <w:rPr>
                <w:rFonts w:hint="eastAsia" w:ascii="宋体" w:hAnsi="宋体" w:cs="宋体"/>
                <w:b/>
                <w:bCs/>
                <w:color w:val="000000"/>
                <w:kern w:val="0"/>
                <w:sz w:val="21"/>
                <w:szCs w:val="21"/>
              </w:rPr>
              <w:t>冬</w:t>
            </w:r>
          </w:p>
        </w:tc>
        <w:tc>
          <w:tcPr>
            <w:tcW w:w="784"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cs="宋体"/>
                <w:b/>
                <w:bCs/>
                <w:color w:val="000000"/>
                <w:kern w:val="0"/>
                <w:sz w:val="21"/>
                <w:szCs w:val="21"/>
              </w:rPr>
            </w:pPr>
            <w:r>
              <w:rPr>
                <w:rFonts w:hint="eastAsia" w:ascii="宋体" w:hAnsi="宋体" w:cs="宋体"/>
                <w:b/>
                <w:bCs/>
                <w:color w:val="000000"/>
                <w:kern w:val="0"/>
                <w:sz w:val="21"/>
                <w:szCs w:val="21"/>
              </w:rPr>
              <w:t>全年</w:t>
            </w:r>
          </w:p>
        </w:tc>
      </w:tr>
      <w:tr>
        <w:tblPrEx>
          <w:tblCellMar>
            <w:top w:w="0" w:type="dxa"/>
            <w:left w:w="108" w:type="dxa"/>
            <w:bottom w:w="0" w:type="dxa"/>
            <w:right w:w="108" w:type="dxa"/>
          </w:tblCellMar>
        </w:tblPrEx>
        <w:trPr>
          <w:trHeight w:val="425" w:hRule="atLeast"/>
        </w:trPr>
        <w:tc>
          <w:tcPr>
            <w:tcW w:w="1075"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N</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2.4</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2.4</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2.3</w:t>
            </w:r>
          </w:p>
        </w:tc>
        <w:tc>
          <w:tcPr>
            <w:tcW w:w="7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2.3</w:t>
            </w:r>
          </w:p>
        </w:tc>
      </w:tr>
      <w:tr>
        <w:tblPrEx>
          <w:tblCellMar>
            <w:top w:w="0" w:type="dxa"/>
            <w:left w:w="108" w:type="dxa"/>
            <w:bottom w:w="0" w:type="dxa"/>
            <w:right w:w="108" w:type="dxa"/>
          </w:tblCellMar>
        </w:tblPrEx>
        <w:trPr>
          <w:trHeight w:val="425" w:hRule="atLeast"/>
        </w:trPr>
        <w:tc>
          <w:tcPr>
            <w:tcW w:w="1075"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NNE</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2.5</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2.4</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2.4</w:t>
            </w:r>
          </w:p>
        </w:tc>
        <w:tc>
          <w:tcPr>
            <w:tcW w:w="7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2.4</w:t>
            </w:r>
          </w:p>
        </w:tc>
      </w:tr>
      <w:tr>
        <w:tblPrEx>
          <w:tblCellMar>
            <w:top w:w="0" w:type="dxa"/>
            <w:left w:w="108" w:type="dxa"/>
            <w:bottom w:w="0" w:type="dxa"/>
            <w:right w:w="108" w:type="dxa"/>
          </w:tblCellMar>
        </w:tblPrEx>
        <w:trPr>
          <w:trHeight w:val="425" w:hRule="atLeast"/>
        </w:trPr>
        <w:tc>
          <w:tcPr>
            <w:tcW w:w="1075"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NE</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1.8</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1.8</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1.9</w:t>
            </w:r>
          </w:p>
        </w:tc>
        <w:tc>
          <w:tcPr>
            <w:tcW w:w="7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1.9</w:t>
            </w:r>
          </w:p>
        </w:tc>
      </w:tr>
      <w:tr>
        <w:tblPrEx>
          <w:tblCellMar>
            <w:top w:w="0" w:type="dxa"/>
            <w:left w:w="108" w:type="dxa"/>
            <w:bottom w:w="0" w:type="dxa"/>
            <w:right w:w="108" w:type="dxa"/>
          </w:tblCellMar>
        </w:tblPrEx>
        <w:trPr>
          <w:trHeight w:val="425" w:hRule="atLeast"/>
        </w:trPr>
        <w:tc>
          <w:tcPr>
            <w:tcW w:w="1075"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ENE</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1.7</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1.9</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1.8</w:t>
            </w:r>
          </w:p>
        </w:tc>
        <w:tc>
          <w:tcPr>
            <w:tcW w:w="7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1.9</w:t>
            </w:r>
          </w:p>
        </w:tc>
      </w:tr>
      <w:tr>
        <w:tblPrEx>
          <w:tblCellMar>
            <w:top w:w="0" w:type="dxa"/>
            <w:left w:w="108" w:type="dxa"/>
            <w:bottom w:w="0" w:type="dxa"/>
            <w:right w:w="108" w:type="dxa"/>
          </w:tblCellMar>
        </w:tblPrEx>
        <w:trPr>
          <w:trHeight w:val="425" w:hRule="atLeast"/>
        </w:trPr>
        <w:tc>
          <w:tcPr>
            <w:tcW w:w="1075"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E</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1.6</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1.7</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1.6</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1.4</w:t>
            </w:r>
          </w:p>
        </w:tc>
        <w:tc>
          <w:tcPr>
            <w:tcW w:w="7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1.6</w:t>
            </w:r>
          </w:p>
        </w:tc>
      </w:tr>
      <w:tr>
        <w:tblPrEx>
          <w:tblCellMar>
            <w:top w:w="0" w:type="dxa"/>
            <w:left w:w="108" w:type="dxa"/>
            <w:bottom w:w="0" w:type="dxa"/>
            <w:right w:w="108" w:type="dxa"/>
          </w:tblCellMar>
        </w:tblPrEx>
        <w:trPr>
          <w:trHeight w:val="425" w:hRule="atLeast"/>
        </w:trPr>
        <w:tc>
          <w:tcPr>
            <w:tcW w:w="1075"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ESE</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1.9</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1.7</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1.6</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1.5</w:t>
            </w:r>
          </w:p>
        </w:tc>
        <w:tc>
          <w:tcPr>
            <w:tcW w:w="7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1.8</w:t>
            </w:r>
          </w:p>
        </w:tc>
      </w:tr>
      <w:tr>
        <w:tblPrEx>
          <w:tblCellMar>
            <w:top w:w="0" w:type="dxa"/>
            <w:left w:w="108" w:type="dxa"/>
            <w:bottom w:w="0" w:type="dxa"/>
            <w:right w:w="108" w:type="dxa"/>
          </w:tblCellMar>
        </w:tblPrEx>
        <w:trPr>
          <w:trHeight w:val="425" w:hRule="atLeast"/>
        </w:trPr>
        <w:tc>
          <w:tcPr>
            <w:tcW w:w="1075"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SE</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1.3</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1.6</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1.4</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1.3</w:t>
            </w:r>
          </w:p>
        </w:tc>
        <w:tc>
          <w:tcPr>
            <w:tcW w:w="7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1.5</w:t>
            </w:r>
          </w:p>
        </w:tc>
      </w:tr>
      <w:tr>
        <w:tblPrEx>
          <w:tblCellMar>
            <w:top w:w="0" w:type="dxa"/>
            <w:left w:w="108" w:type="dxa"/>
            <w:bottom w:w="0" w:type="dxa"/>
            <w:right w:w="108" w:type="dxa"/>
          </w:tblCellMar>
        </w:tblPrEx>
        <w:trPr>
          <w:trHeight w:val="425" w:hRule="atLeast"/>
        </w:trPr>
        <w:tc>
          <w:tcPr>
            <w:tcW w:w="1075"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SSE</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1.4</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1.7</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2.5</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w:t>
            </w:r>
          </w:p>
        </w:tc>
        <w:tc>
          <w:tcPr>
            <w:tcW w:w="7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1.6</w:t>
            </w:r>
          </w:p>
        </w:tc>
      </w:tr>
      <w:tr>
        <w:tblPrEx>
          <w:tblCellMar>
            <w:top w:w="0" w:type="dxa"/>
            <w:left w:w="108" w:type="dxa"/>
            <w:bottom w:w="0" w:type="dxa"/>
            <w:right w:w="108" w:type="dxa"/>
          </w:tblCellMar>
        </w:tblPrEx>
        <w:trPr>
          <w:trHeight w:val="425" w:hRule="atLeast"/>
        </w:trPr>
        <w:tc>
          <w:tcPr>
            <w:tcW w:w="1075"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S</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1.8</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1.6</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1.8</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1.2</w:t>
            </w:r>
          </w:p>
        </w:tc>
        <w:tc>
          <w:tcPr>
            <w:tcW w:w="7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1.6</w:t>
            </w:r>
          </w:p>
        </w:tc>
      </w:tr>
      <w:tr>
        <w:tblPrEx>
          <w:tblCellMar>
            <w:top w:w="0" w:type="dxa"/>
            <w:left w:w="108" w:type="dxa"/>
            <w:bottom w:w="0" w:type="dxa"/>
            <w:right w:w="108" w:type="dxa"/>
          </w:tblCellMar>
        </w:tblPrEx>
        <w:trPr>
          <w:trHeight w:val="425" w:hRule="atLeast"/>
        </w:trPr>
        <w:tc>
          <w:tcPr>
            <w:tcW w:w="1075"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SSW</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1.8</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2.4</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1.2</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1.7</w:t>
            </w:r>
          </w:p>
        </w:tc>
        <w:tc>
          <w:tcPr>
            <w:tcW w:w="7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2.1</w:t>
            </w:r>
          </w:p>
        </w:tc>
      </w:tr>
      <w:tr>
        <w:tblPrEx>
          <w:tblCellMar>
            <w:top w:w="0" w:type="dxa"/>
            <w:left w:w="108" w:type="dxa"/>
            <w:bottom w:w="0" w:type="dxa"/>
            <w:right w:w="108" w:type="dxa"/>
          </w:tblCellMar>
        </w:tblPrEx>
        <w:trPr>
          <w:trHeight w:val="425" w:hRule="atLeast"/>
        </w:trPr>
        <w:tc>
          <w:tcPr>
            <w:tcW w:w="1075"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SW</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2.1</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2.3</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1.8</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1.6</w:t>
            </w:r>
          </w:p>
        </w:tc>
        <w:tc>
          <w:tcPr>
            <w:tcW w:w="7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2.1</w:t>
            </w:r>
          </w:p>
        </w:tc>
      </w:tr>
      <w:tr>
        <w:tblPrEx>
          <w:tblCellMar>
            <w:top w:w="0" w:type="dxa"/>
            <w:left w:w="108" w:type="dxa"/>
            <w:bottom w:w="0" w:type="dxa"/>
            <w:right w:w="108" w:type="dxa"/>
          </w:tblCellMar>
        </w:tblPrEx>
        <w:trPr>
          <w:trHeight w:val="425" w:hRule="atLeast"/>
        </w:trPr>
        <w:tc>
          <w:tcPr>
            <w:tcW w:w="1075"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WSW</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2.1</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2.4</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1.5</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1.7</w:t>
            </w:r>
          </w:p>
        </w:tc>
        <w:tc>
          <w:tcPr>
            <w:tcW w:w="7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w:t>
            </w:r>
          </w:p>
        </w:tc>
      </w:tr>
      <w:tr>
        <w:tblPrEx>
          <w:tblCellMar>
            <w:top w:w="0" w:type="dxa"/>
            <w:left w:w="108" w:type="dxa"/>
            <w:bottom w:w="0" w:type="dxa"/>
            <w:right w:w="108" w:type="dxa"/>
          </w:tblCellMar>
        </w:tblPrEx>
        <w:trPr>
          <w:trHeight w:val="425" w:hRule="atLeast"/>
        </w:trPr>
        <w:tc>
          <w:tcPr>
            <w:tcW w:w="1075"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W</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1.4</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1.3</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1.3</w:t>
            </w:r>
          </w:p>
        </w:tc>
        <w:tc>
          <w:tcPr>
            <w:tcW w:w="7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1.6</w:t>
            </w:r>
          </w:p>
        </w:tc>
      </w:tr>
      <w:tr>
        <w:tblPrEx>
          <w:tblCellMar>
            <w:top w:w="0" w:type="dxa"/>
            <w:left w:w="108" w:type="dxa"/>
            <w:bottom w:w="0" w:type="dxa"/>
            <w:right w:w="108" w:type="dxa"/>
          </w:tblCellMar>
        </w:tblPrEx>
        <w:trPr>
          <w:trHeight w:val="425" w:hRule="atLeast"/>
        </w:trPr>
        <w:tc>
          <w:tcPr>
            <w:tcW w:w="1075"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WNW</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1.3</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2.2</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1.7</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1.8</w:t>
            </w:r>
          </w:p>
        </w:tc>
        <w:tc>
          <w:tcPr>
            <w:tcW w:w="7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1.7</w:t>
            </w:r>
          </w:p>
        </w:tc>
      </w:tr>
      <w:tr>
        <w:tblPrEx>
          <w:tblCellMar>
            <w:top w:w="0" w:type="dxa"/>
            <w:left w:w="108" w:type="dxa"/>
            <w:bottom w:w="0" w:type="dxa"/>
            <w:right w:w="108" w:type="dxa"/>
          </w:tblCellMar>
        </w:tblPrEx>
        <w:trPr>
          <w:trHeight w:val="425" w:hRule="atLeast"/>
        </w:trPr>
        <w:tc>
          <w:tcPr>
            <w:tcW w:w="1075"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NW</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1.8</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1.5</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2.2</w:t>
            </w:r>
          </w:p>
        </w:tc>
        <w:tc>
          <w:tcPr>
            <w:tcW w:w="7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1.9</w:t>
            </w:r>
          </w:p>
        </w:tc>
      </w:tr>
      <w:tr>
        <w:tblPrEx>
          <w:tblCellMar>
            <w:top w:w="0" w:type="dxa"/>
            <w:left w:w="108" w:type="dxa"/>
            <w:bottom w:w="0" w:type="dxa"/>
            <w:right w:w="108" w:type="dxa"/>
          </w:tblCellMar>
        </w:tblPrEx>
        <w:trPr>
          <w:trHeight w:val="425" w:hRule="atLeast"/>
        </w:trPr>
        <w:tc>
          <w:tcPr>
            <w:tcW w:w="1075"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NNW</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2.2</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2.3</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2.5</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2.3</w:t>
            </w:r>
          </w:p>
        </w:tc>
        <w:tc>
          <w:tcPr>
            <w:tcW w:w="7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2.4</w:t>
            </w:r>
          </w:p>
        </w:tc>
      </w:tr>
    </w:tbl>
    <w:p>
      <w:pPr>
        <w:keepNext/>
        <w:ind w:firstLine="0" w:firstLineChars="0"/>
        <w:jc w:val="center"/>
      </w:pPr>
      <w:r>
        <w:drawing>
          <wp:inline distT="0" distB="0" distL="0" distR="0">
            <wp:extent cx="5829935" cy="174879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927649" cy="1778427"/>
                    </a:xfrm>
                    <a:prstGeom prst="rect">
                      <a:avLst/>
                    </a:prstGeom>
                    <a:noFill/>
                  </pic:spPr>
                </pic:pic>
              </a:graphicData>
            </a:graphic>
          </wp:inline>
        </w:drawing>
      </w:r>
    </w:p>
    <w:p>
      <w:pPr>
        <w:pStyle w:val="8"/>
      </w:pPr>
      <w:bookmarkStart w:id="17" w:name="_Ref526600176"/>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2</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2</w:t>
      </w:r>
      <w:r>
        <w:fldChar w:fldCharType="end"/>
      </w:r>
      <w:bookmarkEnd w:id="17"/>
      <w:r>
        <w:rPr>
          <w:rFonts w:hint="eastAsia"/>
        </w:rPr>
        <w:t>南昌市年月均风速曲线图</w:t>
      </w:r>
    </w:p>
    <w:p>
      <w:pPr>
        <w:keepNext/>
        <w:ind w:firstLine="0" w:firstLineChars="0"/>
        <w:jc w:val="center"/>
      </w:pPr>
      <w:r>
        <w:drawing>
          <wp:inline distT="0" distB="0" distL="0" distR="0">
            <wp:extent cx="5852160" cy="6256020"/>
            <wp:effectExtent l="0" t="0" r="0" b="1143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20">
                      <a:clrChange>
                        <a:clrFrom>
                          <a:srgbClr val="FFFFFF">
                            <a:alpha val="100000"/>
                          </a:srgbClr>
                        </a:clrFrom>
                        <a:clrTo>
                          <a:srgbClr val="FFFFFF">
                            <a:alpha val="100000"/>
                            <a:alpha val="0"/>
                          </a:srgbClr>
                        </a:clrTo>
                      </a:clrChange>
                      <a:extLst>
                        <a:ext uri="{28A0092B-C50C-407E-A947-70E740481C1C}">
                          <a14:useLocalDpi xmlns:a14="http://schemas.microsoft.com/office/drawing/2010/main" val="0"/>
                        </a:ext>
                      </a:extLst>
                    </a:blip>
                    <a:srcRect t="3121" b="2786"/>
                    <a:stretch>
                      <a:fillRect/>
                    </a:stretch>
                  </pic:blipFill>
                  <pic:spPr>
                    <a:xfrm>
                      <a:off x="0" y="0"/>
                      <a:ext cx="5867183" cy="6256020"/>
                    </a:xfrm>
                    <a:prstGeom prst="rect">
                      <a:avLst/>
                    </a:prstGeom>
                    <a:noFill/>
                  </pic:spPr>
                </pic:pic>
              </a:graphicData>
            </a:graphic>
          </wp:inline>
        </w:drawing>
      </w:r>
    </w:p>
    <w:p>
      <w:pPr>
        <w:pStyle w:val="8"/>
      </w:pPr>
      <w:bookmarkStart w:id="18" w:name="_Ref526600179"/>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2</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3</w:t>
      </w:r>
      <w:r>
        <w:fldChar w:fldCharType="end"/>
      </w:r>
      <w:bookmarkEnd w:id="18"/>
      <w:r>
        <w:rPr>
          <w:rFonts w:hint="eastAsia"/>
        </w:rPr>
        <w:t>南昌市风向玫瑰图</w:t>
      </w:r>
    </w:p>
    <w:p>
      <w:pPr>
        <w:widowControl/>
        <w:spacing w:line="240" w:lineRule="auto"/>
        <w:ind w:firstLine="0" w:firstLineChars="0"/>
        <w:jc w:val="left"/>
        <w:rPr>
          <w:rFonts w:cstheme="majorBidi"/>
          <w:szCs w:val="20"/>
        </w:rPr>
      </w:pPr>
      <w:r>
        <w:br w:type="page"/>
      </w:r>
    </w:p>
    <w:p>
      <w:pPr>
        <w:pStyle w:val="6"/>
      </w:pPr>
      <w:r>
        <w:rPr>
          <w:rFonts w:hint="eastAsia"/>
        </w:rPr>
        <w:t>地形、地貌、地质</w:t>
      </w:r>
    </w:p>
    <w:p>
      <w:pPr>
        <w:ind w:firstLine="560"/>
      </w:pPr>
      <w:r>
        <w:rPr>
          <w:rFonts w:hint="eastAsia"/>
        </w:rPr>
        <w:t>南昌沿赣江两侧而建，依水而作，南昌整体区域内山塘湖泊星布，地貌分异显著，西北倚梅岭山麓，中部为侵蚀剥蚀岗地，沿赣江分布为河谷平原。</w:t>
      </w:r>
    </w:p>
    <w:p>
      <w:pPr>
        <w:ind w:firstLine="560"/>
      </w:pPr>
      <w:r>
        <w:rPr>
          <w:rFonts w:hint="eastAsia"/>
        </w:rPr>
        <w:t>除梅岭山地外，南昌整体区域内地势相对平坦，整地上地势由西向东，由南向北倾斜，境内有两条梅岭山系泄洪沟渠自西向东穿越，将用地大致划分成三高两低地形，沿江的白水湖、黄家湖、碟子湖、孔目湖地区地势相对较低。平均标高在15.0-27.0m（黄海高程，下同）左右，处丘陵地带平均标高均在30.0m以上，其中南部地势最高处标高达63.0m。</w:t>
      </w:r>
    </w:p>
    <w:p>
      <w:pPr>
        <w:ind w:firstLine="560"/>
      </w:pPr>
      <w:r>
        <w:rPr>
          <w:rFonts w:hint="eastAsia"/>
        </w:rPr>
        <w:t>南昌市区及周边出露的地层有前震旦系，上白垩系，第三系和第四系，晋宁期，喜山期岩浆岩。南昌地处扬子地块与华南地块接合带北侧、扬子地块的南缘，地质构造复杂，断裂及其裂陷盆地均很发育。古近纪渐新世喜山运动兴起，地壳运动区域上以持续上升为主，于上新世，又隆起则处“陆蚀”时期。进入第四纪，新构造运动以差异性升降和活动性断裂为主导特征，形成本区现今地貌、构造格局。区内大致以赣江为界，西部以抬升作用为主，基岩出露，地形切割较深，残坡积层发育。据长江水利委员会二等水准测量资料，昌北东化地区1955至1977年间，平均上升速率为+0.105毫米每年。东部以震荡性差异升降作用为主，赣江、抚河河床往复迁移，在不同地段，不同标高堆积了不同时期的第四纪沉积物。挽近地壳运动仍以缓慢升降为主要特征。</w:t>
      </w:r>
    </w:p>
    <w:p>
      <w:pPr>
        <w:ind w:firstLine="560"/>
      </w:pPr>
      <w:r>
        <w:rPr>
          <w:rFonts w:hint="eastAsia"/>
        </w:rPr>
        <w:t>据第四纪地质、地貌、浅层地震勘探和航卫片解释资料，南昌市第四纪以来的活动性断裂有北东向瀛上——西河砖瓦厂和北北西向象湖东断裂和杨家洲——蛟溪等断裂，它们可能分别属于区域活动断裂新建——古县渡，湖口——清江，莲塘——抚州深大断裂的一部分，具有一定的继承性。但活动强度似乎明显减弱。目前在第四系中更新残积网纹红土中发育一组北东向压剪性断裂构造形迹，断层中有泥质充填物且有网纹化特征。其形成时间应晚于中更新世。在晚更新世和全新世地层中没有发现其沉积厚度或岩相突变地段，也未见断裂活动的明显迹象。</w:t>
      </w:r>
    </w:p>
    <w:p>
      <w:pPr>
        <w:ind w:firstLine="560"/>
      </w:pPr>
      <w:r>
        <w:rPr>
          <w:rFonts w:hint="eastAsia"/>
        </w:rPr>
        <w:t>本公司场地内分布的地层主要有人工填土（Q4</w:t>
      </w:r>
      <w:r>
        <w:rPr>
          <w:rFonts w:hint="eastAsia"/>
          <w:vertAlign w:val="superscript"/>
        </w:rPr>
        <w:t>m</w:t>
      </w:r>
      <w:r>
        <w:rPr>
          <w:rFonts w:hint="eastAsia"/>
        </w:rPr>
        <w:t>l）、第四系上更新统冲积层（Q3</w:t>
      </w:r>
      <w:r>
        <w:rPr>
          <w:rFonts w:hint="eastAsia"/>
          <w:vertAlign w:val="superscript"/>
        </w:rPr>
        <w:t>a</w:t>
      </w:r>
      <w:r>
        <w:rPr>
          <w:rFonts w:hint="eastAsia"/>
        </w:rPr>
        <w:t>l），下部为第三系新余群（Exn）基岩。②粉质粘土（Q3</w:t>
      </w:r>
      <w:r>
        <w:rPr>
          <w:rFonts w:hint="eastAsia"/>
          <w:vertAlign w:val="superscript"/>
        </w:rPr>
        <w:t>a</w:t>
      </w:r>
      <w:r>
        <w:rPr>
          <w:rFonts w:hint="eastAsia"/>
        </w:rPr>
        <w:t>l）埋深较浅地段时拟建建筑物较好的天然地基持力层；④砾砂（Q3</w:t>
      </w:r>
      <w:r>
        <w:rPr>
          <w:rFonts w:hint="eastAsia"/>
          <w:vertAlign w:val="superscript"/>
        </w:rPr>
        <w:t>a</w:t>
      </w:r>
      <w:r>
        <w:rPr>
          <w:rFonts w:hint="eastAsia"/>
        </w:rPr>
        <w:t>l）是本工程良好的桩基础持力层。应根据建（构）筑物对地基强度及变形要求不同，选用相应的岩土层位作为其持力层，并选用相适宜的基础型式。</w:t>
      </w:r>
    </w:p>
    <w:p>
      <w:pPr>
        <w:ind w:firstLine="560"/>
      </w:pPr>
      <w:r>
        <w:rPr>
          <w:rFonts w:hint="eastAsia"/>
        </w:rPr>
        <w:t>经勘察，场地内未见活动断裂，也未发现对工程不利的河道、沟滨、墓穴、防空洞等埋藏物，发生滑坡、崩塌、泥石流、地面塌陷的可能性较小，总体上区域稳定性好，拟建场地为可进行建设的一般场地。</w:t>
      </w:r>
    </w:p>
    <w:p>
      <w:pPr>
        <w:ind w:firstLine="560"/>
      </w:pPr>
      <w:r>
        <w:rPr>
          <w:rFonts w:hint="eastAsia"/>
        </w:rPr>
        <w:t>判别结果显示，场地土对混泥土结构具弱腐蚀性，对钢筋混凝土结构中的钢筋具微腐蚀性，对钢筋结构具微腐蚀性。</w:t>
      </w:r>
    </w:p>
    <w:p>
      <w:pPr>
        <w:pStyle w:val="6"/>
        <w:rPr>
          <w:highlight w:val="none"/>
        </w:rPr>
      </w:pPr>
      <w:r>
        <w:rPr>
          <w:rFonts w:hint="eastAsia"/>
          <w:highlight w:val="none"/>
        </w:rPr>
        <w:t>功能区划、环境质量标准、环境质量现状</w:t>
      </w:r>
    </w:p>
    <w:p>
      <w:pPr>
        <w:ind w:firstLine="562"/>
        <w:rPr>
          <w:b/>
        </w:rPr>
      </w:pPr>
      <w:r>
        <w:rPr>
          <w:rFonts w:hint="eastAsia"/>
          <w:b/>
        </w:rPr>
        <w:t>1、环境功能区划</w:t>
      </w:r>
    </w:p>
    <w:p>
      <w:pPr>
        <w:ind w:firstLine="560"/>
      </w:pPr>
      <w:r>
        <w:rPr>
          <w:rFonts w:hint="eastAsia"/>
        </w:rPr>
        <w:t>依据功能区划，本公司环境空气功能区划为二类区；沉淀池排泥水和滤池的反冲洗废水直排入赣江</w:t>
      </w:r>
      <w:r>
        <w:rPr>
          <w:rFonts w:hint="eastAsia"/>
          <w:lang w:eastAsia="zh-CN"/>
        </w:rPr>
        <w:t>，</w:t>
      </w:r>
      <w:r>
        <w:rPr>
          <w:rFonts w:hint="eastAsia"/>
        </w:rPr>
        <w:t>生活污水</w:t>
      </w:r>
      <w:r>
        <w:rPr>
          <w:rFonts w:hint="eastAsia"/>
          <w:lang w:eastAsia="zh-CN"/>
        </w:rPr>
        <w:t>、化验室检测仪器的清洗废水</w:t>
      </w:r>
      <w:r>
        <w:rPr>
          <w:rFonts w:hint="eastAsia"/>
        </w:rPr>
        <w:t>直排入市政污水管网排到经开区白水湖污水处理厂处理达标后，尾水排入赣江</w:t>
      </w:r>
      <w:r>
        <w:rPr>
          <w:rFonts w:hint="eastAsia"/>
          <w:lang w:eastAsia="zh-CN"/>
        </w:rPr>
        <w:t>，</w:t>
      </w:r>
      <w:r>
        <w:rPr>
          <w:rFonts w:hint="eastAsia"/>
        </w:rPr>
        <w:t>该水体执行Ⅲ类水体标准；声功能区划为</w:t>
      </w:r>
      <w:r>
        <w:rPr>
          <w:rFonts w:hint="eastAsia"/>
          <w:lang w:val="en-US" w:eastAsia="zh-CN"/>
        </w:rPr>
        <w:t>2</w:t>
      </w:r>
      <w:r>
        <w:rPr>
          <w:rFonts w:hint="eastAsia"/>
        </w:rPr>
        <w:t>类区。</w:t>
      </w:r>
    </w:p>
    <w:p>
      <w:pPr>
        <w:ind w:firstLine="562"/>
        <w:rPr>
          <w:b/>
        </w:rPr>
      </w:pPr>
      <w:r>
        <w:rPr>
          <w:rFonts w:hint="eastAsia"/>
          <w:b/>
        </w:rPr>
        <w:t>2、环境质量标准</w:t>
      </w:r>
    </w:p>
    <w:p>
      <w:pPr>
        <w:ind w:firstLine="560"/>
      </w:pPr>
      <w:r>
        <w:rPr>
          <w:rFonts w:hint="eastAsia"/>
        </w:rPr>
        <w:t>环境空气执行《环境空气质量标准》(GB</w:t>
      </w:r>
      <w:r>
        <w:t xml:space="preserve"> </w:t>
      </w:r>
      <w:r>
        <w:rPr>
          <w:rFonts w:hint="eastAsia"/>
        </w:rPr>
        <w:t>3095-2012)中二级标准要求，水质体执行《地表水环境质量标准》(GB</w:t>
      </w:r>
      <w:r>
        <w:t xml:space="preserve"> </w:t>
      </w:r>
      <w:r>
        <w:rPr>
          <w:rFonts w:hint="eastAsia"/>
        </w:rPr>
        <w:t>3838-2002)中Ⅲ类水域水质要求，噪声执行《声环境质量标准》(GB</w:t>
      </w:r>
      <w:r>
        <w:t xml:space="preserve"> </w:t>
      </w:r>
      <w:r>
        <w:rPr>
          <w:rFonts w:hint="eastAsia"/>
        </w:rPr>
        <w:t>3096-2008)中</w:t>
      </w:r>
      <w:r>
        <w:rPr>
          <w:rFonts w:hint="eastAsia"/>
          <w:lang w:val="en-US" w:eastAsia="zh-CN"/>
        </w:rPr>
        <w:t>2</w:t>
      </w:r>
      <w:r>
        <w:rPr>
          <w:rFonts w:hint="eastAsia"/>
        </w:rPr>
        <w:t>类标准要求.</w:t>
      </w:r>
    </w:p>
    <w:p>
      <w:pPr>
        <w:ind w:firstLine="562"/>
        <w:rPr>
          <w:b/>
        </w:rPr>
      </w:pPr>
      <w:r>
        <w:rPr>
          <w:rFonts w:hint="eastAsia"/>
          <w:b/>
        </w:rPr>
        <w:t>3、环境质量现状</w:t>
      </w:r>
    </w:p>
    <w:p>
      <w:pPr>
        <w:ind w:firstLine="560"/>
      </w:pPr>
      <w:r>
        <w:rPr>
          <w:rFonts w:hint="eastAsia"/>
          <w:lang w:eastAsia="zh-CN"/>
        </w:rPr>
        <w:t>根据江西省生态环境厅门户网站发布的《2018年江西省各县（市、区）六项污染物浓度年均值》，判定本项目区域环境空气质量达标情况如下：PM2.5和PM10年均浓度值未达到国家空气质量二级标准要求；SO</w:t>
      </w:r>
      <w:r>
        <w:rPr>
          <w:rFonts w:hint="eastAsia"/>
          <w:vertAlign w:val="subscript"/>
          <w:lang w:eastAsia="zh-CN"/>
        </w:rPr>
        <w:t>2</w:t>
      </w:r>
      <w:r>
        <w:rPr>
          <w:rFonts w:hint="eastAsia"/>
          <w:lang w:eastAsia="zh-CN"/>
        </w:rPr>
        <w:t>、NO</w:t>
      </w:r>
      <w:r>
        <w:rPr>
          <w:rFonts w:hint="eastAsia"/>
          <w:vertAlign w:val="subscript"/>
          <w:lang w:eastAsia="zh-CN"/>
        </w:rPr>
        <w:t>2</w:t>
      </w:r>
      <w:r>
        <w:rPr>
          <w:rFonts w:hint="eastAsia"/>
          <w:lang w:eastAsia="zh-CN"/>
        </w:rPr>
        <w:t>年均浓度值满足国家空气质量二级标准要求；CO第95百分位数日平均质量浓度满足国家空气质量二级标准要求；O</w:t>
      </w:r>
      <w:r>
        <w:rPr>
          <w:rFonts w:hint="eastAsia"/>
          <w:vertAlign w:val="subscript"/>
          <w:lang w:eastAsia="zh-CN"/>
        </w:rPr>
        <w:t>3</w:t>
      </w:r>
      <w:r>
        <w:rPr>
          <w:rFonts w:hint="eastAsia"/>
          <w:lang w:eastAsia="zh-CN"/>
        </w:rPr>
        <w:t>第90百分位数8h平均质量浓度达到国家空气质量二级标准要求；因此本项目所在区域为非达标区。引用《江西苏克尔新材料有限公司3万吨/年环保型冷冻机油项目（一期）环境影响报告书》中环境现状监测数据，各监测断面上pH、COD、BOD5、氨氮、SS、总磷、石油类、总氮、氯化物、硫化物、硫酸盐和粪大肠菌群等项目指标现状监测值均符合所执行的标准，标准指数均小于1，达到《地表水环境质量标准》（GB3838-2002）Ⅲ类标准的要求，水质现状良好。</w:t>
      </w:r>
      <w:r>
        <w:rPr>
          <w:rFonts w:hint="eastAsia"/>
        </w:rPr>
        <w:t>引用</w:t>
      </w:r>
      <w:r>
        <w:rPr>
          <w:rFonts w:ascii="Times New Roman" w:hAnsi="宋体" w:eastAsia="宋体"/>
        </w:rPr>
        <w:t>江西华检检测技术有限公司</w:t>
      </w:r>
      <w:r>
        <w:rPr>
          <w:rFonts w:hint="eastAsia"/>
          <w:lang w:eastAsia="zh-CN"/>
        </w:rPr>
        <w:t>对本公司厂界环境噪声</w:t>
      </w:r>
      <w:r>
        <w:rPr>
          <w:rFonts w:hint="eastAsia"/>
        </w:rPr>
        <w:t>监测数据，厂界四周噪声监测结果均能满足《声环境质量标准》（GB 3096-2008）中</w:t>
      </w:r>
      <w:r>
        <w:rPr>
          <w:rFonts w:hint="eastAsia"/>
          <w:lang w:val="en-US" w:eastAsia="zh-CN"/>
        </w:rPr>
        <w:t>2</w:t>
      </w:r>
      <w:r>
        <w:rPr>
          <w:rFonts w:hint="eastAsia"/>
        </w:rPr>
        <w:t>类区标准要求，声环境功能现状良好。</w:t>
      </w:r>
    </w:p>
    <w:p>
      <w:pPr>
        <w:pStyle w:val="6"/>
      </w:pPr>
      <w:r>
        <w:rPr>
          <w:rFonts w:hint="eastAsia"/>
        </w:rPr>
        <w:t>周边环境敏感点</w:t>
      </w:r>
    </w:p>
    <w:p>
      <w:pPr>
        <w:ind w:firstLine="562"/>
        <w:rPr>
          <w:b/>
        </w:rPr>
      </w:pPr>
      <w:r>
        <w:rPr>
          <w:rFonts w:hint="eastAsia"/>
          <w:b/>
          <w:lang w:val="en-US" w:eastAsia="zh-CN"/>
        </w:rPr>
        <w:t>1</w:t>
      </w:r>
      <w:r>
        <w:rPr>
          <w:rFonts w:hint="eastAsia"/>
          <w:b/>
        </w:rPr>
        <w:t>、大气环境风险受体</w:t>
      </w:r>
    </w:p>
    <w:p>
      <w:pPr>
        <w:ind w:firstLine="560"/>
        <w:rPr>
          <w:color w:val="000000" w:themeColor="text1"/>
          <w14:textFill>
            <w14:solidFill>
              <w14:schemeClr w14:val="tx1"/>
            </w14:solidFill>
          </w14:textFill>
        </w:rPr>
      </w:pPr>
      <w:r>
        <w:rPr>
          <w:rFonts w:hint="eastAsia"/>
        </w:rPr>
        <w:t>公司厂址周围500m范围内大气环境风险受体详见</w:t>
      </w:r>
      <w:r>
        <w:fldChar w:fldCharType="begin"/>
      </w:r>
      <w:r>
        <w:instrText xml:space="preserve"> </w:instrText>
      </w:r>
      <w:r>
        <w:rPr>
          <w:rFonts w:hint="eastAsia"/>
        </w:rPr>
        <w:instrText xml:space="preserve">REF _Ref526604123 \h</w:instrText>
      </w:r>
      <w:r>
        <w:instrText xml:space="preserve"> </w:instrText>
      </w:r>
      <w:r>
        <w:fldChar w:fldCharType="separate"/>
      </w:r>
      <w:r>
        <w:rPr>
          <w:rFonts w:hint="eastAsia"/>
        </w:rPr>
        <w:t xml:space="preserve">表 </w:t>
      </w:r>
      <w:r>
        <w:t>2</w:t>
      </w:r>
      <w:r>
        <w:noBreakHyphen/>
      </w:r>
      <w:r>
        <w:rPr>
          <w:rFonts w:hint="eastAsia"/>
          <w:lang w:val="en-US" w:eastAsia="zh-CN"/>
        </w:rPr>
        <w:t>5</w:t>
      </w:r>
      <w:r>
        <w:fldChar w:fldCharType="end"/>
      </w:r>
      <w:r>
        <w:rPr>
          <w:rFonts w:hint="eastAsia"/>
        </w:rPr>
        <w:t>，大气环境风险受体分布详</w:t>
      </w:r>
      <w:r>
        <w:rPr>
          <w:rFonts w:hint="eastAsia"/>
          <w:color w:val="000000" w:themeColor="text1"/>
          <w14:textFill>
            <w14:solidFill>
              <w14:schemeClr w14:val="tx1"/>
            </w14:solidFill>
          </w14:textFill>
        </w:rPr>
        <w:t>见附图</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w:t>
      </w:r>
    </w:p>
    <w:p>
      <w:pPr>
        <w:widowControl/>
        <w:spacing w:line="240" w:lineRule="auto"/>
        <w:ind w:firstLine="0" w:firstLineChars="0"/>
        <w:jc w:val="center"/>
      </w:pPr>
      <w:bookmarkStart w:id="19" w:name="_Ref526604123"/>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2</w:t>
      </w:r>
      <w:r>
        <w:fldChar w:fldCharType="end"/>
      </w:r>
      <w:r>
        <w:noBreakHyphen/>
      </w:r>
      <w:bookmarkEnd w:id="19"/>
      <w:r>
        <w:rPr>
          <w:rFonts w:hint="eastAsia"/>
          <w:lang w:val="en-US" w:eastAsia="zh-CN"/>
        </w:rPr>
        <w:t>5</w:t>
      </w:r>
      <w:r>
        <w:rPr>
          <w:rFonts w:hint="eastAsia"/>
        </w:rPr>
        <w:t>大气环境风险受体一览表</w:t>
      </w:r>
    </w:p>
    <w:tbl>
      <w:tblPr>
        <w:tblStyle w:val="15"/>
        <w:tblW w:w="499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35"/>
        <w:gridCol w:w="2535"/>
        <w:gridCol w:w="2355"/>
        <w:gridCol w:w="1479"/>
        <w:gridCol w:w="1222"/>
        <w:gridCol w:w="111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blHeader/>
          <w:jc w:val="center"/>
        </w:trPr>
        <w:tc>
          <w:tcPr>
            <w:tcW w:w="340" w:type="pct"/>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序号</w:t>
            </w:r>
          </w:p>
        </w:tc>
        <w:tc>
          <w:tcPr>
            <w:tcW w:w="1357" w:type="pct"/>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保护对象</w:t>
            </w:r>
          </w:p>
        </w:tc>
        <w:tc>
          <w:tcPr>
            <w:tcW w:w="1261" w:type="pct"/>
            <w:tcBorders>
              <w:right w:val="single" w:color="auto" w:sz="4" w:space="0"/>
            </w:tcBorders>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规模（人口数/级别/面积）</w:t>
            </w:r>
          </w:p>
        </w:tc>
        <w:tc>
          <w:tcPr>
            <w:tcW w:w="792"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方位</w:t>
            </w:r>
          </w:p>
        </w:tc>
        <w:tc>
          <w:tcPr>
            <w:tcW w:w="654" w:type="pct"/>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距离（m）</w:t>
            </w:r>
          </w:p>
        </w:tc>
        <w:tc>
          <w:tcPr>
            <w:tcW w:w="594" w:type="pct"/>
            <w:shd w:val="clear" w:color="auto" w:fill="auto"/>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服务范围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340"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一</w:t>
            </w:r>
          </w:p>
        </w:tc>
        <w:tc>
          <w:tcPr>
            <w:tcW w:w="4659" w:type="pct"/>
            <w:gridSpan w:val="5"/>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≤500m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340"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1</w:t>
            </w:r>
          </w:p>
        </w:tc>
        <w:tc>
          <w:tcPr>
            <w:tcW w:w="1357" w:type="pct"/>
            <w:vAlign w:val="center"/>
          </w:tcPr>
          <w:p>
            <w:pPr>
              <w:widowControl/>
              <w:spacing w:line="240" w:lineRule="auto"/>
              <w:ind w:firstLine="0" w:firstLineChars="0"/>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美罗江畔小区</w:t>
            </w:r>
          </w:p>
        </w:tc>
        <w:tc>
          <w:tcPr>
            <w:tcW w:w="1261" w:type="pct"/>
            <w:vAlign w:val="center"/>
          </w:tcPr>
          <w:p>
            <w:pPr>
              <w:widowControl/>
              <w:spacing w:line="240" w:lineRule="auto"/>
              <w:ind w:firstLine="0" w:firstLineChars="0"/>
              <w:jc w:val="center"/>
              <w:rPr>
                <w:rFonts w:hint="default" w:eastAsia="宋体" w:cs="Times New Roman"/>
                <w:color w:val="000000"/>
                <w:kern w:val="0"/>
                <w:sz w:val="21"/>
                <w:szCs w:val="21"/>
                <w:lang w:val="en-US" w:eastAsia="zh-CN"/>
              </w:rPr>
            </w:pPr>
            <w:r>
              <w:rPr>
                <w:rFonts w:hint="eastAsia" w:cs="Times New Roman"/>
                <w:color w:val="000000"/>
                <w:kern w:val="0"/>
                <w:sz w:val="21"/>
                <w:szCs w:val="21"/>
                <w:lang w:val="en-US" w:eastAsia="zh-CN"/>
              </w:rPr>
              <w:t>约2000</w:t>
            </w:r>
          </w:p>
        </w:tc>
        <w:tc>
          <w:tcPr>
            <w:tcW w:w="792" w:type="pct"/>
            <w:vAlign w:val="center"/>
          </w:tcPr>
          <w:p>
            <w:pPr>
              <w:widowControl/>
              <w:spacing w:line="240" w:lineRule="auto"/>
              <w:ind w:firstLine="0" w:firstLineChars="0"/>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N</w:t>
            </w:r>
          </w:p>
        </w:tc>
        <w:tc>
          <w:tcPr>
            <w:tcW w:w="654" w:type="pct"/>
            <w:vAlign w:val="center"/>
          </w:tcPr>
          <w:p>
            <w:pPr>
              <w:widowControl/>
              <w:spacing w:line="240" w:lineRule="auto"/>
              <w:ind w:firstLine="0" w:firstLineChars="0"/>
              <w:jc w:val="center"/>
              <w:rPr>
                <w:rFonts w:hint="default" w:eastAsia="宋体" w:cs="Times New Roman"/>
                <w:color w:val="000000"/>
                <w:kern w:val="0"/>
                <w:sz w:val="21"/>
                <w:szCs w:val="21"/>
                <w:lang w:val="en-US" w:eastAsia="zh-CN"/>
              </w:rPr>
            </w:pPr>
            <w:r>
              <w:rPr>
                <w:rFonts w:hint="eastAsia" w:cs="Times New Roman"/>
                <w:color w:val="000000"/>
                <w:kern w:val="0"/>
                <w:sz w:val="21"/>
                <w:szCs w:val="21"/>
                <w:lang w:val="en-US" w:eastAsia="zh-CN"/>
              </w:rPr>
              <w:t>25</w:t>
            </w:r>
          </w:p>
        </w:tc>
        <w:tc>
          <w:tcPr>
            <w:tcW w:w="594" w:type="pct"/>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340"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w:t>
            </w:r>
          </w:p>
        </w:tc>
        <w:tc>
          <w:tcPr>
            <w:tcW w:w="1357" w:type="pct"/>
            <w:tcBorders>
              <w:bottom w:val="single" w:color="auto" w:sz="4" w:space="0"/>
            </w:tcBorders>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lang w:eastAsia="zh-CN"/>
              </w:rPr>
              <w:t>江西省石油技工学校</w:t>
            </w:r>
          </w:p>
        </w:tc>
        <w:tc>
          <w:tcPr>
            <w:tcW w:w="1261" w:type="pct"/>
            <w:tcBorders>
              <w:bottom w:val="single" w:color="auto" w:sz="4" w:space="0"/>
            </w:tcBorders>
            <w:vAlign w:val="center"/>
          </w:tcPr>
          <w:p>
            <w:pPr>
              <w:widowControl/>
              <w:spacing w:line="240" w:lineRule="auto"/>
              <w:ind w:firstLine="0" w:firstLineChars="0"/>
              <w:jc w:val="center"/>
              <w:rPr>
                <w:rFonts w:hint="default" w:eastAsia="宋体" w:cs="Times New Roman"/>
                <w:color w:val="000000"/>
                <w:kern w:val="0"/>
                <w:sz w:val="21"/>
                <w:szCs w:val="21"/>
                <w:lang w:val="en-US" w:eastAsia="zh-CN"/>
              </w:rPr>
            </w:pPr>
            <w:r>
              <w:rPr>
                <w:rFonts w:hint="eastAsia" w:cs="Times New Roman"/>
                <w:color w:val="000000"/>
                <w:kern w:val="0"/>
                <w:sz w:val="21"/>
                <w:szCs w:val="21"/>
                <w:lang w:val="en-US" w:eastAsia="zh-CN"/>
              </w:rPr>
              <w:t>约6000</w:t>
            </w:r>
          </w:p>
        </w:tc>
        <w:tc>
          <w:tcPr>
            <w:tcW w:w="792" w:type="pct"/>
            <w:vAlign w:val="center"/>
          </w:tcPr>
          <w:p>
            <w:pPr>
              <w:widowControl/>
              <w:spacing w:line="240" w:lineRule="auto"/>
              <w:ind w:firstLine="0" w:firstLineChars="0"/>
              <w:jc w:val="center"/>
              <w:rPr>
                <w:rFonts w:hint="default" w:cs="Times New Roman"/>
                <w:color w:val="000000"/>
                <w:kern w:val="0"/>
                <w:sz w:val="21"/>
                <w:szCs w:val="21"/>
                <w:lang w:val="en-US"/>
              </w:rPr>
            </w:pPr>
            <w:r>
              <w:rPr>
                <w:rFonts w:hint="eastAsia" w:cs="Times New Roman"/>
                <w:color w:val="000000"/>
                <w:kern w:val="0"/>
                <w:sz w:val="21"/>
                <w:szCs w:val="21"/>
                <w:lang w:val="en-US" w:eastAsia="zh-CN"/>
              </w:rPr>
              <w:t>NW</w:t>
            </w:r>
          </w:p>
        </w:tc>
        <w:tc>
          <w:tcPr>
            <w:tcW w:w="654" w:type="pct"/>
            <w:vAlign w:val="center"/>
          </w:tcPr>
          <w:p>
            <w:pPr>
              <w:widowControl/>
              <w:spacing w:line="240" w:lineRule="auto"/>
              <w:ind w:firstLine="0" w:firstLineChars="0"/>
              <w:jc w:val="center"/>
              <w:rPr>
                <w:rFonts w:hint="default" w:eastAsia="宋体" w:cs="Times New Roman"/>
                <w:color w:val="000000"/>
                <w:kern w:val="0"/>
                <w:sz w:val="21"/>
                <w:szCs w:val="21"/>
                <w:lang w:val="en-US" w:eastAsia="zh-CN"/>
              </w:rPr>
            </w:pPr>
            <w:r>
              <w:rPr>
                <w:rFonts w:hint="eastAsia" w:cs="Times New Roman"/>
                <w:color w:val="000000"/>
                <w:kern w:val="0"/>
                <w:sz w:val="21"/>
                <w:szCs w:val="21"/>
                <w:lang w:val="en-US" w:eastAsia="zh-CN"/>
              </w:rPr>
              <w:t>195</w:t>
            </w:r>
          </w:p>
        </w:tc>
        <w:tc>
          <w:tcPr>
            <w:tcW w:w="594" w:type="pct"/>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340" w:type="pct"/>
            <w:vAlign w:val="center"/>
          </w:tcPr>
          <w:p>
            <w:pPr>
              <w:widowControl/>
              <w:spacing w:line="240" w:lineRule="auto"/>
              <w:ind w:firstLine="0" w:firstLineChars="0"/>
              <w:jc w:val="center"/>
              <w:rPr>
                <w:rFonts w:hint="eastAsia" w:eastAsia="宋体" w:cs="Times New Roman"/>
                <w:color w:val="000000"/>
                <w:kern w:val="0"/>
                <w:sz w:val="21"/>
                <w:szCs w:val="21"/>
                <w:lang w:val="en-US" w:eastAsia="zh-CN"/>
              </w:rPr>
            </w:pPr>
            <w:r>
              <w:rPr>
                <w:rFonts w:hint="eastAsia" w:cs="Times New Roman"/>
                <w:color w:val="000000"/>
                <w:kern w:val="0"/>
                <w:sz w:val="21"/>
                <w:szCs w:val="21"/>
                <w:lang w:val="en-US" w:eastAsia="zh-CN"/>
              </w:rPr>
              <w:t>3</w:t>
            </w:r>
          </w:p>
        </w:tc>
        <w:tc>
          <w:tcPr>
            <w:tcW w:w="1357" w:type="pct"/>
            <w:tcBorders>
              <w:bottom w:val="single" w:color="auto" w:sz="4" w:space="0"/>
            </w:tcBorders>
            <w:vAlign w:val="center"/>
          </w:tcPr>
          <w:p>
            <w:pPr>
              <w:widowControl/>
              <w:spacing w:line="240" w:lineRule="auto"/>
              <w:ind w:firstLine="0" w:firstLineChars="0"/>
              <w:jc w:val="center"/>
              <w:rPr>
                <w:rFonts w:hint="eastAsia" w:cs="Times New Roman"/>
                <w:color w:val="000000"/>
                <w:kern w:val="0"/>
                <w:sz w:val="21"/>
                <w:szCs w:val="21"/>
                <w:lang w:eastAsia="zh-CN"/>
              </w:rPr>
            </w:pPr>
            <w:r>
              <w:rPr>
                <w:rFonts w:hint="eastAsia" w:cs="Times New Roman"/>
                <w:color w:val="000000"/>
                <w:kern w:val="0"/>
                <w:sz w:val="21"/>
                <w:szCs w:val="21"/>
                <w:lang w:eastAsia="zh-CN"/>
              </w:rPr>
              <w:t>双港新村四区</w:t>
            </w:r>
          </w:p>
        </w:tc>
        <w:tc>
          <w:tcPr>
            <w:tcW w:w="1261" w:type="pct"/>
            <w:tcBorders>
              <w:bottom w:val="single" w:color="auto" w:sz="4" w:space="0"/>
            </w:tcBorders>
            <w:vAlign w:val="center"/>
          </w:tcPr>
          <w:p>
            <w:pPr>
              <w:widowControl/>
              <w:spacing w:line="240" w:lineRule="auto"/>
              <w:ind w:firstLine="0" w:firstLineChars="0"/>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约3000</w:t>
            </w:r>
          </w:p>
        </w:tc>
        <w:tc>
          <w:tcPr>
            <w:tcW w:w="792" w:type="pct"/>
            <w:vAlign w:val="center"/>
          </w:tcPr>
          <w:p>
            <w:pPr>
              <w:widowControl/>
              <w:spacing w:line="240" w:lineRule="auto"/>
              <w:ind w:firstLine="0" w:firstLineChars="0"/>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NW</w:t>
            </w:r>
          </w:p>
        </w:tc>
        <w:tc>
          <w:tcPr>
            <w:tcW w:w="654" w:type="pct"/>
            <w:vAlign w:val="center"/>
          </w:tcPr>
          <w:p>
            <w:pPr>
              <w:widowControl/>
              <w:spacing w:line="240" w:lineRule="auto"/>
              <w:ind w:firstLine="0" w:firstLineChars="0"/>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500</w:t>
            </w:r>
          </w:p>
        </w:tc>
        <w:tc>
          <w:tcPr>
            <w:tcW w:w="594" w:type="pct"/>
            <w:vAlign w:val="center"/>
          </w:tcPr>
          <w:p>
            <w:pPr>
              <w:widowControl/>
              <w:spacing w:line="240" w:lineRule="auto"/>
              <w:ind w:firstLine="0" w:firstLineChars="0"/>
              <w:jc w:val="center"/>
              <w:rPr>
                <w:rFonts w:hint="eastAsia" w:eastAsia="宋体" w:cs="Times New Roman"/>
                <w:color w:val="000000"/>
                <w:kern w:val="0"/>
                <w:sz w:val="21"/>
                <w:szCs w:val="21"/>
                <w:lang w:val="en-US" w:eastAsia="zh-CN"/>
              </w:rPr>
            </w:pPr>
            <w:r>
              <w:rPr>
                <w:rFonts w:hint="eastAsia" w:cs="Times New Roman"/>
                <w:color w:val="000000"/>
                <w:kern w:val="0"/>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1697" w:type="pct"/>
            <w:gridSpan w:val="2"/>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合计</w:t>
            </w:r>
          </w:p>
        </w:tc>
        <w:tc>
          <w:tcPr>
            <w:tcW w:w="1261" w:type="pct"/>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1</w:t>
            </w:r>
            <w:r>
              <w:rPr>
                <w:rFonts w:hint="eastAsia" w:cs="Times New Roman"/>
                <w:color w:val="000000"/>
                <w:kern w:val="0"/>
                <w:sz w:val="21"/>
                <w:szCs w:val="21"/>
                <w:lang w:val="en-US" w:eastAsia="zh-CN"/>
              </w:rPr>
              <w:t>100</w:t>
            </w:r>
            <w:r>
              <w:rPr>
                <w:rFonts w:cs="Times New Roman"/>
                <w:color w:val="000000"/>
                <w:kern w:val="0"/>
                <w:sz w:val="21"/>
                <w:szCs w:val="21"/>
              </w:rPr>
              <w:t>0</w:t>
            </w:r>
          </w:p>
        </w:tc>
        <w:tc>
          <w:tcPr>
            <w:tcW w:w="792" w:type="pct"/>
            <w:tcBorders>
              <w:left w:val="single" w:color="auto" w:sz="4" w:space="0"/>
            </w:tcBorders>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w:t>
            </w:r>
          </w:p>
        </w:tc>
        <w:tc>
          <w:tcPr>
            <w:tcW w:w="654" w:type="pct"/>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w:t>
            </w:r>
          </w:p>
        </w:tc>
        <w:tc>
          <w:tcPr>
            <w:tcW w:w="594" w:type="pct"/>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w:t>
            </w:r>
          </w:p>
        </w:tc>
      </w:tr>
    </w:tbl>
    <w:p>
      <w:pPr>
        <w:ind w:firstLine="562"/>
        <w:rPr>
          <w:b/>
        </w:rPr>
      </w:pPr>
      <w:r>
        <w:rPr>
          <w:rFonts w:hint="eastAsia"/>
          <w:b/>
          <w:lang w:val="en-US" w:eastAsia="zh-CN"/>
        </w:rPr>
        <w:t>2</w:t>
      </w:r>
      <w:r>
        <w:rPr>
          <w:rFonts w:hint="eastAsia"/>
          <w:b/>
        </w:rPr>
        <w:t>、水环境风险受体</w:t>
      </w:r>
    </w:p>
    <w:p>
      <w:pPr>
        <w:ind w:firstLine="560"/>
        <w:rPr>
          <w:rFonts w:hint="eastAsia" w:eastAsia="宋体"/>
          <w:lang w:eastAsia="zh-CN"/>
        </w:rPr>
      </w:pPr>
      <w:r>
        <w:rPr>
          <w:rFonts w:hint="eastAsia"/>
        </w:rPr>
        <w:t>厂区雨污分流，雨水经雨水管网收集后直接排入厂外雨水管网；沉淀池排泥水和滤池的反冲洗废水直排入赣江</w:t>
      </w:r>
      <w:r>
        <w:rPr>
          <w:rFonts w:hint="eastAsia"/>
          <w:lang w:eastAsia="zh-CN"/>
        </w:rPr>
        <w:t>，</w:t>
      </w:r>
      <w:r>
        <w:rPr>
          <w:rFonts w:hint="eastAsia"/>
        </w:rPr>
        <w:t>生活污水</w:t>
      </w:r>
      <w:r>
        <w:rPr>
          <w:rFonts w:hint="eastAsia"/>
          <w:lang w:eastAsia="zh-CN"/>
        </w:rPr>
        <w:t>、化验室检测仪器的清洗废水</w:t>
      </w:r>
      <w:r>
        <w:rPr>
          <w:rFonts w:hint="eastAsia"/>
        </w:rPr>
        <w:t>直排入市政污水管网排到经开区白水湖污水处理厂处理达标后，尾水排入赣江</w:t>
      </w:r>
      <w:r>
        <w:rPr>
          <w:rFonts w:hint="eastAsia"/>
          <w:lang w:eastAsia="zh-CN"/>
        </w:rPr>
        <w:t>。</w:t>
      </w:r>
    </w:p>
    <w:p>
      <w:pPr>
        <w:ind w:firstLine="560"/>
      </w:pPr>
    </w:p>
    <w:p>
      <w:pPr>
        <w:ind w:firstLine="0" w:firstLineChars="0"/>
        <w:jc w:val="left"/>
        <w:sectPr>
          <w:pgSz w:w="11906" w:h="16838"/>
          <w:pgMar w:top="1304" w:right="1247" w:bottom="1304" w:left="1531" w:header="851" w:footer="851" w:gutter="0"/>
          <w:pgBorders>
            <w:top w:val="none" w:sz="0" w:space="0"/>
            <w:left w:val="none" w:sz="0" w:space="0"/>
            <w:bottom w:val="none" w:sz="0" w:space="0"/>
            <w:right w:val="none" w:sz="0" w:space="0"/>
          </w:pgBorders>
          <w:pgNumType w:fmt="decimal"/>
          <w:cols w:space="425" w:num="1"/>
          <w:docGrid w:type="lines" w:linePitch="312" w:charSpace="0"/>
        </w:sectPr>
      </w:pPr>
    </w:p>
    <w:p>
      <w:pPr>
        <w:pStyle w:val="4"/>
      </w:pPr>
      <w:bookmarkStart w:id="20" w:name="_Toc18459"/>
      <w:r>
        <w:rPr>
          <w:rFonts w:hint="eastAsia"/>
        </w:rPr>
        <w:t>环境风险辨识</w:t>
      </w:r>
      <w:bookmarkEnd w:id="20"/>
    </w:p>
    <w:p>
      <w:pPr>
        <w:pStyle w:val="5"/>
      </w:pPr>
      <w:bookmarkStart w:id="21" w:name="_Toc26387"/>
      <w:r>
        <w:rPr>
          <w:rFonts w:hint="eastAsia"/>
        </w:rPr>
        <w:t>环境风险物质</w:t>
      </w:r>
      <w:bookmarkEnd w:id="21"/>
    </w:p>
    <w:p>
      <w:pPr>
        <w:ind w:firstLine="560"/>
      </w:pPr>
      <w:r>
        <w:rPr>
          <w:rFonts w:hint="eastAsia"/>
        </w:rPr>
        <w:t>从公司生产全过程识别环境风险物质，包括原料、燃料、产品、中间产品、副产品、辅料、“三废”污染物等。按照《危险化学品重大危险源识别》（GB 18218-2009）和《企业突发环境事件风险分级方法》（H</w:t>
      </w:r>
      <w:r>
        <w:t>J 941-2018</w:t>
      </w:r>
      <w:r>
        <w:rPr>
          <w:rFonts w:hint="eastAsia"/>
        </w:rPr>
        <w:t>）突发环境事件风险物质及临界量清单，本公司涉气风险物质和涉水风险物质情况详见</w:t>
      </w:r>
      <w:r>
        <w:fldChar w:fldCharType="begin"/>
      </w:r>
      <w:r>
        <w:instrText xml:space="preserve"> </w:instrText>
      </w:r>
      <w:r>
        <w:rPr>
          <w:rFonts w:hint="eastAsia"/>
        </w:rPr>
        <w:instrText xml:space="preserve">REF _Ref526609772 \h</w:instrText>
      </w:r>
      <w:r>
        <w:instrText xml:space="preserve"> </w:instrText>
      </w:r>
      <w:r>
        <w:fldChar w:fldCharType="separate"/>
      </w:r>
      <w:r>
        <w:rPr>
          <w:rFonts w:hint="eastAsia"/>
        </w:rPr>
        <w:t xml:space="preserve">表 </w:t>
      </w:r>
      <w:r>
        <w:t>3</w:t>
      </w:r>
      <w:r>
        <w:noBreakHyphen/>
      </w:r>
      <w:r>
        <w:t>1</w:t>
      </w:r>
      <w:r>
        <w:fldChar w:fldCharType="end"/>
      </w:r>
      <w:r>
        <w:rPr>
          <w:rFonts w:hint="eastAsia"/>
        </w:rPr>
        <w:t>。</w:t>
      </w:r>
    </w:p>
    <w:p>
      <w:pPr>
        <w:pStyle w:val="8"/>
        <w:keepNext/>
      </w:pPr>
      <w:bookmarkStart w:id="22" w:name="_Ref526609772"/>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3</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1</w:t>
      </w:r>
      <w:r>
        <w:fldChar w:fldCharType="end"/>
      </w:r>
      <w:bookmarkEnd w:id="22"/>
      <w:r>
        <w:rPr>
          <w:rFonts w:hint="eastAsia"/>
        </w:rPr>
        <w:t>风险物质一览表</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1"/>
        <w:gridCol w:w="1366"/>
        <w:gridCol w:w="1282"/>
        <w:gridCol w:w="1500"/>
        <w:gridCol w:w="914"/>
        <w:gridCol w:w="899"/>
        <w:gridCol w:w="980"/>
        <w:gridCol w:w="8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391" w:type="dxa"/>
            <w:vAlign w:val="center"/>
          </w:tcPr>
          <w:p>
            <w:pPr>
              <w:widowControl/>
              <w:spacing w:line="240" w:lineRule="auto"/>
              <w:ind w:firstLine="0" w:firstLineChars="0"/>
              <w:jc w:val="center"/>
              <w:rPr>
                <w:rFonts w:cs="Times New Roman"/>
                <w:color w:val="000000"/>
                <w:kern w:val="0"/>
                <w:sz w:val="21"/>
                <w:szCs w:val="21"/>
                <w:highlight w:val="none"/>
              </w:rPr>
            </w:pPr>
            <w:r>
              <w:rPr>
                <w:rFonts w:hint="eastAsia" w:cs="Times New Roman"/>
                <w:color w:val="000000"/>
                <w:kern w:val="0"/>
                <w:sz w:val="21"/>
                <w:szCs w:val="21"/>
                <w:highlight w:val="none"/>
              </w:rPr>
              <w:t>名称</w:t>
            </w:r>
          </w:p>
        </w:tc>
        <w:tc>
          <w:tcPr>
            <w:tcW w:w="1366" w:type="dxa"/>
            <w:vAlign w:val="center"/>
          </w:tcPr>
          <w:p>
            <w:pPr>
              <w:widowControl/>
              <w:spacing w:line="240" w:lineRule="auto"/>
              <w:ind w:firstLine="0" w:firstLineChars="0"/>
              <w:jc w:val="center"/>
              <w:rPr>
                <w:rFonts w:cs="Times New Roman"/>
                <w:color w:val="000000"/>
                <w:kern w:val="0"/>
                <w:sz w:val="21"/>
                <w:szCs w:val="21"/>
                <w:highlight w:val="none"/>
              </w:rPr>
            </w:pPr>
            <w:r>
              <w:rPr>
                <w:rFonts w:hint="eastAsia" w:cs="Times New Roman"/>
                <w:color w:val="000000"/>
                <w:kern w:val="0"/>
                <w:sz w:val="21"/>
                <w:szCs w:val="21"/>
                <w:highlight w:val="none"/>
              </w:rPr>
              <w:t>C</w:t>
            </w:r>
            <w:r>
              <w:rPr>
                <w:rFonts w:cs="Times New Roman"/>
                <w:color w:val="000000"/>
                <w:kern w:val="0"/>
                <w:sz w:val="21"/>
                <w:szCs w:val="21"/>
                <w:highlight w:val="none"/>
              </w:rPr>
              <w:t>AS</w:t>
            </w:r>
            <w:r>
              <w:rPr>
                <w:rFonts w:hint="eastAsia" w:cs="Times New Roman"/>
                <w:color w:val="000000"/>
                <w:kern w:val="0"/>
                <w:sz w:val="21"/>
                <w:szCs w:val="21"/>
                <w:highlight w:val="none"/>
              </w:rPr>
              <w:t>号</w:t>
            </w:r>
          </w:p>
        </w:tc>
        <w:tc>
          <w:tcPr>
            <w:tcW w:w="1282" w:type="dxa"/>
            <w:vAlign w:val="center"/>
          </w:tcPr>
          <w:p>
            <w:pPr>
              <w:widowControl/>
              <w:spacing w:line="240" w:lineRule="auto"/>
              <w:ind w:firstLine="0" w:firstLineChars="0"/>
              <w:jc w:val="center"/>
              <w:rPr>
                <w:rFonts w:cs="Times New Roman"/>
                <w:color w:val="000000"/>
                <w:kern w:val="0"/>
                <w:sz w:val="21"/>
                <w:szCs w:val="21"/>
                <w:highlight w:val="none"/>
              </w:rPr>
            </w:pPr>
            <w:r>
              <w:rPr>
                <w:rFonts w:hint="eastAsia" w:cs="Times New Roman"/>
                <w:color w:val="000000"/>
                <w:kern w:val="0"/>
                <w:sz w:val="21"/>
                <w:szCs w:val="21"/>
                <w:highlight w:val="none"/>
              </w:rPr>
              <w:t>最大</w:t>
            </w:r>
            <w:r>
              <w:rPr>
                <w:rFonts w:hint="eastAsia" w:cs="Times New Roman"/>
                <w:color w:val="000000"/>
                <w:kern w:val="0"/>
                <w:sz w:val="21"/>
                <w:szCs w:val="21"/>
                <w:highlight w:val="none"/>
                <w:lang w:eastAsia="zh-CN"/>
              </w:rPr>
              <w:t>存在</w:t>
            </w:r>
            <w:r>
              <w:rPr>
                <w:rFonts w:hint="eastAsia" w:cs="Times New Roman"/>
                <w:color w:val="000000"/>
                <w:kern w:val="0"/>
                <w:sz w:val="21"/>
                <w:szCs w:val="21"/>
                <w:highlight w:val="none"/>
              </w:rPr>
              <w:t>量</w:t>
            </w:r>
            <w:r>
              <w:rPr>
                <w:rFonts w:cs="Times New Roman"/>
                <w:color w:val="000000"/>
                <w:kern w:val="0"/>
                <w:sz w:val="21"/>
                <w:szCs w:val="21"/>
                <w:highlight w:val="none"/>
              </w:rPr>
              <w:t>w</w:t>
            </w:r>
            <w:r>
              <w:rPr>
                <w:rFonts w:hint="eastAsia" w:cs="Times New Roman"/>
                <w:color w:val="000000"/>
                <w:kern w:val="0"/>
                <w:sz w:val="21"/>
                <w:szCs w:val="21"/>
                <w:highlight w:val="none"/>
              </w:rPr>
              <w:t>（t）</w:t>
            </w:r>
          </w:p>
        </w:tc>
        <w:tc>
          <w:tcPr>
            <w:tcW w:w="1500" w:type="dxa"/>
            <w:vAlign w:val="center"/>
          </w:tcPr>
          <w:p>
            <w:pPr>
              <w:widowControl/>
              <w:spacing w:line="240" w:lineRule="auto"/>
              <w:ind w:firstLine="0" w:firstLineChars="0"/>
              <w:jc w:val="center"/>
              <w:rPr>
                <w:rFonts w:cs="Times New Roman"/>
                <w:color w:val="000000"/>
                <w:kern w:val="0"/>
                <w:sz w:val="21"/>
                <w:szCs w:val="21"/>
                <w:highlight w:val="none"/>
              </w:rPr>
            </w:pPr>
            <w:r>
              <w:rPr>
                <w:rFonts w:hint="eastAsia" w:cs="Times New Roman"/>
                <w:color w:val="000000"/>
                <w:kern w:val="0"/>
                <w:sz w:val="21"/>
                <w:szCs w:val="21"/>
                <w:highlight w:val="none"/>
              </w:rPr>
              <w:t>贮存方式</w:t>
            </w:r>
          </w:p>
        </w:tc>
        <w:tc>
          <w:tcPr>
            <w:tcW w:w="914" w:type="dxa"/>
            <w:vAlign w:val="center"/>
          </w:tcPr>
          <w:p>
            <w:pPr>
              <w:widowControl/>
              <w:spacing w:line="240" w:lineRule="auto"/>
              <w:ind w:firstLine="0" w:firstLineChars="0"/>
              <w:jc w:val="center"/>
              <w:rPr>
                <w:rFonts w:cs="Times New Roman"/>
                <w:color w:val="000000"/>
                <w:kern w:val="0"/>
                <w:sz w:val="21"/>
                <w:szCs w:val="21"/>
                <w:highlight w:val="none"/>
              </w:rPr>
            </w:pPr>
            <w:r>
              <w:rPr>
                <w:rFonts w:hint="eastAsia" w:cs="Times New Roman"/>
                <w:color w:val="000000"/>
                <w:kern w:val="0"/>
                <w:sz w:val="21"/>
                <w:szCs w:val="21"/>
                <w:highlight w:val="none"/>
              </w:rPr>
              <w:t>临界量</w:t>
            </w:r>
            <w:r>
              <w:rPr>
                <w:rFonts w:cs="Times New Roman"/>
                <w:color w:val="000000"/>
                <w:kern w:val="0"/>
                <w:sz w:val="21"/>
                <w:szCs w:val="21"/>
                <w:highlight w:val="none"/>
              </w:rPr>
              <w:t>W</w:t>
            </w:r>
            <w:r>
              <w:rPr>
                <w:rFonts w:hint="eastAsia" w:cs="Times New Roman"/>
                <w:color w:val="000000"/>
                <w:kern w:val="0"/>
                <w:sz w:val="21"/>
                <w:szCs w:val="21"/>
                <w:highlight w:val="none"/>
              </w:rPr>
              <w:t>（t）</w:t>
            </w:r>
          </w:p>
        </w:tc>
        <w:tc>
          <w:tcPr>
            <w:tcW w:w="794" w:type="dxa"/>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w/W</w:t>
            </w:r>
          </w:p>
        </w:tc>
        <w:tc>
          <w:tcPr>
            <w:tcW w:w="980" w:type="dxa"/>
            <w:vAlign w:val="center"/>
          </w:tcPr>
          <w:p>
            <w:pPr>
              <w:widowControl/>
              <w:spacing w:line="240" w:lineRule="auto"/>
              <w:ind w:firstLine="0" w:firstLineChars="0"/>
              <w:jc w:val="center"/>
              <w:rPr>
                <w:rFonts w:cs="Times New Roman"/>
                <w:color w:val="000000"/>
                <w:kern w:val="0"/>
                <w:sz w:val="21"/>
                <w:szCs w:val="21"/>
                <w:highlight w:val="none"/>
              </w:rPr>
            </w:pPr>
            <w:r>
              <w:rPr>
                <w:rFonts w:hint="eastAsia" w:cs="Times New Roman"/>
                <w:color w:val="000000"/>
                <w:kern w:val="0"/>
                <w:sz w:val="21"/>
                <w:szCs w:val="21"/>
                <w:highlight w:val="none"/>
              </w:rPr>
              <w:t>涉气风险物质</w:t>
            </w:r>
          </w:p>
        </w:tc>
        <w:tc>
          <w:tcPr>
            <w:tcW w:w="891" w:type="dxa"/>
            <w:vAlign w:val="center"/>
          </w:tcPr>
          <w:p>
            <w:pPr>
              <w:widowControl/>
              <w:spacing w:line="240" w:lineRule="auto"/>
              <w:ind w:firstLine="0" w:firstLineChars="0"/>
              <w:jc w:val="center"/>
              <w:rPr>
                <w:rFonts w:cs="Times New Roman"/>
                <w:color w:val="000000"/>
                <w:kern w:val="0"/>
                <w:sz w:val="21"/>
                <w:szCs w:val="21"/>
                <w:highlight w:val="none"/>
              </w:rPr>
            </w:pPr>
            <w:r>
              <w:rPr>
                <w:rFonts w:hint="eastAsia" w:cs="Times New Roman"/>
                <w:color w:val="000000"/>
                <w:kern w:val="0"/>
                <w:sz w:val="21"/>
                <w:szCs w:val="21"/>
                <w:highlight w:val="none"/>
              </w:rPr>
              <w:t>涉水风险物质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391" w:type="dxa"/>
            <w:vAlign w:val="center"/>
          </w:tcPr>
          <w:p>
            <w:pPr>
              <w:widowControl/>
              <w:spacing w:line="240" w:lineRule="auto"/>
              <w:ind w:firstLine="0" w:firstLineChars="0"/>
              <w:jc w:val="center"/>
              <w:rPr>
                <w:rFonts w:hint="eastAsia" w:cs="Times New Roman"/>
                <w:color w:val="000000" w:themeColor="text1"/>
                <w:kern w:val="0"/>
                <w:sz w:val="21"/>
                <w:szCs w:val="21"/>
                <w:highlight w:val="none"/>
                <w:lang w:eastAsia="zh-CN"/>
                <w14:textFill>
                  <w14:solidFill>
                    <w14:schemeClr w14:val="tx1"/>
                  </w14:solidFill>
                </w14:textFill>
              </w:rPr>
            </w:pPr>
            <w:r>
              <w:rPr>
                <w:rFonts w:hint="eastAsia" w:cs="Times New Roman"/>
                <w:color w:val="000000" w:themeColor="text1"/>
                <w:kern w:val="0"/>
                <w:sz w:val="21"/>
                <w:szCs w:val="21"/>
                <w:highlight w:val="none"/>
                <w:lang w:eastAsia="zh-CN"/>
                <w14:textFill>
                  <w14:solidFill>
                    <w14:schemeClr w14:val="tx1"/>
                  </w14:solidFill>
                </w14:textFill>
              </w:rPr>
              <w:t>次氯酸钠</w:t>
            </w:r>
          </w:p>
        </w:tc>
        <w:tc>
          <w:tcPr>
            <w:tcW w:w="1366" w:type="dxa"/>
            <w:vAlign w:val="center"/>
          </w:tcPr>
          <w:p>
            <w:pPr>
              <w:widowControl/>
              <w:spacing w:line="240" w:lineRule="auto"/>
              <w:ind w:firstLine="0" w:firstLineChars="0"/>
              <w:jc w:val="center"/>
              <w:rPr>
                <w:rFonts w:hint="eastAsia" w:eastAsia="宋体" w:cs="Times New Roman"/>
                <w:color w:val="000000"/>
                <w:kern w:val="0"/>
                <w:sz w:val="21"/>
                <w:szCs w:val="21"/>
                <w:highlight w:val="none"/>
                <w:lang w:val="en-US" w:eastAsia="zh-CN"/>
              </w:rPr>
            </w:pPr>
            <w:r>
              <w:rPr>
                <w:rFonts w:hint="eastAsia" w:cs="Times New Roman"/>
                <w:color w:val="000000"/>
                <w:kern w:val="0"/>
                <w:sz w:val="21"/>
                <w:szCs w:val="21"/>
                <w:highlight w:val="none"/>
                <w:lang w:val="en-US" w:eastAsia="zh-CN"/>
              </w:rPr>
              <w:t xml:space="preserve">7681-52-9 </w:t>
            </w:r>
          </w:p>
        </w:tc>
        <w:tc>
          <w:tcPr>
            <w:tcW w:w="1282" w:type="dxa"/>
            <w:vAlign w:val="center"/>
          </w:tcPr>
          <w:p>
            <w:pPr>
              <w:widowControl/>
              <w:spacing w:line="240" w:lineRule="auto"/>
              <w:ind w:firstLine="0" w:firstLineChars="0"/>
              <w:jc w:val="center"/>
              <w:rPr>
                <w:rFonts w:hint="default" w:eastAsia="宋体" w:cs="Times New Roman"/>
                <w:color w:val="000000"/>
                <w:kern w:val="0"/>
                <w:sz w:val="21"/>
                <w:szCs w:val="21"/>
                <w:highlight w:val="none"/>
                <w:lang w:val="en-US" w:eastAsia="zh-CN"/>
              </w:rPr>
            </w:pPr>
            <w:r>
              <w:rPr>
                <w:rFonts w:hint="eastAsia" w:cs="Times New Roman"/>
                <w:color w:val="000000"/>
                <w:kern w:val="0"/>
                <w:sz w:val="21"/>
                <w:szCs w:val="21"/>
                <w:highlight w:val="none"/>
                <w:lang w:val="en-US" w:eastAsia="zh-CN"/>
              </w:rPr>
              <w:t>1.6</w:t>
            </w:r>
          </w:p>
        </w:tc>
        <w:tc>
          <w:tcPr>
            <w:tcW w:w="1500" w:type="dxa"/>
            <w:vAlign w:val="center"/>
          </w:tcPr>
          <w:p>
            <w:pPr>
              <w:widowControl/>
              <w:spacing w:line="240" w:lineRule="auto"/>
              <w:ind w:firstLine="0" w:firstLineChars="0"/>
              <w:jc w:val="center"/>
              <w:rPr>
                <w:rFonts w:hint="default" w:eastAsia="宋体" w:cs="Times New Roman"/>
                <w:color w:val="000000"/>
                <w:kern w:val="0"/>
                <w:sz w:val="21"/>
                <w:szCs w:val="21"/>
                <w:highlight w:val="none"/>
                <w:lang w:val="en-US" w:eastAsia="zh-CN"/>
              </w:rPr>
            </w:pPr>
            <w:r>
              <w:rPr>
                <w:rFonts w:hint="eastAsia" w:cs="Times New Roman"/>
                <w:color w:val="000000"/>
                <w:kern w:val="0"/>
                <w:sz w:val="21"/>
                <w:szCs w:val="21"/>
                <w:highlight w:val="none"/>
                <w:lang w:eastAsia="zh-CN"/>
              </w:rPr>
              <w:t>储罐</w:t>
            </w:r>
            <w:r>
              <w:rPr>
                <w:rFonts w:hint="eastAsia" w:cs="Times New Roman"/>
                <w:color w:val="000000"/>
                <w:kern w:val="0"/>
                <w:sz w:val="21"/>
                <w:szCs w:val="21"/>
                <w:highlight w:val="none"/>
                <w:lang w:val="en-US" w:eastAsia="zh-CN"/>
              </w:rPr>
              <w:t>/次氯酸钠间</w:t>
            </w:r>
          </w:p>
        </w:tc>
        <w:tc>
          <w:tcPr>
            <w:tcW w:w="914" w:type="dxa"/>
            <w:vAlign w:val="center"/>
          </w:tcPr>
          <w:p>
            <w:pPr>
              <w:widowControl/>
              <w:spacing w:line="240" w:lineRule="auto"/>
              <w:ind w:firstLine="0" w:firstLineChars="0"/>
              <w:jc w:val="center"/>
              <w:rPr>
                <w:rFonts w:hint="default" w:cs="Times New Roman"/>
                <w:color w:val="000000"/>
                <w:kern w:val="0"/>
                <w:sz w:val="21"/>
                <w:szCs w:val="21"/>
                <w:highlight w:val="none"/>
                <w:lang w:val="en-US" w:eastAsia="zh-CN"/>
              </w:rPr>
            </w:pPr>
            <w:r>
              <w:rPr>
                <w:rFonts w:hint="eastAsia" w:cs="Times New Roman"/>
                <w:color w:val="000000"/>
                <w:kern w:val="0"/>
                <w:sz w:val="21"/>
                <w:szCs w:val="21"/>
                <w:highlight w:val="none"/>
                <w:lang w:val="en-US" w:eastAsia="zh-CN"/>
              </w:rPr>
              <w:t>5</w:t>
            </w:r>
          </w:p>
        </w:tc>
        <w:tc>
          <w:tcPr>
            <w:tcW w:w="794" w:type="dxa"/>
            <w:vAlign w:val="center"/>
          </w:tcPr>
          <w:p>
            <w:pPr>
              <w:widowControl/>
              <w:spacing w:line="240" w:lineRule="auto"/>
              <w:ind w:firstLine="0" w:firstLineChars="0"/>
              <w:jc w:val="center"/>
              <w:rPr>
                <w:rFonts w:hint="default" w:eastAsia="宋体" w:cs="Times New Roman"/>
                <w:color w:val="000000"/>
                <w:kern w:val="0"/>
                <w:sz w:val="21"/>
                <w:szCs w:val="21"/>
                <w:highlight w:val="none"/>
                <w:lang w:val="en-US" w:eastAsia="zh-CN"/>
              </w:rPr>
            </w:pPr>
            <w:r>
              <w:rPr>
                <w:rFonts w:hint="eastAsia" w:cs="Times New Roman"/>
                <w:color w:val="000000"/>
                <w:kern w:val="0"/>
                <w:sz w:val="21"/>
                <w:szCs w:val="21"/>
                <w:highlight w:val="none"/>
                <w:lang w:val="en-US" w:eastAsia="zh-CN"/>
              </w:rPr>
              <w:t>0.32</w:t>
            </w:r>
          </w:p>
        </w:tc>
        <w:tc>
          <w:tcPr>
            <w:tcW w:w="980" w:type="dxa"/>
            <w:vAlign w:val="center"/>
          </w:tcPr>
          <w:p>
            <w:pPr>
              <w:widowControl/>
              <w:spacing w:line="240" w:lineRule="auto"/>
              <w:ind w:firstLine="0" w:firstLineChars="0"/>
              <w:jc w:val="center"/>
              <w:rPr>
                <w:rFonts w:hint="eastAsia"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rPr>
              <w:t>是</w:t>
            </w:r>
          </w:p>
        </w:tc>
        <w:tc>
          <w:tcPr>
            <w:tcW w:w="891" w:type="dxa"/>
            <w:vAlign w:val="center"/>
          </w:tcPr>
          <w:p>
            <w:pPr>
              <w:widowControl/>
              <w:spacing w:line="240" w:lineRule="auto"/>
              <w:ind w:firstLine="0" w:firstLineChars="0"/>
              <w:jc w:val="center"/>
              <w:rPr>
                <w:rFonts w:hint="eastAsia"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391" w:type="dxa"/>
            <w:vAlign w:val="center"/>
          </w:tcPr>
          <w:p>
            <w:pPr>
              <w:widowControl/>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sz w:val="21"/>
                <w:szCs w:val="21"/>
                <w:lang w:val="en-US" w:eastAsia="zh-CN"/>
              </w:rPr>
              <w:t>铬酸钾</w:t>
            </w:r>
          </w:p>
        </w:tc>
        <w:tc>
          <w:tcPr>
            <w:tcW w:w="1366" w:type="dxa"/>
            <w:vAlign w:val="center"/>
          </w:tcPr>
          <w:p>
            <w:pPr>
              <w:widowControl/>
              <w:spacing w:line="240" w:lineRule="auto"/>
              <w:ind w:firstLine="0" w:firstLineChars="0"/>
              <w:jc w:val="center"/>
              <w:rPr>
                <w:rFonts w:hint="eastAsia" w:ascii="Times New Roman" w:hAnsi="Times New Roman" w:eastAsia="宋体" w:cs="Times New Roman"/>
                <w:color w:val="000000"/>
                <w:kern w:val="0"/>
                <w:sz w:val="21"/>
                <w:szCs w:val="21"/>
                <w:highlight w:val="yellow"/>
                <w:lang w:val="en-US" w:eastAsia="zh-CN" w:bidi="ar-SA"/>
              </w:rPr>
            </w:pPr>
            <w:r>
              <w:rPr>
                <w:rFonts w:hint="eastAsia" w:cs="Times New Roman"/>
                <w:color w:val="000000"/>
                <w:kern w:val="0"/>
                <w:sz w:val="21"/>
                <w:szCs w:val="21"/>
              </w:rPr>
              <w:t>7789-00-6</w:t>
            </w:r>
          </w:p>
        </w:tc>
        <w:tc>
          <w:tcPr>
            <w:tcW w:w="1282" w:type="dxa"/>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rPr>
              <w:t>0</w:t>
            </w:r>
            <w:r>
              <w:rPr>
                <w:rFonts w:cs="Times New Roman"/>
                <w:color w:val="000000"/>
                <w:kern w:val="0"/>
                <w:sz w:val="21"/>
                <w:szCs w:val="21"/>
                <w:highlight w:val="none"/>
              </w:rPr>
              <w:t>.</w:t>
            </w:r>
            <w:r>
              <w:rPr>
                <w:rFonts w:hint="eastAsia" w:cs="Times New Roman"/>
                <w:color w:val="000000"/>
                <w:kern w:val="0"/>
                <w:sz w:val="21"/>
                <w:szCs w:val="21"/>
                <w:highlight w:val="none"/>
                <w:lang w:val="en-US" w:eastAsia="zh-CN"/>
              </w:rPr>
              <w:t>0005</w:t>
            </w:r>
          </w:p>
        </w:tc>
        <w:tc>
          <w:tcPr>
            <w:tcW w:w="1500" w:type="dxa"/>
            <w:vAlign w:val="center"/>
          </w:tcPr>
          <w:p>
            <w:pPr>
              <w:widowControl/>
              <w:spacing w:line="240" w:lineRule="auto"/>
              <w:ind w:firstLine="0" w:firstLineChars="0"/>
              <w:jc w:val="center"/>
              <w:rPr>
                <w:rFonts w:hint="eastAsia"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lang w:eastAsia="zh-CN"/>
              </w:rPr>
              <w:t>瓶</w:t>
            </w:r>
            <w:r>
              <w:rPr>
                <w:rFonts w:hint="eastAsia" w:cs="Times New Roman"/>
                <w:color w:val="000000"/>
                <w:kern w:val="0"/>
                <w:sz w:val="21"/>
                <w:szCs w:val="21"/>
                <w:highlight w:val="none"/>
              </w:rPr>
              <w:t>/</w:t>
            </w:r>
            <w:r>
              <w:rPr>
                <w:rFonts w:hint="eastAsia" w:cs="Times New Roman"/>
                <w:color w:val="000000"/>
                <w:kern w:val="0"/>
                <w:sz w:val="21"/>
                <w:szCs w:val="21"/>
                <w:highlight w:val="none"/>
                <w:lang w:eastAsia="zh-CN"/>
              </w:rPr>
              <w:t>化验室</w:t>
            </w:r>
          </w:p>
        </w:tc>
        <w:tc>
          <w:tcPr>
            <w:tcW w:w="914" w:type="dxa"/>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lang w:val="en-US" w:eastAsia="zh-CN"/>
              </w:rPr>
              <w:t>0.25</w:t>
            </w:r>
          </w:p>
        </w:tc>
        <w:tc>
          <w:tcPr>
            <w:tcW w:w="794" w:type="dxa"/>
            <w:vAlign w:val="center"/>
          </w:tcPr>
          <w:p>
            <w:pPr>
              <w:widowControl/>
              <w:spacing w:line="240" w:lineRule="auto"/>
              <w:ind w:firstLine="0" w:firstLineChars="0"/>
              <w:jc w:val="center"/>
              <w:rPr>
                <w:rFonts w:hint="eastAsia"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rPr>
              <w:t>0</w:t>
            </w:r>
            <w:r>
              <w:rPr>
                <w:rFonts w:cs="Times New Roman"/>
                <w:color w:val="000000"/>
                <w:kern w:val="0"/>
                <w:sz w:val="21"/>
                <w:szCs w:val="21"/>
                <w:highlight w:val="none"/>
              </w:rPr>
              <w:t>.0</w:t>
            </w:r>
            <w:r>
              <w:rPr>
                <w:rFonts w:hint="eastAsia" w:cs="Times New Roman"/>
                <w:color w:val="000000"/>
                <w:kern w:val="0"/>
                <w:sz w:val="21"/>
                <w:szCs w:val="21"/>
                <w:highlight w:val="none"/>
                <w:lang w:val="en-US" w:eastAsia="zh-CN"/>
              </w:rPr>
              <w:t>02</w:t>
            </w:r>
          </w:p>
        </w:tc>
        <w:tc>
          <w:tcPr>
            <w:tcW w:w="980" w:type="dxa"/>
            <w:vAlign w:val="center"/>
          </w:tcPr>
          <w:p>
            <w:pPr>
              <w:widowControl/>
              <w:spacing w:line="240" w:lineRule="auto"/>
              <w:ind w:firstLine="0" w:firstLineChars="0"/>
              <w:jc w:val="center"/>
              <w:rPr>
                <w:rFonts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rPr>
              <w:t>是</w:t>
            </w:r>
          </w:p>
        </w:tc>
        <w:tc>
          <w:tcPr>
            <w:tcW w:w="891" w:type="dxa"/>
            <w:vAlign w:val="center"/>
          </w:tcPr>
          <w:p>
            <w:pPr>
              <w:widowControl/>
              <w:spacing w:line="240" w:lineRule="auto"/>
              <w:ind w:firstLine="0" w:firstLineChars="0"/>
              <w:jc w:val="center"/>
              <w:rPr>
                <w:rFonts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391" w:type="dxa"/>
            <w:vAlign w:val="center"/>
          </w:tcPr>
          <w:p>
            <w:pPr>
              <w:widowControl/>
              <w:spacing w:line="240" w:lineRule="auto"/>
              <w:ind w:firstLine="0" w:firstLineChars="0"/>
              <w:jc w:val="center"/>
              <w:rPr>
                <w:rFonts w:hint="eastAsia" w:eastAsia="宋体" w:cs="Times New Roman"/>
                <w:color w:val="000000" w:themeColor="text1"/>
                <w:kern w:val="0"/>
                <w:sz w:val="21"/>
                <w:szCs w:val="21"/>
                <w:highlight w:val="none"/>
                <w:lang w:eastAsia="zh-CN"/>
                <w14:textFill>
                  <w14:solidFill>
                    <w14:schemeClr w14:val="tx1"/>
                  </w14:solidFill>
                </w14:textFill>
              </w:rPr>
            </w:pPr>
            <w:r>
              <w:rPr>
                <w:rFonts w:hint="eastAsia" w:ascii="Times New Roman" w:hAnsi="Times New Roman" w:eastAsia="宋体" w:cs="Times New Roman"/>
                <w:sz w:val="21"/>
                <w:szCs w:val="21"/>
                <w:lang w:val="en-US" w:eastAsia="zh-CN"/>
              </w:rPr>
              <w:t>乙二胺</w:t>
            </w:r>
          </w:p>
        </w:tc>
        <w:tc>
          <w:tcPr>
            <w:tcW w:w="1366" w:type="dxa"/>
            <w:vAlign w:val="center"/>
          </w:tcPr>
          <w:p>
            <w:pPr>
              <w:widowControl/>
              <w:spacing w:line="240" w:lineRule="auto"/>
              <w:ind w:firstLine="0" w:firstLineChars="0"/>
              <w:jc w:val="center"/>
              <w:rPr>
                <w:rFonts w:hint="eastAsia" w:eastAsia="宋体" w:cs="Times New Roman"/>
                <w:color w:val="000000"/>
                <w:kern w:val="0"/>
                <w:sz w:val="21"/>
                <w:szCs w:val="21"/>
                <w:highlight w:val="none"/>
                <w:lang w:eastAsia="zh-CN"/>
              </w:rPr>
            </w:pPr>
            <w:r>
              <w:rPr>
                <w:rFonts w:hint="eastAsia" w:cs="Times New Roman"/>
                <w:color w:val="000000"/>
                <w:kern w:val="0"/>
                <w:sz w:val="21"/>
                <w:szCs w:val="21"/>
                <w:highlight w:val="none"/>
              </w:rPr>
              <w:t>107-15-3</w:t>
            </w:r>
          </w:p>
        </w:tc>
        <w:tc>
          <w:tcPr>
            <w:tcW w:w="1282" w:type="dxa"/>
            <w:vAlign w:val="center"/>
          </w:tcPr>
          <w:p>
            <w:pPr>
              <w:widowControl/>
              <w:spacing w:line="240" w:lineRule="auto"/>
              <w:ind w:firstLine="0" w:firstLineChars="0"/>
              <w:jc w:val="center"/>
              <w:rPr>
                <w:rFonts w:hint="default" w:eastAsia="宋体" w:cs="Times New Roman"/>
                <w:color w:val="000000"/>
                <w:kern w:val="0"/>
                <w:sz w:val="21"/>
                <w:szCs w:val="21"/>
                <w:highlight w:val="none"/>
                <w:lang w:val="en-US" w:eastAsia="zh-CN"/>
              </w:rPr>
            </w:pPr>
            <w:r>
              <w:rPr>
                <w:rFonts w:hint="eastAsia" w:cs="Times New Roman"/>
                <w:color w:val="000000"/>
                <w:kern w:val="0"/>
                <w:sz w:val="21"/>
                <w:szCs w:val="21"/>
                <w:highlight w:val="none"/>
              </w:rPr>
              <w:t>0</w:t>
            </w:r>
            <w:r>
              <w:rPr>
                <w:rFonts w:cs="Times New Roman"/>
                <w:color w:val="000000"/>
                <w:kern w:val="0"/>
                <w:sz w:val="21"/>
                <w:szCs w:val="21"/>
                <w:highlight w:val="none"/>
              </w:rPr>
              <w:t>.</w:t>
            </w:r>
            <w:r>
              <w:rPr>
                <w:rFonts w:hint="eastAsia" w:cs="Times New Roman"/>
                <w:color w:val="000000"/>
                <w:kern w:val="0"/>
                <w:sz w:val="21"/>
                <w:szCs w:val="21"/>
                <w:highlight w:val="none"/>
                <w:lang w:val="en-US" w:eastAsia="zh-CN"/>
              </w:rPr>
              <w:t>0004</w:t>
            </w:r>
          </w:p>
        </w:tc>
        <w:tc>
          <w:tcPr>
            <w:tcW w:w="1500" w:type="dxa"/>
            <w:vAlign w:val="center"/>
          </w:tcPr>
          <w:p>
            <w:pPr>
              <w:widowControl/>
              <w:spacing w:line="240" w:lineRule="auto"/>
              <w:ind w:firstLine="0" w:firstLineChars="0"/>
              <w:jc w:val="center"/>
              <w:rPr>
                <w:rFonts w:hint="eastAsia" w:eastAsia="宋体" w:cs="Times New Roman"/>
                <w:color w:val="000000"/>
                <w:kern w:val="0"/>
                <w:sz w:val="21"/>
                <w:szCs w:val="21"/>
                <w:highlight w:val="none"/>
                <w:lang w:eastAsia="zh-CN"/>
              </w:rPr>
            </w:pPr>
            <w:r>
              <w:rPr>
                <w:rFonts w:hint="eastAsia" w:cs="Times New Roman"/>
                <w:color w:val="000000"/>
                <w:kern w:val="0"/>
                <w:sz w:val="21"/>
                <w:szCs w:val="21"/>
                <w:lang w:eastAsia="zh-CN"/>
              </w:rPr>
              <w:t>瓶</w:t>
            </w:r>
            <w:r>
              <w:rPr>
                <w:rFonts w:hint="eastAsia" w:cs="Times New Roman"/>
                <w:color w:val="000000"/>
                <w:kern w:val="0"/>
                <w:sz w:val="21"/>
                <w:szCs w:val="21"/>
                <w:highlight w:val="none"/>
              </w:rPr>
              <w:t>/</w:t>
            </w:r>
            <w:r>
              <w:rPr>
                <w:rFonts w:hint="eastAsia" w:cs="Times New Roman"/>
                <w:color w:val="000000"/>
                <w:kern w:val="0"/>
                <w:sz w:val="21"/>
                <w:szCs w:val="21"/>
                <w:highlight w:val="none"/>
                <w:lang w:eastAsia="zh-CN"/>
              </w:rPr>
              <w:t>化验室</w:t>
            </w:r>
          </w:p>
        </w:tc>
        <w:tc>
          <w:tcPr>
            <w:tcW w:w="914" w:type="dxa"/>
            <w:vAlign w:val="center"/>
          </w:tcPr>
          <w:p>
            <w:pPr>
              <w:widowControl/>
              <w:spacing w:line="240" w:lineRule="auto"/>
              <w:ind w:firstLine="0" w:firstLineChars="0"/>
              <w:jc w:val="center"/>
              <w:rPr>
                <w:rFonts w:hint="default" w:eastAsia="宋体" w:cs="Times New Roman"/>
                <w:color w:val="000000"/>
                <w:kern w:val="0"/>
                <w:sz w:val="21"/>
                <w:szCs w:val="21"/>
                <w:highlight w:val="none"/>
                <w:lang w:val="en-US" w:eastAsia="zh-CN"/>
              </w:rPr>
            </w:pPr>
            <w:r>
              <w:rPr>
                <w:rFonts w:hint="eastAsia" w:cs="Times New Roman"/>
                <w:color w:val="000000"/>
                <w:kern w:val="0"/>
                <w:sz w:val="21"/>
                <w:szCs w:val="21"/>
                <w:highlight w:val="none"/>
                <w:lang w:val="en-US" w:eastAsia="zh-CN"/>
              </w:rPr>
              <w:t>10</w:t>
            </w:r>
          </w:p>
        </w:tc>
        <w:tc>
          <w:tcPr>
            <w:tcW w:w="794" w:type="dxa"/>
            <w:vAlign w:val="center"/>
          </w:tcPr>
          <w:p>
            <w:pPr>
              <w:widowControl/>
              <w:spacing w:line="240" w:lineRule="auto"/>
              <w:ind w:firstLine="0" w:firstLineChars="0"/>
              <w:jc w:val="center"/>
              <w:rPr>
                <w:rFonts w:hint="default" w:eastAsia="宋体" w:cs="Times New Roman"/>
                <w:color w:val="000000"/>
                <w:kern w:val="0"/>
                <w:sz w:val="21"/>
                <w:szCs w:val="21"/>
                <w:highlight w:val="none"/>
                <w:lang w:val="en-US" w:eastAsia="zh-CN"/>
              </w:rPr>
            </w:pPr>
            <w:r>
              <w:rPr>
                <w:rFonts w:cs="Times New Roman"/>
                <w:color w:val="000000"/>
                <w:kern w:val="0"/>
                <w:sz w:val="21"/>
                <w:szCs w:val="21"/>
                <w:highlight w:val="none"/>
              </w:rPr>
              <w:t>0.</w:t>
            </w:r>
            <w:r>
              <w:rPr>
                <w:rFonts w:hint="eastAsia" w:cs="Times New Roman"/>
                <w:color w:val="000000"/>
                <w:kern w:val="0"/>
                <w:sz w:val="21"/>
                <w:szCs w:val="21"/>
                <w:highlight w:val="none"/>
                <w:lang w:val="en-US" w:eastAsia="zh-CN"/>
              </w:rPr>
              <w:t>00004</w:t>
            </w:r>
          </w:p>
        </w:tc>
        <w:tc>
          <w:tcPr>
            <w:tcW w:w="980" w:type="dxa"/>
            <w:vAlign w:val="center"/>
          </w:tcPr>
          <w:p>
            <w:pPr>
              <w:widowControl/>
              <w:spacing w:line="240" w:lineRule="auto"/>
              <w:ind w:firstLine="0" w:firstLineChars="0"/>
              <w:jc w:val="center"/>
              <w:rPr>
                <w:rFonts w:cs="Times New Roman"/>
                <w:color w:val="000000"/>
                <w:kern w:val="0"/>
                <w:sz w:val="21"/>
                <w:szCs w:val="21"/>
                <w:highlight w:val="none"/>
              </w:rPr>
            </w:pPr>
            <w:r>
              <w:rPr>
                <w:rFonts w:hint="eastAsia" w:cs="Times New Roman"/>
                <w:color w:val="000000"/>
                <w:kern w:val="0"/>
                <w:sz w:val="21"/>
                <w:szCs w:val="21"/>
                <w:highlight w:val="none"/>
              </w:rPr>
              <w:t>是</w:t>
            </w:r>
          </w:p>
        </w:tc>
        <w:tc>
          <w:tcPr>
            <w:tcW w:w="891" w:type="dxa"/>
            <w:vAlign w:val="center"/>
          </w:tcPr>
          <w:p>
            <w:pPr>
              <w:widowControl/>
              <w:spacing w:line="240" w:lineRule="auto"/>
              <w:ind w:firstLine="0" w:firstLineChars="0"/>
              <w:jc w:val="center"/>
              <w:rPr>
                <w:rFonts w:hint="eastAsia" w:eastAsia="宋体" w:cs="Times New Roman"/>
                <w:color w:val="000000"/>
                <w:kern w:val="0"/>
                <w:sz w:val="21"/>
                <w:szCs w:val="21"/>
                <w:highlight w:val="none"/>
                <w:lang w:eastAsia="zh-CN"/>
              </w:rPr>
            </w:pPr>
            <w:r>
              <w:rPr>
                <w:rFonts w:hint="eastAsia" w:cs="Times New Roman"/>
                <w:color w:val="000000"/>
                <w:kern w:val="0"/>
                <w:sz w:val="21"/>
                <w:szCs w:val="21"/>
                <w:highlight w:val="none"/>
                <w:lang w:eastAsia="zh-CN"/>
              </w:rPr>
              <w:t>是</w:t>
            </w:r>
          </w:p>
        </w:tc>
      </w:tr>
    </w:tbl>
    <w:p>
      <w:pPr>
        <w:ind w:firstLine="560"/>
        <w:rPr>
          <w:rFonts w:hint="eastAsia"/>
          <w:lang w:eastAsia="zh-CN"/>
        </w:rPr>
      </w:pPr>
      <w:r>
        <w:rPr>
          <w:rFonts w:hint="eastAsia"/>
        </w:rPr>
        <w:t>根据危险废物名录，公司在生产过程中产生的危险废物为：废紫外灯管</w:t>
      </w:r>
      <w:r>
        <w:rPr>
          <w:rFonts w:hint="eastAsia"/>
          <w:lang w:eastAsia="zh-CN"/>
        </w:rPr>
        <w:t>、</w:t>
      </w:r>
      <w:r>
        <w:rPr>
          <w:rFonts w:hint="eastAsia"/>
        </w:rPr>
        <w:t>废化验试剂、废试剂瓶。厂区</w:t>
      </w:r>
      <w:r>
        <w:rPr>
          <w:rFonts w:hint="eastAsia"/>
          <w:lang w:eastAsia="zh-CN"/>
        </w:rPr>
        <w:t>在化验室</w:t>
      </w:r>
      <w:r>
        <w:rPr>
          <w:rFonts w:hint="eastAsia"/>
        </w:rPr>
        <w:t>设置了危废暂存</w:t>
      </w:r>
      <w:r>
        <w:rPr>
          <w:rFonts w:hint="eastAsia"/>
          <w:lang w:eastAsia="zh-CN"/>
        </w:rPr>
        <w:t>间</w:t>
      </w:r>
      <w:r>
        <w:rPr>
          <w:rFonts w:hint="eastAsia"/>
        </w:rPr>
        <w:t>并做了地面防渗，完全封闭做到“三防”（防风、防雨、防晒），危废暂存</w:t>
      </w:r>
      <w:r>
        <w:rPr>
          <w:rFonts w:hint="eastAsia"/>
          <w:lang w:eastAsia="zh-CN"/>
        </w:rPr>
        <w:t>间</w:t>
      </w:r>
      <w:r>
        <w:rPr>
          <w:rFonts w:hint="eastAsia"/>
        </w:rPr>
        <w:t>外面墙上已做标识。并按照国家有关规定制定危险废物管理计划，并向当地环保主管部门申报危险废物种类、产生量、流向、暂存及处置措施等相关资料。</w:t>
      </w:r>
      <w:r>
        <w:rPr>
          <w:rFonts w:hint="eastAsia"/>
          <w:lang w:eastAsia="zh-CN"/>
        </w:rPr>
        <w:t>由于危废年产生量很小，目前危险废物储存在危废暂存间内，未做</w:t>
      </w:r>
      <w:r>
        <w:rPr>
          <w:rFonts w:hint="eastAsia"/>
        </w:rPr>
        <w:t>处置。</w:t>
      </w:r>
      <w:r>
        <w:rPr>
          <w:rFonts w:hint="eastAsia"/>
          <w:lang w:eastAsia="zh-CN"/>
        </w:rPr>
        <w:t>存储一定量后委托</w:t>
      </w:r>
      <w:r>
        <w:rPr>
          <w:rFonts w:hint="eastAsia"/>
        </w:rPr>
        <w:t>有资质的单位</w:t>
      </w:r>
      <w:r>
        <w:rPr>
          <w:rFonts w:hint="eastAsia"/>
          <w:lang w:eastAsia="zh-CN"/>
        </w:rPr>
        <w:t>进行</w:t>
      </w:r>
      <w:r>
        <w:rPr>
          <w:rFonts w:hint="eastAsia"/>
        </w:rPr>
        <w:t>处置</w:t>
      </w:r>
      <w:r>
        <w:rPr>
          <w:rFonts w:hint="eastAsia"/>
          <w:lang w:eastAsia="zh-CN"/>
        </w:rPr>
        <w:t>，并按要求办理转移联单。</w:t>
      </w:r>
    </w:p>
    <w:p>
      <w:pPr>
        <w:widowControl/>
        <w:spacing w:line="240" w:lineRule="auto"/>
        <w:ind w:firstLine="0" w:firstLineChars="0"/>
        <w:jc w:val="left"/>
      </w:pPr>
      <w:r>
        <w:br w:type="page"/>
      </w:r>
    </w:p>
    <w:p>
      <w:pPr>
        <w:pStyle w:val="8"/>
        <w:keepNext/>
      </w:pPr>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3</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2</w:t>
      </w:r>
      <w:r>
        <w:fldChar w:fldCharType="end"/>
      </w:r>
      <w:r>
        <w:rPr>
          <w:rFonts w:hint="eastAsia"/>
        </w:rPr>
        <w:t>危险废物一览表</w:t>
      </w:r>
    </w:p>
    <w:tbl>
      <w:tblPr>
        <w:tblStyle w:val="1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8"/>
        <w:gridCol w:w="1019"/>
        <w:gridCol w:w="1599"/>
        <w:gridCol w:w="1307"/>
        <w:gridCol w:w="1307"/>
        <w:gridCol w:w="1455"/>
        <w:gridCol w:w="13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94"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名称</w:t>
            </w:r>
          </w:p>
        </w:tc>
        <w:tc>
          <w:tcPr>
            <w:tcW w:w="545"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形态</w:t>
            </w:r>
          </w:p>
        </w:tc>
        <w:tc>
          <w:tcPr>
            <w:tcW w:w="855"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储存量</w:t>
            </w:r>
          </w:p>
        </w:tc>
        <w:tc>
          <w:tcPr>
            <w:tcW w:w="699"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贮存方式</w:t>
            </w:r>
          </w:p>
        </w:tc>
        <w:tc>
          <w:tcPr>
            <w:tcW w:w="699"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废物类别</w:t>
            </w:r>
          </w:p>
        </w:tc>
        <w:tc>
          <w:tcPr>
            <w:tcW w:w="778"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废物代码</w:t>
            </w:r>
          </w:p>
        </w:tc>
        <w:tc>
          <w:tcPr>
            <w:tcW w:w="727"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处置方式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94" w:type="pct"/>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废紫外灯管</w:t>
            </w:r>
          </w:p>
        </w:tc>
        <w:tc>
          <w:tcPr>
            <w:tcW w:w="545"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固态</w:t>
            </w:r>
          </w:p>
        </w:tc>
        <w:tc>
          <w:tcPr>
            <w:tcW w:w="855" w:type="pct"/>
            <w:vAlign w:val="center"/>
          </w:tcPr>
          <w:p>
            <w:pPr>
              <w:widowControl/>
              <w:spacing w:line="240" w:lineRule="auto"/>
              <w:ind w:firstLine="0" w:firstLineChars="0"/>
              <w:jc w:val="center"/>
              <w:rPr>
                <w:rFonts w:hint="default" w:eastAsia="宋体" w:cs="Times New Roman"/>
                <w:color w:val="000000"/>
                <w:kern w:val="0"/>
                <w:sz w:val="21"/>
                <w:szCs w:val="21"/>
                <w:lang w:val="en-US" w:eastAsia="zh-CN"/>
              </w:rPr>
            </w:pPr>
            <w:r>
              <w:rPr>
                <w:rFonts w:hint="eastAsia" w:cs="Times New Roman"/>
                <w:color w:val="000000"/>
                <w:kern w:val="0"/>
                <w:sz w:val="21"/>
                <w:szCs w:val="21"/>
                <w:lang w:val="en-US" w:eastAsia="zh-CN"/>
              </w:rPr>
              <w:t>1根/a</w:t>
            </w:r>
          </w:p>
        </w:tc>
        <w:tc>
          <w:tcPr>
            <w:tcW w:w="699" w:type="pct"/>
            <w:vAlign w:val="center"/>
          </w:tcPr>
          <w:p>
            <w:pPr>
              <w:widowControl/>
              <w:spacing w:line="240" w:lineRule="auto"/>
              <w:ind w:firstLine="0" w:firstLineChars="0"/>
              <w:jc w:val="center"/>
              <w:rPr>
                <w:rFonts w:hint="eastAsia" w:eastAsia="宋体" w:cs="Times New Roman"/>
                <w:color w:val="000000"/>
                <w:kern w:val="0"/>
                <w:sz w:val="21"/>
                <w:szCs w:val="21"/>
                <w:lang w:eastAsia="zh-CN"/>
              </w:rPr>
            </w:pPr>
            <w:r>
              <w:rPr>
                <w:rFonts w:hint="eastAsia" w:cs="Times New Roman"/>
                <w:color w:val="000000"/>
                <w:kern w:val="0"/>
                <w:sz w:val="21"/>
                <w:szCs w:val="21"/>
                <w:lang w:val="en-US" w:eastAsia="zh-CN"/>
              </w:rPr>
              <w:t>/</w:t>
            </w:r>
          </w:p>
        </w:tc>
        <w:tc>
          <w:tcPr>
            <w:tcW w:w="699" w:type="pct"/>
            <w:vAlign w:val="center"/>
          </w:tcPr>
          <w:p>
            <w:pPr>
              <w:widowControl/>
              <w:spacing w:line="240" w:lineRule="auto"/>
              <w:ind w:firstLine="0" w:firstLineChars="0"/>
              <w:jc w:val="center"/>
              <w:rPr>
                <w:rFonts w:hint="default" w:eastAsia="宋体" w:cs="Times New Roman"/>
                <w:color w:val="000000"/>
                <w:kern w:val="0"/>
                <w:sz w:val="21"/>
                <w:szCs w:val="21"/>
                <w:lang w:val="en-US" w:eastAsia="zh-CN"/>
              </w:rPr>
            </w:pPr>
            <w:r>
              <w:rPr>
                <w:rFonts w:cs="Times New Roman"/>
                <w:sz w:val="21"/>
                <w:szCs w:val="21"/>
              </w:rPr>
              <w:t>HW</w:t>
            </w:r>
            <w:r>
              <w:rPr>
                <w:rFonts w:hint="eastAsia" w:cs="Times New Roman"/>
                <w:sz w:val="21"/>
                <w:szCs w:val="21"/>
                <w:lang w:val="en-US" w:eastAsia="zh-CN"/>
              </w:rPr>
              <w:t>29</w:t>
            </w:r>
          </w:p>
        </w:tc>
        <w:tc>
          <w:tcPr>
            <w:tcW w:w="778" w:type="pct"/>
            <w:vAlign w:val="center"/>
          </w:tcPr>
          <w:p>
            <w:pPr>
              <w:widowControl/>
              <w:spacing w:line="240" w:lineRule="auto"/>
              <w:ind w:firstLine="0" w:firstLineChars="0"/>
              <w:jc w:val="center"/>
              <w:rPr>
                <w:rFonts w:hint="default" w:eastAsia="宋体" w:cs="Times New Roman"/>
                <w:color w:val="000000"/>
                <w:kern w:val="0"/>
                <w:sz w:val="21"/>
                <w:szCs w:val="21"/>
                <w:lang w:val="en-US" w:eastAsia="zh-CN"/>
              </w:rPr>
            </w:pPr>
            <w:r>
              <w:rPr>
                <w:rFonts w:hint="eastAsia" w:cs="Times New Roman"/>
                <w:sz w:val="21"/>
                <w:szCs w:val="21"/>
                <w:lang w:val="en-US" w:eastAsia="zh-CN"/>
              </w:rPr>
              <w:t>336</w:t>
            </w:r>
            <w:r>
              <w:rPr>
                <w:rFonts w:cs="Times New Roman"/>
                <w:sz w:val="21"/>
                <w:szCs w:val="21"/>
              </w:rPr>
              <w:t>-</w:t>
            </w:r>
            <w:r>
              <w:rPr>
                <w:rFonts w:hint="eastAsia" w:cs="Times New Roman"/>
                <w:sz w:val="21"/>
                <w:szCs w:val="21"/>
                <w:lang w:val="en-US" w:eastAsia="zh-CN"/>
              </w:rPr>
              <w:t>064</w:t>
            </w:r>
            <w:r>
              <w:rPr>
                <w:rFonts w:cs="Times New Roman"/>
                <w:sz w:val="21"/>
                <w:szCs w:val="21"/>
              </w:rPr>
              <w:t>-</w:t>
            </w:r>
            <w:r>
              <w:rPr>
                <w:rFonts w:hint="eastAsia" w:cs="Times New Roman"/>
                <w:sz w:val="21"/>
                <w:szCs w:val="21"/>
                <w:lang w:val="en-US" w:eastAsia="zh-CN"/>
              </w:rPr>
              <w:t>17</w:t>
            </w:r>
          </w:p>
        </w:tc>
        <w:tc>
          <w:tcPr>
            <w:tcW w:w="727" w:type="pct"/>
            <w:vMerge w:val="restart"/>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暂存后</w:t>
            </w:r>
            <w:r>
              <w:rPr>
                <w:rFonts w:cs="Times New Roman"/>
                <w:color w:val="000000"/>
                <w:kern w:val="0"/>
                <w:sz w:val="21"/>
                <w:szCs w:val="21"/>
              </w:rPr>
              <w:t>委托有资质的单位处置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94"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废化验试剂</w:t>
            </w:r>
          </w:p>
        </w:tc>
        <w:tc>
          <w:tcPr>
            <w:tcW w:w="545"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液态</w:t>
            </w:r>
          </w:p>
        </w:tc>
        <w:tc>
          <w:tcPr>
            <w:tcW w:w="855" w:type="pct"/>
            <w:vAlign w:val="center"/>
          </w:tcPr>
          <w:p>
            <w:pPr>
              <w:widowControl/>
              <w:spacing w:line="240" w:lineRule="auto"/>
              <w:ind w:firstLine="0" w:firstLineChars="0"/>
              <w:jc w:val="center"/>
              <w:rPr>
                <w:rFonts w:hint="default" w:eastAsia="宋体" w:cs="Times New Roman"/>
                <w:color w:val="000000"/>
                <w:kern w:val="0"/>
                <w:sz w:val="21"/>
                <w:szCs w:val="21"/>
                <w:lang w:val="en-US" w:eastAsia="zh-CN"/>
              </w:rPr>
            </w:pPr>
            <w:r>
              <w:rPr>
                <w:rFonts w:hint="eastAsia" w:cs="Times New Roman"/>
                <w:color w:val="000000"/>
                <w:kern w:val="0"/>
                <w:sz w:val="21"/>
                <w:szCs w:val="21"/>
                <w:lang w:val="en-US" w:eastAsia="zh-CN"/>
              </w:rPr>
              <w:t>3kg/a</w:t>
            </w:r>
          </w:p>
        </w:tc>
        <w:tc>
          <w:tcPr>
            <w:tcW w:w="699" w:type="pct"/>
            <w:vAlign w:val="center"/>
          </w:tcPr>
          <w:p>
            <w:pPr>
              <w:widowControl/>
              <w:spacing w:line="240" w:lineRule="auto"/>
              <w:ind w:firstLine="0" w:firstLineChars="0"/>
              <w:jc w:val="center"/>
              <w:rPr>
                <w:rFonts w:hint="default" w:eastAsia="宋体" w:cs="Times New Roman"/>
                <w:color w:val="000000"/>
                <w:kern w:val="0"/>
                <w:sz w:val="21"/>
                <w:szCs w:val="21"/>
                <w:lang w:val="en-US" w:eastAsia="zh-CN"/>
              </w:rPr>
            </w:pPr>
            <w:r>
              <w:rPr>
                <w:rFonts w:hint="eastAsia" w:cs="Times New Roman"/>
                <w:color w:val="000000"/>
                <w:kern w:val="0"/>
                <w:sz w:val="21"/>
                <w:szCs w:val="21"/>
                <w:lang w:val="en-US" w:eastAsia="zh-CN"/>
              </w:rPr>
              <w:t>瓶</w:t>
            </w:r>
          </w:p>
        </w:tc>
        <w:tc>
          <w:tcPr>
            <w:tcW w:w="699" w:type="pct"/>
            <w:vAlign w:val="center"/>
          </w:tcPr>
          <w:p>
            <w:pPr>
              <w:widowControl/>
              <w:spacing w:line="240" w:lineRule="auto"/>
              <w:ind w:firstLine="0" w:firstLineChars="0"/>
              <w:jc w:val="center"/>
              <w:rPr>
                <w:rFonts w:hint="default" w:eastAsia="宋体" w:cs="Times New Roman"/>
                <w:color w:val="000000"/>
                <w:kern w:val="0"/>
                <w:sz w:val="21"/>
                <w:szCs w:val="21"/>
                <w:lang w:val="en-US" w:eastAsia="zh-CN"/>
              </w:rPr>
            </w:pPr>
            <w:r>
              <w:rPr>
                <w:rFonts w:cs="Times New Roman"/>
                <w:sz w:val="21"/>
                <w:szCs w:val="21"/>
              </w:rPr>
              <w:t>HW</w:t>
            </w:r>
            <w:r>
              <w:rPr>
                <w:rFonts w:hint="eastAsia" w:cs="Times New Roman"/>
                <w:sz w:val="21"/>
                <w:szCs w:val="21"/>
                <w:lang w:val="en-US" w:eastAsia="zh-CN"/>
              </w:rPr>
              <w:t>49</w:t>
            </w:r>
          </w:p>
        </w:tc>
        <w:tc>
          <w:tcPr>
            <w:tcW w:w="778" w:type="pct"/>
            <w:vAlign w:val="center"/>
          </w:tcPr>
          <w:p>
            <w:pPr>
              <w:widowControl/>
              <w:spacing w:line="240" w:lineRule="auto"/>
              <w:ind w:firstLine="0" w:firstLineChars="0"/>
              <w:jc w:val="center"/>
              <w:rPr>
                <w:rFonts w:cs="Times New Roman"/>
                <w:color w:val="000000"/>
                <w:kern w:val="0"/>
                <w:sz w:val="21"/>
                <w:szCs w:val="21"/>
              </w:rPr>
            </w:pPr>
            <w:r>
              <w:rPr>
                <w:rFonts w:hint="eastAsia" w:cs="Times New Roman"/>
                <w:sz w:val="21"/>
                <w:szCs w:val="21"/>
                <w:lang w:val="en-US" w:eastAsia="zh-CN"/>
              </w:rPr>
              <w:t>336</w:t>
            </w:r>
            <w:r>
              <w:rPr>
                <w:rFonts w:cs="Times New Roman"/>
                <w:sz w:val="21"/>
                <w:szCs w:val="21"/>
              </w:rPr>
              <w:t>-</w:t>
            </w:r>
            <w:r>
              <w:rPr>
                <w:rFonts w:hint="eastAsia" w:cs="Times New Roman"/>
                <w:sz w:val="21"/>
                <w:szCs w:val="21"/>
                <w:lang w:val="en-US" w:eastAsia="zh-CN"/>
              </w:rPr>
              <w:t>064</w:t>
            </w:r>
            <w:r>
              <w:rPr>
                <w:rFonts w:cs="Times New Roman"/>
                <w:sz w:val="21"/>
                <w:szCs w:val="21"/>
              </w:rPr>
              <w:t>-</w:t>
            </w:r>
            <w:r>
              <w:rPr>
                <w:rFonts w:hint="eastAsia" w:cs="Times New Roman"/>
                <w:sz w:val="21"/>
                <w:szCs w:val="21"/>
                <w:lang w:val="en-US" w:eastAsia="zh-CN"/>
              </w:rPr>
              <w:t>17</w:t>
            </w:r>
          </w:p>
        </w:tc>
        <w:tc>
          <w:tcPr>
            <w:tcW w:w="727" w:type="pct"/>
            <w:vMerge w:val="continue"/>
            <w:vAlign w:val="center"/>
          </w:tcPr>
          <w:p>
            <w:pPr>
              <w:widowControl/>
              <w:spacing w:line="240" w:lineRule="auto"/>
              <w:ind w:firstLine="0" w:firstLineChars="0"/>
              <w:jc w:val="center"/>
              <w:rPr>
                <w:rFonts w:cs="Times New Roman"/>
                <w:color w:val="00000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94" w:type="pct"/>
            <w:vAlign w:val="center"/>
          </w:tcPr>
          <w:p>
            <w:pPr>
              <w:widowControl/>
              <w:spacing w:line="240" w:lineRule="auto"/>
              <w:ind w:firstLine="0" w:firstLineChars="0"/>
              <w:jc w:val="center"/>
              <w:rPr>
                <w:rFonts w:hint="eastAsia" w:cs="Times New Roman"/>
                <w:color w:val="000000"/>
                <w:kern w:val="0"/>
                <w:sz w:val="21"/>
                <w:szCs w:val="21"/>
                <w:lang w:val="en-US" w:eastAsia="zh-CN"/>
              </w:rPr>
            </w:pPr>
            <w:r>
              <w:rPr>
                <w:rFonts w:cs="Times New Roman"/>
                <w:color w:val="000000"/>
                <w:kern w:val="0"/>
                <w:sz w:val="21"/>
                <w:szCs w:val="21"/>
              </w:rPr>
              <w:t>废试剂瓶</w:t>
            </w:r>
          </w:p>
        </w:tc>
        <w:tc>
          <w:tcPr>
            <w:tcW w:w="545" w:type="pct"/>
            <w:vAlign w:val="center"/>
          </w:tcPr>
          <w:p>
            <w:pPr>
              <w:widowControl/>
              <w:spacing w:line="240" w:lineRule="auto"/>
              <w:ind w:firstLine="0" w:firstLineChars="0"/>
              <w:jc w:val="center"/>
              <w:rPr>
                <w:rFonts w:ascii="Times New Roman" w:hAnsi="Times New Roman" w:eastAsia="宋体" w:cs="Times New Roman"/>
                <w:color w:val="000000"/>
                <w:kern w:val="0"/>
                <w:sz w:val="21"/>
                <w:szCs w:val="21"/>
                <w:lang w:val="en-US" w:eastAsia="zh-CN" w:bidi="ar-SA"/>
              </w:rPr>
            </w:pPr>
            <w:r>
              <w:rPr>
                <w:rFonts w:cs="Times New Roman"/>
                <w:color w:val="000000"/>
                <w:kern w:val="0"/>
                <w:sz w:val="21"/>
                <w:szCs w:val="21"/>
              </w:rPr>
              <w:t>固态</w:t>
            </w:r>
          </w:p>
        </w:tc>
        <w:tc>
          <w:tcPr>
            <w:tcW w:w="855" w:type="pct"/>
            <w:vAlign w:val="center"/>
          </w:tcPr>
          <w:p>
            <w:pPr>
              <w:widowControl/>
              <w:spacing w:line="240" w:lineRule="auto"/>
              <w:ind w:firstLine="0" w:firstLineChars="0"/>
              <w:jc w:val="center"/>
              <w:rPr>
                <w:rFonts w:hint="eastAsia" w:ascii="Times New Roman" w:hAnsi="Times New Roman" w:eastAsia="宋体" w:cs="Times New Roman"/>
                <w:color w:val="000000"/>
                <w:kern w:val="0"/>
                <w:sz w:val="21"/>
                <w:szCs w:val="21"/>
                <w:lang w:val="en-US" w:eastAsia="zh-CN" w:bidi="ar-SA"/>
              </w:rPr>
            </w:pPr>
            <w:r>
              <w:rPr>
                <w:rFonts w:hint="eastAsia" w:cs="Times New Roman"/>
                <w:color w:val="000000"/>
                <w:kern w:val="0"/>
                <w:sz w:val="21"/>
                <w:szCs w:val="21"/>
                <w:lang w:val="en-US" w:eastAsia="zh-CN"/>
              </w:rPr>
              <w:t>4kg/a</w:t>
            </w:r>
          </w:p>
        </w:tc>
        <w:tc>
          <w:tcPr>
            <w:tcW w:w="699" w:type="pct"/>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lang w:val="en-US" w:eastAsia="zh-CN" w:bidi="ar-SA"/>
              </w:rPr>
            </w:pPr>
            <w:r>
              <w:rPr>
                <w:rFonts w:hint="eastAsia" w:cs="Times New Roman"/>
                <w:color w:val="000000"/>
                <w:kern w:val="0"/>
                <w:sz w:val="21"/>
                <w:szCs w:val="21"/>
                <w:lang w:val="en-US" w:eastAsia="zh-CN" w:bidi="ar-SA"/>
              </w:rPr>
              <w:t>/</w:t>
            </w:r>
          </w:p>
        </w:tc>
        <w:tc>
          <w:tcPr>
            <w:tcW w:w="699" w:type="pct"/>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lang w:val="en-US" w:eastAsia="zh-CN" w:bidi="ar-SA"/>
              </w:rPr>
            </w:pPr>
            <w:r>
              <w:rPr>
                <w:rFonts w:cs="Times New Roman"/>
                <w:sz w:val="21"/>
                <w:szCs w:val="21"/>
              </w:rPr>
              <w:t>HW</w:t>
            </w:r>
            <w:r>
              <w:rPr>
                <w:rFonts w:hint="eastAsia" w:cs="Times New Roman"/>
                <w:sz w:val="21"/>
                <w:szCs w:val="21"/>
                <w:lang w:val="en-US" w:eastAsia="zh-CN"/>
              </w:rPr>
              <w:t>49</w:t>
            </w:r>
          </w:p>
        </w:tc>
        <w:tc>
          <w:tcPr>
            <w:tcW w:w="778" w:type="pct"/>
            <w:vAlign w:val="center"/>
          </w:tcPr>
          <w:p>
            <w:pPr>
              <w:widowControl/>
              <w:spacing w:line="240" w:lineRule="auto"/>
              <w:ind w:firstLine="0" w:firstLineChars="0"/>
              <w:jc w:val="center"/>
              <w:rPr>
                <w:rFonts w:ascii="Times New Roman" w:hAnsi="Times New Roman" w:eastAsia="宋体" w:cs="Times New Roman"/>
                <w:color w:val="000000"/>
                <w:kern w:val="0"/>
                <w:sz w:val="21"/>
                <w:szCs w:val="21"/>
                <w:lang w:val="en-US" w:eastAsia="zh-CN" w:bidi="ar-SA"/>
              </w:rPr>
            </w:pPr>
            <w:r>
              <w:rPr>
                <w:rFonts w:hint="eastAsia" w:cs="Times New Roman"/>
                <w:sz w:val="21"/>
                <w:szCs w:val="21"/>
                <w:lang w:val="en-US" w:eastAsia="zh-CN"/>
              </w:rPr>
              <w:t>336</w:t>
            </w:r>
            <w:r>
              <w:rPr>
                <w:rFonts w:cs="Times New Roman"/>
                <w:sz w:val="21"/>
                <w:szCs w:val="21"/>
              </w:rPr>
              <w:t>-</w:t>
            </w:r>
            <w:r>
              <w:rPr>
                <w:rFonts w:hint="eastAsia" w:cs="Times New Roman"/>
                <w:sz w:val="21"/>
                <w:szCs w:val="21"/>
                <w:lang w:val="en-US" w:eastAsia="zh-CN"/>
              </w:rPr>
              <w:t>064</w:t>
            </w:r>
            <w:r>
              <w:rPr>
                <w:rFonts w:cs="Times New Roman"/>
                <w:sz w:val="21"/>
                <w:szCs w:val="21"/>
              </w:rPr>
              <w:t>-</w:t>
            </w:r>
            <w:r>
              <w:rPr>
                <w:rFonts w:hint="eastAsia" w:cs="Times New Roman"/>
                <w:sz w:val="21"/>
                <w:szCs w:val="21"/>
                <w:lang w:val="en-US" w:eastAsia="zh-CN"/>
              </w:rPr>
              <w:t>17</w:t>
            </w:r>
          </w:p>
        </w:tc>
        <w:tc>
          <w:tcPr>
            <w:tcW w:w="727" w:type="pct"/>
            <w:vMerge w:val="continue"/>
            <w:vAlign w:val="center"/>
          </w:tcPr>
          <w:p>
            <w:pPr>
              <w:widowControl/>
              <w:spacing w:line="240" w:lineRule="auto"/>
              <w:ind w:firstLine="0" w:firstLineChars="0"/>
              <w:jc w:val="center"/>
              <w:rPr>
                <w:rFonts w:cs="Times New Roman"/>
                <w:color w:val="000000"/>
                <w:kern w:val="0"/>
                <w:sz w:val="21"/>
                <w:szCs w:val="21"/>
              </w:rPr>
            </w:pPr>
          </w:p>
        </w:tc>
      </w:tr>
    </w:tbl>
    <w:p>
      <w:pPr>
        <w:pStyle w:val="5"/>
      </w:pPr>
      <w:bookmarkStart w:id="23" w:name="_Toc27191"/>
      <w:r>
        <w:rPr>
          <w:rFonts w:hint="eastAsia"/>
        </w:rPr>
        <w:t>生产工艺与环境风险控制水平</w:t>
      </w:r>
      <w:bookmarkEnd w:id="23"/>
    </w:p>
    <w:p>
      <w:pPr>
        <w:pStyle w:val="6"/>
      </w:pPr>
      <w:r>
        <w:rPr>
          <w:rFonts w:hint="eastAsia"/>
        </w:rPr>
        <w:t>生产工艺分析</w:t>
      </w:r>
    </w:p>
    <w:p>
      <w:pPr>
        <w:ind w:firstLine="560"/>
      </w:pPr>
      <w:r>
        <w:rPr>
          <w:rFonts w:hint="eastAsia"/>
        </w:rPr>
        <w:t>根据《企业突发环境事件风险分级办法》（HJ</w:t>
      </w:r>
      <w:r>
        <w:t xml:space="preserve"> </w:t>
      </w:r>
      <w:r>
        <w:rPr>
          <w:rFonts w:hint="eastAsia"/>
        </w:rPr>
        <w:t>941-2018）中表1，企业生产工艺过程评估依据及得分为</w:t>
      </w:r>
      <w:r>
        <w:rPr>
          <w:rFonts w:hint="eastAsia"/>
          <w:lang w:val="en-US" w:eastAsia="zh-CN"/>
        </w:rPr>
        <w:t>0</w:t>
      </w:r>
      <w:r>
        <w:rPr>
          <w:rFonts w:hint="eastAsia"/>
        </w:rPr>
        <w:t>。</w:t>
      </w:r>
    </w:p>
    <w:p>
      <w:pPr>
        <w:pStyle w:val="6"/>
      </w:pPr>
      <w:r>
        <w:rPr>
          <w:rFonts w:hint="eastAsia"/>
        </w:rPr>
        <w:t>环境风险控制水平</w:t>
      </w:r>
    </w:p>
    <w:p>
      <w:pPr>
        <w:ind w:firstLine="560"/>
      </w:pPr>
      <w:r>
        <w:rPr>
          <w:rFonts w:hint="eastAsia"/>
        </w:rPr>
        <w:t>1、本公司生产经营过程中不涉及《企业突发环境事件风险分级办法》（HJ 941-2018）附录A中有毒有害气体；</w:t>
      </w:r>
    </w:p>
    <w:p>
      <w:pPr>
        <w:ind w:firstLine="560"/>
      </w:pPr>
      <w:r>
        <w:rPr>
          <w:rFonts w:hint="eastAsia"/>
        </w:rPr>
        <w:t>2、公司主道路、生产车间和存储区等重点及关键部位安装了摄像头监控。</w:t>
      </w:r>
    </w:p>
    <w:p>
      <w:pPr>
        <w:ind w:firstLine="560"/>
      </w:pPr>
      <w:r>
        <w:rPr>
          <w:rFonts w:hint="eastAsia"/>
        </w:rPr>
        <w:t>3、本公司环评报告</w:t>
      </w:r>
      <w:r>
        <w:rPr>
          <w:rFonts w:hint="eastAsia"/>
          <w:lang w:eastAsia="zh-CN"/>
        </w:rPr>
        <w:t>中及</w:t>
      </w:r>
      <w:r>
        <w:rPr>
          <w:rFonts w:hint="eastAsia"/>
        </w:rPr>
        <w:t>环评批复对</w:t>
      </w:r>
      <w:r>
        <w:rPr>
          <w:rFonts w:hint="eastAsia"/>
          <w:lang w:eastAsia="zh-CN"/>
        </w:rPr>
        <w:t>卫生</w:t>
      </w:r>
      <w:r>
        <w:rPr>
          <w:rFonts w:hint="eastAsia"/>
        </w:rPr>
        <w:t>防护距离未做要求，公司边界外</w:t>
      </w:r>
      <w:r>
        <w:rPr>
          <w:rFonts w:hint="eastAsia"/>
          <w:lang w:val="en-US" w:eastAsia="zh-CN"/>
        </w:rPr>
        <w:t>2</w:t>
      </w:r>
      <w:r>
        <w:rPr>
          <w:rFonts w:hint="eastAsia"/>
        </w:rPr>
        <w:t>0米范围内无敏感点。</w:t>
      </w:r>
    </w:p>
    <w:p>
      <w:pPr>
        <w:ind w:firstLine="560"/>
      </w:pPr>
      <w:r>
        <w:rPr>
          <w:rFonts w:hint="eastAsia"/>
        </w:rPr>
        <w:t>4、本公司近3年内未发生过突发大气环境事件。如若发生突发大气环境事件，立即启动公司应急预案，指挥中心做好事件报警、通报及处置工作。向周边企业、村落提供本单位有关危险物质特性、应急救援、救援知识等；根据现场情况判断是否需要人员紧急疏散和抢救物资，如需紧急疏散须及时规定疏散路线和疏散路口，并及时协助厂内员工和周围人员及居民的紧急疏散工作。</w:t>
      </w:r>
    </w:p>
    <w:p>
      <w:pPr>
        <w:ind w:firstLine="560"/>
      </w:pPr>
      <w:r>
        <w:rPr>
          <w:rFonts w:hint="eastAsia"/>
        </w:rPr>
        <w:t>5、本公司实际生产过程中，原材料为</w:t>
      </w:r>
      <w:r>
        <w:rPr>
          <w:rFonts w:hint="eastAsia"/>
          <w:lang w:eastAsia="zh-CN"/>
        </w:rPr>
        <w:t>赣江原水，不需要存放</w:t>
      </w:r>
      <w:r>
        <w:rPr>
          <w:rFonts w:hint="eastAsia"/>
        </w:rPr>
        <w:t>。辅料为液体（</w:t>
      </w:r>
      <w:r>
        <w:rPr>
          <w:rFonts w:hint="eastAsia"/>
          <w:lang w:eastAsia="zh-CN"/>
        </w:rPr>
        <w:t>次氯酸钠溶液</w:t>
      </w:r>
      <w:r>
        <w:rPr>
          <w:rFonts w:hint="eastAsia"/>
        </w:rPr>
        <w:t>），存放在</w:t>
      </w:r>
      <w:r>
        <w:rPr>
          <w:rFonts w:hint="eastAsia"/>
          <w:lang w:eastAsia="zh-CN"/>
        </w:rPr>
        <w:t>次氯酸钠间；辅料为固体（聚合氯化铝），存放在净化系统；辅料为固体（</w:t>
      </w:r>
      <w:r>
        <w:rPr>
          <w:rFonts w:hint="eastAsia"/>
          <w:lang w:val="en-US" w:eastAsia="zh-CN"/>
        </w:rPr>
        <w:t>PAM</w:t>
      </w:r>
      <w:r>
        <w:rPr>
          <w:rFonts w:hint="eastAsia"/>
          <w:lang w:eastAsia="zh-CN"/>
        </w:rPr>
        <w:t>），存放在脱水车间</w:t>
      </w:r>
      <w:r>
        <w:rPr>
          <w:rFonts w:hint="eastAsia"/>
        </w:rPr>
        <w:t>。辅材料均储存于车间及仓库内，地面均为水泥硬化地面，具有一定的防渗作用。</w:t>
      </w:r>
    </w:p>
    <w:p>
      <w:pPr>
        <w:ind w:firstLine="560"/>
        <w:rPr>
          <w:rFonts w:hint="eastAsia" w:eastAsia="宋体"/>
          <w:lang w:eastAsia="zh-CN"/>
        </w:rPr>
      </w:pPr>
      <w:r>
        <w:rPr>
          <w:rFonts w:hint="eastAsia"/>
        </w:rPr>
        <w:t>6、本公司在</w:t>
      </w:r>
      <w:r>
        <w:rPr>
          <w:rFonts w:hint="eastAsia"/>
          <w:lang w:eastAsia="zh-CN"/>
        </w:rPr>
        <w:t>次氯酸钠卸料口</w:t>
      </w:r>
      <w:r>
        <w:rPr>
          <w:rFonts w:hint="eastAsia"/>
        </w:rPr>
        <w:t>处安装有管道连接到事故池，能有效地将</w:t>
      </w:r>
      <w:r>
        <w:rPr>
          <w:rFonts w:hint="eastAsia"/>
          <w:lang w:eastAsia="zh-CN"/>
        </w:rPr>
        <w:t>卸料时泄漏</w:t>
      </w:r>
      <w:r>
        <w:rPr>
          <w:rFonts w:hint="eastAsia"/>
        </w:rPr>
        <w:t>的</w:t>
      </w:r>
      <w:r>
        <w:rPr>
          <w:rFonts w:hint="eastAsia"/>
          <w:lang w:eastAsia="zh-CN"/>
        </w:rPr>
        <w:t>物料</w:t>
      </w:r>
      <w:r>
        <w:rPr>
          <w:rFonts w:hint="eastAsia"/>
        </w:rPr>
        <w:t>充分回收到事故池内</w:t>
      </w:r>
      <w:r>
        <w:rPr>
          <w:rFonts w:hint="eastAsia"/>
          <w:lang w:eastAsia="zh-CN"/>
        </w:rPr>
        <w:t>。</w:t>
      </w:r>
    </w:p>
    <w:p>
      <w:pPr>
        <w:ind w:firstLine="560"/>
      </w:pPr>
      <w:r>
        <w:rPr>
          <w:rFonts w:hint="eastAsia"/>
          <w:lang w:val="en-US" w:eastAsia="zh-CN"/>
        </w:rPr>
        <w:t>7</w:t>
      </w:r>
      <w:r>
        <w:rPr>
          <w:rFonts w:hint="eastAsia"/>
        </w:rPr>
        <w:t>、厂区排水系统采用雨污分流制，雨水采用重力流，经管网收集后就近排</w:t>
      </w:r>
      <w:r>
        <w:rPr>
          <w:rFonts w:hint="eastAsia"/>
          <w:lang w:eastAsia="zh-CN"/>
        </w:rPr>
        <w:t>入赣江</w:t>
      </w:r>
      <w:r>
        <w:rPr>
          <w:rFonts w:hint="eastAsia"/>
        </w:rPr>
        <w:t>。</w:t>
      </w:r>
    </w:p>
    <w:p>
      <w:pPr>
        <w:ind w:firstLine="560"/>
      </w:pPr>
      <w:r>
        <w:rPr>
          <w:rFonts w:hint="eastAsia"/>
          <w:lang w:val="en-US" w:eastAsia="zh-CN"/>
        </w:rPr>
        <w:t>8</w:t>
      </w:r>
      <w:r>
        <w:rPr>
          <w:rFonts w:hint="eastAsia"/>
        </w:rPr>
        <w:t>、本公司沉淀池排泥水和滤池的反冲洗废水直排入赣江</w:t>
      </w:r>
      <w:r>
        <w:rPr>
          <w:rFonts w:hint="eastAsia"/>
          <w:lang w:eastAsia="zh-CN"/>
        </w:rPr>
        <w:t>，</w:t>
      </w:r>
      <w:r>
        <w:rPr>
          <w:rFonts w:hint="eastAsia"/>
        </w:rPr>
        <w:t>生活污水</w:t>
      </w:r>
      <w:r>
        <w:rPr>
          <w:rFonts w:hint="eastAsia"/>
          <w:lang w:eastAsia="zh-CN"/>
        </w:rPr>
        <w:t>、化验室检测仪器的清洗废水</w:t>
      </w:r>
      <w:r>
        <w:rPr>
          <w:rFonts w:hint="eastAsia"/>
        </w:rPr>
        <w:t>直排入市政污水管网排到经开区白水湖污水处理厂处理达标后，尾水排入赣江。</w:t>
      </w:r>
    </w:p>
    <w:p>
      <w:pPr>
        <w:ind w:firstLine="560"/>
      </w:pPr>
      <w:r>
        <w:rPr>
          <w:rFonts w:hint="eastAsia"/>
          <w:lang w:val="en-US" w:eastAsia="zh-CN"/>
        </w:rPr>
        <w:t>9</w:t>
      </w:r>
      <w:r>
        <w:rPr>
          <w:rFonts w:hint="eastAsia"/>
        </w:rPr>
        <w:t>、本公司产生的危险废物包括：废紫外灯管</w:t>
      </w:r>
      <w:r>
        <w:rPr>
          <w:rFonts w:hint="eastAsia"/>
          <w:lang w:eastAsia="zh-CN"/>
        </w:rPr>
        <w:t>、</w:t>
      </w:r>
      <w:r>
        <w:rPr>
          <w:rFonts w:hint="eastAsia"/>
        </w:rPr>
        <w:t>废化验试剂、废试剂瓶。厂区</w:t>
      </w:r>
      <w:r>
        <w:rPr>
          <w:rFonts w:hint="eastAsia"/>
          <w:lang w:eastAsia="zh-CN"/>
        </w:rPr>
        <w:t>在化验室</w:t>
      </w:r>
      <w:r>
        <w:rPr>
          <w:rFonts w:hint="eastAsia"/>
        </w:rPr>
        <w:t>设置了危废暂存</w:t>
      </w:r>
      <w:r>
        <w:rPr>
          <w:rFonts w:hint="eastAsia"/>
          <w:lang w:eastAsia="zh-CN"/>
        </w:rPr>
        <w:t>间</w:t>
      </w:r>
      <w:r>
        <w:rPr>
          <w:rFonts w:hint="eastAsia"/>
        </w:rPr>
        <w:t>并做了地面防渗，完全封闭做到“三防”（防风、防雨、防晒），危废暂存</w:t>
      </w:r>
      <w:r>
        <w:rPr>
          <w:rFonts w:hint="eastAsia"/>
          <w:lang w:eastAsia="zh-CN"/>
        </w:rPr>
        <w:t>间</w:t>
      </w:r>
      <w:r>
        <w:rPr>
          <w:rFonts w:hint="eastAsia"/>
        </w:rPr>
        <w:t>外面墙上已做标识。并按照国家有关规定制定危险废物管理计划，并向当地环保主管部门申报危险废物种类、产生量、流向、暂存及处置措施等相关资料。</w:t>
      </w:r>
      <w:r>
        <w:rPr>
          <w:rFonts w:hint="eastAsia"/>
          <w:lang w:eastAsia="zh-CN"/>
        </w:rPr>
        <w:t>由于危废年产生量很小，目前危险废物储存在危废暂存间内，未做</w:t>
      </w:r>
      <w:r>
        <w:rPr>
          <w:rFonts w:hint="eastAsia"/>
        </w:rPr>
        <w:t>处置。</w:t>
      </w:r>
      <w:r>
        <w:rPr>
          <w:rFonts w:hint="eastAsia"/>
          <w:lang w:eastAsia="zh-CN"/>
        </w:rPr>
        <w:t>存储一定量后委托</w:t>
      </w:r>
      <w:r>
        <w:rPr>
          <w:rFonts w:hint="eastAsia"/>
        </w:rPr>
        <w:t>有资质的单位</w:t>
      </w:r>
      <w:r>
        <w:rPr>
          <w:rFonts w:hint="eastAsia"/>
          <w:lang w:eastAsia="zh-CN"/>
        </w:rPr>
        <w:t>进行</w:t>
      </w:r>
      <w:r>
        <w:rPr>
          <w:rFonts w:hint="eastAsia"/>
        </w:rPr>
        <w:t>处置</w:t>
      </w:r>
      <w:r>
        <w:rPr>
          <w:rFonts w:hint="eastAsia"/>
          <w:lang w:eastAsia="zh-CN"/>
        </w:rPr>
        <w:t>，并按要求办理转移联单</w:t>
      </w:r>
      <w:r>
        <w:rPr>
          <w:rFonts w:hint="eastAsia"/>
        </w:rPr>
        <w:t>。</w:t>
      </w:r>
    </w:p>
    <w:p>
      <w:pPr>
        <w:ind w:firstLine="560"/>
      </w:pPr>
      <w:r>
        <w:rPr>
          <w:rFonts w:hint="eastAsia"/>
        </w:rPr>
        <w:t>对照《企业突发环境事件风险分级方法》（HJ 941-2018）中表2，对企业大气环境风险防控措施及突发大气环境事件发生情况进行评估。对各项评估指标分别平分，计算总和，评估结果为0。对照《企业突发环境事件风险分级方法》（HJ 941-2018）中表6，对企业水环境风险防控措施及突发水环境事件发生情况进行评估。对各项评估指标分别平分，计算总和，评估结果为</w:t>
      </w:r>
      <w:r>
        <w:rPr>
          <w:rFonts w:hint="eastAsia"/>
          <w:lang w:val="en-US" w:eastAsia="zh-CN"/>
        </w:rPr>
        <w:t>20</w:t>
      </w:r>
      <w:r>
        <w:rPr>
          <w:rFonts w:hint="eastAsia"/>
        </w:rPr>
        <w:t>。</w:t>
      </w:r>
    </w:p>
    <w:p>
      <w:pPr>
        <w:pStyle w:val="5"/>
      </w:pPr>
      <w:bookmarkStart w:id="24" w:name="_Toc28825"/>
      <w:r>
        <w:rPr>
          <w:rFonts w:hint="eastAsia"/>
        </w:rPr>
        <w:t>环境风险受体</w:t>
      </w:r>
      <w:bookmarkEnd w:id="24"/>
    </w:p>
    <w:p>
      <w:pPr>
        <w:ind w:firstLine="560"/>
      </w:pPr>
      <w:r>
        <w:rPr>
          <w:rFonts w:hint="eastAsia"/>
        </w:rPr>
        <w:t>企业周边500米范围内居住区、医疗卫生机构、文化教育机构、科研单位、行政机关、企事业单位、公园等，人口总数</w:t>
      </w:r>
      <w:r>
        <w:rPr>
          <w:rFonts w:hint="eastAsia"/>
          <w:lang w:val="en-US" w:eastAsia="zh-CN"/>
        </w:rPr>
        <w:t>1000</w:t>
      </w:r>
      <w:r>
        <w:rPr>
          <w:rFonts w:hint="eastAsia"/>
        </w:rPr>
        <w:t>人以</w:t>
      </w:r>
      <w:r>
        <w:rPr>
          <w:rFonts w:hint="eastAsia"/>
          <w:lang w:eastAsia="zh-CN"/>
        </w:rPr>
        <w:t>上</w:t>
      </w:r>
      <w:r>
        <w:rPr>
          <w:rFonts w:hint="eastAsia"/>
        </w:rPr>
        <w:t>，参照《企业突发环境事件风险分级方法》表</w:t>
      </w:r>
      <w:r>
        <w:t>4</w:t>
      </w:r>
      <w:r>
        <w:rPr>
          <w:rFonts w:hint="eastAsia"/>
        </w:rPr>
        <w:t>（即</w:t>
      </w:r>
      <w:r>
        <w:fldChar w:fldCharType="begin"/>
      </w:r>
      <w:r>
        <w:instrText xml:space="preserve"> </w:instrText>
      </w:r>
      <w:r>
        <w:rPr>
          <w:rFonts w:hint="eastAsia"/>
        </w:rPr>
        <w:instrText xml:space="preserve">REF _Ref526621239 \h</w:instrText>
      </w:r>
      <w:r>
        <w:instrText xml:space="preserve"> </w:instrText>
      </w:r>
      <w:r>
        <w:fldChar w:fldCharType="separate"/>
      </w:r>
      <w:r>
        <w:rPr>
          <w:rFonts w:hint="eastAsia"/>
        </w:rPr>
        <w:t xml:space="preserve">表 </w:t>
      </w:r>
      <w:r>
        <w:t>3</w:t>
      </w:r>
      <w:r>
        <w:noBreakHyphen/>
      </w:r>
      <w:r>
        <w:t>5</w:t>
      </w:r>
      <w:r>
        <w:fldChar w:fldCharType="end"/>
      </w:r>
      <w:r>
        <w:rPr>
          <w:rFonts w:hint="eastAsia"/>
        </w:rPr>
        <w:t>），大气环境风险受体敏感程度类型划分，本公司大气环境风险受体为E</w:t>
      </w:r>
      <w:r>
        <w:rPr>
          <w:rFonts w:hint="eastAsia"/>
          <w:lang w:val="en-US" w:eastAsia="zh-CN"/>
        </w:rPr>
        <w:t>1</w:t>
      </w:r>
      <w:r>
        <w:rPr>
          <w:rFonts w:hint="eastAsia"/>
        </w:rPr>
        <w:t>型。</w:t>
      </w:r>
    </w:p>
    <w:p>
      <w:pPr>
        <w:ind w:firstLine="560"/>
      </w:pPr>
      <w:r>
        <w:rPr>
          <w:rFonts w:hint="eastAsia"/>
        </w:rPr>
        <w:t>经调查雨水、污水排口下游10公里范围内不涉及《企业突发环境事件风险分级方法》表7中类型1和类型2的情况，属于类型E3。</w:t>
      </w:r>
    </w:p>
    <w:p>
      <w:pPr>
        <w:pStyle w:val="5"/>
      </w:pPr>
      <w:bookmarkStart w:id="25" w:name="_Toc24120"/>
      <w:r>
        <w:rPr>
          <w:rFonts w:hint="eastAsia"/>
        </w:rPr>
        <w:t>环境风险等级</w:t>
      </w:r>
      <w:bookmarkEnd w:id="25"/>
    </w:p>
    <w:p>
      <w:pPr>
        <w:ind w:firstLine="560"/>
      </w:pPr>
      <w:r>
        <w:rPr>
          <w:rFonts w:hint="eastAsia"/>
        </w:rPr>
        <w:t>根据环境风险评估结果，</w:t>
      </w:r>
      <w:r>
        <w:rPr>
          <w:rFonts w:hint="eastAsia"/>
          <w:lang w:eastAsia="zh-CN"/>
        </w:rPr>
        <w:t>南昌双港供水有限公司</w:t>
      </w:r>
      <w:r>
        <w:rPr>
          <w:rFonts w:hint="eastAsia"/>
        </w:rPr>
        <w:t>突发大气环境事件风险等级和突发水环境事件风险等级均为一般，确定</w:t>
      </w:r>
      <w:r>
        <w:rPr>
          <w:rFonts w:hint="eastAsia"/>
          <w:lang w:eastAsia="zh-CN"/>
        </w:rPr>
        <w:t>南昌双港供水有限公司</w:t>
      </w:r>
      <w:r>
        <w:rPr>
          <w:rFonts w:hint="eastAsia"/>
        </w:rPr>
        <w:t>突发环境事件风险等级为一般，表征为“一般[一般</w:t>
      </w:r>
      <w:r>
        <w:t>-</w:t>
      </w:r>
      <w:r>
        <w:rPr>
          <w:rFonts w:hint="eastAsia"/>
        </w:rPr>
        <w:t>大气（</w:t>
      </w:r>
      <w:r>
        <w:t>Q0</w:t>
      </w:r>
      <w:r>
        <w:rPr>
          <w:rFonts w:hint="eastAsia"/>
        </w:rPr>
        <w:t>） +</w:t>
      </w:r>
      <w:r>
        <w:t xml:space="preserve"> </w:t>
      </w:r>
      <w:r>
        <w:rPr>
          <w:rFonts w:hint="eastAsia"/>
        </w:rPr>
        <w:t>一般</w:t>
      </w:r>
      <w:r>
        <w:t>-</w:t>
      </w:r>
      <w:r>
        <w:rPr>
          <w:rFonts w:hint="eastAsia"/>
        </w:rPr>
        <w:t>水（Q0）]。</w:t>
      </w:r>
    </w:p>
    <w:p>
      <w:pPr>
        <w:pStyle w:val="5"/>
      </w:pPr>
      <w:bookmarkStart w:id="26" w:name="_Toc17018"/>
      <w:r>
        <w:rPr>
          <w:rFonts w:hint="eastAsia"/>
        </w:rPr>
        <w:t>环境风险分析</w:t>
      </w:r>
      <w:bookmarkEnd w:id="26"/>
    </w:p>
    <w:p>
      <w:pPr>
        <w:ind w:firstLine="562"/>
        <w:rPr>
          <w:b/>
        </w:rPr>
      </w:pPr>
      <w:r>
        <w:rPr>
          <w:b/>
        </w:rPr>
        <w:t>1</w:t>
      </w:r>
      <w:r>
        <w:rPr>
          <w:rFonts w:hint="eastAsia"/>
          <w:b/>
        </w:rPr>
        <w:t>、泄漏危害后果分析</w:t>
      </w:r>
    </w:p>
    <w:p>
      <w:pPr>
        <w:ind w:firstLine="560"/>
      </w:pPr>
      <w:r>
        <w:rPr>
          <w:rFonts w:hint="eastAsia"/>
          <w:lang w:eastAsia="zh-CN"/>
        </w:rPr>
        <w:t>次氯酸钠溶液</w:t>
      </w:r>
      <w:r>
        <w:rPr>
          <w:rFonts w:hint="eastAsia"/>
        </w:rPr>
        <w:t>若有人为因素或者储罐系统密封接口不严或损坏等因素导致物料泄漏，将会污染周围的地表水环境。</w:t>
      </w:r>
    </w:p>
    <w:p>
      <w:pPr>
        <w:ind w:firstLine="562"/>
        <w:rPr>
          <w:b/>
        </w:rPr>
      </w:pPr>
      <w:r>
        <w:rPr>
          <w:b/>
        </w:rPr>
        <w:t>2</w:t>
      </w:r>
      <w:r>
        <w:rPr>
          <w:rFonts w:hint="eastAsia"/>
          <w:b/>
        </w:rPr>
        <w:t>、火灾事件危害后果分析</w:t>
      </w:r>
    </w:p>
    <w:p>
      <w:pPr>
        <w:ind w:firstLine="560"/>
      </w:pPr>
      <w:r>
        <w:rPr>
          <w:rFonts w:hint="eastAsia"/>
        </w:rPr>
        <w:t>为扑灭火灾而产生的消防废水处置不当、不及时而可能直接排入受纳河流，产生消防废水收集不及时将污染周围的地表水和地下水。同时火灾产生次生和衍生污染物进入大气，影响大气环境。</w:t>
      </w:r>
    </w:p>
    <w:p>
      <w:pPr>
        <w:ind w:firstLine="562"/>
        <w:rPr>
          <w:b/>
        </w:rPr>
      </w:pPr>
      <w:r>
        <w:rPr>
          <w:rFonts w:hint="eastAsia"/>
          <w:b/>
        </w:rPr>
        <w:t>3、运输过程中泄漏事件危害后果分析</w:t>
      </w:r>
    </w:p>
    <w:p>
      <w:pPr>
        <w:ind w:firstLine="560"/>
      </w:pPr>
      <w:r>
        <w:rPr>
          <w:rFonts w:hint="eastAsia"/>
          <w:lang w:eastAsia="zh-CN"/>
        </w:rPr>
        <w:t>次氯酸钠</w:t>
      </w:r>
      <w:r>
        <w:rPr>
          <w:rFonts w:hint="eastAsia"/>
        </w:rPr>
        <w:t>等在运输过程中若运输发生事故导致物料泄漏，将会污染周围的土壤及地表水。</w:t>
      </w:r>
    </w:p>
    <w:p>
      <w:pPr>
        <w:ind w:firstLine="562"/>
        <w:rPr>
          <w:b/>
        </w:rPr>
      </w:pPr>
      <w:r>
        <w:rPr>
          <w:rFonts w:hint="eastAsia"/>
          <w:b/>
        </w:rPr>
        <w:t>4、外界灾害事件危害后果分析</w:t>
      </w:r>
    </w:p>
    <w:p>
      <w:pPr>
        <w:ind w:firstLine="560"/>
      </w:pPr>
      <w:r>
        <w:rPr>
          <w:rFonts w:hint="eastAsia"/>
        </w:rPr>
        <w:t>（1）、静电</w:t>
      </w:r>
    </w:p>
    <w:p>
      <w:pPr>
        <w:ind w:firstLine="560"/>
      </w:pPr>
      <w:r>
        <w:rPr>
          <w:rFonts w:hint="eastAsia"/>
        </w:rPr>
        <w:t>本单位使用的电力设备若在生产、储存过程中产生静电或电火花有可能引发火灾爆炸事故。</w:t>
      </w:r>
    </w:p>
    <w:p>
      <w:pPr>
        <w:ind w:firstLine="560"/>
      </w:pPr>
      <w:r>
        <w:rPr>
          <w:rFonts w:hint="eastAsia"/>
        </w:rPr>
        <w:t>（2）、雷击</w:t>
      </w:r>
    </w:p>
    <w:p>
      <w:pPr>
        <w:ind w:firstLine="560"/>
      </w:pPr>
      <w:r>
        <w:rPr>
          <w:rFonts w:hint="eastAsia"/>
        </w:rPr>
        <w:t>雷击因素对储仓的威胁较大，如果防雷击措施和接地装置不到位，产生电火花就会可能导致火灾爆炸事故。其他自然灾害因素如暴雨和地震等自然灾害造成的电力设施、生产设施、生产设备损坏导致的生产事故，皆属不可抗力造成的风险，概率较小，危害程度较大。</w:t>
      </w:r>
    </w:p>
    <w:p>
      <w:pPr>
        <w:ind w:firstLine="560"/>
      </w:pPr>
      <w:r>
        <w:rPr>
          <w:rFonts w:hint="eastAsia"/>
        </w:rPr>
        <w:t>（3）、人为因素</w:t>
      </w:r>
    </w:p>
    <w:p>
      <w:pPr>
        <w:ind w:firstLine="560"/>
      </w:pPr>
      <w:r>
        <w:rPr>
          <w:rFonts w:hint="eastAsia"/>
        </w:rPr>
        <w:t>人为因素包括操作失误、无意破坏和有意破坏。操作失误主要是人员不熟悉本岗位操作规程，不懂设备性能，盲目操作，导则线路及设备超压等事故引发火灾；无意破坏是指人们在从事生产活动时对用电线路造成无意破坏和损伤引发火灾；有意破坏主要是在厂区内吸烟、使用明火而引发火灾。</w:t>
      </w:r>
    </w:p>
    <w:p>
      <w:pPr>
        <w:ind w:firstLine="0" w:firstLineChars="0"/>
        <w:jc w:val="left"/>
      </w:pPr>
    </w:p>
    <w:p>
      <w:pPr>
        <w:ind w:firstLine="0" w:firstLineChars="0"/>
        <w:jc w:val="left"/>
        <w:sectPr>
          <w:pgSz w:w="11906" w:h="16838"/>
          <w:pgMar w:top="1304" w:right="1247" w:bottom="1304" w:left="1531" w:header="851" w:footer="851" w:gutter="0"/>
          <w:pgBorders>
            <w:top w:val="none" w:sz="0" w:space="0"/>
            <w:left w:val="none" w:sz="0" w:space="0"/>
            <w:bottom w:val="none" w:sz="0" w:space="0"/>
            <w:right w:val="none" w:sz="0" w:space="0"/>
          </w:pgBorders>
          <w:pgNumType w:fmt="decimal"/>
          <w:cols w:space="425" w:num="1"/>
          <w:docGrid w:type="lines" w:linePitch="312" w:charSpace="0"/>
        </w:sectPr>
      </w:pPr>
    </w:p>
    <w:p>
      <w:pPr>
        <w:pStyle w:val="4"/>
      </w:pPr>
      <w:bookmarkStart w:id="27" w:name="_Toc16386"/>
      <w:bookmarkStart w:id="28" w:name="_Ref526953482"/>
      <w:bookmarkStart w:id="29" w:name="_Ref526953486"/>
      <w:r>
        <w:rPr>
          <w:rFonts w:hint="eastAsia"/>
        </w:rPr>
        <w:t>应急能力建设</w:t>
      </w:r>
      <w:bookmarkEnd w:id="27"/>
      <w:bookmarkEnd w:id="28"/>
      <w:bookmarkEnd w:id="29"/>
    </w:p>
    <w:p>
      <w:pPr>
        <w:ind w:firstLine="560"/>
      </w:pPr>
      <w:r>
        <w:rPr>
          <w:rFonts w:hint="eastAsia"/>
        </w:rPr>
        <w:t>依据应急能力评估，结合企业环境风险辨识内容，从以下几方面归纳企业环境应急能力，提出环境应急能力建设计划与目标：</w:t>
      </w:r>
    </w:p>
    <w:p>
      <w:pPr>
        <w:pStyle w:val="5"/>
      </w:pPr>
      <w:bookmarkStart w:id="30" w:name="_Toc29551"/>
      <w:r>
        <w:rPr>
          <w:rFonts w:hint="eastAsia"/>
        </w:rPr>
        <w:t>环境风险管理制度评估结论</w:t>
      </w:r>
      <w:bookmarkEnd w:id="30"/>
    </w:p>
    <w:p>
      <w:pPr>
        <w:ind w:firstLine="552"/>
        <w:rPr>
          <w:spacing w:val="-2"/>
          <w:kern w:val="0"/>
        </w:rPr>
      </w:pPr>
      <w:r>
        <w:rPr>
          <w:spacing w:val="-2"/>
          <w:kern w:val="0"/>
        </w:rPr>
        <w:t>1</w:t>
      </w:r>
      <w:r>
        <w:rPr>
          <w:rFonts w:hint="eastAsia"/>
          <w:spacing w:val="-2"/>
          <w:kern w:val="0"/>
        </w:rPr>
        <w:t>、本公司制定了《安全环保责任制度》，明确环保事故应急救援职责；制定有《环境保护管理制度》，明确环保事故应急处理方法；制定有《</w:t>
      </w:r>
      <w:r>
        <w:rPr>
          <w:rFonts w:hint="eastAsia"/>
          <w:spacing w:val="-2"/>
          <w:kern w:val="0"/>
          <w:lang w:eastAsia="zh-CN"/>
        </w:rPr>
        <w:t>南昌双港供水有限公司</w:t>
      </w:r>
      <w:r>
        <w:rPr>
          <w:rFonts w:hint="eastAsia"/>
          <w:spacing w:val="-2"/>
          <w:kern w:val="0"/>
        </w:rPr>
        <w:t>事故综合应急救援预案》，包含有部分环境事故救援内容，但是对突发环境风险事件的针对性不强，</w:t>
      </w:r>
      <w:r>
        <w:t>尚不能满足企业环境风险管理的需求，主要表现为：针对环境风险隐患排查治理、评估、监测、预警等的相关制度缺失，缺少环境风险自我评估制度。</w:t>
      </w:r>
    </w:p>
    <w:p>
      <w:pPr>
        <w:ind w:firstLine="552"/>
        <w:rPr>
          <w:spacing w:val="-2"/>
          <w:kern w:val="0"/>
        </w:rPr>
      </w:pPr>
      <w:r>
        <w:rPr>
          <w:rFonts w:hint="eastAsia"/>
          <w:spacing w:val="-2"/>
          <w:kern w:val="0"/>
        </w:rPr>
        <w:t>2、</w:t>
      </w:r>
      <w:r>
        <w:t>已开展的应急演练多为消防或安全生产事故演练，有针对性的突发环境污染事故演练欠缺。</w:t>
      </w:r>
    </w:p>
    <w:p>
      <w:pPr>
        <w:ind w:firstLine="552"/>
        <w:rPr>
          <w:spacing w:val="-2"/>
          <w:kern w:val="0"/>
        </w:rPr>
      </w:pPr>
      <w:r>
        <w:rPr>
          <w:spacing w:val="-2"/>
          <w:kern w:val="0"/>
        </w:rPr>
        <w:t>3</w:t>
      </w:r>
      <w:r>
        <w:rPr>
          <w:rFonts w:hint="eastAsia"/>
          <w:spacing w:val="-2"/>
          <w:kern w:val="0"/>
        </w:rPr>
        <w:t>、定期对职工开展环境风险和环境应急管理宣传和培训。</w:t>
      </w:r>
    </w:p>
    <w:p>
      <w:pPr>
        <w:ind w:firstLine="552"/>
      </w:pPr>
      <w:r>
        <w:rPr>
          <w:spacing w:val="-2"/>
          <w:kern w:val="0"/>
        </w:rPr>
        <w:t>4</w:t>
      </w:r>
      <w:r>
        <w:rPr>
          <w:rFonts w:hint="eastAsia"/>
          <w:spacing w:val="-2"/>
          <w:kern w:val="0"/>
        </w:rPr>
        <w:t>、建立有综合应急事件信息报告制度，缺乏专项的突发环境事件信息报告制度。</w:t>
      </w:r>
    </w:p>
    <w:p>
      <w:pPr>
        <w:pStyle w:val="5"/>
      </w:pPr>
      <w:bookmarkStart w:id="31" w:name="_Toc5190"/>
      <w:r>
        <w:rPr>
          <w:rFonts w:hint="eastAsia"/>
        </w:rPr>
        <w:t>环境风险防控措施评估结论</w:t>
      </w:r>
      <w:bookmarkEnd w:id="31"/>
    </w:p>
    <w:p>
      <w:pPr>
        <w:ind w:firstLine="562"/>
        <w:rPr>
          <w:b/>
        </w:rPr>
      </w:pPr>
      <w:r>
        <w:rPr>
          <w:rFonts w:hint="eastAsia"/>
          <w:b/>
        </w:rPr>
        <w:t>1、防泄漏措施</w:t>
      </w:r>
    </w:p>
    <w:p>
      <w:pPr>
        <w:ind w:firstLine="560"/>
      </w:pPr>
      <w:r>
        <w:rPr>
          <w:rFonts w:hint="eastAsia"/>
          <w:color w:val="000000" w:themeColor="text1"/>
          <w:highlight w:val="none"/>
          <w:lang w:eastAsia="zh-CN"/>
          <w14:textFill>
            <w14:solidFill>
              <w14:schemeClr w14:val="tx1"/>
            </w14:solidFill>
          </w14:textFill>
        </w:rPr>
        <w:t>危废暂存库</w:t>
      </w:r>
      <w:r>
        <w:rPr>
          <w:rFonts w:hint="eastAsia"/>
        </w:rPr>
        <w:t>已经按照做好防渗、防腐措施，对周边环境影响较小。</w:t>
      </w:r>
    </w:p>
    <w:p>
      <w:pPr>
        <w:ind w:firstLine="562"/>
        <w:rPr>
          <w:b/>
        </w:rPr>
      </w:pPr>
      <w:r>
        <w:rPr>
          <w:rFonts w:hint="eastAsia"/>
          <w:b/>
        </w:rPr>
        <w:t>2、废水事故池</w:t>
      </w:r>
    </w:p>
    <w:p>
      <w:pPr>
        <w:ind w:firstLine="560"/>
      </w:pPr>
      <w:r>
        <w:rPr>
          <w:rFonts w:hint="eastAsia"/>
        </w:rPr>
        <w:t>在</w:t>
      </w:r>
      <w:r>
        <w:rPr>
          <w:rFonts w:hint="eastAsia"/>
          <w:lang w:eastAsia="zh-CN"/>
        </w:rPr>
        <w:t>次氯酸钠卸料口</w:t>
      </w:r>
      <w:r>
        <w:rPr>
          <w:rFonts w:hint="eastAsia"/>
        </w:rPr>
        <w:t>处安装有管道连接到事故池，能有效地将</w:t>
      </w:r>
      <w:r>
        <w:rPr>
          <w:rFonts w:hint="eastAsia"/>
          <w:lang w:eastAsia="zh-CN"/>
        </w:rPr>
        <w:t>卸料时泄漏</w:t>
      </w:r>
      <w:r>
        <w:rPr>
          <w:rFonts w:hint="eastAsia"/>
        </w:rPr>
        <w:t>的</w:t>
      </w:r>
      <w:r>
        <w:rPr>
          <w:rFonts w:hint="eastAsia"/>
          <w:lang w:eastAsia="zh-CN"/>
        </w:rPr>
        <w:t>物料</w:t>
      </w:r>
      <w:r>
        <w:rPr>
          <w:rFonts w:hint="eastAsia"/>
        </w:rPr>
        <w:t>充分回收到事故池内。</w:t>
      </w:r>
    </w:p>
    <w:p>
      <w:pPr>
        <w:pStyle w:val="5"/>
      </w:pPr>
      <w:bookmarkStart w:id="32" w:name="_Toc729"/>
      <w:r>
        <w:rPr>
          <w:rFonts w:hint="eastAsia"/>
        </w:rPr>
        <w:t>环境应急资源评估结论</w:t>
      </w:r>
      <w:bookmarkEnd w:id="32"/>
    </w:p>
    <w:p>
      <w:pPr>
        <w:ind w:firstLine="560"/>
      </w:pPr>
      <w:r>
        <w:rPr>
          <w:rFonts w:hint="eastAsia"/>
        </w:rPr>
        <w:t>本次环境应急资源调查从环境应急人力资源、环境应急设施装备物资、经费管理方面进行了调查。企业已组建了应急救援队伍，已配备了必要的应急物资和应急装备，并制定了专项经费保障措施。厂区现有应急处置物资和应急装备等较为齐全，并根据各区域可能发生的事故类型将所需应急资源合理分布，基本满足厂区突发环境事故时的应急需要。</w:t>
      </w:r>
    </w:p>
    <w:p>
      <w:pPr>
        <w:pStyle w:val="8"/>
        <w:keepNext/>
        <w:rPr>
          <w:rFonts w:hint="eastAsia"/>
        </w:rPr>
      </w:pPr>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1</w:t>
      </w:r>
      <w:r>
        <w:fldChar w:fldCharType="end"/>
      </w:r>
      <w:r>
        <w:rPr>
          <w:rFonts w:hint="eastAsia"/>
        </w:rPr>
        <w:t>现有应急设施装备一览表</w:t>
      </w:r>
    </w:p>
    <w:tbl>
      <w:tblPr>
        <w:tblStyle w:val="15"/>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1"/>
        <w:gridCol w:w="3223"/>
        <w:gridCol w:w="1364"/>
        <w:gridCol w:w="2840"/>
        <w:gridCol w:w="10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序号</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设施名称</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规格型号</w:t>
            </w: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设施位置</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耐酸碱手套</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应急柜</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2双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2</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防护面罩</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应急柜</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2个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3</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急救箱</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车间</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4</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推车式二氧化碳灭火器</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MFT20</w:t>
            </w: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原水泵房</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5</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手提式二氧化碳灭火器</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MT2</w:t>
            </w: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原水泵房</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18只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6</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手提式二氧化碳灭火器</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MT2</w:t>
            </w: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厂区</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30只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7</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室外消火栓</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SN-100</w:t>
            </w: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厂区</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10只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8</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室内消防栓</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SN-50</w:t>
            </w: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全场建筑</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3只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9</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喷淋洗眼器</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lang w:val="en-US" w:eastAsia="zh-CN"/>
              </w:rPr>
              <w:t>次氯酸钠间</w:t>
            </w:r>
            <w:r>
              <w:rPr>
                <w:rFonts w:hint="eastAsia" w:cs="Times New Roman"/>
                <w:color w:val="000000"/>
                <w:kern w:val="0"/>
                <w:sz w:val="21"/>
                <w:szCs w:val="21"/>
              </w:rPr>
              <w:t>、化验室</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7只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10</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防毒面具</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过滤式</w:t>
            </w:r>
          </w:p>
        </w:tc>
        <w:tc>
          <w:tcPr>
            <w:tcW w:w="1520" w:type="pct"/>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次氯酸钠间</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11</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漏氯报警仪</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lang w:val="en-US" w:eastAsia="zh-CN"/>
              </w:rPr>
              <w:t>次氯酸钠间</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4个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12</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风向标</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滤池上面</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exact"/>
          <w:jc w:val="center"/>
        </w:trPr>
        <w:tc>
          <w:tcPr>
            <w:tcW w:w="456"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13</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担架</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滤池</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exact"/>
          <w:jc w:val="center"/>
        </w:trPr>
        <w:tc>
          <w:tcPr>
            <w:tcW w:w="456"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14</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密闭式防护服</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lang w:val="en-US" w:eastAsia="zh-CN"/>
              </w:rPr>
              <w:t>次氯酸钠间</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3套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exact"/>
          <w:jc w:val="center"/>
        </w:trPr>
        <w:tc>
          <w:tcPr>
            <w:tcW w:w="456"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15</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耐酸碱手套</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lang w:val="en-US" w:eastAsia="zh-CN"/>
              </w:rPr>
              <w:t>次氯酸钠间</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5副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exact"/>
          <w:jc w:val="center"/>
        </w:trPr>
        <w:tc>
          <w:tcPr>
            <w:tcW w:w="456"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16</w:t>
            </w:r>
          </w:p>
        </w:tc>
        <w:tc>
          <w:tcPr>
            <w:tcW w:w="1725"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正压式呼吸器</w:t>
            </w:r>
          </w:p>
        </w:tc>
        <w:tc>
          <w:tcPr>
            <w:tcW w:w="730" w:type="pct"/>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lang w:val="en-US" w:eastAsia="zh-CN"/>
              </w:rPr>
              <w:t>次氯酸钠间</w:t>
            </w:r>
          </w:p>
        </w:tc>
        <w:tc>
          <w:tcPr>
            <w:tcW w:w="567"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2个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exact"/>
          <w:jc w:val="center"/>
        </w:trPr>
        <w:tc>
          <w:tcPr>
            <w:tcW w:w="456"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17</w:t>
            </w:r>
          </w:p>
        </w:tc>
        <w:tc>
          <w:tcPr>
            <w:tcW w:w="1725"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砂子</w:t>
            </w:r>
          </w:p>
        </w:tc>
        <w:tc>
          <w:tcPr>
            <w:tcW w:w="730" w:type="pct"/>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车间外</w:t>
            </w:r>
          </w:p>
        </w:tc>
        <w:tc>
          <w:tcPr>
            <w:tcW w:w="567"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500公斤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exact"/>
          <w:jc w:val="center"/>
        </w:trPr>
        <w:tc>
          <w:tcPr>
            <w:tcW w:w="456"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18</w:t>
            </w:r>
          </w:p>
        </w:tc>
        <w:tc>
          <w:tcPr>
            <w:tcW w:w="1725"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锹</w:t>
            </w:r>
          </w:p>
        </w:tc>
        <w:tc>
          <w:tcPr>
            <w:tcW w:w="730" w:type="pct"/>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车间外</w:t>
            </w:r>
          </w:p>
        </w:tc>
        <w:tc>
          <w:tcPr>
            <w:tcW w:w="567"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4把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exact"/>
          <w:jc w:val="center"/>
        </w:trPr>
        <w:tc>
          <w:tcPr>
            <w:tcW w:w="456"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19</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三脚架</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仓库</w:t>
            </w:r>
          </w:p>
        </w:tc>
        <w:tc>
          <w:tcPr>
            <w:tcW w:w="567" w:type="pct"/>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exact"/>
          <w:jc w:val="center"/>
        </w:trPr>
        <w:tc>
          <w:tcPr>
            <w:tcW w:w="456"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20</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鼓风机</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lang w:val="en-US" w:eastAsia="zh-CN"/>
              </w:rPr>
              <w:t>仓库</w:t>
            </w:r>
          </w:p>
        </w:tc>
        <w:tc>
          <w:tcPr>
            <w:tcW w:w="567" w:type="pct"/>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7" w:hRule="exact"/>
          <w:jc w:val="center"/>
        </w:trPr>
        <w:tc>
          <w:tcPr>
            <w:tcW w:w="456"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21</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便携式4合1气体报警器</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RAE PGM-2400P</w:t>
            </w: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lang w:val="en-US" w:eastAsia="zh-CN"/>
              </w:rPr>
              <w:t>仓库</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exact"/>
          <w:jc w:val="center"/>
        </w:trPr>
        <w:tc>
          <w:tcPr>
            <w:tcW w:w="456"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22</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担架</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仓库</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1套</w:t>
            </w:r>
          </w:p>
        </w:tc>
      </w:tr>
    </w:tbl>
    <w:p/>
    <w:p>
      <w:pPr>
        <w:ind w:firstLine="560"/>
      </w:pPr>
      <w:r>
        <w:rPr>
          <w:rFonts w:hint="eastAsia"/>
          <w:color w:val="000000" w:themeColor="text1"/>
          <w14:textFill>
            <w14:solidFill>
              <w14:schemeClr w14:val="tx1"/>
            </w14:solidFill>
          </w14:textFill>
        </w:rPr>
        <w:t>公司已开展的应急演练多为消防或安全生产事故演练，有针对性的突发环境污染事故演练欠缺；建立有综合应急事件信息报告制度，缺乏专项的突发环境事件信息报告制度。</w:t>
      </w:r>
    </w:p>
    <w:p>
      <w:pPr>
        <w:ind w:firstLine="560"/>
      </w:pPr>
      <w:r>
        <w:rPr>
          <w:rFonts w:hint="eastAsia"/>
        </w:rPr>
        <w:t>经调查发现，厂区现有应急处置物资和应急装备等较为齐全，并根据各区域可能发生的事故类型将所需应急资源合理分布。建议加强环境风险与环境应急管理培训力度及定期组织突发环境污染事故演练。</w:t>
      </w:r>
    </w:p>
    <w:p>
      <w:pPr>
        <w:ind w:firstLine="560"/>
        <w:sectPr>
          <w:pgSz w:w="11906" w:h="16838"/>
          <w:pgMar w:top="1304" w:right="1247" w:bottom="1304" w:left="1531" w:header="851" w:footer="851" w:gutter="0"/>
          <w:pgBorders>
            <w:top w:val="none" w:sz="0" w:space="0"/>
            <w:left w:val="none" w:sz="0" w:space="0"/>
            <w:bottom w:val="none" w:sz="0" w:space="0"/>
            <w:right w:val="none" w:sz="0" w:space="0"/>
          </w:pgBorders>
          <w:pgNumType w:fmt="decimal"/>
          <w:cols w:space="425" w:num="1"/>
          <w:docGrid w:type="lines" w:linePitch="312" w:charSpace="0"/>
        </w:sectPr>
      </w:pPr>
    </w:p>
    <w:p>
      <w:pPr>
        <w:pStyle w:val="4"/>
      </w:pPr>
      <w:bookmarkStart w:id="33" w:name="_Toc31886"/>
      <w:r>
        <w:rPr>
          <w:rFonts w:hint="eastAsia"/>
        </w:rPr>
        <w:t>组织机构和职责</w:t>
      </w:r>
      <w:bookmarkEnd w:id="33"/>
    </w:p>
    <w:p>
      <w:pPr>
        <w:pStyle w:val="5"/>
      </w:pPr>
      <w:bookmarkStart w:id="34" w:name="_Toc21785"/>
      <w:r>
        <w:rPr>
          <w:rFonts w:hint="eastAsia"/>
        </w:rPr>
        <w:t>组织机构</w:t>
      </w:r>
      <w:bookmarkEnd w:id="34"/>
    </w:p>
    <w:p>
      <w:pPr>
        <w:ind w:firstLine="560"/>
      </w:pPr>
      <w:r>
        <w:rPr>
          <w:rFonts w:hint="eastAsia"/>
        </w:rPr>
        <w:t>公司成立事故应急救援指挥中心，由总经理担任总指挥，</w:t>
      </w:r>
      <w:r>
        <w:rPr>
          <w:rFonts w:hint="eastAsia"/>
          <w:lang w:val="en-US" w:eastAsia="zh-CN"/>
        </w:rPr>
        <w:t>安环管理负责人</w:t>
      </w:r>
      <w:r>
        <w:rPr>
          <w:rFonts w:hint="eastAsia"/>
        </w:rPr>
        <w:t>担任副总指挥，成员由各职能部门和各</w:t>
      </w:r>
      <w:r>
        <w:rPr>
          <w:rFonts w:hint="eastAsia"/>
          <w:lang w:val="en-US" w:eastAsia="zh-CN"/>
        </w:rPr>
        <w:t>应急小组</w:t>
      </w:r>
      <w:r>
        <w:rPr>
          <w:rFonts w:hint="eastAsia"/>
        </w:rPr>
        <w:t>组成。指挥部设在</w:t>
      </w:r>
      <w:r>
        <w:rPr>
          <w:rFonts w:hint="eastAsia"/>
          <w:lang w:val="en-US" w:eastAsia="zh-CN"/>
        </w:rPr>
        <w:t>安环部</w:t>
      </w:r>
      <w:r>
        <w:rPr>
          <w:rFonts w:hint="eastAsia"/>
        </w:rPr>
        <w:t>，日常工作由安全环保部负责。应急组织机构具体见</w:t>
      </w:r>
      <w:r>
        <w:fldChar w:fldCharType="begin"/>
      </w:r>
      <w:r>
        <w:instrText xml:space="preserve"> </w:instrText>
      </w:r>
      <w:r>
        <w:rPr>
          <w:rFonts w:hint="eastAsia"/>
        </w:rPr>
        <w:instrText xml:space="preserve">REF _Ref527060381 \h</w:instrText>
      </w:r>
      <w:r>
        <w:instrText xml:space="preserve"> </w:instrText>
      </w:r>
      <w:r>
        <w:fldChar w:fldCharType="separate"/>
      </w:r>
      <w:r>
        <w:rPr>
          <w:rFonts w:hint="eastAsia"/>
        </w:rPr>
        <w:t xml:space="preserve">图 </w:t>
      </w:r>
      <w:r>
        <w:t>5</w:t>
      </w:r>
      <w:r>
        <w:noBreakHyphen/>
      </w:r>
      <w:r>
        <w:t>1</w:t>
      </w:r>
      <w:r>
        <w:fldChar w:fldCharType="end"/>
      </w:r>
      <w:r>
        <w:rPr>
          <w:rFonts w:hint="eastAsia"/>
        </w:rPr>
        <w:t>，</w:t>
      </w:r>
      <w:r>
        <w:rPr>
          <w:rFonts w:ascii="宋体" w:hAnsi="宋体" w:cs="Times New Roman"/>
        </w:rPr>
        <w:t>应急队伍人员配置情况</w:t>
      </w:r>
      <w:r>
        <w:rPr>
          <w:rFonts w:hint="eastAsia" w:ascii="宋体" w:hAnsi="宋体" w:cs="Times New Roman"/>
        </w:rPr>
        <w:t>详见</w:t>
      </w:r>
      <w:r>
        <w:rPr>
          <w:rFonts w:ascii="宋体" w:hAnsi="宋体" w:cs="Times New Roman"/>
        </w:rPr>
        <w:fldChar w:fldCharType="begin"/>
      </w:r>
      <w:r>
        <w:rPr>
          <w:rFonts w:ascii="宋体" w:hAnsi="宋体" w:cs="Times New Roman"/>
        </w:rPr>
        <w:instrText xml:space="preserve"> </w:instrText>
      </w:r>
      <w:r>
        <w:rPr>
          <w:rFonts w:hint="eastAsia" w:ascii="宋体" w:hAnsi="宋体" w:cs="Times New Roman"/>
        </w:rPr>
        <w:instrText xml:space="preserve">REF _Ref526954349 \h</w:instrText>
      </w:r>
      <w:r>
        <w:rPr>
          <w:rFonts w:ascii="宋体" w:hAnsi="宋体" w:cs="Times New Roman"/>
        </w:rPr>
        <w:instrText xml:space="preserve"> </w:instrText>
      </w:r>
      <w:r>
        <w:rPr>
          <w:rFonts w:ascii="宋体" w:hAnsi="宋体" w:cs="Times New Roman"/>
        </w:rPr>
        <w:fldChar w:fldCharType="separate"/>
      </w:r>
      <w:r>
        <w:rPr>
          <w:rFonts w:hint="eastAsia"/>
        </w:rPr>
        <w:t xml:space="preserve">表 </w:t>
      </w:r>
      <w:r>
        <w:t>5</w:t>
      </w:r>
      <w:r>
        <w:noBreakHyphen/>
      </w:r>
      <w:r>
        <w:t>1</w:t>
      </w:r>
      <w:r>
        <w:rPr>
          <w:rFonts w:ascii="宋体" w:hAnsi="宋体" w:cs="Times New Roman"/>
        </w:rPr>
        <w:fldChar w:fldCharType="end"/>
      </w:r>
      <w:r>
        <w:rPr>
          <w:rFonts w:hint="eastAsia"/>
        </w:rPr>
        <w:t>。</w:t>
      </w:r>
    </w:p>
    <w:p>
      <w:pPr>
        <w:keepNext/>
        <w:ind w:firstLine="0" w:firstLineChars="0"/>
      </w:pPr>
      <w:r>
        <w:rPr>
          <w:rFonts w:hint="eastAsia" w:eastAsia="宋体"/>
          <w:lang w:eastAsia="zh-CN"/>
        </w:rPr>
        <w:drawing>
          <wp:inline distT="0" distB="0" distL="114300" distR="114300">
            <wp:extent cx="5791835" cy="3140075"/>
            <wp:effectExtent l="0" t="0" r="12065" b="9525"/>
            <wp:docPr id="16" name="图片 16" descr="15922149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592214928(1)"/>
                    <pic:cNvPicPr>
                      <a:picLocks noChangeAspect="1"/>
                    </pic:cNvPicPr>
                  </pic:nvPicPr>
                  <pic:blipFill>
                    <a:blip r:embed="rId21"/>
                    <a:stretch>
                      <a:fillRect/>
                    </a:stretch>
                  </pic:blipFill>
                  <pic:spPr>
                    <a:xfrm>
                      <a:off x="0" y="0"/>
                      <a:ext cx="5791835" cy="3140075"/>
                    </a:xfrm>
                    <a:prstGeom prst="rect">
                      <a:avLst/>
                    </a:prstGeom>
                  </pic:spPr>
                </pic:pic>
              </a:graphicData>
            </a:graphic>
          </wp:inline>
        </w:drawing>
      </w:r>
    </w:p>
    <w:p>
      <w:pPr>
        <w:pStyle w:val="8"/>
      </w:pPr>
      <w:bookmarkStart w:id="35" w:name="_Ref527060381"/>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5</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1</w:t>
      </w:r>
      <w:r>
        <w:fldChar w:fldCharType="end"/>
      </w:r>
      <w:bookmarkEnd w:id="35"/>
      <w:r>
        <w:rPr>
          <w:rFonts w:hint="eastAsia"/>
        </w:rPr>
        <w:t>应急组织机构</w:t>
      </w:r>
    </w:p>
    <w:p>
      <w:pPr>
        <w:ind w:firstLine="560"/>
        <w:rPr>
          <w:rFonts w:hint="eastAsia" w:eastAsia="宋体"/>
          <w:sz w:val="30"/>
          <w:szCs w:val="30"/>
          <w:lang w:eastAsia="zh-CN"/>
        </w:rPr>
      </w:pPr>
      <w:r>
        <w:rPr>
          <w:rFonts w:hint="eastAsia"/>
        </w:rPr>
        <w:t>总指挥：</w:t>
      </w:r>
      <w:r>
        <w:rPr>
          <w:rFonts w:hint="eastAsia"/>
          <w:lang w:eastAsia="zh-CN"/>
        </w:rPr>
        <w:t>总经理</w:t>
      </w:r>
    </w:p>
    <w:p>
      <w:pPr>
        <w:ind w:firstLine="560"/>
        <w:rPr>
          <w:rFonts w:hint="eastAsia" w:eastAsia="宋体"/>
          <w:sz w:val="30"/>
          <w:szCs w:val="30"/>
          <w:lang w:val="en-US" w:eastAsia="zh-CN"/>
        </w:rPr>
      </w:pPr>
      <w:r>
        <w:rPr>
          <w:rFonts w:hint="eastAsia"/>
          <w:sz w:val="30"/>
          <w:szCs w:val="30"/>
          <w:lang w:val="en-US" w:eastAsia="zh-CN"/>
        </w:rPr>
        <w:t>副</w:t>
      </w:r>
      <w:r>
        <w:rPr>
          <w:rFonts w:hint="eastAsia"/>
        </w:rPr>
        <w:t>总指挥：</w:t>
      </w:r>
      <w:r>
        <w:rPr>
          <w:rFonts w:hint="eastAsia"/>
          <w:sz w:val="30"/>
          <w:szCs w:val="30"/>
          <w:lang w:eastAsia="zh-CN"/>
        </w:rPr>
        <w:t>安环管理负责人</w:t>
      </w:r>
    </w:p>
    <w:p>
      <w:pPr>
        <w:ind w:firstLine="560"/>
        <w:rPr>
          <w:rFonts w:hint="eastAsia" w:eastAsia="宋体"/>
          <w:lang w:eastAsia="zh-CN"/>
        </w:rPr>
      </w:pPr>
      <w:r>
        <w:rPr>
          <w:rFonts w:hint="eastAsia"/>
        </w:rPr>
        <w:t>成员：</w:t>
      </w:r>
      <w:r>
        <w:rPr>
          <w:rFonts w:hint="eastAsia"/>
          <w:lang w:val="en-US" w:eastAsia="zh-CN"/>
        </w:rPr>
        <w:t>供水部、</w:t>
      </w:r>
      <w:r>
        <w:rPr>
          <w:rFonts w:hint="eastAsia" w:ascii="宋体" w:hAnsi="宋体" w:cs="宋体"/>
          <w:bCs/>
          <w:color w:val="auto"/>
          <w:sz w:val="28"/>
          <w:szCs w:val="28"/>
        </w:rPr>
        <w:t>财务部、</w:t>
      </w:r>
      <w:r>
        <w:rPr>
          <w:rFonts w:hint="eastAsia" w:ascii="宋体" w:hAnsi="宋体" w:cs="宋体"/>
          <w:bCs/>
          <w:color w:val="auto"/>
          <w:sz w:val="28"/>
          <w:szCs w:val="28"/>
          <w:lang w:val="en-US" w:eastAsia="zh-CN"/>
        </w:rPr>
        <w:t>生产</w:t>
      </w:r>
      <w:r>
        <w:rPr>
          <w:rFonts w:hint="eastAsia" w:ascii="宋体" w:hAnsi="宋体" w:cs="宋体"/>
          <w:bCs/>
          <w:color w:val="auto"/>
          <w:sz w:val="28"/>
          <w:szCs w:val="28"/>
        </w:rPr>
        <w:t>部、</w:t>
      </w:r>
      <w:r>
        <w:rPr>
          <w:rFonts w:hint="eastAsia" w:ascii="宋体" w:hAnsi="宋体" w:cs="宋体"/>
          <w:bCs/>
          <w:color w:val="auto"/>
          <w:sz w:val="28"/>
          <w:szCs w:val="28"/>
          <w:lang w:eastAsia="zh-CN"/>
        </w:rPr>
        <w:t>行政</w:t>
      </w:r>
      <w:r>
        <w:rPr>
          <w:rFonts w:hint="eastAsia" w:ascii="宋体" w:hAnsi="宋体" w:cs="宋体"/>
          <w:bCs/>
          <w:color w:val="auto"/>
          <w:sz w:val="28"/>
          <w:szCs w:val="28"/>
        </w:rPr>
        <w:t>部、</w:t>
      </w:r>
      <w:r>
        <w:rPr>
          <w:rFonts w:hint="eastAsia" w:ascii="宋体" w:hAnsi="宋体" w:cs="宋体"/>
          <w:bCs/>
          <w:color w:val="auto"/>
          <w:sz w:val="28"/>
          <w:szCs w:val="28"/>
          <w:lang w:val="en-US" w:eastAsia="zh-CN"/>
        </w:rPr>
        <w:t>消防抢险小组、警戒疏散小组、通信联络组、后勤保障组</w:t>
      </w:r>
      <w:r>
        <w:rPr>
          <w:rFonts w:hint="eastAsia" w:ascii="宋体" w:hAnsi="宋体" w:cs="宋体"/>
          <w:bCs/>
          <w:color w:val="auto"/>
          <w:sz w:val="28"/>
          <w:szCs w:val="28"/>
          <w:lang w:eastAsia="zh-CN"/>
        </w:rPr>
        <w:t>等</w:t>
      </w:r>
      <w:r>
        <w:rPr>
          <w:rFonts w:hint="eastAsia" w:ascii="宋体" w:hAnsi="宋体" w:cs="宋体"/>
          <w:bCs/>
          <w:color w:val="auto"/>
          <w:sz w:val="28"/>
          <w:szCs w:val="28"/>
        </w:rPr>
        <w:t>人员组成</w:t>
      </w:r>
    </w:p>
    <w:p>
      <w:pPr>
        <w:widowControl/>
        <w:spacing w:line="240" w:lineRule="auto"/>
        <w:ind w:firstLine="0" w:firstLineChars="0"/>
        <w:jc w:val="left"/>
      </w:pPr>
      <w:r>
        <w:br w:type="page"/>
      </w:r>
    </w:p>
    <w:p>
      <w:pPr>
        <w:pStyle w:val="8"/>
        <w:keepNext/>
      </w:pPr>
      <w:bookmarkStart w:id="36" w:name="_Ref526954349"/>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5</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1</w:t>
      </w:r>
      <w:r>
        <w:fldChar w:fldCharType="end"/>
      </w:r>
      <w:bookmarkEnd w:id="36"/>
      <w:r>
        <w:rPr>
          <w:rFonts w:hint="eastAsia"/>
        </w:rPr>
        <w:t>公司应急指挥部成员联系方式</w:t>
      </w:r>
    </w:p>
    <w:tbl>
      <w:tblPr>
        <w:tblStyle w:val="15"/>
        <w:tblpPr w:leftFromText="180" w:rightFromText="180" w:vertAnchor="text" w:horzAnchor="margin" w:tblpY="15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7"/>
        <w:gridCol w:w="2321"/>
        <w:gridCol w:w="1886"/>
        <w:gridCol w:w="2160"/>
        <w:gridCol w:w="18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60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序号</w:t>
            </w:r>
          </w:p>
        </w:tc>
        <w:tc>
          <w:tcPr>
            <w:tcW w:w="124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姓  名</w:t>
            </w:r>
          </w:p>
        </w:tc>
        <w:tc>
          <w:tcPr>
            <w:tcW w:w="1009"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岗位</w:t>
            </w:r>
          </w:p>
        </w:tc>
        <w:tc>
          <w:tcPr>
            <w:tcW w:w="1156"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联系方式</w:t>
            </w:r>
          </w:p>
        </w:tc>
        <w:tc>
          <w:tcPr>
            <w:tcW w:w="98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60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w:t>
            </w:r>
          </w:p>
        </w:tc>
        <w:tc>
          <w:tcPr>
            <w:tcW w:w="124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唐</w:t>
            </w:r>
            <w:r>
              <w:rPr>
                <w:rFonts w:hint="eastAsia" w:cs="Times New Roman"/>
                <w:color w:val="000000"/>
                <w:kern w:val="0"/>
                <w:sz w:val="21"/>
                <w:szCs w:val="21"/>
                <w:lang w:val="en-US" w:eastAsia="zh-CN"/>
              </w:rPr>
              <w:tab/>
            </w:r>
            <w:r>
              <w:rPr>
                <w:rFonts w:hint="eastAsia" w:cs="Times New Roman"/>
                <w:color w:val="000000"/>
                <w:kern w:val="0"/>
                <w:sz w:val="21"/>
                <w:szCs w:val="21"/>
                <w:lang w:val="en-US" w:eastAsia="zh-CN"/>
              </w:rPr>
              <w:t xml:space="preserve"> 辉</w:t>
            </w:r>
          </w:p>
        </w:tc>
        <w:tc>
          <w:tcPr>
            <w:tcW w:w="1009"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组长</w:t>
            </w:r>
          </w:p>
        </w:tc>
        <w:tc>
          <w:tcPr>
            <w:tcW w:w="1156"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18720077818</w:t>
            </w:r>
          </w:p>
        </w:tc>
        <w:tc>
          <w:tcPr>
            <w:tcW w:w="98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60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2</w:t>
            </w:r>
          </w:p>
        </w:tc>
        <w:tc>
          <w:tcPr>
            <w:tcW w:w="124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邓江莉</w:t>
            </w:r>
          </w:p>
        </w:tc>
        <w:tc>
          <w:tcPr>
            <w:tcW w:w="1009"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组员</w:t>
            </w:r>
          </w:p>
        </w:tc>
        <w:tc>
          <w:tcPr>
            <w:tcW w:w="1156"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13970027701</w:t>
            </w:r>
          </w:p>
        </w:tc>
        <w:tc>
          <w:tcPr>
            <w:tcW w:w="98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60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3</w:t>
            </w:r>
          </w:p>
        </w:tc>
        <w:tc>
          <w:tcPr>
            <w:tcW w:w="124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李国平</w:t>
            </w:r>
          </w:p>
        </w:tc>
        <w:tc>
          <w:tcPr>
            <w:tcW w:w="1009"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组员</w:t>
            </w:r>
          </w:p>
        </w:tc>
        <w:tc>
          <w:tcPr>
            <w:tcW w:w="1156"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13870971365</w:t>
            </w:r>
          </w:p>
        </w:tc>
        <w:tc>
          <w:tcPr>
            <w:tcW w:w="98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60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4</w:t>
            </w:r>
          </w:p>
        </w:tc>
        <w:tc>
          <w:tcPr>
            <w:tcW w:w="124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吴华敏</w:t>
            </w:r>
          </w:p>
        </w:tc>
        <w:tc>
          <w:tcPr>
            <w:tcW w:w="1009"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组员</w:t>
            </w:r>
          </w:p>
        </w:tc>
        <w:tc>
          <w:tcPr>
            <w:tcW w:w="1156"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13330098266</w:t>
            </w:r>
          </w:p>
        </w:tc>
        <w:tc>
          <w:tcPr>
            <w:tcW w:w="98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60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5</w:t>
            </w:r>
          </w:p>
        </w:tc>
        <w:tc>
          <w:tcPr>
            <w:tcW w:w="124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李银保</w:t>
            </w:r>
          </w:p>
        </w:tc>
        <w:tc>
          <w:tcPr>
            <w:tcW w:w="1009"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组员</w:t>
            </w:r>
          </w:p>
        </w:tc>
        <w:tc>
          <w:tcPr>
            <w:tcW w:w="1156"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15879101929</w:t>
            </w:r>
          </w:p>
        </w:tc>
        <w:tc>
          <w:tcPr>
            <w:tcW w:w="98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60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6</w:t>
            </w:r>
          </w:p>
        </w:tc>
        <w:tc>
          <w:tcPr>
            <w:tcW w:w="124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范延辉</w:t>
            </w:r>
          </w:p>
        </w:tc>
        <w:tc>
          <w:tcPr>
            <w:tcW w:w="1009"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组员</w:t>
            </w:r>
          </w:p>
        </w:tc>
        <w:tc>
          <w:tcPr>
            <w:tcW w:w="1156"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13970997355</w:t>
            </w:r>
          </w:p>
        </w:tc>
        <w:tc>
          <w:tcPr>
            <w:tcW w:w="98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60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7</w:t>
            </w:r>
          </w:p>
        </w:tc>
        <w:tc>
          <w:tcPr>
            <w:tcW w:w="124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魏道钲</w:t>
            </w:r>
          </w:p>
        </w:tc>
        <w:tc>
          <w:tcPr>
            <w:tcW w:w="1009"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组员</w:t>
            </w:r>
          </w:p>
        </w:tc>
        <w:tc>
          <w:tcPr>
            <w:tcW w:w="1156"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18579068807</w:t>
            </w:r>
          </w:p>
        </w:tc>
        <w:tc>
          <w:tcPr>
            <w:tcW w:w="98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p>
        </w:tc>
      </w:tr>
    </w:tbl>
    <w:p>
      <w:pPr>
        <w:ind w:firstLine="560"/>
        <w:jc w:val="center"/>
      </w:pPr>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5</w:t>
      </w:r>
      <w:r>
        <w:fldChar w:fldCharType="end"/>
      </w:r>
      <w:r>
        <w:noBreakHyphen/>
      </w:r>
      <w:r>
        <w:rPr>
          <w:rFonts w:hint="eastAsia"/>
          <w:lang w:val="en-US" w:eastAsia="zh-CN"/>
        </w:rPr>
        <w:t xml:space="preserve">2 </w:t>
      </w:r>
      <w:r>
        <w:rPr>
          <w:rFonts w:hint="eastAsia"/>
        </w:rPr>
        <w:t>应急</w:t>
      </w:r>
      <w:r>
        <w:rPr>
          <w:rFonts w:hint="eastAsia"/>
          <w:lang w:val="en-US" w:eastAsia="zh-CN"/>
        </w:rPr>
        <w:t>各组</w:t>
      </w:r>
      <w:r>
        <w:rPr>
          <w:rFonts w:hint="eastAsia"/>
        </w:rPr>
        <w:t>成员联系方式</w:t>
      </w:r>
    </w:p>
    <w:tbl>
      <w:tblPr>
        <w:tblStyle w:val="1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7"/>
        <w:gridCol w:w="770"/>
        <w:gridCol w:w="3762"/>
        <w:gridCol w:w="2039"/>
        <w:gridCol w:w="18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51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序号</w:t>
            </w:r>
          </w:p>
        </w:tc>
        <w:tc>
          <w:tcPr>
            <w:tcW w:w="41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组名</w:t>
            </w:r>
          </w:p>
        </w:tc>
        <w:tc>
          <w:tcPr>
            <w:tcW w:w="201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成员</w:t>
            </w:r>
          </w:p>
        </w:tc>
        <w:tc>
          <w:tcPr>
            <w:tcW w:w="1091"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手机号码</w:t>
            </w:r>
          </w:p>
        </w:tc>
        <w:tc>
          <w:tcPr>
            <w:tcW w:w="964"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职 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w:t>
            </w:r>
          </w:p>
        </w:tc>
        <w:tc>
          <w:tcPr>
            <w:tcW w:w="412" w:type="pct"/>
            <w:vMerge w:val="restart"/>
            <w:noWrap w:val="0"/>
            <w:textDirection w:val="tbRlV"/>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抢险救援组</w:t>
            </w:r>
          </w:p>
        </w:tc>
        <w:tc>
          <w:tcPr>
            <w:tcW w:w="201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eastAsia="zh-CN"/>
              </w:rPr>
            </w:pPr>
            <w:r>
              <w:rPr>
                <w:rFonts w:hint="eastAsia" w:cs="Times New Roman"/>
                <w:color w:val="000000"/>
                <w:kern w:val="0"/>
                <w:sz w:val="21"/>
                <w:szCs w:val="21"/>
                <w:lang w:eastAsia="zh-CN"/>
              </w:rPr>
              <w:t>李国平</w:t>
            </w:r>
          </w:p>
        </w:tc>
        <w:tc>
          <w:tcPr>
            <w:tcW w:w="1091"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13870971365</w:t>
            </w:r>
          </w:p>
        </w:tc>
        <w:tc>
          <w:tcPr>
            <w:tcW w:w="964"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组长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2</w:t>
            </w:r>
          </w:p>
        </w:tc>
        <w:tc>
          <w:tcPr>
            <w:tcW w:w="412" w:type="pct"/>
            <w:vMerge w:val="continue"/>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2013" w:type="pct"/>
            <w:noWrap w:val="0"/>
            <w:vAlign w:val="center"/>
          </w:tcPr>
          <w:p>
            <w:pPr>
              <w:widowControl/>
              <w:snapToGrid w:val="0"/>
              <w:spacing w:line="240" w:lineRule="auto"/>
              <w:ind w:firstLine="0" w:firstLineChars="0"/>
              <w:contextualSpacing/>
              <w:jc w:val="center"/>
              <w:rPr>
                <w:rFonts w:hint="default" w:cs="Times New Roman"/>
                <w:color w:val="auto"/>
                <w:kern w:val="0"/>
                <w:sz w:val="21"/>
                <w:szCs w:val="21"/>
                <w:lang w:val="en-US" w:eastAsia="zh-CN"/>
              </w:rPr>
            </w:pPr>
            <w:r>
              <w:rPr>
                <w:rFonts w:hint="eastAsia" w:cs="Times New Roman"/>
                <w:color w:val="auto"/>
                <w:kern w:val="0"/>
                <w:sz w:val="21"/>
                <w:szCs w:val="21"/>
                <w:lang w:eastAsia="zh-CN"/>
              </w:rPr>
              <w:t>李</w:t>
            </w:r>
            <w:r>
              <w:rPr>
                <w:rFonts w:hint="eastAsia" w:cs="Times New Roman"/>
                <w:color w:val="auto"/>
                <w:kern w:val="0"/>
                <w:sz w:val="21"/>
                <w:szCs w:val="21"/>
                <w:lang w:val="en-US" w:eastAsia="zh-CN"/>
              </w:rPr>
              <w:t>银保</w:t>
            </w:r>
          </w:p>
        </w:tc>
        <w:tc>
          <w:tcPr>
            <w:tcW w:w="1091" w:type="pct"/>
            <w:noWrap w:val="0"/>
            <w:vAlign w:val="center"/>
          </w:tcPr>
          <w:p>
            <w:pPr>
              <w:widowControl/>
              <w:snapToGrid w:val="0"/>
              <w:spacing w:line="240" w:lineRule="auto"/>
              <w:ind w:firstLine="0" w:firstLineChars="0"/>
              <w:contextualSpacing/>
              <w:jc w:val="center"/>
              <w:rPr>
                <w:rFonts w:hint="eastAsia" w:cs="Times New Roman"/>
                <w:color w:val="auto"/>
                <w:kern w:val="0"/>
                <w:sz w:val="21"/>
                <w:szCs w:val="21"/>
              </w:rPr>
            </w:pPr>
            <w:r>
              <w:rPr>
                <w:rFonts w:hint="eastAsia" w:cs="Times New Roman"/>
                <w:color w:val="auto"/>
                <w:kern w:val="0"/>
                <w:sz w:val="21"/>
                <w:szCs w:val="21"/>
              </w:rPr>
              <w:t>15879101929</w:t>
            </w:r>
          </w:p>
        </w:tc>
        <w:tc>
          <w:tcPr>
            <w:tcW w:w="964"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副组长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3</w:t>
            </w:r>
          </w:p>
        </w:tc>
        <w:tc>
          <w:tcPr>
            <w:tcW w:w="412" w:type="pct"/>
            <w:vMerge w:val="continue"/>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2013" w:type="pct"/>
            <w:noWrap w:val="0"/>
            <w:vAlign w:val="center"/>
          </w:tcPr>
          <w:p>
            <w:pPr>
              <w:widowControl/>
              <w:snapToGrid w:val="0"/>
              <w:spacing w:line="240" w:lineRule="auto"/>
              <w:ind w:firstLine="0" w:firstLineChars="0"/>
              <w:contextualSpacing/>
              <w:jc w:val="center"/>
              <w:rPr>
                <w:rFonts w:hint="default" w:cs="Times New Roman"/>
                <w:color w:val="auto"/>
                <w:kern w:val="0"/>
                <w:sz w:val="21"/>
                <w:szCs w:val="21"/>
                <w:lang w:val="en-US" w:eastAsia="zh-CN"/>
              </w:rPr>
            </w:pPr>
            <w:r>
              <w:rPr>
                <w:rFonts w:hint="eastAsia" w:cs="Times New Roman"/>
                <w:color w:val="auto"/>
                <w:kern w:val="0"/>
                <w:sz w:val="21"/>
                <w:szCs w:val="21"/>
                <w:lang w:val="en-US" w:eastAsia="zh-CN"/>
              </w:rPr>
              <w:t>龚敏</w:t>
            </w:r>
          </w:p>
        </w:tc>
        <w:tc>
          <w:tcPr>
            <w:tcW w:w="1091" w:type="pct"/>
            <w:noWrap w:val="0"/>
            <w:vAlign w:val="center"/>
          </w:tcPr>
          <w:p>
            <w:pPr>
              <w:widowControl/>
              <w:snapToGrid w:val="0"/>
              <w:spacing w:line="240" w:lineRule="auto"/>
              <w:ind w:firstLine="0" w:firstLineChars="0"/>
              <w:contextualSpacing/>
              <w:jc w:val="center"/>
              <w:rPr>
                <w:rFonts w:hint="default" w:cs="Times New Roman"/>
                <w:color w:val="auto"/>
                <w:kern w:val="0"/>
                <w:sz w:val="21"/>
                <w:szCs w:val="21"/>
                <w:lang w:val="en-US" w:eastAsia="zh-CN"/>
              </w:rPr>
            </w:pPr>
            <w:r>
              <w:rPr>
                <w:rFonts w:hint="eastAsia" w:cs="Times New Roman"/>
                <w:color w:val="auto"/>
                <w:kern w:val="0"/>
                <w:sz w:val="21"/>
                <w:szCs w:val="21"/>
                <w:lang w:val="en-US" w:eastAsia="zh-CN"/>
              </w:rPr>
              <w:t>13607042934</w:t>
            </w:r>
          </w:p>
        </w:tc>
        <w:tc>
          <w:tcPr>
            <w:tcW w:w="964"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4</w:t>
            </w:r>
          </w:p>
        </w:tc>
        <w:tc>
          <w:tcPr>
            <w:tcW w:w="412" w:type="pct"/>
            <w:vMerge w:val="continue"/>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201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郭耀</w:t>
            </w:r>
          </w:p>
        </w:tc>
        <w:tc>
          <w:tcPr>
            <w:tcW w:w="1091"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13607912991</w:t>
            </w:r>
          </w:p>
        </w:tc>
        <w:tc>
          <w:tcPr>
            <w:tcW w:w="964"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5</w:t>
            </w:r>
          </w:p>
        </w:tc>
        <w:tc>
          <w:tcPr>
            <w:tcW w:w="412" w:type="pct"/>
            <w:vMerge w:val="continue"/>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2013"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范延辉</w:t>
            </w:r>
          </w:p>
        </w:tc>
        <w:tc>
          <w:tcPr>
            <w:tcW w:w="1091"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13970997355</w:t>
            </w:r>
          </w:p>
        </w:tc>
        <w:tc>
          <w:tcPr>
            <w:tcW w:w="964"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6</w:t>
            </w:r>
          </w:p>
        </w:tc>
        <w:tc>
          <w:tcPr>
            <w:tcW w:w="412" w:type="pct"/>
            <w:vMerge w:val="restar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lang w:eastAsia="zh-CN"/>
              </w:rPr>
              <w:t>通讯联络</w:t>
            </w:r>
            <w:r>
              <w:rPr>
                <w:rFonts w:hint="eastAsia" w:cs="Times New Roman"/>
                <w:color w:val="000000"/>
                <w:kern w:val="0"/>
                <w:sz w:val="21"/>
                <w:szCs w:val="21"/>
              </w:rPr>
              <w:t>组</w:t>
            </w:r>
          </w:p>
        </w:tc>
        <w:tc>
          <w:tcPr>
            <w:tcW w:w="201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eastAsia="zh-CN"/>
              </w:rPr>
            </w:pPr>
            <w:r>
              <w:rPr>
                <w:rFonts w:hint="eastAsia" w:cs="Times New Roman"/>
                <w:color w:val="000000"/>
                <w:kern w:val="0"/>
                <w:sz w:val="21"/>
                <w:szCs w:val="21"/>
                <w:lang w:eastAsia="zh-CN"/>
              </w:rPr>
              <w:t>魏道钲</w:t>
            </w:r>
          </w:p>
        </w:tc>
        <w:tc>
          <w:tcPr>
            <w:tcW w:w="1091"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rPr>
            </w:pPr>
            <w:r>
              <w:rPr>
                <w:rFonts w:hint="eastAsia" w:cs="Times New Roman"/>
                <w:color w:val="000000"/>
                <w:kern w:val="0"/>
                <w:sz w:val="21"/>
                <w:szCs w:val="21"/>
                <w:lang w:val="en-US" w:eastAsia="zh-CN"/>
              </w:rPr>
              <w:t>18579068807</w:t>
            </w:r>
          </w:p>
        </w:tc>
        <w:tc>
          <w:tcPr>
            <w:tcW w:w="964"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组长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7</w:t>
            </w:r>
          </w:p>
        </w:tc>
        <w:tc>
          <w:tcPr>
            <w:tcW w:w="412" w:type="pct"/>
            <w:vMerge w:val="continue"/>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201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胡慧琴</w:t>
            </w:r>
          </w:p>
        </w:tc>
        <w:tc>
          <w:tcPr>
            <w:tcW w:w="1091"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13007209503</w:t>
            </w:r>
          </w:p>
        </w:tc>
        <w:tc>
          <w:tcPr>
            <w:tcW w:w="964"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8</w:t>
            </w:r>
          </w:p>
        </w:tc>
        <w:tc>
          <w:tcPr>
            <w:tcW w:w="412" w:type="pct"/>
            <w:vMerge w:val="continue"/>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201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邓翔</w:t>
            </w:r>
          </w:p>
        </w:tc>
        <w:tc>
          <w:tcPr>
            <w:tcW w:w="1091"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18070138608</w:t>
            </w:r>
          </w:p>
        </w:tc>
        <w:tc>
          <w:tcPr>
            <w:tcW w:w="964"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eastAsia="zh-CN"/>
              </w:rPr>
            </w:pPr>
            <w:r>
              <w:rPr>
                <w:rFonts w:hint="eastAsia" w:cs="Times New Roman"/>
                <w:color w:val="000000"/>
                <w:kern w:val="0"/>
                <w:sz w:val="21"/>
                <w:szCs w:val="21"/>
                <w:lang w:val="en-US" w:eastAsia="zh-CN"/>
              </w:rPr>
              <w:t>9</w:t>
            </w:r>
          </w:p>
        </w:tc>
        <w:tc>
          <w:tcPr>
            <w:tcW w:w="412" w:type="pct"/>
            <w:vMerge w:val="restar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eastAsia="zh-CN"/>
              </w:rPr>
            </w:pPr>
            <w:r>
              <w:rPr>
                <w:rFonts w:hint="eastAsia" w:cs="Times New Roman"/>
                <w:color w:val="000000"/>
                <w:kern w:val="0"/>
                <w:sz w:val="21"/>
                <w:szCs w:val="21"/>
                <w:lang w:eastAsia="zh-CN"/>
              </w:rPr>
              <w:t>警戒疏散</w:t>
            </w:r>
          </w:p>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组</w:t>
            </w:r>
          </w:p>
        </w:tc>
        <w:tc>
          <w:tcPr>
            <w:tcW w:w="201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lang w:eastAsia="zh-CN"/>
              </w:rPr>
              <w:t>邓江莉</w:t>
            </w:r>
          </w:p>
        </w:tc>
        <w:tc>
          <w:tcPr>
            <w:tcW w:w="1091"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13970027701</w:t>
            </w:r>
          </w:p>
        </w:tc>
        <w:tc>
          <w:tcPr>
            <w:tcW w:w="964"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组长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10</w:t>
            </w:r>
          </w:p>
        </w:tc>
        <w:tc>
          <w:tcPr>
            <w:tcW w:w="412" w:type="pct"/>
            <w:vMerge w:val="continue"/>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201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eastAsia="zh-CN"/>
              </w:rPr>
            </w:pPr>
            <w:r>
              <w:rPr>
                <w:rFonts w:hint="eastAsia" w:cs="Times New Roman"/>
                <w:color w:val="000000"/>
                <w:kern w:val="0"/>
                <w:sz w:val="21"/>
                <w:szCs w:val="21"/>
                <w:lang w:eastAsia="zh-CN"/>
              </w:rPr>
              <w:t>万志辉</w:t>
            </w:r>
          </w:p>
        </w:tc>
        <w:tc>
          <w:tcPr>
            <w:tcW w:w="1091"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13970027710</w:t>
            </w:r>
          </w:p>
        </w:tc>
        <w:tc>
          <w:tcPr>
            <w:tcW w:w="964"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eastAsia="zh-CN"/>
              </w:rPr>
            </w:pPr>
            <w:r>
              <w:rPr>
                <w:rFonts w:hint="eastAsia" w:cs="Times New Roman"/>
                <w:color w:val="000000"/>
                <w:kern w:val="0"/>
                <w:sz w:val="21"/>
                <w:szCs w:val="21"/>
              </w:rPr>
              <w:t>1</w:t>
            </w:r>
            <w:r>
              <w:rPr>
                <w:rFonts w:hint="eastAsia" w:cs="Times New Roman"/>
                <w:color w:val="000000"/>
                <w:kern w:val="0"/>
                <w:sz w:val="21"/>
                <w:szCs w:val="21"/>
                <w:lang w:val="en-US" w:eastAsia="zh-CN"/>
              </w:rPr>
              <w:t>1</w:t>
            </w:r>
          </w:p>
        </w:tc>
        <w:tc>
          <w:tcPr>
            <w:tcW w:w="412" w:type="pct"/>
            <w:vMerge w:val="restart"/>
            <w:noWrap w:val="0"/>
            <w:textDirection w:val="tbRlV"/>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lang w:eastAsia="zh-CN"/>
              </w:rPr>
              <w:t>后勤</w:t>
            </w:r>
            <w:r>
              <w:rPr>
                <w:rFonts w:hint="eastAsia" w:cs="Times New Roman"/>
                <w:color w:val="000000"/>
                <w:kern w:val="0"/>
                <w:sz w:val="21"/>
                <w:szCs w:val="21"/>
              </w:rPr>
              <w:t>保障组</w:t>
            </w:r>
          </w:p>
        </w:tc>
        <w:tc>
          <w:tcPr>
            <w:tcW w:w="201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eastAsia="zh-CN"/>
              </w:rPr>
            </w:pPr>
            <w:r>
              <w:rPr>
                <w:rFonts w:hint="eastAsia" w:cs="Times New Roman"/>
                <w:color w:val="000000"/>
                <w:kern w:val="0"/>
                <w:sz w:val="21"/>
                <w:szCs w:val="21"/>
                <w:lang w:eastAsia="zh-CN"/>
              </w:rPr>
              <w:t>吴华敏</w:t>
            </w:r>
          </w:p>
        </w:tc>
        <w:tc>
          <w:tcPr>
            <w:tcW w:w="1091"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13330098266</w:t>
            </w:r>
          </w:p>
        </w:tc>
        <w:tc>
          <w:tcPr>
            <w:tcW w:w="964"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组长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12</w:t>
            </w:r>
          </w:p>
        </w:tc>
        <w:tc>
          <w:tcPr>
            <w:tcW w:w="412" w:type="pct"/>
            <w:vMerge w:val="continue"/>
            <w:noWrap w:val="0"/>
            <w:textDirection w:val="tbRlV"/>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2013"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余翠华</w:t>
            </w:r>
          </w:p>
        </w:tc>
        <w:tc>
          <w:tcPr>
            <w:tcW w:w="1091"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13970043128</w:t>
            </w:r>
          </w:p>
        </w:tc>
        <w:tc>
          <w:tcPr>
            <w:tcW w:w="964"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rPr>
              <w:t>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518"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13</w:t>
            </w:r>
          </w:p>
        </w:tc>
        <w:tc>
          <w:tcPr>
            <w:tcW w:w="412" w:type="pct"/>
            <w:vMerge w:val="continue"/>
            <w:noWrap w:val="0"/>
            <w:textDirection w:val="tbRlV"/>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201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eastAsia="zh-CN"/>
              </w:rPr>
              <w:t>魏少杰</w:t>
            </w:r>
          </w:p>
        </w:tc>
        <w:tc>
          <w:tcPr>
            <w:tcW w:w="1091"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13970065544</w:t>
            </w:r>
          </w:p>
        </w:tc>
        <w:tc>
          <w:tcPr>
            <w:tcW w:w="964"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rPr>
              <w:t>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518"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14</w:t>
            </w:r>
          </w:p>
        </w:tc>
        <w:tc>
          <w:tcPr>
            <w:tcW w:w="412" w:type="pct"/>
            <w:vMerge w:val="continue"/>
            <w:noWrap w:val="0"/>
            <w:textDirection w:val="tbRlV"/>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2013"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熊海克</w:t>
            </w:r>
          </w:p>
        </w:tc>
        <w:tc>
          <w:tcPr>
            <w:tcW w:w="1091"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13879101015</w:t>
            </w:r>
          </w:p>
        </w:tc>
        <w:tc>
          <w:tcPr>
            <w:tcW w:w="964"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rPr>
              <w:t>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518"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15</w:t>
            </w:r>
          </w:p>
        </w:tc>
        <w:tc>
          <w:tcPr>
            <w:tcW w:w="412" w:type="pct"/>
            <w:vMerge w:val="continue"/>
            <w:noWrap w:val="0"/>
            <w:textDirection w:val="tbRlV"/>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2013"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殷文婷</w:t>
            </w:r>
          </w:p>
        </w:tc>
        <w:tc>
          <w:tcPr>
            <w:tcW w:w="1091"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13767081816</w:t>
            </w:r>
          </w:p>
        </w:tc>
        <w:tc>
          <w:tcPr>
            <w:tcW w:w="964"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rPr>
              <w:t>成员</w:t>
            </w:r>
          </w:p>
        </w:tc>
      </w:tr>
    </w:tbl>
    <w:p>
      <w:pPr>
        <w:pStyle w:val="5"/>
      </w:pPr>
      <w:bookmarkStart w:id="37" w:name="_Toc30890"/>
      <w:r>
        <w:rPr>
          <w:rFonts w:hint="eastAsia"/>
        </w:rPr>
        <w:t>职责</w:t>
      </w:r>
      <w:bookmarkEnd w:id="37"/>
    </w:p>
    <w:p>
      <w:pPr>
        <w:pStyle w:val="6"/>
      </w:pPr>
      <w:r>
        <w:rPr>
          <w:rFonts w:hint="eastAsia"/>
        </w:rPr>
        <w:t>指挥机构职责</w:t>
      </w:r>
    </w:p>
    <w:p>
      <w:pPr>
        <w:ind w:firstLine="560"/>
      </w:pPr>
      <w:r>
        <w:t>1</w:t>
      </w:r>
      <w:r>
        <w:rPr>
          <w:rFonts w:hint="eastAsia"/>
        </w:rPr>
        <w:t>、认真贯彻有关法律法规对应急救援的要求，以及上级领导对应急救援的指示；</w:t>
      </w:r>
    </w:p>
    <w:p>
      <w:pPr>
        <w:ind w:firstLine="560"/>
      </w:pPr>
      <w:r>
        <w:t>2</w:t>
      </w:r>
      <w:r>
        <w:rPr>
          <w:rFonts w:hint="eastAsia"/>
        </w:rPr>
        <w:t>、组织制定</w:t>
      </w:r>
      <w:r>
        <w:rPr>
          <w:rFonts w:hint="eastAsia"/>
          <w:lang w:eastAsia="zh-CN"/>
        </w:rPr>
        <w:t>双港水厂</w:t>
      </w:r>
      <w:r>
        <w:rPr>
          <w:rFonts w:hint="eastAsia"/>
        </w:rPr>
        <w:t>生产安全</w:t>
      </w:r>
      <w:r>
        <w:rPr>
          <w:rFonts w:hint="eastAsia"/>
          <w:lang w:eastAsia="zh-CN"/>
        </w:rPr>
        <w:t>环保</w:t>
      </w:r>
      <w:r>
        <w:rPr>
          <w:rFonts w:hint="eastAsia"/>
        </w:rPr>
        <w:t>事故应急救援预案，并组织实施和演练；</w:t>
      </w:r>
    </w:p>
    <w:p>
      <w:pPr>
        <w:ind w:firstLine="560"/>
      </w:pPr>
      <w:r>
        <w:t>3</w:t>
      </w:r>
      <w:r>
        <w:rPr>
          <w:rFonts w:hint="eastAsia"/>
        </w:rPr>
        <w:t>、组建并管理应急救援专家组和救援队伍；</w:t>
      </w:r>
    </w:p>
    <w:p>
      <w:pPr>
        <w:ind w:firstLine="560"/>
      </w:pPr>
      <w:r>
        <w:t>4</w:t>
      </w:r>
      <w:r>
        <w:rPr>
          <w:rFonts w:hint="eastAsia"/>
        </w:rPr>
        <w:t>、负责统一规划应急救援力量和资源；</w:t>
      </w:r>
    </w:p>
    <w:p>
      <w:pPr>
        <w:ind w:firstLine="560"/>
      </w:pPr>
      <w:r>
        <w:t>5</w:t>
      </w:r>
      <w:r>
        <w:rPr>
          <w:rFonts w:hint="eastAsia"/>
        </w:rPr>
        <w:t>、检查督促事故的预防措施和应急救援各项准备工作的落实情况；</w:t>
      </w:r>
    </w:p>
    <w:p>
      <w:pPr>
        <w:ind w:firstLine="560"/>
      </w:pPr>
      <w:r>
        <w:t>6</w:t>
      </w:r>
      <w:r>
        <w:rPr>
          <w:rFonts w:hint="eastAsia"/>
        </w:rPr>
        <w:t>、发生生产安全事故时，发出应急救援令，调动力量实施应急救援行动。</w:t>
      </w:r>
    </w:p>
    <w:p>
      <w:pPr>
        <w:pStyle w:val="6"/>
        <w:numPr>
          <w:ilvl w:val="2"/>
          <w:numId w:val="0"/>
        </w:numPr>
        <w:ind w:leftChars="0"/>
      </w:pPr>
      <w:bookmarkStart w:id="38" w:name="_Toc526520648"/>
      <w:bookmarkStart w:id="39" w:name="_Toc526926227"/>
      <w:r>
        <w:rPr>
          <w:rFonts w:hint="eastAsia"/>
          <w:lang w:val="en-US" w:eastAsia="zh-CN"/>
        </w:rPr>
        <w:t>5.2.2</w:t>
      </w:r>
      <w:r>
        <w:rPr>
          <w:rFonts w:hint="eastAsia"/>
        </w:rPr>
        <w:t>应急救援指挥中心领导职责</w:t>
      </w:r>
      <w:bookmarkEnd w:id="38"/>
      <w:bookmarkEnd w:id="39"/>
    </w:p>
    <w:p>
      <w:pPr>
        <w:ind w:firstLine="560"/>
      </w:pPr>
      <w:r>
        <w:rPr>
          <w:rFonts w:hint="eastAsia"/>
        </w:rPr>
        <w:t>总指挥：全面负责应急救援工作；发生事故时，启动、关闭应急救援预案，负责对事故救援的场外指挥、全面协调及新闻发布。</w:t>
      </w:r>
    </w:p>
    <w:p>
      <w:pPr>
        <w:ind w:firstLine="560"/>
      </w:pPr>
      <w:r>
        <w:rPr>
          <w:rFonts w:hint="eastAsia"/>
          <w:lang w:val="en-US" w:eastAsia="zh-CN"/>
        </w:rPr>
        <w:t>副总指挥：</w:t>
      </w:r>
      <w:r>
        <w:rPr>
          <w:rFonts w:hint="eastAsia"/>
        </w:rPr>
        <w:t>负责领导应急救援队伍建设与管理，负责应急救援办公室的管理；发生生产安全事故时，负责以下指挥工作：事故现场救援指挥；救援物质资源和人力资源配置；救援技术指导；现场安全事故现场资料收集；事故周边建筑工程的安全评估；对救援工作中出现的问题提出紧急处理措施。协助总指挥开展应急救援工作。发生生产安全事故时，在现场负责指挥警戒、医疗救护、抢险抢修、物资保障、通讯保障、资金保障及善后工作。</w:t>
      </w:r>
    </w:p>
    <w:p>
      <w:pPr>
        <w:pStyle w:val="6"/>
        <w:numPr>
          <w:ilvl w:val="2"/>
          <w:numId w:val="0"/>
        </w:numPr>
        <w:ind w:leftChars="0"/>
      </w:pPr>
      <w:r>
        <w:rPr>
          <w:rFonts w:hint="eastAsia"/>
          <w:lang w:val="en-US" w:eastAsia="zh-CN"/>
        </w:rPr>
        <w:t>5.2.3</w:t>
      </w:r>
      <w:r>
        <w:rPr>
          <w:rFonts w:hint="eastAsia"/>
        </w:rPr>
        <w:t>应急救援指挥中心成员职责</w:t>
      </w:r>
    </w:p>
    <w:p>
      <w:pPr>
        <w:ind w:firstLine="560"/>
        <w:rPr>
          <w:rFonts w:hint="eastAsia"/>
        </w:rPr>
      </w:pPr>
      <w:r>
        <w:rPr>
          <w:rFonts w:hint="eastAsia"/>
        </w:rPr>
        <w:t>抢险救援组组长：由</w:t>
      </w:r>
      <w:r>
        <w:rPr>
          <w:rFonts w:hint="eastAsia"/>
          <w:lang w:eastAsia="zh-CN"/>
        </w:rPr>
        <w:t>供水部负责人</w:t>
      </w:r>
      <w:r>
        <w:rPr>
          <w:rFonts w:hint="eastAsia"/>
        </w:rPr>
        <w:t>担任，根据总指挥的命令，负责查清受灾人数、灾变地点、灾情，组织完成对灾区遇难人员的抢救和处理。接到通知后，迅速集合队伍奔赴现场，根据事故情形正确配戴个人防护用具，协助事故发生单位迅速切断事故源和排除现场的易燃、易爆物质；根据指挥部下达的指令，迅速抢修设备、管道，控制事故，以防扩大。查明有无操作者被困，及时使被困者脱离危险区域；现场指导抢救人员，消除危险物品，开启现场消防装置进行灭火；负责现场灭火过程的通讯联络，视火灾情况及时向指挥部报告，请求联防力量救援；现场固定消防泵、移动灭火器等要按规定经常检查，确保其处于良好的备用状态；负责向上级消防救援力量提供燃烧介质的消防特性，烧伤中毒防护方法，着火设备的禁忌注意事项；有计划地开展灭火预案的演习，熟悉消防重点的灭火预案，提高灭火抢救的战斗力;有计划、有针对性地预测设备、管道泄漏部位，进行计划性检修，并进行封堵等抢救措施的训练和实战演习。</w:t>
      </w:r>
    </w:p>
    <w:p>
      <w:pPr>
        <w:ind w:firstLine="560"/>
        <w:rPr>
          <w:rFonts w:hint="eastAsia"/>
        </w:rPr>
      </w:pPr>
      <w:r>
        <w:rPr>
          <w:rFonts w:hint="eastAsia"/>
        </w:rPr>
        <w:t>安全警戒疏散组组长：由</w:t>
      </w:r>
      <w:r>
        <w:rPr>
          <w:rFonts w:hint="eastAsia"/>
          <w:lang w:eastAsia="zh-CN"/>
        </w:rPr>
        <w:t>财务部负责人</w:t>
      </w:r>
      <w:r>
        <w:rPr>
          <w:rFonts w:hint="eastAsia"/>
        </w:rPr>
        <w:t>担任，发生事故后，根据事故情景配戴好防护服、防毒面具等，迅速奔赴现场；根据火灾爆炸（泄漏）影响范围，设置禁区，布置岗哨，加强警戒，巡逻检查，严禁无关人员进入禁区。接到报警后，封闭</w:t>
      </w:r>
      <w:r>
        <w:rPr>
          <w:rFonts w:hint="eastAsia"/>
          <w:lang w:eastAsia="zh-CN"/>
        </w:rPr>
        <w:t>水厂</w:t>
      </w:r>
      <w:r>
        <w:rPr>
          <w:rFonts w:hint="eastAsia"/>
        </w:rPr>
        <w:t>大门，维护</w:t>
      </w:r>
      <w:r>
        <w:rPr>
          <w:rFonts w:hint="eastAsia"/>
          <w:lang w:eastAsia="zh-CN"/>
        </w:rPr>
        <w:t>水厂</w:t>
      </w:r>
      <w:r>
        <w:rPr>
          <w:rFonts w:hint="eastAsia"/>
        </w:rPr>
        <w:t>道路交通程序，指引外来救援力量进入事故发生点，严禁外来人员入厂围观。应到事故发生区域封路，指挥抢救车辆行驶路线。</w:t>
      </w:r>
    </w:p>
    <w:p>
      <w:pPr>
        <w:ind w:firstLine="560"/>
        <w:rPr>
          <w:rFonts w:hint="eastAsia"/>
          <w:lang w:val="en-US" w:eastAsia="zh-CN"/>
        </w:rPr>
      </w:pPr>
      <w:r>
        <w:rPr>
          <w:rFonts w:hint="eastAsia"/>
          <w:lang w:eastAsia="zh-CN"/>
        </w:rPr>
        <w:t>通讯联络</w:t>
      </w:r>
      <w:r>
        <w:rPr>
          <w:rFonts w:hint="eastAsia"/>
        </w:rPr>
        <w:t>组组长：由</w:t>
      </w:r>
      <w:r>
        <w:rPr>
          <w:rFonts w:hint="eastAsia"/>
          <w:lang w:val="en-US" w:eastAsia="zh-CN"/>
        </w:rPr>
        <w:t>安环科</w:t>
      </w:r>
      <w:r>
        <w:rPr>
          <w:rFonts w:hint="eastAsia"/>
          <w:lang w:eastAsia="zh-CN"/>
        </w:rPr>
        <w:t>负责人</w:t>
      </w:r>
      <w:r>
        <w:rPr>
          <w:rFonts w:hint="eastAsia"/>
        </w:rPr>
        <w:t>担任，</w:t>
      </w:r>
      <w:r>
        <w:rPr>
          <w:rFonts w:hint="eastAsia"/>
          <w:lang w:val="en-US" w:eastAsia="zh-CN"/>
        </w:rPr>
        <w:t>负责与公司外部、内部部门进行联系，传达、下达应急管理指挥部指令；根据应急管理指挥部指令，负责与客户进行沟通。</w:t>
      </w:r>
    </w:p>
    <w:p>
      <w:pPr>
        <w:ind w:firstLine="560"/>
        <w:rPr>
          <w:rFonts w:hint="eastAsia"/>
        </w:rPr>
      </w:pPr>
      <w:r>
        <w:rPr>
          <w:rFonts w:hint="eastAsia"/>
          <w:lang w:eastAsia="zh-CN"/>
        </w:rPr>
        <w:t>后勤</w:t>
      </w:r>
      <w:r>
        <w:rPr>
          <w:rFonts w:hint="eastAsia"/>
        </w:rPr>
        <w:t>保障组组长：由</w:t>
      </w:r>
      <w:r>
        <w:rPr>
          <w:rFonts w:hint="eastAsia"/>
          <w:lang w:eastAsia="zh-CN"/>
        </w:rPr>
        <w:t>行政部负责人</w:t>
      </w:r>
      <w:r>
        <w:rPr>
          <w:rFonts w:hint="eastAsia"/>
        </w:rPr>
        <w:t>担任，物资供应队在接到报警后，根据现场实际需要，准备抢救物质及设备等工具。据事故的程度，及时向外单位联系，调运物质、工程器具等，负责抢救受伤、中毒人员的生活必需品的供应，负责抢险救援物质的运输</w:t>
      </w:r>
      <w:r>
        <w:rPr>
          <w:rFonts w:hint="eastAsia"/>
          <w:lang w:eastAsia="zh-CN"/>
        </w:rPr>
        <w:t>；</w:t>
      </w:r>
      <w:r>
        <w:rPr>
          <w:rFonts w:hint="eastAsia"/>
        </w:rPr>
        <w:t>熟悉</w:t>
      </w:r>
      <w:r>
        <w:rPr>
          <w:rFonts w:hint="eastAsia"/>
          <w:lang w:eastAsia="zh-CN"/>
        </w:rPr>
        <w:t>水厂</w:t>
      </w:r>
      <w:r>
        <w:rPr>
          <w:rFonts w:hint="eastAsia"/>
        </w:rPr>
        <w:t>内危险物质对人体危害的特性及相应的医疗急救措施。储备充足的急救器材和药品，并能随时取用，事故发生后，应迅速做好准备工作，伤者送来后，根据受伤症状，及时采取相应的急救措施对伤者进行急救，重伤员及时转院抢救。当</w:t>
      </w:r>
      <w:r>
        <w:rPr>
          <w:rFonts w:hint="eastAsia"/>
          <w:lang w:eastAsia="zh-CN"/>
        </w:rPr>
        <w:t>水厂</w:t>
      </w:r>
      <w:r>
        <w:rPr>
          <w:rFonts w:hint="eastAsia"/>
        </w:rPr>
        <w:t>急救力量无法满足需要时，向其他医疗单位申请救援并迅速转移伤者。</w:t>
      </w:r>
    </w:p>
    <w:p>
      <w:pPr>
        <w:pStyle w:val="6"/>
        <w:numPr>
          <w:ilvl w:val="2"/>
          <w:numId w:val="0"/>
        </w:numPr>
        <w:ind w:leftChars="0"/>
      </w:pPr>
      <w:bookmarkStart w:id="40" w:name="_Toc526926229"/>
      <w:bookmarkStart w:id="41" w:name="_Toc526520650"/>
      <w:r>
        <w:rPr>
          <w:rFonts w:hint="eastAsia"/>
          <w:lang w:val="en-US" w:eastAsia="zh-CN"/>
        </w:rPr>
        <w:t>5.2.4</w:t>
      </w:r>
      <w:r>
        <w:rPr>
          <w:rFonts w:hint="eastAsia"/>
        </w:rPr>
        <w:t>应急救援办公室职责</w:t>
      </w:r>
      <w:bookmarkEnd w:id="40"/>
      <w:bookmarkEnd w:id="41"/>
    </w:p>
    <w:p>
      <w:pPr>
        <w:ind w:firstLine="560"/>
      </w:pPr>
      <w:r>
        <w:rPr>
          <w:rFonts w:hint="eastAsia"/>
        </w:rPr>
        <w:t>在应急救援指挥中心的领导下，负责应急救援的日常事务，拟订和监督执行应急救援预案，承担应急救援信息收集、档案保存工作，组织开展与外单位应急救援技术合作与交流。报警电话：应急救援指挥中心电话:0791—</w:t>
      </w:r>
      <w:r>
        <w:rPr>
          <w:rFonts w:hint="eastAsia"/>
          <w:lang w:eastAsia="zh-CN"/>
        </w:rPr>
        <w:t>83887577</w:t>
      </w:r>
      <w:r>
        <w:rPr>
          <w:rFonts w:hint="eastAsia"/>
        </w:rPr>
        <w:t>。</w:t>
      </w:r>
    </w:p>
    <w:p>
      <w:pPr>
        <w:ind w:firstLine="560"/>
      </w:pPr>
    </w:p>
    <w:p>
      <w:pPr>
        <w:ind w:firstLine="0" w:firstLineChars="0"/>
        <w:jc w:val="left"/>
        <w:sectPr>
          <w:pgSz w:w="11906" w:h="16838"/>
          <w:pgMar w:top="1304" w:right="1247" w:bottom="1304" w:left="1531" w:header="851" w:footer="851" w:gutter="0"/>
          <w:pgBorders>
            <w:top w:val="none" w:sz="0" w:space="0"/>
            <w:left w:val="none" w:sz="0" w:space="0"/>
            <w:bottom w:val="none" w:sz="0" w:space="0"/>
            <w:right w:val="none" w:sz="0" w:space="0"/>
          </w:pgBorders>
          <w:pgNumType w:fmt="decimal"/>
          <w:cols w:space="425" w:num="1"/>
          <w:docGrid w:type="lines" w:linePitch="312" w:charSpace="0"/>
        </w:sectPr>
      </w:pPr>
    </w:p>
    <w:p>
      <w:pPr>
        <w:pStyle w:val="4"/>
      </w:pPr>
      <w:bookmarkStart w:id="42" w:name="_Toc19406"/>
      <w:r>
        <w:rPr>
          <w:rFonts w:hint="eastAsia"/>
        </w:rPr>
        <w:t>预防、预警及信息报告</w:t>
      </w:r>
      <w:bookmarkEnd w:id="42"/>
    </w:p>
    <w:p>
      <w:pPr>
        <w:pStyle w:val="5"/>
      </w:pPr>
      <w:bookmarkStart w:id="43" w:name="_Toc2185"/>
      <w:r>
        <w:rPr>
          <w:rFonts w:hint="eastAsia"/>
        </w:rPr>
        <w:t>预防</w:t>
      </w:r>
      <w:bookmarkEnd w:id="43"/>
    </w:p>
    <w:p>
      <w:pPr>
        <w:pStyle w:val="6"/>
      </w:pPr>
      <w:r>
        <w:rPr>
          <w:rFonts w:hint="eastAsia"/>
        </w:rPr>
        <w:t>环境风险监控</w:t>
      </w:r>
    </w:p>
    <w:p>
      <w:pPr>
        <w:ind w:firstLine="560"/>
      </w:pPr>
      <w:r>
        <w:rPr>
          <w:rFonts w:hint="eastAsia"/>
        </w:rPr>
        <w:t>1、环境风险源监控</w:t>
      </w:r>
    </w:p>
    <w:p>
      <w:pPr>
        <w:ind w:firstLine="560"/>
      </w:pPr>
      <w:r>
        <w:rPr>
          <w:rFonts w:hint="eastAsia"/>
        </w:rPr>
        <w:t>企业存在的环境风险源主要有：</w:t>
      </w:r>
      <w:r>
        <w:rPr>
          <w:rFonts w:hint="eastAsia"/>
          <w:lang w:val="en-US" w:eastAsia="zh-CN"/>
        </w:rPr>
        <w:t>次氯酸钠间</w:t>
      </w:r>
      <w:r>
        <w:rPr>
          <w:rFonts w:hint="eastAsia"/>
          <w:lang w:eastAsia="zh-CN"/>
        </w:rPr>
        <w:t>、</w:t>
      </w:r>
      <w:r>
        <w:rPr>
          <w:rFonts w:hint="eastAsia"/>
          <w:lang w:val="en-US" w:eastAsia="zh-CN"/>
        </w:rPr>
        <w:t>加药间、</w:t>
      </w:r>
      <w:r>
        <w:rPr>
          <w:rFonts w:hint="eastAsia"/>
        </w:rPr>
        <w:t>危废仓库等</w:t>
      </w:r>
      <w:r>
        <w:rPr>
          <w:rFonts w:hint="eastAsia"/>
          <w:color w:val="000000" w:themeColor="text1"/>
          <w14:textFill>
            <w14:solidFill>
              <w14:schemeClr w14:val="tx1"/>
            </w14:solidFill>
          </w14:textFill>
        </w:rPr>
        <w:t>。具体分布详见见附图</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w:t>
      </w:r>
    </w:p>
    <w:p>
      <w:pPr>
        <w:ind w:firstLine="560"/>
      </w:pPr>
      <w:r>
        <w:rPr>
          <w:rFonts w:hint="eastAsia"/>
        </w:rPr>
        <w:t>厂区车间及主干道设置监控，实行24小时不间断安全监控。一旦发生突发环境事件，工作人员可通过监视视频利用报警器迅速通知生产车间，同时厂区安排值班人员日常巡查，一旦发现突发环境事件，立即通知应急指挥部，同时启动相应的应急预案。</w:t>
      </w:r>
    </w:p>
    <w:p>
      <w:pPr>
        <w:pStyle w:val="6"/>
      </w:pPr>
      <w:r>
        <w:rPr>
          <w:rFonts w:hint="eastAsia"/>
        </w:rPr>
        <w:t>预防措施</w:t>
      </w:r>
    </w:p>
    <w:p>
      <w:pPr>
        <w:ind w:firstLine="560"/>
      </w:pPr>
      <w:r>
        <w:rPr>
          <w:rFonts w:hint="eastAsia"/>
        </w:rPr>
        <w:t>现有预防措施详见“章节</w:t>
      </w:r>
      <w:r>
        <w:fldChar w:fldCharType="begin"/>
      </w:r>
      <w:r>
        <w:instrText xml:space="preserve"> </w:instrText>
      </w:r>
      <w:r>
        <w:rPr>
          <w:rFonts w:hint="eastAsia"/>
        </w:rPr>
        <w:instrText xml:space="preserve">REF _Ref526953482 \r \h</w:instrText>
      </w:r>
      <w:r>
        <w:instrText xml:space="preserve"> </w:instrText>
      </w:r>
      <w:r>
        <w:fldChar w:fldCharType="separate"/>
      </w:r>
      <w:r>
        <w:t>4</w:t>
      </w:r>
      <w:r>
        <w:fldChar w:fldCharType="end"/>
      </w:r>
      <w:r>
        <w:fldChar w:fldCharType="begin"/>
      </w:r>
      <w:r>
        <w:instrText xml:space="preserve"> REF _Ref526953486 \h </w:instrText>
      </w:r>
      <w:r>
        <w:fldChar w:fldCharType="separate"/>
      </w:r>
      <w:r>
        <w:rPr>
          <w:rFonts w:hint="eastAsia"/>
        </w:rPr>
        <w:t>应急能力建设</w:t>
      </w:r>
      <w:r>
        <w:fldChar w:fldCharType="end"/>
      </w:r>
      <w:r>
        <w:rPr>
          <w:rFonts w:hint="eastAsia"/>
        </w:rPr>
        <w:t>”。</w:t>
      </w:r>
    </w:p>
    <w:p>
      <w:pPr>
        <w:pStyle w:val="5"/>
      </w:pPr>
      <w:bookmarkStart w:id="44" w:name="_Toc8401"/>
      <w:r>
        <w:rPr>
          <w:rFonts w:hint="eastAsia"/>
        </w:rPr>
        <w:t>预警</w:t>
      </w:r>
      <w:bookmarkEnd w:id="44"/>
    </w:p>
    <w:p>
      <w:pPr>
        <w:pStyle w:val="6"/>
      </w:pPr>
      <w:r>
        <w:rPr>
          <w:rFonts w:hint="eastAsia"/>
        </w:rPr>
        <w:t>分级预警</w:t>
      </w:r>
    </w:p>
    <w:p>
      <w:pPr>
        <w:ind w:firstLine="560"/>
      </w:pPr>
      <w:r>
        <w:rPr>
          <w:rFonts w:hint="eastAsia"/>
        </w:rPr>
        <w:t>根据公司突发环境事件分类与分级情况和环境风险预测分析结果，对可能发生的突发事件进行预警。预警级别依据突发环境事件的紧急程度和可能造成的危害程度，划分为三级：</w:t>
      </w:r>
    </w:p>
    <w:p>
      <w:pPr>
        <w:pStyle w:val="6"/>
      </w:pPr>
      <w:r>
        <w:rPr>
          <w:rFonts w:hint="eastAsia"/>
        </w:rPr>
        <w:t>预警的方式、方法</w:t>
      </w:r>
    </w:p>
    <w:p>
      <w:pPr>
        <w:ind w:firstLine="560"/>
      </w:pPr>
      <w:r>
        <w:rPr>
          <w:rFonts w:hint="eastAsia"/>
        </w:rPr>
        <w:t>1、公司I级预警在半小时内通过电话上报给</w:t>
      </w:r>
      <w:r>
        <w:rPr>
          <w:rFonts w:hint="eastAsia"/>
          <w:lang w:val="en-US" w:eastAsia="zh-CN"/>
        </w:rPr>
        <w:t>经开</w:t>
      </w:r>
      <w:r>
        <w:rPr>
          <w:rFonts w:hint="eastAsia"/>
        </w:rPr>
        <w:t>管委会，并根据</w:t>
      </w:r>
      <w:r>
        <w:rPr>
          <w:rFonts w:hint="eastAsia"/>
          <w:lang w:eastAsia="zh-CN"/>
        </w:rPr>
        <w:t>经开管委会</w:t>
      </w:r>
      <w:r>
        <w:rPr>
          <w:rFonts w:hint="eastAsia"/>
        </w:rPr>
        <w:t>和公司应急指挥部组成的临时应急指挥部的指示通过电话通知可能受到影响的敏感目标，使之转移到事故发生点的上风向区域；公司内部通过对讲机、电话联络；</w:t>
      </w:r>
    </w:p>
    <w:p>
      <w:pPr>
        <w:ind w:firstLine="560"/>
      </w:pPr>
      <w:r>
        <w:rPr>
          <w:rFonts w:hint="eastAsia"/>
        </w:rPr>
        <w:t>2、公司II级预警和III级预警通过对讲机、电话联络。</w:t>
      </w:r>
    </w:p>
    <w:p>
      <w:pPr>
        <w:pStyle w:val="6"/>
      </w:pPr>
      <w:r>
        <w:rPr>
          <w:rFonts w:hint="eastAsia"/>
        </w:rPr>
        <w:t>预警发布方式及流程</w:t>
      </w:r>
    </w:p>
    <w:p>
      <w:pPr>
        <w:ind w:firstLine="560"/>
      </w:pPr>
      <w:r>
        <w:rPr>
          <w:rFonts w:hint="eastAsia"/>
        </w:rPr>
        <w:t>应急办公室接到报警后，应根据事故情况及时向有关单位和有关人员报告。当事故影响的范围只涉及一个车间或一个部门时，应急办公室负责指挥，启动III级预警程序；当事故影响的范围涉及多个车间或部门，影响整个公司时，应急办公室应上报给应急指挥部，启动II级预警程序；对于能威胁到人员生命安全、构成较大环境污染、影响到其它单位生产的较大事故，应急指挥部应迅速启动I级预警程序，同时根据实际情况将事故情况上报给</w:t>
      </w:r>
      <w:r>
        <w:rPr>
          <w:rFonts w:hint="eastAsia"/>
          <w:lang w:eastAsia="zh-CN"/>
        </w:rPr>
        <w:t>南昌</w:t>
      </w:r>
      <w:r>
        <w:rPr>
          <w:rFonts w:hint="eastAsia"/>
          <w:lang w:val="en-US" w:eastAsia="zh-CN"/>
        </w:rPr>
        <w:t>市昌北生态环境局</w:t>
      </w:r>
      <w:r>
        <w:rPr>
          <w:rFonts w:hint="eastAsia"/>
        </w:rPr>
        <w:t>应急办。</w:t>
      </w:r>
    </w:p>
    <w:p>
      <w:pPr>
        <w:ind w:firstLine="560"/>
      </w:pPr>
      <w:r>
        <w:rPr>
          <w:rFonts w:hint="eastAsia"/>
        </w:rPr>
        <w:t>III级预警事件预警信息，由应急办公室通过电话负责发布和解除。</w:t>
      </w:r>
    </w:p>
    <w:p>
      <w:pPr>
        <w:ind w:firstLine="560"/>
      </w:pPr>
      <w:r>
        <w:rPr>
          <w:rFonts w:hint="eastAsia"/>
        </w:rPr>
        <w:t>I级预警事件预警信息，由应急指挥部负责发布、降级或解除，经应急指挥部批准后由应急办公室通过厂内电话发布和解除。</w:t>
      </w:r>
    </w:p>
    <w:p>
      <w:pPr>
        <w:ind w:firstLine="560"/>
      </w:pPr>
      <w:r>
        <w:rPr>
          <w:rFonts w:hint="eastAsia"/>
        </w:rPr>
        <w:t>I级预警事件预警信息，由</w:t>
      </w:r>
      <w:r>
        <w:rPr>
          <w:rFonts w:hint="eastAsia"/>
          <w:lang w:val="en-US" w:eastAsia="zh-CN"/>
        </w:rPr>
        <w:t>昌北生态环境局</w:t>
      </w:r>
      <w:r>
        <w:rPr>
          <w:rFonts w:hint="eastAsia"/>
        </w:rPr>
        <w:t>和公司应急指挥部组成的临时应急指挥部发布，向可能受到事故影响的村庄和单位发布、降级或解除。相应流程图见</w:t>
      </w:r>
      <w:r>
        <w:fldChar w:fldCharType="begin"/>
      </w:r>
      <w:r>
        <w:instrText xml:space="preserve"> </w:instrText>
      </w:r>
      <w:r>
        <w:rPr>
          <w:rFonts w:hint="eastAsia"/>
        </w:rPr>
        <w:instrText xml:space="preserve">REF _Ref527060508 \h</w:instrText>
      </w:r>
      <w:r>
        <w:instrText xml:space="preserve"> </w:instrText>
      </w:r>
      <w:r>
        <w:fldChar w:fldCharType="separate"/>
      </w:r>
      <w:r>
        <w:rPr>
          <w:rFonts w:hint="eastAsia"/>
        </w:rPr>
        <w:t xml:space="preserve">图 </w:t>
      </w:r>
      <w:r>
        <w:t>6</w:t>
      </w:r>
      <w:r>
        <w:noBreakHyphen/>
      </w:r>
      <w:r>
        <w:t>1</w:t>
      </w:r>
      <w:r>
        <w:fldChar w:fldCharType="end"/>
      </w:r>
      <w:r>
        <w:rPr>
          <w:rFonts w:hint="eastAsia"/>
        </w:rPr>
        <w:t>。</w:t>
      </w:r>
    </w:p>
    <w:p>
      <w:pPr>
        <w:keepNext/>
        <w:ind w:firstLine="0" w:firstLineChars="0"/>
        <w:rPr>
          <w:rFonts w:hint="eastAsia" w:eastAsia="宋体"/>
          <w:lang w:eastAsia="zh-CN"/>
        </w:rPr>
      </w:pPr>
      <w:r>
        <w:rPr>
          <w:rFonts w:hint="eastAsia" w:eastAsia="宋体"/>
          <w:lang w:eastAsia="zh-CN"/>
        </w:rPr>
        <w:drawing>
          <wp:inline distT="0" distB="0" distL="114300" distR="114300">
            <wp:extent cx="5784850" cy="6286500"/>
            <wp:effectExtent l="0" t="0" r="6350" b="0"/>
            <wp:docPr id="17" name="图片 17" descr="15953938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595393855(1)"/>
                    <pic:cNvPicPr>
                      <a:picLocks noChangeAspect="1"/>
                    </pic:cNvPicPr>
                  </pic:nvPicPr>
                  <pic:blipFill>
                    <a:blip r:embed="rId22"/>
                    <a:stretch>
                      <a:fillRect/>
                    </a:stretch>
                  </pic:blipFill>
                  <pic:spPr>
                    <a:xfrm>
                      <a:off x="0" y="0"/>
                      <a:ext cx="5784850" cy="6286500"/>
                    </a:xfrm>
                    <a:prstGeom prst="rect">
                      <a:avLst/>
                    </a:prstGeom>
                  </pic:spPr>
                </pic:pic>
              </a:graphicData>
            </a:graphic>
          </wp:inline>
        </w:drawing>
      </w:r>
    </w:p>
    <w:p>
      <w:pPr>
        <w:pStyle w:val="8"/>
      </w:pPr>
      <w:bookmarkStart w:id="45" w:name="_Ref527060508"/>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6</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1</w:t>
      </w:r>
      <w:r>
        <w:fldChar w:fldCharType="end"/>
      </w:r>
      <w:bookmarkEnd w:id="45"/>
      <w:r>
        <w:rPr>
          <w:rFonts w:hint="eastAsia"/>
        </w:rPr>
        <w:t>突发环境事件预警流程图</w:t>
      </w:r>
    </w:p>
    <w:p>
      <w:pPr>
        <w:pStyle w:val="6"/>
      </w:pPr>
      <w:r>
        <w:rPr>
          <w:rFonts w:hint="eastAsia"/>
        </w:rPr>
        <w:t>预警行动</w:t>
      </w:r>
    </w:p>
    <w:p>
      <w:pPr>
        <w:ind w:firstLine="560"/>
      </w:pPr>
      <w:r>
        <w:rPr>
          <w:rFonts w:hint="eastAsia"/>
        </w:rPr>
        <w:t>收集到的有关信息证明环境风险源即将发生环境污染事故或者发生的可能性增大，对人员生命和设备财产安全构成威胁时，按照相关的突发环境事件预警程序执行。</w:t>
      </w:r>
    </w:p>
    <w:p>
      <w:pPr>
        <w:ind w:firstLine="560"/>
      </w:pPr>
      <w:r>
        <w:rPr>
          <w:rFonts w:hint="eastAsia"/>
        </w:rPr>
        <w:t>应急指挥部接到可能突发环境事件信息后，应按照分级响应的原则及时研究确定应对方案，并通知有关部门、车间采取有效措施预防事故发生；当应急指挥部认为事故较大，有可能超出公司处置能力时，要及时向</w:t>
      </w:r>
      <w:r>
        <w:rPr>
          <w:rFonts w:hint="eastAsia"/>
          <w:lang w:eastAsia="zh-CN"/>
        </w:rPr>
        <w:t>昌北生态环境局</w:t>
      </w:r>
      <w:r>
        <w:rPr>
          <w:rFonts w:hint="eastAsia"/>
        </w:rPr>
        <w:t>应急办报告，及时研究应对方案，采取预警行动。</w:t>
      </w:r>
    </w:p>
    <w:p>
      <w:pPr>
        <w:ind w:firstLine="560"/>
      </w:pPr>
      <w:r>
        <w:rPr>
          <w:rFonts w:hint="eastAsia"/>
        </w:rPr>
        <w:t>发生I级环境预警事件时，临时应急指挥部要通知可能受到事故影响的敏感目标向事件发生点的上风向转移，转移的同时采取用湿布捂鼻的保护措施。</w:t>
      </w:r>
    </w:p>
    <w:p>
      <w:pPr>
        <w:pStyle w:val="5"/>
      </w:pPr>
      <w:bookmarkStart w:id="46" w:name="_Toc22974"/>
      <w:r>
        <w:rPr>
          <w:rFonts w:hint="eastAsia"/>
        </w:rPr>
        <w:t>信息报告</w:t>
      </w:r>
      <w:bookmarkEnd w:id="46"/>
    </w:p>
    <w:p>
      <w:pPr>
        <w:pStyle w:val="6"/>
      </w:pPr>
      <w:r>
        <w:rPr>
          <w:rFonts w:hint="eastAsia"/>
        </w:rPr>
        <w:t>信息接收与通报</w:t>
      </w:r>
    </w:p>
    <w:p>
      <w:pPr>
        <w:pStyle w:val="7"/>
      </w:pPr>
      <w:r>
        <w:rPr>
          <w:rFonts w:hint="eastAsia"/>
        </w:rPr>
        <w:t>公司内部应急救援联系电话</w:t>
      </w:r>
    </w:p>
    <w:p>
      <w:pPr>
        <w:ind w:firstLine="560"/>
      </w:pPr>
      <w:r>
        <w:rPr>
          <w:rFonts w:hint="eastAsia"/>
        </w:rPr>
        <w:t>公司在应急办公室设置24小时应急值守电话0791—</w:t>
      </w:r>
      <w:r>
        <w:rPr>
          <w:rFonts w:hint="eastAsia"/>
          <w:lang w:eastAsia="zh-CN"/>
        </w:rPr>
        <w:t>83887577</w:t>
      </w:r>
      <w:r>
        <w:rPr>
          <w:rFonts w:hint="eastAsia"/>
        </w:rPr>
        <w:t>。公司应急救援人员名单及联系电话如果发生了突发环境事件，可立即通过厂内的所有通讯报警装置进行报警：</w:t>
      </w:r>
    </w:p>
    <w:p>
      <w:pPr>
        <w:ind w:firstLine="560"/>
      </w:pPr>
      <w:r>
        <w:rPr>
          <w:rFonts w:hint="eastAsia"/>
        </w:rPr>
        <w:t>（1）对讲机；</w:t>
      </w:r>
    </w:p>
    <w:p>
      <w:pPr>
        <w:ind w:firstLine="560"/>
      </w:pPr>
      <w:r>
        <w:rPr>
          <w:rFonts w:hint="eastAsia"/>
        </w:rPr>
        <w:t>（2）内部电话或手机报警。</w:t>
      </w:r>
    </w:p>
    <w:p>
      <w:pPr>
        <w:ind w:firstLine="560"/>
      </w:pPr>
      <w:r>
        <w:rPr>
          <w:rFonts w:hint="eastAsia"/>
        </w:rPr>
        <w:t>各应急救援指挥部及救援小组人员名单及联系电话见</w:t>
      </w:r>
      <w:r>
        <w:fldChar w:fldCharType="begin"/>
      </w:r>
      <w:r>
        <w:instrText xml:space="preserve"> </w:instrText>
      </w:r>
      <w:r>
        <w:rPr>
          <w:rFonts w:hint="eastAsia"/>
        </w:rPr>
        <w:instrText xml:space="preserve">REF _Ref526954349 \h</w:instrText>
      </w:r>
      <w:r>
        <w:instrText xml:space="preserve"> </w:instrText>
      </w:r>
      <w:r>
        <w:fldChar w:fldCharType="separate"/>
      </w:r>
      <w:r>
        <w:rPr>
          <w:rFonts w:hint="eastAsia"/>
        </w:rPr>
        <w:t xml:space="preserve">表 </w:t>
      </w:r>
      <w:r>
        <w:t>5</w:t>
      </w:r>
      <w:r>
        <w:noBreakHyphen/>
      </w:r>
      <w:r>
        <w:t>1</w:t>
      </w:r>
      <w:r>
        <w:fldChar w:fldCharType="end"/>
      </w:r>
      <w:r>
        <w:rPr>
          <w:rFonts w:hint="eastAsia"/>
          <w:lang w:eastAsia="zh-CN"/>
        </w:rPr>
        <w:t>、</w:t>
      </w:r>
      <w:r>
        <w:rPr>
          <w:rFonts w:hint="eastAsia"/>
          <w:lang w:val="en-US" w:eastAsia="zh-CN"/>
        </w:rPr>
        <w:t>表5-2</w:t>
      </w:r>
      <w:r>
        <w:rPr>
          <w:rFonts w:hint="eastAsia"/>
        </w:rPr>
        <w:t>。</w:t>
      </w:r>
    </w:p>
    <w:p>
      <w:pPr>
        <w:pStyle w:val="7"/>
      </w:pPr>
      <w:r>
        <w:rPr>
          <w:rFonts w:hint="eastAsia"/>
        </w:rPr>
        <w:t>外部通讯联络电话</w:t>
      </w:r>
    </w:p>
    <w:p>
      <w:pPr>
        <w:ind w:firstLine="562"/>
        <w:rPr>
          <w:b/>
        </w:rPr>
      </w:pPr>
      <w:r>
        <w:rPr>
          <w:rFonts w:hint="eastAsia"/>
          <w:b/>
        </w:rPr>
        <w:t>1、医疗急救</w:t>
      </w:r>
    </w:p>
    <w:p>
      <w:pPr>
        <w:ind w:firstLine="560"/>
      </w:pPr>
      <w:r>
        <w:rPr>
          <w:rFonts w:hint="eastAsia"/>
        </w:rPr>
        <w:t>如有人员受伤严重，立即联系救护车。求助时应注意：①讲清公司名称、地址；②受伤人数、受伤原因、伤员状态；③派人到路口迎接急救车。</w:t>
      </w:r>
    </w:p>
    <w:p>
      <w:pPr>
        <w:ind w:firstLine="562"/>
        <w:rPr>
          <w:b/>
        </w:rPr>
      </w:pPr>
      <w:r>
        <w:rPr>
          <w:rFonts w:hint="eastAsia"/>
          <w:b/>
        </w:rPr>
        <w:t>2、信息上报</w:t>
      </w:r>
    </w:p>
    <w:p>
      <w:pPr>
        <w:ind w:firstLine="560"/>
      </w:pPr>
      <w:r>
        <w:rPr>
          <w:rFonts w:hint="eastAsia"/>
        </w:rPr>
        <w:t>公司发生I级突发环境预警事件时应在半小时之内将事故相关情报上报给</w:t>
      </w:r>
      <w:r>
        <w:rPr>
          <w:rFonts w:hint="eastAsia"/>
          <w:lang w:eastAsia="zh-CN"/>
        </w:rPr>
        <w:t>经开管委会</w:t>
      </w:r>
      <w:r>
        <w:rPr>
          <w:rFonts w:hint="eastAsia"/>
        </w:rPr>
        <w:t>。</w:t>
      </w:r>
    </w:p>
    <w:p>
      <w:pPr>
        <w:ind w:firstLine="560"/>
      </w:pPr>
      <w:r>
        <w:rPr>
          <w:rFonts w:hint="eastAsia"/>
        </w:rPr>
        <w:t>I级突发环境事件发生后请求支援单位的联系方式详见</w:t>
      </w:r>
      <w:r>
        <w:fldChar w:fldCharType="begin"/>
      </w:r>
      <w:r>
        <w:instrText xml:space="preserve"> </w:instrText>
      </w:r>
      <w:r>
        <w:rPr>
          <w:rFonts w:hint="eastAsia"/>
        </w:rPr>
        <w:instrText xml:space="preserve">REF _Ref526954759 \h</w:instrText>
      </w:r>
      <w:r>
        <w:instrText xml:space="preserve"> </w:instrText>
      </w:r>
      <w:r>
        <w:fldChar w:fldCharType="separate"/>
      </w:r>
      <w:r>
        <w:rPr>
          <w:rFonts w:hint="eastAsia"/>
        </w:rPr>
        <w:t xml:space="preserve">表 </w:t>
      </w:r>
      <w:r>
        <w:t>6</w:t>
      </w:r>
      <w:r>
        <w:noBreakHyphen/>
      </w:r>
      <w:r>
        <w:t>1</w:t>
      </w:r>
      <w:r>
        <w:fldChar w:fldCharType="end"/>
      </w:r>
      <w:r>
        <w:rPr>
          <w:rFonts w:hint="eastAsia"/>
        </w:rPr>
        <w:t>。</w:t>
      </w:r>
    </w:p>
    <w:p>
      <w:pPr>
        <w:pStyle w:val="8"/>
        <w:keepNext/>
      </w:pPr>
      <w:bookmarkStart w:id="47" w:name="_Ref526954759"/>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6</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1</w:t>
      </w:r>
      <w:r>
        <w:fldChar w:fldCharType="end"/>
      </w:r>
      <w:bookmarkEnd w:id="47"/>
      <w:r>
        <w:rPr>
          <w:rFonts w:hint="eastAsia"/>
        </w:rPr>
        <w:t>外部救援机构联系方式</w:t>
      </w:r>
    </w:p>
    <w:tbl>
      <w:tblPr>
        <w:tblStyle w:val="15"/>
        <w:tblW w:w="481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29"/>
        <w:gridCol w:w="3064"/>
        <w:gridCol w:w="29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shd w:val="clear" w:color="auto" w:fill="auto"/>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单位</w:t>
            </w:r>
          </w:p>
        </w:tc>
        <w:tc>
          <w:tcPr>
            <w:tcW w:w="1704" w:type="pct"/>
            <w:shd w:val="clear" w:color="auto" w:fill="auto"/>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科室名称</w:t>
            </w:r>
          </w:p>
        </w:tc>
        <w:tc>
          <w:tcPr>
            <w:tcW w:w="1666" w:type="pct"/>
            <w:shd w:val="clear" w:color="auto" w:fill="auto"/>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办公电话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Merge w:val="restart"/>
            <w:vAlign w:val="center"/>
          </w:tcPr>
          <w:p>
            <w:pPr>
              <w:widowControl/>
              <w:snapToGrid w:val="0"/>
              <w:spacing w:line="240" w:lineRule="auto"/>
              <w:ind w:firstLine="0" w:firstLineChars="0"/>
              <w:contextualSpacing/>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南昌市生态环境局</w:t>
            </w:r>
          </w:p>
        </w:tc>
        <w:tc>
          <w:tcPr>
            <w:tcW w:w="1704"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办公室</w:t>
            </w:r>
          </w:p>
        </w:tc>
        <w:tc>
          <w:tcPr>
            <w:tcW w:w="1666"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0791-86356015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Merge w:val="continue"/>
            <w:vAlign w:val="center"/>
          </w:tcPr>
          <w:p>
            <w:pPr>
              <w:widowControl/>
              <w:snapToGrid w:val="0"/>
              <w:spacing w:line="240" w:lineRule="auto"/>
              <w:ind w:firstLine="0" w:firstLineChars="0"/>
              <w:contextualSpacing/>
              <w:jc w:val="center"/>
              <w:rPr>
                <w:rFonts w:cs="Times New Roman"/>
                <w:color w:val="000000"/>
                <w:kern w:val="0"/>
                <w:sz w:val="21"/>
                <w:szCs w:val="21"/>
              </w:rPr>
            </w:pPr>
          </w:p>
        </w:tc>
        <w:tc>
          <w:tcPr>
            <w:tcW w:w="1704"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hint="eastAsia" w:cs="Times New Roman"/>
                <w:color w:val="000000"/>
                <w:kern w:val="0"/>
                <w:sz w:val="21"/>
                <w:szCs w:val="21"/>
              </w:rPr>
              <w:t>污染防治处</w:t>
            </w:r>
          </w:p>
        </w:tc>
        <w:tc>
          <w:tcPr>
            <w:tcW w:w="1666"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0791-86356022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Merge w:val="continue"/>
            <w:vAlign w:val="center"/>
          </w:tcPr>
          <w:p>
            <w:pPr>
              <w:widowControl/>
              <w:snapToGrid w:val="0"/>
              <w:spacing w:line="240" w:lineRule="auto"/>
              <w:ind w:firstLine="0" w:firstLineChars="0"/>
              <w:contextualSpacing/>
              <w:jc w:val="center"/>
              <w:rPr>
                <w:rFonts w:cs="Times New Roman"/>
                <w:color w:val="000000"/>
                <w:kern w:val="0"/>
                <w:sz w:val="21"/>
                <w:szCs w:val="21"/>
              </w:rPr>
            </w:pPr>
          </w:p>
        </w:tc>
        <w:tc>
          <w:tcPr>
            <w:tcW w:w="1704" w:type="pct"/>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rPr>
            </w:pPr>
            <w:r>
              <w:rPr>
                <w:rFonts w:hint="eastAsia" w:cs="Times New Roman"/>
                <w:color w:val="000000"/>
                <w:kern w:val="0"/>
                <w:sz w:val="21"/>
                <w:szCs w:val="21"/>
                <w:lang w:val="en-US" w:eastAsia="zh-CN"/>
              </w:rPr>
              <w:t>昌北生态环境局</w:t>
            </w:r>
          </w:p>
        </w:tc>
        <w:tc>
          <w:tcPr>
            <w:tcW w:w="1666" w:type="pct"/>
            <w:vAlign w:val="center"/>
          </w:tcPr>
          <w:p>
            <w:pPr>
              <w:widowControl/>
              <w:snapToGrid w:val="0"/>
              <w:spacing w:line="240" w:lineRule="auto"/>
              <w:ind w:firstLine="0" w:firstLineChars="0"/>
              <w:contextualSpacing/>
              <w:jc w:val="center"/>
              <w:rPr>
                <w:rFonts w:hint="default" w:eastAsia="宋体" w:cs="Times New Roman"/>
                <w:color w:val="000000"/>
                <w:kern w:val="0"/>
                <w:sz w:val="21"/>
                <w:szCs w:val="21"/>
                <w:lang w:val="en-US" w:eastAsia="zh-CN"/>
              </w:rPr>
            </w:pPr>
            <w:r>
              <w:rPr>
                <w:rFonts w:cs="Times New Roman"/>
                <w:color w:val="000000"/>
                <w:kern w:val="0"/>
                <w:sz w:val="21"/>
                <w:szCs w:val="21"/>
                <w:highlight w:val="none"/>
              </w:rPr>
              <w:t>0791-8</w:t>
            </w:r>
            <w:r>
              <w:rPr>
                <w:rFonts w:hint="eastAsia" w:cs="Times New Roman"/>
                <w:color w:val="000000"/>
                <w:kern w:val="0"/>
                <w:sz w:val="21"/>
                <w:szCs w:val="21"/>
                <w:highlight w:val="none"/>
                <w:lang w:val="en-US" w:eastAsia="zh-CN"/>
              </w:rPr>
              <w:t>7121025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hint="eastAsia" w:cs="Times New Roman"/>
                <w:color w:val="000000"/>
                <w:kern w:val="0"/>
                <w:sz w:val="21"/>
                <w:szCs w:val="21"/>
                <w:lang w:val="en-US" w:eastAsia="zh-CN"/>
              </w:rPr>
              <w:t>南昌昌北经开</w:t>
            </w:r>
            <w:r>
              <w:rPr>
                <w:rFonts w:cs="Times New Roman"/>
                <w:color w:val="000000"/>
                <w:kern w:val="0"/>
                <w:sz w:val="21"/>
                <w:szCs w:val="21"/>
              </w:rPr>
              <w:t>区</w:t>
            </w:r>
            <w:r>
              <w:rPr>
                <w:rFonts w:hint="eastAsia" w:cs="Times New Roman"/>
                <w:color w:val="000000"/>
                <w:kern w:val="0"/>
                <w:sz w:val="21"/>
                <w:szCs w:val="21"/>
              </w:rPr>
              <w:t>管委会</w:t>
            </w:r>
          </w:p>
        </w:tc>
        <w:tc>
          <w:tcPr>
            <w:tcW w:w="1704"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办公室</w:t>
            </w:r>
          </w:p>
        </w:tc>
        <w:tc>
          <w:tcPr>
            <w:tcW w:w="1666" w:type="pct"/>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rPr>
            </w:pPr>
            <w:r>
              <w:rPr>
                <w:rFonts w:hint="eastAsia" w:cs="Times New Roman"/>
                <w:color w:val="000000"/>
                <w:kern w:val="0"/>
                <w:sz w:val="21"/>
                <w:szCs w:val="21"/>
                <w:lang w:eastAsia="zh-CN"/>
              </w:rPr>
              <w:t>0791-</w:t>
            </w:r>
            <w:r>
              <w:rPr>
                <w:rFonts w:hint="eastAsia" w:cs="Times New Roman"/>
                <w:color w:val="000000"/>
                <w:kern w:val="0"/>
                <w:sz w:val="21"/>
                <w:szCs w:val="21"/>
                <w:lang w:val="en-US" w:eastAsia="zh-CN"/>
              </w:rPr>
              <w:t>83805600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Merge w:val="restar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hint="eastAsia" w:cs="Times New Roman"/>
                <w:color w:val="000000"/>
                <w:kern w:val="0"/>
                <w:sz w:val="21"/>
                <w:szCs w:val="21"/>
              </w:rPr>
              <w:t>安全</w:t>
            </w:r>
          </w:p>
        </w:tc>
        <w:tc>
          <w:tcPr>
            <w:tcW w:w="1704" w:type="pct"/>
            <w:vAlign w:val="center"/>
          </w:tcPr>
          <w:p>
            <w:pPr>
              <w:widowControl/>
              <w:snapToGrid w:val="0"/>
              <w:spacing w:line="240" w:lineRule="auto"/>
              <w:ind w:firstLine="0" w:firstLineChars="0"/>
              <w:contextualSpacing/>
              <w:jc w:val="center"/>
              <w:rPr>
                <w:rFonts w:hint="eastAsia" w:eastAsia="宋体" w:cs="Times New Roman"/>
                <w:color w:val="000000"/>
                <w:kern w:val="0"/>
                <w:sz w:val="21"/>
                <w:szCs w:val="21"/>
                <w:lang w:eastAsia="zh-CN"/>
              </w:rPr>
            </w:pPr>
            <w:r>
              <w:rPr>
                <w:rFonts w:hint="eastAsia" w:cs="Times New Roman"/>
                <w:color w:val="000000"/>
                <w:kern w:val="0"/>
                <w:sz w:val="21"/>
                <w:szCs w:val="21"/>
              </w:rPr>
              <w:t>南昌市</w:t>
            </w:r>
            <w:r>
              <w:rPr>
                <w:rFonts w:hint="eastAsia" w:cs="Times New Roman"/>
                <w:color w:val="000000"/>
                <w:kern w:val="0"/>
                <w:sz w:val="21"/>
                <w:szCs w:val="21"/>
                <w:lang w:eastAsia="zh-CN"/>
              </w:rPr>
              <w:t>应急管理局</w:t>
            </w:r>
          </w:p>
        </w:tc>
        <w:tc>
          <w:tcPr>
            <w:tcW w:w="1666"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0791-83986158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Merge w:val="continue"/>
            <w:vAlign w:val="center"/>
          </w:tcPr>
          <w:p>
            <w:pPr>
              <w:widowControl/>
              <w:snapToGrid w:val="0"/>
              <w:spacing w:line="240" w:lineRule="auto"/>
              <w:ind w:firstLine="0" w:firstLineChars="0"/>
              <w:contextualSpacing/>
              <w:jc w:val="center"/>
              <w:rPr>
                <w:rFonts w:cs="Times New Roman"/>
                <w:color w:val="000000"/>
                <w:kern w:val="0"/>
                <w:sz w:val="21"/>
                <w:szCs w:val="21"/>
              </w:rPr>
            </w:pPr>
          </w:p>
        </w:tc>
        <w:tc>
          <w:tcPr>
            <w:tcW w:w="1704" w:type="pct"/>
            <w:vAlign w:val="center"/>
          </w:tcPr>
          <w:p>
            <w:pPr>
              <w:widowControl/>
              <w:snapToGrid w:val="0"/>
              <w:spacing w:line="240" w:lineRule="auto"/>
              <w:ind w:firstLine="0" w:firstLineChars="0"/>
              <w:contextualSpacing/>
              <w:jc w:val="center"/>
              <w:rPr>
                <w:rFonts w:hint="eastAsia" w:eastAsia="宋体" w:cs="Times New Roman"/>
                <w:color w:val="000000"/>
                <w:kern w:val="0"/>
                <w:sz w:val="21"/>
                <w:szCs w:val="21"/>
                <w:lang w:eastAsia="zh-CN"/>
              </w:rPr>
            </w:pPr>
            <w:r>
              <w:rPr>
                <w:rFonts w:hint="eastAsia" w:cs="Times New Roman"/>
                <w:color w:val="000000"/>
                <w:kern w:val="0"/>
                <w:sz w:val="21"/>
                <w:szCs w:val="21"/>
                <w:lang w:val="en-US" w:eastAsia="zh-CN"/>
              </w:rPr>
              <w:t>区</w:t>
            </w:r>
            <w:r>
              <w:rPr>
                <w:rFonts w:hint="eastAsia" w:cs="Times New Roman"/>
                <w:color w:val="000000"/>
                <w:kern w:val="0"/>
                <w:sz w:val="21"/>
                <w:szCs w:val="21"/>
                <w:lang w:eastAsia="zh-CN"/>
              </w:rPr>
              <w:t>应急管理局</w:t>
            </w:r>
          </w:p>
        </w:tc>
        <w:tc>
          <w:tcPr>
            <w:tcW w:w="1666" w:type="pct"/>
            <w:vAlign w:val="center"/>
          </w:tcPr>
          <w:p>
            <w:pPr>
              <w:widowControl/>
              <w:snapToGrid w:val="0"/>
              <w:spacing w:line="240" w:lineRule="auto"/>
              <w:ind w:firstLine="0" w:firstLineChars="0"/>
              <w:contextualSpacing/>
              <w:jc w:val="center"/>
              <w:rPr>
                <w:rFonts w:hint="default" w:eastAsia="宋体" w:cs="Times New Roman"/>
                <w:color w:val="000000"/>
                <w:kern w:val="0"/>
                <w:sz w:val="21"/>
                <w:szCs w:val="21"/>
                <w:lang w:val="en-US" w:eastAsia="zh-CN"/>
              </w:rPr>
            </w:pPr>
            <w:r>
              <w:rPr>
                <w:rFonts w:cs="Times New Roman"/>
                <w:color w:val="000000"/>
                <w:kern w:val="0"/>
                <w:sz w:val="21"/>
                <w:szCs w:val="21"/>
                <w:highlight w:val="none"/>
              </w:rPr>
              <w:t>0791-</w:t>
            </w:r>
            <w:r>
              <w:rPr>
                <w:rFonts w:hint="eastAsia" w:cs="Times New Roman"/>
                <w:color w:val="000000"/>
                <w:kern w:val="0"/>
                <w:sz w:val="21"/>
                <w:szCs w:val="21"/>
                <w:highlight w:val="none"/>
                <w:lang w:val="en-US" w:eastAsia="zh-CN"/>
              </w:rPr>
              <w:t>87951656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Merge w:val="restar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公安</w:t>
            </w:r>
          </w:p>
        </w:tc>
        <w:tc>
          <w:tcPr>
            <w:tcW w:w="1704"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hint="eastAsia" w:cs="Times New Roman"/>
                <w:color w:val="000000"/>
                <w:kern w:val="0"/>
                <w:sz w:val="21"/>
                <w:szCs w:val="21"/>
                <w:lang w:val="en-US" w:eastAsia="zh-CN"/>
              </w:rPr>
              <w:t>经开区</w:t>
            </w:r>
            <w:r>
              <w:rPr>
                <w:rFonts w:cs="Times New Roman"/>
                <w:color w:val="000000"/>
                <w:kern w:val="0"/>
                <w:sz w:val="21"/>
                <w:szCs w:val="21"/>
              </w:rPr>
              <w:t>分局</w:t>
            </w:r>
          </w:p>
        </w:tc>
        <w:tc>
          <w:tcPr>
            <w:tcW w:w="1666" w:type="pct"/>
            <w:vAlign w:val="center"/>
          </w:tcPr>
          <w:p>
            <w:pPr>
              <w:widowControl/>
              <w:snapToGrid w:val="0"/>
              <w:spacing w:line="240" w:lineRule="auto"/>
              <w:ind w:firstLine="0" w:firstLineChars="0"/>
              <w:contextualSpacing/>
              <w:jc w:val="center"/>
              <w:rPr>
                <w:rFonts w:hint="default" w:eastAsia="宋体" w:cs="Times New Roman"/>
                <w:color w:val="000000"/>
                <w:kern w:val="0"/>
                <w:sz w:val="21"/>
                <w:szCs w:val="21"/>
                <w:lang w:val="en-US" w:eastAsia="zh-CN"/>
              </w:rPr>
            </w:pPr>
            <w:r>
              <w:rPr>
                <w:rFonts w:cs="Times New Roman"/>
                <w:color w:val="000000"/>
                <w:kern w:val="0"/>
                <w:sz w:val="21"/>
                <w:szCs w:val="21"/>
                <w:highlight w:val="none"/>
              </w:rPr>
              <w:t>0791-8</w:t>
            </w:r>
            <w:r>
              <w:rPr>
                <w:rFonts w:hint="eastAsia" w:cs="Times New Roman"/>
                <w:color w:val="000000"/>
                <w:kern w:val="0"/>
                <w:sz w:val="21"/>
                <w:szCs w:val="21"/>
                <w:highlight w:val="none"/>
                <w:lang w:val="en-US" w:eastAsia="zh-CN"/>
              </w:rPr>
              <w:t>3851110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Merge w:val="continue"/>
            <w:vAlign w:val="center"/>
          </w:tcPr>
          <w:p>
            <w:pPr>
              <w:widowControl/>
              <w:snapToGrid w:val="0"/>
              <w:spacing w:line="240" w:lineRule="auto"/>
              <w:ind w:firstLine="0" w:firstLineChars="0"/>
              <w:contextualSpacing/>
              <w:jc w:val="center"/>
              <w:rPr>
                <w:rFonts w:cs="Times New Roman"/>
                <w:color w:val="000000"/>
                <w:kern w:val="0"/>
                <w:sz w:val="21"/>
                <w:szCs w:val="21"/>
              </w:rPr>
            </w:pPr>
          </w:p>
        </w:tc>
        <w:tc>
          <w:tcPr>
            <w:tcW w:w="1704"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110指挥中心</w:t>
            </w:r>
          </w:p>
        </w:tc>
        <w:tc>
          <w:tcPr>
            <w:tcW w:w="1666"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hint="eastAsia" w:cs="Times New Roman"/>
                <w:color w:val="000000"/>
                <w:kern w:val="0"/>
                <w:sz w:val="21"/>
                <w:szCs w:val="21"/>
              </w:rPr>
              <w:t>1</w:t>
            </w:r>
            <w:r>
              <w:rPr>
                <w:rFonts w:cs="Times New Roman"/>
                <w:color w:val="000000"/>
                <w:kern w:val="0"/>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消防</w:t>
            </w:r>
          </w:p>
        </w:tc>
        <w:tc>
          <w:tcPr>
            <w:tcW w:w="1704"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hint="eastAsia" w:cs="Times New Roman"/>
                <w:color w:val="000000"/>
                <w:kern w:val="0"/>
                <w:sz w:val="21"/>
                <w:szCs w:val="21"/>
              </w:rPr>
              <w:t>南昌</w:t>
            </w:r>
            <w:r>
              <w:rPr>
                <w:rFonts w:cs="Times New Roman"/>
                <w:color w:val="000000"/>
                <w:kern w:val="0"/>
                <w:sz w:val="21"/>
                <w:szCs w:val="21"/>
              </w:rPr>
              <w:t>市消防队</w:t>
            </w:r>
          </w:p>
        </w:tc>
        <w:tc>
          <w:tcPr>
            <w:tcW w:w="1666"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hint="eastAsia" w:cs="Times New Roman"/>
                <w:color w:val="000000"/>
                <w:kern w:val="0"/>
                <w:sz w:val="21"/>
                <w:szCs w:val="21"/>
              </w:rPr>
              <w:t>1</w:t>
            </w:r>
            <w:r>
              <w:rPr>
                <w:rFonts w:cs="Times New Roman"/>
                <w:color w:val="000000"/>
                <w:kern w:val="0"/>
                <w:sz w:val="21"/>
                <w:szCs w:val="21"/>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市政府</w:t>
            </w:r>
          </w:p>
        </w:tc>
        <w:tc>
          <w:tcPr>
            <w:tcW w:w="1704"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办公室</w:t>
            </w:r>
          </w:p>
        </w:tc>
        <w:tc>
          <w:tcPr>
            <w:tcW w:w="1666"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07491-88132075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医疗部门</w:t>
            </w:r>
          </w:p>
        </w:tc>
        <w:tc>
          <w:tcPr>
            <w:tcW w:w="1704"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市人民医院</w:t>
            </w:r>
          </w:p>
        </w:tc>
        <w:tc>
          <w:tcPr>
            <w:tcW w:w="1666"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hint="eastAsia" w:cs="Times New Roman"/>
                <w:color w:val="000000"/>
                <w:kern w:val="0"/>
                <w:sz w:val="21"/>
                <w:szCs w:val="21"/>
              </w:rPr>
              <w:t>1</w:t>
            </w:r>
            <w:r>
              <w:rPr>
                <w:rFonts w:cs="Times New Roman"/>
                <w:color w:val="000000"/>
                <w:kern w:val="0"/>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环境监测</w:t>
            </w:r>
          </w:p>
        </w:tc>
        <w:tc>
          <w:tcPr>
            <w:tcW w:w="1704" w:type="pct"/>
            <w:vAlign w:val="center"/>
          </w:tcPr>
          <w:p>
            <w:pPr>
              <w:widowControl/>
              <w:snapToGrid w:val="0"/>
              <w:spacing w:line="240" w:lineRule="auto"/>
              <w:ind w:firstLine="0" w:firstLineChars="0"/>
              <w:contextualSpacing/>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江西省南昌生态环境监测中心</w:t>
            </w:r>
          </w:p>
        </w:tc>
        <w:tc>
          <w:tcPr>
            <w:tcW w:w="1666"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0791-86356077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333" w:type="pct"/>
            <w:gridSpan w:val="2"/>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cs="Times New Roman"/>
                <w:color w:val="000000"/>
                <w:kern w:val="0"/>
                <w:sz w:val="21"/>
                <w:szCs w:val="21"/>
              </w:rPr>
              <w:t>洪城水业</w:t>
            </w:r>
          </w:p>
        </w:tc>
        <w:tc>
          <w:tcPr>
            <w:tcW w:w="1666" w:type="pct"/>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rPr>
              <w:t>0791-</w:t>
            </w:r>
            <w:r>
              <w:rPr>
                <w:rFonts w:cs="Times New Roman"/>
                <w:color w:val="000000"/>
                <w:kern w:val="0"/>
                <w:sz w:val="21"/>
                <w:szCs w:val="21"/>
              </w:rPr>
              <w:t>85218115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333" w:type="pct"/>
            <w:gridSpan w:val="2"/>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rPr>
              <w:t>水务运营管理体系部</w:t>
            </w:r>
            <w:r>
              <w:rPr>
                <w:rFonts w:hint="eastAsia" w:cs="Times New Roman"/>
                <w:color w:val="000000"/>
                <w:kern w:val="0"/>
                <w:sz w:val="21"/>
                <w:szCs w:val="21"/>
                <w:lang w:eastAsia="zh-CN"/>
              </w:rPr>
              <w:t>（</w:t>
            </w:r>
            <w:r>
              <w:rPr>
                <w:rFonts w:hint="eastAsia" w:cs="Times New Roman"/>
                <w:color w:val="000000"/>
                <w:kern w:val="0"/>
                <w:sz w:val="21"/>
                <w:szCs w:val="21"/>
                <w:lang w:val="en-US" w:eastAsia="zh-CN"/>
              </w:rPr>
              <w:t>陈燕婷</w:t>
            </w:r>
            <w:r>
              <w:rPr>
                <w:rFonts w:hint="eastAsia" w:cs="Times New Roman"/>
                <w:color w:val="000000"/>
                <w:kern w:val="0"/>
                <w:sz w:val="21"/>
                <w:szCs w:val="21"/>
                <w:lang w:eastAsia="zh-CN"/>
              </w:rPr>
              <w:t>）</w:t>
            </w:r>
          </w:p>
        </w:tc>
        <w:tc>
          <w:tcPr>
            <w:tcW w:w="1666" w:type="pct"/>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13701615924</w:t>
            </w:r>
          </w:p>
        </w:tc>
      </w:tr>
    </w:tbl>
    <w:p>
      <w:pPr>
        <w:ind w:firstLine="0" w:firstLineChars="0"/>
        <w:jc w:val="left"/>
      </w:pPr>
    </w:p>
    <w:p>
      <w:pPr>
        <w:ind w:firstLine="0" w:firstLineChars="0"/>
        <w:jc w:val="left"/>
        <w:sectPr>
          <w:pgSz w:w="11906" w:h="16838"/>
          <w:pgMar w:top="1304" w:right="1247" w:bottom="1304" w:left="1531" w:header="851" w:footer="851" w:gutter="0"/>
          <w:pgBorders>
            <w:top w:val="none" w:sz="0" w:space="0"/>
            <w:left w:val="none" w:sz="0" w:space="0"/>
            <w:bottom w:val="none" w:sz="0" w:space="0"/>
            <w:right w:val="none" w:sz="0" w:space="0"/>
          </w:pgBorders>
          <w:pgNumType w:fmt="decimal"/>
          <w:cols w:space="425" w:num="1"/>
          <w:docGrid w:type="lines" w:linePitch="312" w:charSpace="0"/>
        </w:sectPr>
      </w:pPr>
    </w:p>
    <w:p>
      <w:pPr>
        <w:pStyle w:val="4"/>
      </w:pPr>
      <w:bookmarkStart w:id="48" w:name="_Toc8733"/>
      <w:r>
        <w:rPr>
          <w:rFonts w:hint="eastAsia"/>
        </w:rPr>
        <w:t>信息报告与通报</w:t>
      </w:r>
      <w:bookmarkEnd w:id="48"/>
    </w:p>
    <w:p>
      <w:pPr>
        <w:pStyle w:val="5"/>
      </w:pPr>
      <w:bookmarkStart w:id="49" w:name="_Toc17981"/>
      <w:r>
        <w:rPr>
          <w:rFonts w:hint="eastAsia"/>
        </w:rPr>
        <w:t>内部报告</w:t>
      </w:r>
      <w:bookmarkEnd w:id="49"/>
    </w:p>
    <w:p>
      <w:pPr>
        <w:pStyle w:val="6"/>
      </w:pPr>
      <w:r>
        <w:rPr>
          <w:rFonts w:hint="eastAsia"/>
        </w:rPr>
        <w:t>内部报告的程序</w:t>
      </w:r>
    </w:p>
    <w:p>
      <w:pPr>
        <w:ind w:firstLine="560"/>
      </w:pPr>
      <w:r>
        <w:rPr>
          <w:rFonts w:hint="eastAsia"/>
        </w:rPr>
        <w:t>1</w:t>
      </w:r>
      <w:r>
        <w:rPr>
          <w:rFonts w:hint="eastAsia"/>
          <w:lang w:eastAsia="zh-CN"/>
        </w:rPr>
        <w:t>、现</w:t>
      </w:r>
      <w:r>
        <w:rPr>
          <w:rFonts w:hint="eastAsia"/>
        </w:rPr>
        <w:t>场操作人员或最先发现者立即向当班班长或直接向应急办公室报警，同时在做好自身防护的情况下，进行自救、互救；</w:t>
      </w:r>
    </w:p>
    <w:p>
      <w:pPr>
        <w:ind w:firstLine="560"/>
      </w:pPr>
      <w:r>
        <w:rPr>
          <w:rFonts w:hint="eastAsia"/>
        </w:rPr>
        <w:t>2、应急办公室判断突发环境事件为III级时，应急办公室负责事故现场的应急救援工作；</w:t>
      </w:r>
    </w:p>
    <w:p>
      <w:pPr>
        <w:ind w:firstLine="560"/>
      </w:pPr>
      <w:r>
        <w:rPr>
          <w:rFonts w:hint="eastAsia"/>
        </w:rPr>
        <w:t>3、应急办公室判断突发环境事件分级为II级时要立即向突发环境事件应急指挥部报告，由应急指挥部负责事故现场的应急救援工作。突发环境事件信息报告流程见</w:t>
      </w:r>
      <w:r>
        <w:fldChar w:fldCharType="begin"/>
      </w:r>
      <w:r>
        <w:instrText xml:space="preserve"> REF _Ref526955066 \h </w:instrText>
      </w:r>
      <w:r>
        <w:fldChar w:fldCharType="separate"/>
      </w:r>
      <w:r>
        <w:rPr>
          <w:rFonts w:hint="eastAsia"/>
        </w:rPr>
        <w:t xml:space="preserve">图 </w:t>
      </w:r>
      <w:r>
        <w:t>7</w:t>
      </w:r>
      <w:r>
        <w:noBreakHyphen/>
      </w:r>
      <w:r>
        <w:t>1</w:t>
      </w:r>
      <w:r>
        <w:fldChar w:fldCharType="end"/>
      </w:r>
      <w:r>
        <w:rPr>
          <w:rFonts w:hint="eastAsia"/>
        </w:rPr>
        <w:t>。</w:t>
      </w:r>
    </w:p>
    <w:p>
      <w:pPr>
        <w:keepNext/>
        <w:ind w:firstLine="0" w:firstLineChars="0"/>
        <w:jc w:val="center"/>
        <w:rPr>
          <w:rFonts w:hint="eastAsia" w:eastAsia="宋体"/>
          <w:lang w:eastAsia="zh-CN"/>
        </w:rPr>
      </w:pPr>
      <w:r>
        <w:rPr>
          <w:rFonts w:hint="eastAsia" w:eastAsia="宋体"/>
          <w:lang w:eastAsia="zh-CN"/>
        </w:rPr>
        <w:drawing>
          <wp:inline distT="0" distB="0" distL="114300" distR="114300">
            <wp:extent cx="5111750" cy="4711700"/>
            <wp:effectExtent l="0" t="0" r="6350" b="0"/>
            <wp:docPr id="18" name="图片 18" descr="15953942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595394285(1)"/>
                    <pic:cNvPicPr>
                      <a:picLocks noChangeAspect="1"/>
                    </pic:cNvPicPr>
                  </pic:nvPicPr>
                  <pic:blipFill>
                    <a:blip r:embed="rId23"/>
                    <a:stretch>
                      <a:fillRect/>
                    </a:stretch>
                  </pic:blipFill>
                  <pic:spPr>
                    <a:xfrm>
                      <a:off x="0" y="0"/>
                      <a:ext cx="5111750" cy="4711700"/>
                    </a:xfrm>
                    <a:prstGeom prst="rect">
                      <a:avLst/>
                    </a:prstGeom>
                  </pic:spPr>
                </pic:pic>
              </a:graphicData>
            </a:graphic>
          </wp:inline>
        </w:drawing>
      </w:r>
    </w:p>
    <w:p>
      <w:pPr>
        <w:pStyle w:val="8"/>
      </w:pPr>
      <w:bookmarkStart w:id="50" w:name="_Ref526955066"/>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7</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1</w:t>
      </w:r>
      <w:r>
        <w:fldChar w:fldCharType="end"/>
      </w:r>
      <w:bookmarkEnd w:id="50"/>
      <w:r>
        <w:rPr>
          <w:rFonts w:hint="eastAsia"/>
        </w:rPr>
        <w:t>突发环境事件信息报告流程</w:t>
      </w:r>
    </w:p>
    <w:p>
      <w:pPr>
        <w:pStyle w:val="6"/>
      </w:pPr>
      <w:r>
        <w:rPr>
          <w:rFonts w:hint="eastAsia"/>
        </w:rPr>
        <w:t>内部报告的主体</w:t>
      </w:r>
    </w:p>
    <w:p>
      <w:pPr>
        <w:ind w:firstLine="560"/>
      </w:pPr>
      <w:r>
        <w:rPr>
          <w:rFonts w:hint="eastAsia"/>
        </w:rPr>
        <w:t>1、突发环境事件部门和应急办公室为逐级责任报告部门；事故风险源的岗位员工或第一发现者以及事故风险源负责人、应急办公室为逐级责任报告人。</w:t>
      </w:r>
    </w:p>
    <w:p>
      <w:pPr>
        <w:ind w:firstLine="560"/>
      </w:pPr>
      <w:r>
        <w:rPr>
          <w:rFonts w:hint="eastAsia"/>
        </w:rPr>
        <w:t>2、任何部门和个人都有义务向公司突发环境事件应急办公室或应急指挥部报告突发环境事件，有权举报不履行或者不按照规定履行突发环境事件应急处理职责的部门及个人。</w:t>
      </w:r>
    </w:p>
    <w:p>
      <w:pPr>
        <w:pStyle w:val="6"/>
      </w:pPr>
      <w:r>
        <w:rPr>
          <w:rFonts w:hint="eastAsia"/>
        </w:rPr>
        <w:t>内部报告原则</w:t>
      </w:r>
    </w:p>
    <w:p>
      <w:pPr>
        <w:ind w:firstLine="560"/>
      </w:pPr>
      <w:r>
        <w:rPr>
          <w:rFonts w:hint="eastAsia"/>
        </w:rPr>
        <w:t>按照“早发现、早报告、早处置”的原则，一旦发现突发环境事件，事故发生地岗位员工或第一发现者立即报告生产班长或应急办公室，应急办公室视突发环境事件可能造成的影响和危害程度，及时逐级上报信息。</w:t>
      </w:r>
    </w:p>
    <w:p>
      <w:pPr>
        <w:pStyle w:val="6"/>
      </w:pPr>
      <w:r>
        <w:rPr>
          <w:rFonts w:hint="eastAsia"/>
        </w:rPr>
        <w:t>内部报告时限</w:t>
      </w:r>
    </w:p>
    <w:p>
      <w:pPr>
        <w:ind w:firstLine="560"/>
      </w:pPr>
      <w:r>
        <w:rPr>
          <w:rFonts w:hint="eastAsia"/>
        </w:rPr>
        <w:t>1、发生任何突发环境事件后，现场操作人员或最先发现者要立即向当班班长或直接向应急办公室报警。</w:t>
      </w:r>
    </w:p>
    <w:p>
      <w:pPr>
        <w:ind w:firstLine="560"/>
      </w:pPr>
      <w:r>
        <w:rPr>
          <w:rFonts w:hint="eastAsia"/>
        </w:rPr>
        <w:t>2、应急办公室接到报警后根据事件的紧急程度和严重性判断突发环境事件为III级事件时要在5分钟内上报应急指挥部。</w:t>
      </w:r>
    </w:p>
    <w:p>
      <w:pPr>
        <w:ind w:firstLine="560"/>
      </w:pPr>
      <w:r>
        <w:rPr>
          <w:rFonts w:hint="eastAsia"/>
        </w:rPr>
        <w:t>3、应急指挥部立即向总指挥报告。</w:t>
      </w:r>
    </w:p>
    <w:p>
      <w:pPr>
        <w:pStyle w:val="6"/>
      </w:pPr>
      <w:r>
        <w:rPr>
          <w:rFonts w:hint="eastAsia"/>
        </w:rPr>
        <w:t>内部报告内容</w:t>
      </w:r>
    </w:p>
    <w:p>
      <w:pPr>
        <w:ind w:firstLine="560"/>
      </w:pPr>
      <w:r>
        <w:rPr>
          <w:rFonts w:hint="eastAsia"/>
        </w:rPr>
        <w:t>公司内突发III级环境事件内部报告内容详见</w:t>
      </w:r>
      <w:r>
        <w:fldChar w:fldCharType="begin"/>
      </w:r>
      <w:r>
        <w:instrText xml:space="preserve"> </w:instrText>
      </w:r>
      <w:r>
        <w:rPr>
          <w:rFonts w:hint="eastAsia"/>
        </w:rPr>
        <w:instrText xml:space="preserve">REF _Ref526955236 \h</w:instrText>
      </w:r>
      <w:r>
        <w:instrText xml:space="preserve"> </w:instrText>
      </w:r>
      <w:r>
        <w:fldChar w:fldCharType="separate"/>
      </w:r>
      <w:r>
        <w:rPr>
          <w:rFonts w:hint="eastAsia"/>
        </w:rPr>
        <w:t xml:space="preserve">表 </w:t>
      </w:r>
      <w:r>
        <w:t>7</w:t>
      </w:r>
      <w:r>
        <w:noBreakHyphen/>
      </w:r>
      <w:r>
        <w:t>1</w:t>
      </w:r>
      <w:r>
        <w:fldChar w:fldCharType="end"/>
      </w:r>
      <w:r>
        <w:rPr>
          <w:rFonts w:hint="eastAsia"/>
        </w:rPr>
        <w:t>。</w:t>
      </w:r>
    </w:p>
    <w:p>
      <w:pPr>
        <w:widowControl/>
        <w:spacing w:line="240" w:lineRule="auto"/>
        <w:ind w:firstLine="0" w:firstLineChars="0"/>
        <w:jc w:val="left"/>
      </w:pPr>
      <w:r>
        <w:br w:type="page"/>
      </w:r>
    </w:p>
    <w:p>
      <w:pPr>
        <w:pStyle w:val="8"/>
        <w:keepNext/>
      </w:pPr>
      <w:bookmarkStart w:id="51" w:name="_Ref526955236"/>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7</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1</w:t>
      </w:r>
      <w:r>
        <w:fldChar w:fldCharType="end"/>
      </w:r>
      <w:bookmarkEnd w:id="51"/>
      <w:r>
        <w:rPr>
          <w:rFonts w:hint="eastAsia"/>
        </w:rPr>
        <w:t>突发环境事件内部报告内容一览表</w:t>
      </w:r>
    </w:p>
    <w:tbl>
      <w:tblPr>
        <w:tblStyle w:val="1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1"/>
        <w:gridCol w:w="3050"/>
        <w:gridCol w:w="55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386" w:type="pct"/>
            <w:shd w:val="clear" w:color="auto" w:fill="auto"/>
            <w:vAlign w:val="center"/>
          </w:tcPr>
          <w:p>
            <w:pPr>
              <w:snapToGrid w:val="0"/>
              <w:spacing w:line="240" w:lineRule="auto"/>
              <w:ind w:firstLine="0" w:firstLineChars="0"/>
              <w:contextualSpacing/>
              <w:jc w:val="center"/>
              <w:rPr>
                <w:rFonts w:cs="Times New Roman"/>
                <w:color w:val="000000"/>
                <w:sz w:val="21"/>
                <w:szCs w:val="21"/>
              </w:rPr>
            </w:pPr>
            <w:r>
              <w:rPr>
                <w:rFonts w:cs="Times New Roman"/>
                <w:color w:val="000000"/>
                <w:sz w:val="21"/>
                <w:szCs w:val="21"/>
              </w:rPr>
              <w:t>序号</w:t>
            </w:r>
          </w:p>
        </w:tc>
        <w:tc>
          <w:tcPr>
            <w:tcW w:w="1632" w:type="pct"/>
            <w:shd w:val="clear" w:color="auto" w:fill="auto"/>
            <w:vAlign w:val="center"/>
          </w:tcPr>
          <w:p>
            <w:pPr>
              <w:snapToGrid w:val="0"/>
              <w:spacing w:line="240" w:lineRule="auto"/>
              <w:ind w:firstLine="0" w:firstLineChars="0"/>
              <w:contextualSpacing/>
              <w:jc w:val="center"/>
              <w:rPr>
                <w:rFonts w:cs="Times New Roman"/>
                <w:color w:val="000000"/>
                <w:sz w:val="21"/>
                <w:szCs w:val="21"/>
              </w:rPr>
            </w:pPr>
            <w:r>
              <w:rPr>
                <w:rFonts w:cs="Times New Roman"/>
                <w:color w:val="000000"/>
                <w:sz w:val="21"/>
                <w:szCs w:val="21"/>
              </w:rPr>
              <w:t>突发环境事件内部报告内容</w:t>
            </w:r>
          </w:p>
        </w:tc>
        <w:tc>
          <w:tcPr>
            <w:tcW w:w="2982" w:type="pct"/>
            <w:shd w:val="clear" w:color="auto" w:fill="auto"/>
            <w:vAlign w:val="center"/>
          </w:tcPr>
          <w:p>
            <w:pPr>
              <w:snapToGrid w:val="0"/>
              <w:spacing w:line="240" w:lineRule="auto"/>
              <w:ind w:firstLine="0" w:firstLineChars="0"/>
              <w:contextualSpacing/>
              <w:jc w:val="center"/>
              <w:rPr>
                <w:rFonts w:cs="Times New Roman"/>
                <w:color w:val="000000"/>
                <w:sz w:val="21"/>
                <w:szCs w:val="21"/>
              </w:rPr>
            </w:pPr>
            <w:r>
              <w:rPr>
                <w:rFonts w:cs="Times New Roman"/>
                <w:color w:val="000000"/>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386" w:type="pct"/>
            <w:vAlign w:val="center"/>
          </w:tcPr>
          <w:p>
            <w:pPr>
              <w:snapToGrid w:val="0"/>
              <w:spacing w:line="240" w:lineRule="auto"/>
              <w:ind w:firstLine="0" w:firstLineChars="0"/>
              <w:contextualSpacing/>
              <w:jc w:val="center"/>
              <w:rPr>
                <w:rFonts w:cs="Times New Roman"/>
                <w:color w:val="000000"/>
                <w:sz w:val="21"/>
                <w:szCs w:val="21"/>
              </w:rPr>
            </w:pPr>
            <w:r>
              <w:rPr>
                <w:rFonts w:cs="Times New Roman"/>
                <w:color w:val="000000"/>
                <w:sz w:val="21"/>
                <w:szCs w:val="21"/>
              </w:rPr>
              <w:t>1</w:t>
            </w:r>
          </w:p>
        </w:tc>
        <w:tc>
          <w:tcPr>
            <w:tcW w:w="1632" w:type="pct"/>
            <w:vAlign w:val="center"/>
          </w:tcPr>
          <w:p>
            <w:pPr>
              <w:tabs>
                <w:tab w:val="left" w:pos="300"/>
              </w:tabs>
              <w:snapToGrid w:val="0"/>
              <w:spacing w:line="240" w:lineRule="auto"/>
              <w:ind w:firstLine="0" w:firstLineChars="0"/>
              <w:contextualSpacing/>
              <w:jc w:val="center"/>
              <w:rPr>
                <w:rFonts w:cs="Times New Roman"/>
                <w:color w:val="000000"/>
                <w:sz w:val="21"/>
                <w:szCs w:val="21"/>
              </w:rPr>
            </w:pPr>
            <w:r>
              <w:rPr>
                <w:rFonts w:cs="Times New Roman"/>
                <w:color w:val="000000"/>
                <w:sz w:val="21"/>
                <w:szCs w:val="21"/>
              </w:rPr>
              <w:t>事件概述</w:t>
            </w:r>
          </w:p>
        </w:tc>
        <w:tc>
          <w:tcPr>
            <w:tcW w:w="2982" w:type="pct"/>
            <w:vAlign w:val="center"/>
          </w:tcPr>
          <w:p>
            <w:pPr>
              <w:snapToGrid w:val="0"/>
              <w:spacing w:line="240" w:lineRule="auto"/>
              <w:ind w:firstLine="0" w:firstLineChars="0"/>
              <w:contextualSpacing/>
              <w:jc w:val="center"/>
              <w:rPr>
                <w:rFonts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386" w:type="pct"/>
            <w:vAlign w:val="center"/>
          </w:tcPr>
          <w:p>
            <w:pPr>
              <w:snapToGrid w:val="0"/>
              <w:spacing w:line="240" w:lineRule="auto"/>
              <w:ind w:firstLine="0" w:firstLineChars="0"/>
              <w:contextualSpacing/>
              <w:jc w:val="center"/>
              <w:rPr>
                <w:rFonts w:cs="Times New Roman"/>
                <w:color w:val="000000"/>
                <w:sz w:val="21"/>
                <w:szCs w:val="21"/>
              </w:rPr>
            </w:pPr>
            <w:r>
              <w:rPr>
                <w:rFonts w:cs="Times New Roman"/>
                <w:color w:val="000000"/>
                <w:sz w:val="21"/>
                <w:szCs w:val="21"/>
              </w:rPr>
              <w:t>2</w:t>
            </w:r>
          </w:p>
        </w:tc>
        <w:tc>
          <w:tcPr>
            <w:tcW w:w="1632" w:type="pct"/>
            <w:vAlign w:val="center"/>
          </w:tcPr>
          <w:p>
            <w:pPr>
              <w:snapToGrid w:val="0"/>
              <w:spacing w:line="240" w:lineRule="auto"/>
              <w:ind w:firstLine="0" w:firstLineChars="0"/>
              <w:contextualSpacing/>
              <w:jc w:val="center"/>
              <w:rPr>
                <w:rFonts w:cs="Times New Roman"/>
                <w:color w:val="000000"/>
                <w:sz w:val="21"/>
                <w:szCs w:val="21"/>
              </w:rPr>
            </w:pPr>
            <w:r>
              <w:rPr>
                <w:rFonts w:cs="Times New Roman"/>
                <w:color w:val="000000"/>
                <w:sz w:val="21"/>
                <w:szCs w:val="21"/>
              </w:rPr>
              <w:t>事件时间</w:t>
            </w:r>
          </w:p>
        </w:tc>
        <w:tc>
          <w:tcPr>
            <w:tcW w:w="2982" w:type="pct"/>
            <w:vAlign w:val="center"/>
          </w:tcPr>
          <w:p>
            <w:pPr>
              <w:snapToGrid w:val="0"/>
              <w:spacing w:line="240" w:lineRule="auto"/>
              <w:ind w:firstLine="0" w:firstLineChars="0"/>
              <w:contextualSpacing/>
              <w:jc w:val="center"/>
              <w:rPr>
                <w:rFonts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386" w:type="pct"/>
            <w:vAlign w:val="center"/>
          </w:tcPr>
          <w:p>
            <w:pPr>
              <w:snapToGrid w:val="0"/>
              <w:spacing w:line="240" w:lineRule="auto"/>
              <w:ind w:firstLine="0" w:firstLineChars="0"/>
              <w:contextualSpacing/>
              <w:jc w:val="center"/>
              <w:rPr>
                <w:rFonts w:cs="Times New Roman"/>
                <w:color w:val="000000"/>
                <w:sz w:val="21"/>
                <w:szCs w:val="21"/>
              </w:rPr>
            </w:pPr>
            <w:r>
              <w:rPr>
                <w:rFonts w:cs="Times New Roman"/>
                <w:color w:val="000000"/>
                <w:sz w:val="21"/>
                <w:szCs w:val="21"/>
              </w:rPr>
              <w:t>3</w:t>
            </w:r>
          </w:p>
        </w:tc>
        <w:tc>
          <w:tcPr>
            <w:tcW w:w="1632" w:type="pct"/>
            <w:vAlign w:val="center"/>
          </w:tcPr>
          <w:p>
            <w:pPr>
              <w:snapToGrid w:val="0"/>
              <w:spacing w:line="240" w:lineRule="auto"/>
              <w:ind w:firstLine="0" w:firstLineChars="0"/>
              <w:contextualSpacing/>
              <w:jc w:val="center"/>
              <w:rPr>
                <w:rFonts w:cs="Times New Roman"/>
                <w:color w:val="000000"/>
                <w:sz w:val="21"/>
                <w:szCs w:val="21"/>
              </w:rPr>
            </w:pPr>
            <w:r>
              <w:rPr>
                <w:rFonts w:cs="Times New Roman"/>
                <w:color w:val="000000"/>
                <w:sz w:val="21"/>
                <w:szCs w:val="21"/>
              </w:rPr>
              <w:t>事件地点</w:t>
            </w:r>
          </w:p>
        </w:tc>
        <w:tc>
          <w:tcPr>
            <w:tcW w:w="2982" w:type="pct"/>
            <w:vAlign w:val="center"/>
          </w:tcPr>
          <w:p>
            <w:pPr>
              <w:snapToGrid w:val="0"/>
              <w:spacing w:line="240" w:lineRule="auto"/>
              <w:ind w:firstLine="0" w:firstLineChars="0"/>
              <w:contextualSpacing/>
              <w:jc w:val="center"/>
              <w:rPr>
                <w:rFonts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386" w:type="pct"/>
            <w:vAlign w:val="center"/>
          </w:tcPr>
          <w:p>
            <w:pPr>
              <w:snapToGrid w:val="0"/>
              <w:spacing w:line="240" w:lineRule="auto"/>
              <w:ind w:firstLine="0" w:firstLineChars="0"/>
              <w:contextualSpacing/>
              <w:jc w:val="center"/>
              <w:rPr>
                <w:rFonts w:cs="Times New Roman"/>
                <w:color w:val="000000"/>
                <w:sz w:val="21"/>
                <w:szCs w:val="21"/>
              </w:rPr>
            </w:pPr>
            <w:r>
              <w:rPr>
                <w:rFonts w:cs="Times New Roman"/>
                <w:color w:val="000000"/>
                <w:sz w:val="21"/>
                <w:szCs w:val="21"/>
              </w:rPr>
              <w:t>4</w:t>
            </w:r>
          </w:p>
        </w:tc>
        <w:tc>
          <w:tcPr>
            <w:tcW w:w="1632" w:type="pct"/>
            <w:vAlign w:val="center"/>
          </w:tcPr>
          <w:p>
            <w:pPr>
              <w:snapToGrid w:val="0"/>
              <w:spacing w:line="240" w:lineRule="auto"/>
              <w:ind w:firstLine="0" w:firstLineChars="0"/>
              <w:contextualSpacing/>
              <w:jc w:val="center"/>
              <w:rPr>
                <w:rFonts w:cs="Times New Roman"/>
                <w:color w:val="000000"/>
                <w:sz w:val="21"/>
                <w:szCs w:val="21"/>
              </w:rPr>
            </w:pPr>
            <w:r>
              <w:rPr>
                <w:rFonts w:cs="Times New Roman"/>
                <w:color w:val="000000"/>
                <w:sz w:val="21"/>
                <w:szCs w:val="21"/>
              </w:rPr>
              <w:t>初步原因</w:t>
            </w:r>
          </w:p>
        </w:tc>
        <w:tc>
          <w:tcPr>
            <w:tcW w:w="2982" w:type="pct"/>
            <w:vAlign w:val="center"/>
          </w:tcPr>
          <w:p>
            <w:pPr>
              <w:snapToGrid w:val="0"/>
              <w:spacing w:line="240" w:lineRule="auto"/>
              <w:ind w:firstLine="0" w:firstLineChars="0"/>
              <w:contextualSpacing/>
              <w:jc w:val="center"/>
              <w:rPr>
                <w:rFonts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386" w:type="pct"/>
            <w:vAlign w:val="center"/>
          </w:tcPr>
          <w:p>
            <w:pPr>
              <w:snapToGrid w:val="0"/>
              <w:spacing w:line="240" w:lineRule="auto"/>
              <w:ind w:firstLine="0" w:firstLineChars="0"/>
              <w:contextualSpacing/>
              <w:jc w:val="center"/>
              <w:rPr>
                <w:rFonts w:cs="Times New Roman"/>
                <w:color w:val="000000"/>
                <w:sz w:val="21"/>
                <w:szCs w:val="21"/>
              </w:rPr>
            </w:pPr>
            <w:r>
              <w:rPr>
                <w:rFonts w:cs="Times New Roman"/>
                <w:color w:val="000000"/>
                <w:sz w:val="21"/>
                <w:szCs w:val="21"/>
              </w:rPr>
              <w:t>5</w:t>
            </w:r>
          </w:p>
        </w:tc>
        <w:tc>
          <w:tcPr>
            <w:tcW w:w="1632" w:type="pct"/>
            <w:vAlign w:val="center"/>
          </w:tcPr>
          <w:p>
            <w:pPr>
              <w:snapToGrid w:val="0"/>
              <w:spacing w:line="240" w:lineRule="auto"/>
              <w:ind w:firstLine="0" w:firstLineChars="0"/>
              <w:contextualSpacing/>
              <w:jc w:val="center"/>
              <w:rPr>
                <w:rFonts w:cs="Times New Roman"/>
                <w:color w:val="000000"/>
                <w:sz w:val="21"/>
                <w:szCs w:val="21"/>
              </w:rPr>
            </w:pPr>
            <w:r>
              <w:rPr>
                <w:rFonts w:cs="Times New Roman"/>
                <w:color w:val="000000"/>
                <w:sz w:val="21"/>
                <w:szCs w:val="21"/>
              </w:rPr>
              <w:t>污染物泄漏量</w:t>
            </w:r>
          </w:p>
        </w:tc>
        <w:tc>
          <w:tcPr>
            <w:tcW w:w="2982" w:type="pct"/>
            <w:vAlign w:val="center"/>
          </w:tcPr>
          <w:p>
            <w:pPr>
              <w:snapToGrid w:val="0"/>
              <w:spacing w:line="240" w:lineRule="auto"/>
              <w:ind w:firstLine="0" w:firstLineChars="0"/>
              <w:contextualSpacing/>
              <w:jc w:val="center"/>
              <w:rPr>
                <w:rFonts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386" w:type="pct"/>
            <w:vAlign w:val="center"/>
          </w:tcPr>
          <w:p>
            <w:pPr>
              <w:snapToGrid w:val="0"/>
              <w:spacing w:line="240" w:lineRule="auto"/>
              <w:ind w:firstLine="0" w:firstLineChars="0"/>
              <w:contextualSpacing/>
              <w:jc w:val="center"/>
              <w:rPr>
                <w:rFonts w:cs="Times New Roman"/>
                <w:color w:val="000000"/>
                <w:sz w:val="21"/>
                <w:szCs w:val="21"/>
              </w:rPr>
            </w:pPr>
            <w:r>
              <w:rPr>
                <w:rFonts w:cs="Times New Roman"/>
                <w:color w:val="000000"/>
                <w:sz w:val="21"/>
                <w:szCs w:val="21"/>
              </w:rPr>
              <w:t>6</w:t>
            </w:r>
          </w:p>
        </w:tc>
        <w:tc>
          <w:tcPr>
            <w:tcW w:w="1632" w:type="pct"/>
            <w:vAlign w:val="center"/>
          </w:tcPr>
          <w:p>
            <w:pPr>
              <w:snapToGrid w:val="0"/>
              <w:spacing w:line="240" w:lineRule="auto"/>
              <w:ind w:firstLine="0" w:firstLineChars="0"/>
              <w:contextualSpacing/>
              <w:jc w:val="center"/>
              <w:rPr>
                <w:rFonts w:cs="Times New Roman"/>
                <w:color w:val="000000"/>
                <w:sz w:val="21"/>
                <w:szCs w:val="21"/>
              </w:rPr>
            </w:pPr>
            <w:r>
              <w:rPr>
                <w:rFonts w:cs="Times New Roman"/>
                <w:color w:val="000000"/>
                <w:sz w:val="21"/>
                <w:szCs w:val="21"/>
              </w:rPr>
              <w:t>污染影响范围</w:t>
            </w:r>
          </w:p>
        </w:tc>
        <w:tc>
          <w:tcPr>
            <w:tcW w:w="2982" w:type="pct"/>
            <w:vAlign w:val="center"/>
          </w:tcPr>
          <w:p>
            <w:pPr>
              <w:snapToGrid w:val="0"/>
              <w:spacing w:line="240" w:lineRule="auto"/>
              <w:ind w:firstLine="0" w:firstLineChars="0"/>
              <w:contextualSpacing/>
              <w:jc w:val="center"/>
              <w:rPr>
                <w:rFonts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386" w:type="pct"/>
            <w:vAlign w:val="center"/>
          </w:tcPr>
          <w:p>
            <w:pPr>
              <w:snapToGrid w:val="0"/>
              <w:spacing w:line="240" w:lineRule="auto"/>
              <w:ind w:firstLine="0" w:firstLineChars="0"/>
              <w:contextualSpacing/>
              <w:jc w:val="center"/>
              <w:rPr>
                <w:rFonts w:cs="Times New Roman"/>
                <w:color w:val="000000"/>
                <w:sz w:val="21"/>
                <w:szCs w:val="21"/>
              </w:rPr>
            </w:pPr>
            <w:r>
              <w:rPr>
                <w:rFonts w:cs="Times New Roman"/>
                <w:color w:val="000000"/>
                <w:sz w:val="21"/>
                <w:szCs w:val="21"/>
              </w:rPr>
              <w:t>7</w:t>
            </w:r>
          </w:p>
        </w:tc>
        <w:tc>
          <w:tcPr>
            <w:tcW w:w="1632" w:type="pct"/>
            <w:vAlign w:val="center"/>
          </w:tcPr>
          <w:p>
            <w:pPr>
              <w:snapToGrid w:val="0"/>
              <w:spacing w:line="240" w:lineRule="auto"/>
              <w:ind w:firstLine="0" w:firstLineChars="0"/>
              <w:contextualSpacing/>
              <w:jc w:val="center"/>
              <w:rPr>
                <w:rFonts w:cs="Times New Roman"/>
                <w:color w:val="000000"/>
                <w:sz w:val="21"/>
                <w:szCs w:val="21"/>
              </w:rPr>
            </w:pPr>
            <w:r>
              <w:rPr>
                <w:rFonts w:cs="Times New Roman"/>
                <w:color w:val="000000"/>
                <w:sz w:val="21"/>
                <w:szCs w:val="21"/>
              </w:rPr>
              <w:t>人员伤亡情况</w:t>
            </w:r>
          </w:p>
        </w:tc>
        <w:tc>
          <w:tcPr>
            <w:tcW w:w="2982" w:type="pct"/>
            <w:vAlign w:val="center"/>
          </w:tcPr>
          <w:p>
            <w:pPr>
              <w:snapToGrid w:val="0"/>
              <w:spacing w:line="240" w:lineRule="auto"/>
              <w:ind w:firstLine="0" w:firstLineChars="0"/>
              <w:contextualSpacing/>
              <w:jc w:val="center"/>
              <w:rPr>
                <w:rFonts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386" w:type="pct"/>
            <w:vAlign w:val="center"/>
          </w:tcPr>
          <w:p>
            <w:pPr>
              <w:snapToGrid w:val="0"/>
              <w:spacing w:line="240" w:lineRule="auto"/>
              <w:ind w:firstLine="0" w:firstLineChars="0"/>
              <w:contextualSpacing/>
              <w:jc w:val="center"/>
              <w:rPr>
                <w:rFonts w:cs="Times New Roman"/>
                <w:color w:val="000000"/>
                <w:sz w:val="21"/>
                <w:szCs w:val="21"/>
              </w:rPr>
            </w:pPr>
            <w:r>
              <w:rPr>
                <w:rFonts w:cs="Times New Roman"/>
                <w:color w:val="000000"/>
                <w:sz w:val="21"/>
                <w:szCs w:val="21"/>
              </w:rPr>
              <w:t>8</w:t>
            </w:r>
          </w:p>
        </w:tc>
        <w:tc>
          <w:tcPr>
            <w:tcW w:w="1632" w:type="pct"/>
            <w:vAlign w:val="center"/>
          </w:tcPr>
          <w:p>
            <w:pPr>
              <w:snapToGrid w:val="0"/>
              <w:spacing w:line="240" w:lineRule="auto"/>
              <w:ind w:firstLine="0" w:firstLineChars="0"/>
              <w:contextualSpacing/>
              <w:jc w:val="center"/>
              <w:rPr>
                <w:rFonts w:cs="Times New Roman"/>
                <w:color w:val="000000"/>
                <w:sz w:val="21"/>
                <w:szCs w:val="21"/>
              </w:rPr>
            </w:pPr>
            <w:r>
              <w:rPr>
                <w:rFonts w:cs="Times New Roman"/>
                <w:color w:val="000000"/>
                <w:sz w:val="21"/>
                <w:szCs w:val="21"/>
              </w:rPr>
              <w:t>人员救治情况</w:t>
            </w:r>
          </w:p>
        </w:tc>
        <w:tc>
          <w:tcPr>
            <w:tcW w:w="2982" w:type="pct"/>
            <w:vAlign w:val="center"/>
          </w:tcPr>
          <w:p>
            <w:pPr>
              <w:snapToGrid w:val="0"/>
              <w:spacing w:line="240" w:lineRule="auto"/>
              <w:ind w:firstLine="0" w:firstLineChars="0"/>
              <w:contextualSpacing/>
              <w:jc w:val="center"/>
              <w:rPr>
                <w:rFonts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386" w:type="pct"/>
            <w:vAlign w:val="center"/>
          </w:tcPr>
          <w:p>
            <w:pPr>
              <w:snapToGrid w:val="0"/>
              <w:spacing w:line="240" w:lineRule="auto"/>
              <w:ind w:firstLine="0" w:firstLineChars="0"/>
              <w:contextualSpacing/>
              <w:jc w:val="center"/>
              <w:rPr>
                <w:rFonts w:cs="Times New Roman"/>
                <w:color w:val="000000"/>
                <w:sz w:val="21"/>
                <w:szCs w:val="21"/>
              </w:rPr>
            </w:pPr>
            <w:r>
              <w:rPr>
                <w:rFonts w:cs="Times New Roman"/>
                <w:color w:val="000000"/>
                <w:sz w:val="21"/>
                <w:szCs w:val="21"/>
              </w:rPr>
              <w:t>9</w:t>
            </w:r>
          </w:p>
        </w:tc>
        <w:tc>
          <w:tcPr>
            <w:tcW w:w="1632" w:type="pct"/>
            <w:vAlign w:val="center"/>
          </w:tcPr>
          <w:p>
            <w:pPr>
              <w:snapToGrid w:val="0"/>
              <w:spacing w:line="240" w:lineRule="auto"/>
              <w:ind w:firstLine="0" w:firstLineChars="0"/>
              <w:contextualSpacing/>
              <w:jc w:val="center"/>
              <w:rPr>
                <w:rFonts w:cs="Times New Roman"/>
                <w:color w:val="000000"/>
                <w:sz w:val="21"/>
                <w:szCs w:val="21"/>
              </w:rPr>
            </w:pPr>
            <w:r>
              <w:rPr>
                <w:rFonts w:cs="Times New Roman"/>
                <w:color w:val="000000"/>
                <w:sz w:val="21"/>
                <w:szCs w:val="21"/>
              </w:rPr>
              <w:t>设施损坏情况</w:t>
            </w:r>
          </w:p>
        </w:tc>
        <w:tc>
          <w:tcPr>
            <w:tcW w:w="2982" w:type="pct"/>
            <w:vAlign w:val="center"/>
          </w:tcPr>
          <w:p>
            <w:pPr>
              <w:snapToGrid w:val="0"/>
              <w:spacing w:line="240" w:lineRule="auto"/>
              <w:ind w:firstLine="0" w:firstLineChars="0"/>
              <w:contextualSpacing/>
              <w:jc w:val="center"/>
              <w:rPr>
                <w:rFonts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386" w:type="pct"/>
            <w:vAlign w:val="center"/>
          </w:tcPr>
          <w:p>
            <w:pPr>
              <w:snapToGrid w:val="0"/>
              <w:spacing w:line="240" w:lineRule="auto"/>
              <w:ind w:firstLine="0" w:firstLineChars="0"/>
              <w:contextualSpacing/>
              <w:jc w:val="center"/>
              <w:rPr>
                <w:rFonts w:cs="Times New Roman"/>
                <w:color w:val="000000"/>
                <w:sz w:val="21"/>
                <w:szCs w:val="21"/>
              </w:rPr>
            </w:pPr>
            <w:r>
              <w:rPr>
                <w:rFonts w:cs="Times New Roman"/>
                <w:color w:val="000000"/>
                <w:sz w:val="21"/>
                <w:szCs w:val="21"/>
              </w:rPr>
              <w:t>10</w:t>
            </w:r>
          </w:p>
        </w:tc>
        <w:tc>
          <w:tcPr>
            <w:tcW w:w="1632" w:type="pct"/>
            <w:vAlign w:val="center"/>
          </w:tcPr>
          <w:p>
            <w:pPr>
              <w:snapToGrid w:val="0"/>
              <w:spacing w:line="240" w:lineRule="auto"/>
              <w:ind w:firstLine="0" w:firstLineChars="0"/>
              <w:contextualSpacing/>
              <w:jc w:val="center"/>
              <w:rPr>
                <w:rFonts w:cs="Times New Roman"/>
                <w:color w:val="000000"/>
                <w:sz w:val="21"/>
                <w:szCs w:val="21"/>
              </w:rPr>
            </w:pPr>
            <w:r>
              <w:rPr>
                <w:rFonts w:cs="Times New Roman"/>
                <w:color w:val="000000"/>
                <w:sz w:val="21"/>
                <w:szCs w:val="21"/>
              </w:rPr>
              <w:t>财产损失情况</w:t>
            </w:r>
          </w:p>
        </w:tc>
        <w:tc>
          <w:tcPr>
            <w:tcW w:w="2982" w:type="pct"/>
            <w:vAlign w:val="center"/>
          </w:tcPr>
          <w:p>
            <w:pPr>
              <w:snapToGrid w:val="0"/>
              <w:spacing w:line="240" w:lineRule="auto"/>
              <w:ind w:firstLine="0" w:firstLineChars="0"/>
              <w:contextualSpacing/>
              <w:jc w:val="center"/>
              <w:rPr>
                <w:rFonts w:cs="Times New Roman"/>
                <w:color w:val="000000"/>
                <w:sz w:val="21"/>
                <w:szCs w:val="21"/>
              </w:rPr>
            </w:pPr>
          </w:p>
        </w:tc>
      </w:tr>
    </w:tbl>
    <w:p>
      <w:pPr>
        <w:pStyle w:val="5"/>
      </w:pPr>
      <w:bookmarkStart w:id="52" w:name="_Toc7698"/>
      <w:r>
        <w:rPr>
          <w:rFonts w:hint="eastAsia"/>
        </w:rPr>
        <w:t>信息上报</w:t>
      </w:r>
      <w:bookmarkEnd w:id="52"/>
    </w:p>
    <w:p>
      <w:pPr>
        <w:ind w:firstLine="560"/>
      </w:pPr>
      <w:r>
        <w:rPr>
          <w:rFonts w:hint="eastAsia"/>
        </w:rPr>
        <w:t>公司发生I级突发环境事件难以自行处理，除执行内部报告外，还须在半小时之内将事件的详细情况汇报给</w:t>
      </w:r>
      <w:r>
        <w:rPr>
          <w:rFonts w:hint="eastAsia"/>
          <w:lang w:eastAsia="zh-CN"/>
        </w:rPr>
        <w:t>昌北生态环境局</w:t>
      </w:r>
      <w:r>
        <w:rPr>
          <w:rFonts w:hint="eastAsia"/>
        </w:rPr>
        <w:t>应急办，请求援助以控制事故的发展扩大。</w:t>
      </w:r>
    </w:p>
    <w:p>
      <w:pPr>
        <w:ind w:firstLine="560"/>
      </w:pPr>
      <w:r>
        <w:rPr>
          <w:rFonts w:hint="eastAsia"/>
        </w:rPr>
        <w:t>当突发环境事件发生初期无法按突发环境事件分级标准确认等级时，报告上注明初步判断的可能等级；随着事件的续报，可视情核定突发环境事件等级并报告应报送的部门。</w:t>
      </w:r>
    </w:p>
    <w:p>
      <w:pPr>
        <w:pStyle w:val="6"/>
      </w:pPr>
      <w:r>
        <w:rPr>
          <w:rFonts w:hint="eastAsia"/>
        </w:rPr>
        <w:t>信息上报分类</w:t>
      </w:r>
    </w:p>
    <w:p>
      <w:pPr>
        <w:ind w:firstLine="560"/>
      </w:pPr>
      <w:r>
        <w:rPr>
          <w:rFonts w:hint="eastAsia"/>
        </w:rPr>
        <w:t>突发环境事件的报告分为初报、续报和处理结果报告。</w:t>
      </w:r>
    </w:p>
    <w:p>
      <w:pPr>
        <w:ind w:firstLine="560"/>
      </w:pPr>
      <w:r>
        <w:rPr>
          <w:rFonts w:hint="eastAsia"/>
        </w:rPr>
        <w:t>1、初报是从发现事件后立即上报；</w:t>
      </w:r>
    </w:p>
    <w:p>
      <w:pPr>
        <w:ind w:firstLine="560"/>
      </w:pPr>
      <w:r>
        <w:rPr>
          <w:rFonts w:hint="eastAsia"/>
        </w:rPr>
        <w:t>2、续报是在查清事件基本情况后或事故升级、危害扩大时随时上报；</w:t>
      </w:r>
    </w:p>
    <w:p>
      <w:pPr>
        <w:ind w:firstLine="560"/>
      </w:pPr>
      <w:r>
        <w:rPr>
          <w:rFonts w:hint="eastAsia"/>
        </w:rPr>
        <w:t>3、处理结果报告是在事件处理完毕后立即上报。</w:t>
      </w:r>
    </w:p>
    <w:p>
      <w:pPr>
        <w:pStyle w:val="6"/>
      </w:pPr>
      <w:r>
        <w:rPr>
          <w:rFonts w:hint="eastAsia"/>
        </w:rPr>
        <w:t>信息上报程序</w:t>
      </w:r>
    </w:p>
    <w:p>
      <w:pPr>
        <w:ind w:firstLine="562"/>
        <w:rPr>
          <w:b/>
        </w:rPr>
      </w:pPr>
      <w:r>
        <w:rPr>
          <w:rFonts w:hint="eastAsia"/>
          <w:b/>
        </w:rPr>
        <w:t>1、初报</w:t>
      </w:r>
    </w:p>
    <w:p>
      <w:pPr>
        <w:ind w:firstLine="560"/>
      </w:pPr>
      <w:r>
        <w:rPr>
          <w:rFonts w:hint="eastAsia"/>
        </w:rPr>
        <w:t>情况紧急时，初报可用电话直接报告，但应及时补充书面报告。初报应当报告突发环境事件的发生时间、地点、信息来源、事件起因和性质、基本过程、主要污染物和数量、人员受害情况、可能受影响的村庄、学校、企业等环境敏感点受影响情况、事件发展趋势、处置情况、拟采取的措施以及下一步工作建议等初步情况，并提供可能受到突发环境事件影响的环境敏感点的分布示意图。</w:t>
      </w:r>
    </w:p>
    <w:p>
      <w:pPr>
        <w:ind w:firstLine="562"/>
        <w:rPr>
          <w:b/>
        </w:rPr>
      </w:pPr>
      <w:r>
        <w:rPr>
          <w:rFonts w:hint="eastAsia"/>
          <w:b/>
        </w:rPr>
        <w:t>2、续报</w:t>
      </w:r>
    </w:p>
    <w:p>
      <w:pPr>
        <w:ind w:firstLine="560"/>
      </w:pPr>
      <w:r>
        <w:rPr>
          <w:rFonts w:hint="eastAsia"/>
        </w:rPr>
        <w:t>续报必须是书面报告，可通过网络或传真等报告，视突发环境事件进展情况可一次或多次报告。</w:t>
      </w:r>
    </w:p>
    <w:p>
      <w:pPr>
        <w:ind w:firstLine="560"/>
      </w:pPr>
      <w:r>
        <w:rPr>
          <w:rFonts w:hint="eastAsia"/>
        </w:rPr>
        <w:t>续报在初报的基础上报告突发环境事件有关确切数据、发生的原因、过程、进展情况、危害程度及采取的应急措施、措施效果等基本情况。</w:t>
      </w:r>
    </w:p>
    <w:p>
      <w:pPr>
        <w:ind w:firstLine="562"/>
        <w:rPr>
          <w:b/>
        </w:rPr>
      </w:pPr>
      <w:r>
        <w:rPr>
          <w:rFonts w:hint="eastAsia"/>
          <w:b/>
        </w:rPr>
        <w:t>3、结果报告</w:t>
      </w:r>
    </w:p>
    <w:p>
      <w:pPr>
        <w:ind w:firstLine="560"/>
      </w:pPr>
      <w:r>
        <w:rPr>
          <w:rFonts w:hint="eastAsia"/>
        </w:rPr>
        <w:t>处理结果报告采用书面报告。</w:t>
      </w:r>
    </w:p>
    <w:p>
      <w:pPr>
        <w:ind w:firstLine="560"/>
      </w:pPr>
      <w:r>
        <w:rPr>
          <w:rFonts w:hint="eastAsia"/>
        </w:rPr>
        <w:t>处理结果报告在初报和续报的基础上，报告处理突发环境事件的措施、过程和结果，突发环境事件潜在或间接的危害及损失、应急监测结果、社会影响、处理后的遗留问题、责任追究等详细情况。处理结果报告应当在突发环境事件处理完毕后立即报送。</w:t>
      </w:r>
    </w:p>
    <w:p>
      <w:pPr>
        <w:pStyle w:val="6"/>
      </w:pPr>
      <w:r>
        <w:rPr>
          <w:rFonts w:hint="eastAsia"/>
        </w:rPr>
        <w:t>信息报告流程</w:t>
      </w:r>
    </w:p>
    <w:p>
      <w:pPr>
        <w:ind w:firstLine="560"/>
      </w:pPr>
      <w:r>
        <w:rPr>
          <w:rFonts w:hint="eastAsia"/>
        </w:rPr>
        <w:t>在得知突发环境事件发生后，应急指挥部应当立即派人赶赴现场调查了解情况，采取措施努力控制污染和生态破坏事故继续扩大，对突发环境事件的性质和类别作出初步认定，并把初步认定的情况及时上报</w:t>
      </w:r>
      <w:r>
        <w:rPr>
          <w:rFonts w:hint="eastAsia"/>
          <w:lang w:eastAsia="zh-CN"/>
        </w:rPr>
        <w:t>经开管委会</w:t>
      </w:r>
      <w:r>
        <w:rPr>
          <w:rFonts w:hint="eastAsia"/>
        </w:rPr>
        <w:t>。</w:t>
      </w:r>
    </w:p>
    <w:p>
      <w:pPr>
        <w:ind w:firstLine="560"/>
      </w:pPr>
      <w:r>
        <w:rPr>
          <w:rFonts w:hint="eastAsia"/>
        </w:rPr>
        <w:t>1、一般突发环境事件（Ⅲ级），应急指挥部应在发现或得知突发环境事件后半小时内，向</w:t>
      </w:r>
      <w:r>
        <w:rPr>
          <w:rFonts w:hint="eastAsia"/>
          <w:lang w:eastAsia="zh-CN"/>
        </w:rPr>
        <w:t>经开管委会</w:t>
      </w:r>
      <w:r>
        <w:rPr>
          <w:rFonts w:hint="eastAsia"/>
        </w:rPr>
        <w:t>报告。</w:t>
      </w:r>
    </w:p>
    <w:p>
      <w:pPr>
        <w:ind w:firstLine="560"/>
      </w:pPr>
      <w:r>
        <w:rPr>
          <w:rFonts w:hint="eastAsia"/>
        </w:rPr>
        <w:t>2、较大突发环境事件（Ⅱ级），应急指挥部应在发现或得知突发环境事件后半小时内，向</w:t>
      </w:r>
      <w:r>
        <w:rPr>
          <w:rFonts w:hint="eastAsia"/>
          <w:lang w:eastAsia="zh-CN"/>
        </w:rPr>
        <w:t>经开管委会</w:t>
      </w:r>
      <w:r>
        <w:rPr>
          <w:rFonts w:hint="eastAsia"/>
        </w:rPr>
        <w:t>报告；同时</w:t>
      </w:r>
      <w:r>
        <w:rPr>
          <w:rFonts w:hint="eastAsia"/>
          <w:lang w:val="en-US" w:eastAsia="zh-CN"/>
        </w:rPr>
        <w:t>向</w:t>
      </w:r>
      <w:r>
        <w:rPr>
          <w:rFonts w:hint="eastAsia"/>
          <w:lang w:eastAsia="zh-CN"/>
        </w:rPr>
        <w:t>昌北生态环境局</w:t>
      </w:r>
      <w:r>
        <w:rPr>
          <w:rFonts w:hint="eastAsia"/>
          <w:lang w:val="en-US" w:eastAsia="zh-CN"/>
        </w:rPr>
        <w:t>报告</w:t>
      </w:r>
      <w:r>
        <w:rPr>
          <w:rFonts w:hint="eastAsia"/>
        </w:rPr>
        <w:t>。</w:t>
      </w:r>
    </w:p>
    <w:p>
      <w:pPr>
        <w:ind w:firstLine="560"/>
      </w:pPr>
      <w:r>
        <w:rPr>
          <w:rFonts w:hint="eastAsia"/>
        </w:rPr>
        <w:t>3、重大突发环境事件（Ⅰ级），应急指挥部应在发现或得知突发环境事件后半小时内，向</w:t>
      </w:r>
      <w:r>
        <w:rPr>
          <w:rFonts w:hint="eastAsia"/>
          <w:lang w:eastAsia="zh-CN"/>
        </w:rPr>
        <w:t>经开管委会</w:t>
      </w:r>
      <w:r>
        <w:rPr>
          <w:rFonts w:hint="eastAsia"/>
        </w:rPr>
        <w:t>报告；</w:t>
      </w:r>
      <w:r>
        <w:rPr>
          <w:rFonts w:hint="eastAsia"/>
          <w:lang w:eastAsia="zh-CN"/>
        </w:rPr>
        <w:t>昌北生态环境局</w:t>
      </w:r>
      <w:r>
        <w:rPr>
          <w:rFonts w:hint="eastAsia"/>
        </w:rPr>
        <w:t>应当同时上报市</w:t>
      </w:r>
      <w:r>
        <w:rPr>
          <w:rFonts w:hint="eastAsia"/>
          <w:lang w:val="en-US" w:eastAsia="zh-CN"/>
        </w:rPr>
        <w:t>生态环境</w:t>
      </w:r>
      <w:r>
        <w:rPr>
          <w:rFonts w:hint="eastAsia"/>
        </w:rPr>
        <w:t>局。</w:t>
      </w:r>
    </w:p>
    <w:p>
      <w:pPr>
        <w:ind w:firstLine="560"/>
      </w:pPr>
      <w:r>
        <w:rPr>
          <w:rFonts w:hint="eastAsia"/>
        </w:rPr>
        <w:t>4、当突发环境事件发生初期无法按突发环境事件分级标准确认等级时，报告上应注明初步判断的可能等级。随着事件的续报，可视情核定突发环境事件等级并报告应报送的部门。</w:t>
      </w:r>
    </w:p>
    <w:p>
      <w:pPr>
        <w:ind w:firstLine="560"/>
      </w:pPr>
      <w:r>
        <w:rPr>
          <w:rFonts w:hint="eastAsia"/>
        </w:rPr>
        <w:t>紧急情况下，可越级上报。</w:t>
      </w:r>
    </w:p>
    <w:p>
      <w:pPr>
        <w:pStyle w:val="5"/>
      </w:pPr>
      <w:bookmarkStart w:id="53" w:name="_Toc22051"/>
      <w:r>
        <w:rPr>
          <w:rFonts w:hint="eastAsia"/>
        </w:rPr>
        <w:t>事故报告内容</w:t>
      </w:r>
      <w:bookmarkEnd w:id="53"/>
    </w:p>
    <w:p>
      <w:pPr>
        <w:ind w:firstLine="560"/>
      </w:pPr>
      <w:r>
        <w:rPr>
          <w:rFonts w:hint="eastAsia"/>
        </w:rPr>
        <w:t>1、泄露事件基本内容</w:t>
      </w:r>
    </w:p>
    <w:p>
      <w:pPr>
        <w:ind w:firstLine="560"/>
      </w:pPr>
      <w:r>
        <w:rPr>
          <w:rFonts w:hint="eastAsia"/>
        </w:rPr>
        <w:t>1）单位名称、地址；</w:t>
      </w:r>
    </w:p>
    <w:p>
      <w:pPr>
        <w:ind w:firstLine="560"/>
      </w:pPr>
      <w:r>
        <w:rPr>
          <w:rFonts w:hint="eastAsia"/>
        </w:rPr>
        <w:t>2）泄露发生地点、物质特性与污染面积；</w:t>
      </w:r>
    </w:p>
    <w:p>
      <w:pPr>
        <w:ind w:firstLine="560"/>
      </w:pPr>
      <w:r>
        <w:rPr>
          <w:rFonts w:hint="eastAsia"/>
        </w:rPr>
        <w:t>3）有无人员伤亡与被困人员；</w:t>
      </w:r>
    </w:p>
    <w:p>
      <w:pPr>
        <w:ind w:firstLine="560"/>
      </w:pPr>
      <w:r>
        <w:rPr>
          <w:rFonts w:hint="eastAsia"/>
        </w:rPr>
        <w:t>4）报警人姓名与联系电话；</w:t>
      </w:r>
    </w:p>
    <w:p>
      <w:pPr>
        <w:ind w:firstLine="560"/>
      </w:pPr>
      <w:r>
        <w:rPr>
          <w:rFonts w:hint="eastAsia"/>
        </w:rPr>
        <w:t>2、内部报告基本内容</w:t>
      </w:r>
    </w:p>
    <w:p>
      <w:pPr>
        <w:ind w:firstLine="560"/>
      </w:pPr>
      <w:r>
        <w:rPr>
          <w:rFonts w:hint="eastAsia"/>
        </w:rPr>
        <w:t>1）事件地点、时间以及设备设施；</w:t>
      </w:r>
    </w:p>
    <w:p>
      <w:pPr>
        <w:ind w:firstLine="560"/>
      </w:pPr>
      <w:r>
        <w:t>2</w:t>
      </w:r>
      <w:r>
        <w:rPr>
          <w:rFonts w:hint="eastAsia"/>
        </w:rPr>
        <w:t>）事件类型：中毒、泄漏等；</w:t>
      </w:r>
    </w:p>
    <w:p>
      <w:pPr>
        <w:ind w:firstLine="560"/>
      </w:pPr>
      <w:r>
        <w:t>3</w:t>
      </w:r>
      <w:r>
        <w:rPr>
          <w:rFonts w:hint="eastAsia"/>
        </w:rPr>
        <w:t>）有无人员伤亡与被困人员；</w:t>
      </w:r>
    </w:p>
    <w:p>
      <w:pPr>
        <w:ind w:firstLine="560"/>
      </w:pPr>
      <w:r>
        <w:t>4</w:t>
      </w:r>
      <w:r>
        <w:rPr>
          <w:rFonts w:hint="eastAsia"/>
        </w:rPr>
        <w:t>）已采取的应急措施。</w:t>
      </w:r>
    </w:p>
    <w:p>
      <w:pPr>
        <w:ind w:firstLine="560"/>
      </w:pPr>
      <w:r>
        <w:rPr>
          <w:rFonts w:hint="eastAsia"/>
        </w:rPr>
        <w:t>3、外部报告基本内容</w:t>
      </w:r>
    </w:p>
    <w:p>
      <w:pPr>
        <w:ind w:firstLine="560"/>
      </w:pPr>
      <w:r>
        <w:rPr>
          <w:rFonts w:hint="eastAsia"/>
        </w:rPr>
        <w:t>1）单位名称、事故发生时间、装置、设备；</w:t>
      </w:r>
    </w:p>
    <w:p>
      <w:pPr>
        <w:ind w:firstLine="560"/>
      </w:pPr>
      <w:r>
        <w:t>2</w:t>
      </w:r>
      <w:r>
        <w:rPr>
          <w:rFonts w:hint="eastAsia"/>
        </w:rPr>
        <w:t>）事故类型：火灾爆炸、中毒、泄漏等；</w:t>
      </w:r>
    </w:p>
    <w:p>
      <w:pPr>
        <w:ind w:firstLine="560"/>
      </w:pPr>
      <w:r>
        <w:t>3</w:t>
      </w:r>
      <w:r>
        <w:rPr>
          <w:rFonts w:hint="eastAsia"/>
        </w:rPr>
        <w:t>）事故伤亡情况、严重程度，有无被困人员；</w:t>
      </w:r>
    </w:p>
    <w:p>
      <w:pPr>
        <w:ind w:firstLine="560"/>
      </w:pPr>
      <w:r>
        <w:t>4</w:t>
      </w:r>
      <w:r>
        <w:rPr>
          <w:rFonts w:hint="eastAsia"/>
        </w:rPr>
        <w:t>）己采取的应急措施和将要采取的措施；</w:t>
      </w:r>
    </w:p>
    <w:p>
      <w:pPr>
        <w:ind w:firstLine="560"/>
      </w:pPr>
      <w:r>
        <w:t>5</w:t>
      </w:r>
      <w:r>
        <w:rPr>
          <w:rFonts w:hint="eastAsia"/>
        </w:rPr>
        <w:t>）事故可能的原因和影响范围；</w:t>
      </w:r>
    </w:p>
    <w:p>
      <w:pPr>
        <w:ind w:firstLine="560"/>
      </w:pPr>
      <w:r>
        <w:t>6</w:t>
      </w:r>
      <w:r>
        <w:rPr>
          <w:rFonts w:hint="eastAsia"/>
        </w:rPr>
        <w:t>）需要增援和救援的需求。</w:t>
      </w:r>
    </w:p>
    <w:p>
      <w:pPr>
        <w:ind w:firstLine="560"/>
      </w:pPr>
    </w:p>
    <w:p>
      <w:pPr>
        <w:ind w:firstLine="560"/>
        <w:sectPr>
          <w:pgSz w:w="11906" w:h="16838"/>
          <w:pgMar w:top="1304" w:right="1247" w:bottom="1304" w:left="1531" w:header="851" w:footer="851" w:gutter="0"/>
          <w:pgBorders>
            <w:top w:val="none" w:sz="0" w:space="0"/>
            <w:left w:val="none" w:sz="0" w:space="0"/>
            <w:bottom w:val="none" w:sz="0" w:space="0"/>
            <w:right w:val="none" w:sz="0" w:space="0"/>
          </w:pgBorders>
          <w:pgNumType w:fmt="decimal"/>
          <w:cols w:space="425" w:num="1"/>
          <w:docGrid w:type="lines" w:linePitch="312" w:charSpace="0"/>
        </w:sectPr>
      </w:pPr>
    </w:p>
    <w:p>
      <w:pPr>
        <w:pStyle w:val="4"/>
      </w:pPr>
      <w:bookmarkStart w:id="54" w:name="_Toc2736"/>
      <w:r>
        <w:rPr>
          <w:rFonts w:hint="eastAsia"/>
        </w:rPr>
        <w:t>应急响应</w:t>
      </w:r>
      <w:bookmarkEnd w:id="54"/>
    </w:p>
    <w:p>
      <w:pPr>
        <w:pStyle w:val="5"/>
      </w:pPr>
      <w:bookmarkStart w:id="55" w:name="_Toc17531"/>
      <w:r>
        <w:rPr>
          <w:rFonts w:hint="eastAsia"/>
        </w:rPr>
        <w:t>响应分级</w:t>
      </w:r>
      <w:bookmarkEnd w:id="55"/>
    </w:p>
    <w:p>
      <w:pPr>
        <w:ind w:firstLine="560"/>
      </w:pPr>
      <w:r>
        <w:rPr>
          <w:rFonts w:hint="eastAsia"/>
        </w:rPr>
        <w:t>针对突发环境事件严重性、紧急程度、危害程度、影响范围、单位内部（车间、企业）控制事态的能力以及需要调动的应急资源，且按照分级响应的原则，明确应急响应级别，指挥调度应急救援工作和开展应急救援响应。</w:t>
      </w:r>
    </w:p>
    <w:p>
      <w:pPr>
        <w:ind w:firstLine="560"/>
      </w:pPr>
      <w:r>
        <w:rPr>
          <w:rFonts w:hint="eastAsia"/>
        </w:rPr>
        <w:t>1、巡检人员或岗位人员发现突发环境事件时，在通知中控室的同时，要立即向当班班长或应急办公室报告，并根据事故危害情况采取控制措施或撤离躲避措施。</w:t>
      </w:r>
    </w:p>
    <w:p>
      <w:pPr>
        <w:ind w:firstLine="560"/>
      </w:pPr>
      <w:r>
        <w:rPr>
          <w:rFonts w:hint="eastAsia"/>
        </w:rPr>
        <w:t>2、应急办公室接到事件报告后，根据事件的突发环境事件分级情况，立即判断环境事件类型和事件的预警级别。</w:t>
      </w:r>
    </w:p>
    <w:p>
      <w:pPr>
        <w:ind w:firstLine="560"/>
      </w:pPr>
      <w:r>
        <w:rPr>
          <w:rFonts w:hint="eastAsia"/>
        </w:rPr>
        <w:t>3、应急办公室判断突发环境事件级别为II级以上时，立即上报应急指挥部；应急指挥部判断事件级别为I级时，立即上报</w:t>
      </w:r>
      <w:r>
        <w:rPr>
          <w:rFonts w:hint="eastAsia"/>
          <w:lang w:val="en-US" w:eastAsia="zh-CN"/>
        </w:rPr>
        <w:t>昌北</w:t>
      </w:r>
      <w:r>
        <w:rPr>
          <w:rFonts w:hint="eastAsia"/>
          <w:lang w:eastAsia="zh-CN"/>
        </w:rPr>
        <w:t>生态环境</w:t>
      </w:r>
      <w:r>
        <w:rPr>
          <w:rFonts w:hint="eastAsia"/>
        </w:rPr>
        <w:t>局。</w:t>
      </w:r>
    </w:p>
    <w:p>
      <w:pPr>
        <w:ind w:firstLine="560"/>
      </w:pPr>
      <w:r>
        <w:rPr>
          <w:rFonts w:hint="eastAsia"/>
        </w:rPr>
        <w:t>4、应急响应级别与预警级别相一致，分为I级、II级、III级三级响应。</w:t>
      </w:r>
    </w:p>
    <w:p>
      <w:pPr>
        <w:ind w:firstLine="560"/>
      </w:pPr>
      <w:r>
        <w:rPr>
          <w:rFonts w:hint="eastAsia"/>
        </w:rPr>
        <w:t>I级响应：因厂区突发环境事件（泄露、火灾）造成直接经济损失在200万元以上；或造成人员受伤中毒、中毒或者重伤；或造成人员死亡；或对环境造成危害。应急救援小组赶赴事故现场，查明情况汇报应急指挥部。应急指挥部根据影响范围联合</w:t>
      </w:r>
      <w:r>
        <w:rPr>
          <w:rFonts w:hint="eastAsia"/>
          <w:lang w:val="en-US" w:eastAsia="zh-CN"/>
        </w:rPr>
        <w:t>昌北</w:t>
      </w:r>
      <w:r>
        <w:rPr>
          <w:rFonts w:hint="eastAsia"/>
          <w:lang w:eastAsia="zh-CN"/>
        </w:rPr>
        <w:t>生态环境</w:t>
      </w:r>
      <w:r>
        <w:rPr>
          <w:rFonts w:hint="eastAsia"/>
        </w:rPr>
        <w:t>局进行区域范围内的人员疏散工作和紧急救援工作。</w:t>
      </w:r>
    </w:p>
    <w:p>
      <w:pPr>
        <w:ind w:firstLine="560"/>
      </w:pPr>
      <w:r>
        <w:rPr>
          <w:rFonts w:hint="eastAsia"/>
        </w:rPr>
        <w:t>II级响应：当发生严重污水超标排放事故、厂区发生火灾等突发环境事件，造成直接经济损失在50万元以上200万以下，造成人员轻度伤害，未造成人员受伤中毒、中毒或者重伤的，未造成人员死亡，或事故危害在厂区范围内，经自救或组织救援能予以控制，并无进一步发展趋势；或未对环境造成危害。所有救援小组紧急动员，按照应急指挥部指令，进行现场警戒，做好防范措施准备撤离。</w:t>
      </w:r>
    </w:p>
    <w:p>
      <w:pPr>
        <w:ind w:firstLine="560"/>
      </w:pPr>
      <w:r>
        <w:rPr>
          <w:rFonts w:hint="eastAsia"/>
        </w:rPr>
        <w:t>III级响应：当厂区发生少量泄露或厂区发生小规模火灾，造成直接经济损失50万以下，未造成人员受伤中毒、中毒或者重伤，未造成人员死亡，或事故危害在厂区范围内，经自救或组织救援能予以控制，并无进一步发展趋势；或未对环境造成危害。启动III级预警，由应急办公室负责，车间内部小范围动员。应急救援小组赶赴现场，根据现场实际情况向应急办公室汇报并采取措施展开应急处理和救援工作。III级响应启动后，事故发生点周围50m人员做好防范措施。</w:t>
      </w:r>
    </w:p>
    <w:p>
      <w:pPr>
        <w:keepNext/>
        <w:ind w:firstLine="0" w:firstLineChars="0"/>
        <w:rPr>
          <w:rFonts w:hint="eastAsia" w:eastAsia="宋体"/>
          <w:lang w:eastAsia="zh-CN"/>
        </w:rPr>
      </w:pPr>
      <w:r>
        <w:rPr>
          <w:rFonts w:hint="eastAsia" w:eastAsia="宋体"/>
          <w:lang w:eastAsia="zh-CN"/>
        </w:rPr>
        <w:drawing>
          <wp:inline distT="0" distB="0" distL="114300" distR="114300">
            <wp:extent cx="5792470" cy="2611120"/>
            <wp:effectExtent l="0" t="0" r="11430" b="5080"/>
            <wp:docPr id="19" name="图片 19" descr="15953946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595394624(1)"/>
                    <pic:cNvPicPr>
                      <a:picLocks noChangeAspect="1"/>
                    </pic:cNvPicPr>
                  </pic:nvPicPr>
                  <pic:blipFill>
                    <a:blip r:embed="rId24"/>
                    <a:stretch>
                      <a:fillRect/>
                    </a:stretch>
                  </pic:blipFill>
                  <pic:spPr>
                    <a:xfrm>
                      <a:off x="0" y="0"/>
                      <a:ext cx="5792470" cy="2611120"/>
                    </a:xfrm>
                    <a:prstGeom prst="rect">
                      <a:avLst/>
                    </a:prstGeom>
                  </pic:spPr>
                </pic:pic>
              </a:graphicData>
            </a:graphic>
          </wp:inline>
        </w:drawing>
      </w:r>
    </w:p>
    <w:p>
      <w:pPr>
        <w:pStyle w:val="8"/>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8</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1</w:t>
      </w:r>
      <w:r>
        <w:fldChar w:fldCharType="end"/>
      </w:r>
      <w:r>
        <w:rPr>
          <w:rFonts w:hint="eastAsia"/>
        </w:rPr>
        <w:t>突发环境事件区区域应急预案响应机制</w:t>
      </w:r>
    </w:p>
    <w:p>
      <w:pPr>
        <w:pStyle w:val="5"/>
      </w:pPr>
      <w:bookmarkStart w:id="56" w:name="_Toc1976"/>
      <w:r>
        <w:rPr>
          <w:rFonts w:hint="eastAsia"/>
        </w:rPr>
        <w:t>响应程序</w:t>
      </w:r>
      <w:bookmarkEnd w:id="56"/>
    </w:p>
    <w:p>
      <w:pPr>
        <w:ind w:firstLine="560"/>
      </w:pPr>
      <w:r>
        <w:rPr>
          <w:rFonts w:hint="eastAsia"/>
        </w:rPr>
        <w:t>突发环境事件应急响应程序见</w:t>
      </w:r>
      <w:r>
        <w:fldChar w:fldCharType="begin"/>
      </w:r>
      <w:r>
        <w:instrText xml:space="preserve"> </w:instrText>
      </w:r>
      <w:r>
        <w:rPr>
          <w:rFonts w:hint="eastAsia"/>
        </w:rPr>
        <w:instrText xml:space="preserve">REF _Ref527060775 \h</w:instrText>
      </w:r>
      <w:r>
        <w:instrText xml:space="preserve"> </w:instrText>
      </w:r>
      <w:r>
        <w:fldChar w:fldCharType="separate"/>
      </w:r>
      <w:r>
        <w:rPr>
          <w:rFonts w:hint="eastAsia"/>
        </w:rPr>
        <w:t xml:space="preserve">图 </w:t>
      </w:r>
      <w:r>
        <w:t>8</w:t>
      </w:r>
      <w:r>
        <w:noBreakHyphen/>
      </w:r>
      <w:r>
        <w:t>2</w:t>
      </w:r>
      <w:r>
        <w:fldChar w:fldCharType="end"/>
      </w:r>
      <w:r>
        <w:rPr>
          <w:rFonts w:hint="eastAsia"/>
        </w:rPr>
        <w:t>。</w:t>
      </w:r>
    </w:p>
    <w:p>
      <w:pPr>
        <w:keepNext/>
        <w:ind w:firstLine="0" w:firstLineChars="0"/>
      </w:pPr>
      <w:r>
        <w:rPr>
          <w:sz w:val="24"/>
        </w:rPr>
        <w:drawing>
          <wp:inline distT="0" distB="0" distL="0" distR="0">
            <wp:extent cx="5756275" cy="7562215"/>
            <wp:effectExtent l="0" t="0" r="0" b="63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776831" cy="7589183"/>
                    </a:xfrm>
                    <a:prstGeom prst="rect">
                      <a:avLst/>
                    </a:prstGeom>
                    <a:noFill/>
                    <a:ln>
                      <a:noFill/>
                    </a:ln>
                  </pic:spPr>
                </pic:pic>
              </a:graphicData>
            </a:graphic>
          </wp:inline>
        </w:drawing>
      </w:r>
    </w:p>
    <w:p>
      <w:pPr>
        <w:pStyle w:val="8"/>
      </w:pPr>
      <w:bookmarkStart w:id="57" w:name="_Ref527060775"/>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8</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2</w:t>
      </w:r>
      <w:r>
        <w:fldChar w:fldCharType="end"/>
      </w:r>
      <w:bookmarkEnd w:id="57"/>
      <w:r>
        <w:rPr>
          <w:rFonts w:hint="eastAsia"/>
        </w:rPr>
        <w:t>突发环境事件应急响应程序</w:t>
      </w:r>
    </w:p>
    <w:p>
      <w:pPr>
        <w:ind w:firstLine="560"/>
      </w:pPr>
      <w:r>
        <w:rPr>
          <w:rFonts w:hint="eastAsia"/>
        </w:rPr>
        <w:t>发生任何突发环境事件后，现场操作人员或最先发现者在通知中控室的同时立即向当班班长汇报或直接向应急办公室报警。应急办公室接到报警后根据事件的紧急程度和严重性判断事件为II级以上突发环境事件时立即上报应急救援指挥部。</w:t>
      </w:r>
    </w:p>
    <w:p>
      <w:pPr>
        <w:ind w:firstLine="560"/>
      </w:pPr>
      <w:r>
        <w:rPr>
          <w:rFonts w:hint="eastAsia"/>
        </w:rPr>
        <w:t>应急救援指挥部接到报警后，立即根据当前所发生事故的状态和实际情况，判断启动应急救援预案的响应级别，以便明确调配应急物资，信息网络开通、协调组织应急行动、工程抢险、警戒与交通管制。倘若发生I级突发环境事件时，必须启动公司级应急预案和外界救援时，立即组织无关人员疏散，现场有受伤人员时还应紧急医疗救护、扩大应急等。请求社会援助时应注意：应明确告之事故发生的地点，事故介质和行走路线；应派人在指定地点等候，负责联络引导；应详细告之事故的具体情况和安全注意事项；社会救援队伍参与救援时，应统一指挥，明确信号。</w:t>
      </w:r>
    </w:p>
    <w:p>
      <w:pPr>
        <w:pStyle w:val="5"/>
        <w:rPr>
          <w:highlight w:val="none"/>
        </w:rPr>
      </w:pPr>
      <w:bookmarkStart w:id="58" w:name="_Toc18265"/>
      <w:r>
        <w:rPr>
          <w:rFonts w:hint="eastAsia"/>
          <w:highlight w:val="none"/>
        </w:rPr>
        <w:t>应急处置</w:t>
      </w:r>
      <w:bookmarkEnd w:id="58"/>
    </w:p>
    <w:p>
      <w:pPr>
        <w:ind w:firstLine="560"/>
      </w:pPr>
      <w:r>
        <w:rPr>
          <w:rFonts w:hint="eastAsia"/>
        </w:rPr>
        <w:t>对公司范围内发生的各类突发事件，无论级别高低、规模大小、损伤轻重，各部门要迅速调度力量，尽快判明事件性质和危害程度，及时采取相应的应急处置措施，全力控制事态发展，减少财产损失和社会影响，并及时通过电话报告。应急值守人员在接到报警电话后，应立即通知公司应急救援指挥部和有关应急人员及时投入抢险和初期应急报警电话后，应立即通知公司应急救援指挥部和有关应急人员及时投入抢险和初期应急处理，防止事故扩大和蔓延。</w:t>
      </w:r>
    </w:p>
    <w:p>
      <w:pPr>
        <w:ind w:firstLine="560"/>
      </w:pPr>
      <w:r>
        <w:rPr>
          <w:rFonts w:hint="eastAsia"/>
        </w:rPr>
        <w:t>扩大应急基本条件及原则：</w:t>
      </w:r>
    </w:p>
    <w:p>
      <w:pPr>
        <w:ind w:firstLine="560"/>
      </w:pPr>
      <w:r>
        <w:rPr>
          <w:rFonts w:hint="eastAsia"/>
        </w:rPr>
        <w:t>1、当先期处置难以有效控制事态，出现大面积或可能发展为严重事件的态势时，立即转入扩大应急状态。在公司应急指挥部统一领导下，扩大抢险救灾资源使用、调用的范围和数量，必要时，依法动用一切可以动用的资源；</w:t>
      </w:r>
    </w:p>
    <w:p>
      <w:pPr>
        <w:ind w:firstLine="560"/>
      </w:pPr>
      <w:r>
        <w:rPr>
          <w:rFonts w:hint="eastAsia"/>
        </w:rPr>
        <w:t>2、当突发事件造成的危害程度十分严重，超出公司自身控制能力，需要上级提供援助和支持时，公司应急指挥部应立即上报</w:t>
      </w:r>
      <w:r>
        <w:rPr>
          <w:rFonts w:hint="eastAsia"/>
          <w:lang w:eastAsia="zh-CN"/>
        </w:rPr>
        <w:t>经开管委会</w:t>
      </w:r>
      <w:r>
        <w:rPr>
          <w:rFonts w:hint="eastAsia"/>
        </w:rPr>
        <w:t>值班、消防、</w:t>
      </w:r>
      <w:r>
        <w:rPr>
          <w:rFonts w:hint="eastAsia"/>
          <w:lang w:val="en-US" w:eastAsia="zh-CN"/>
        </w:rPr>
        <w:t>昌北生态环境局</w:t>
      </w:r>
      <w:r>
        <w:rPr>
          <w:rFonts w:hint="eastAsia"/>
        </w:rPr>
        <w:t>等政府部门，请求地方政府应急救援。</w:t>
      </w:r>
    </w:p>
    <w:p>
      <w:pPr>
        <w:ind w:firstLine="560"/>
      </w:pPr>
      <w:r>
        <w:rPr>
          <w:rFonts w:hint="eastAsia"/>
        </w:rPr>
        <w:t>在应急救援过程中，应急救援人员首先要确保自身人身安全，才能保证顺利采取应急救援措施。应急救援过程中，以救人为主，抢救财产损失为次。</w:t>
      </w:r>
    </w:p>
    <w:p>
      <w:pPr>
        <w:pStyle w:val="6"/>
      </w:pPr>
      <w:r>
        <w:rPr>
          <w:rFonts w:hint="eastAsia"/>
        </w:rPr>
        <w:t>化学品泄漏事故</w:t>
      </w:r>
    </w:p>
    <w:p>
      <w:pPr>
        <w:ind w:firstLine="560"/>
      </w:pPr>
      <w:r>
        <w:rPr>
          <w:rFonts w:hint="eastAsia"/>
        </w:rPr>
        <w:t>公司主要风险物质为</w:t>
      </w:r>
      <w:r>
        <w:rPr>
          <w:rFonts w:hint="eastAsia"/>
          <w:lang w:val="en-US" w:eastAsia="zh-CN"/>
        </w:rPr>
        <w:t>次氯酸钠溶液</w:t>
      </w:r>
      <w:r>
        <w:rPr>
          <w:rFonts w:hint="eastAsia"/>
        </w:rPr>
        <w:t>。事故类型为化学品泄漏事故。</w:t>
      </w:r>
    </w:p>
    <w:p>
      <w:pPr>
        <w:ind w:firstLine="562"/>
        <w:rPr>
          <w:b/>
        </w:rPr>
      </w:pPr>
      <w:r>
        <w:rPr>
          <w:rFonts w:hint="eastAsia"/>
          <w:b/>
        </w:rPr>
        <w:t>1、事故预防措施</w:t>
      </w:r>
    </w:p>
    <w:p>
      <w:pPr>
        <w:ind w:firstLine="560"/>
      </w:pPr>
      <w:r>
        <w:rPr>
          <w:rFonts w:hint="eastAsia"/>
        </w:rPr>
        <w:t>（1）制订化学品使用、储存管理制度和安全操作规程，加强对员工的安全教育，相关人员应持证上岗。</w:t>
      </w:r>
    </w:p>
    <w:p>
      <w:pPr>
        <w:ind w:firstLine="560"/>
      </w:pPr>
      <w:r>
        <w:rPr>
          <w:rFonts w:hint="eastAsia"/>
        </w:rPr>
        <w:t>（2）加强对化学品使用、储存的安全检查，发现问题及时组织整改。</w:t>
      </w:r>
    </w:p>
    <w:p>
      <w:pPr>
        <w:ind w:firstLine="560"/>
      </w:pPr>
      <w:r>
        <w:rPr>
          <w:rFonts w:hint="eastAsia"/>
        </w:rPr>
        <w:t>（3）按相关的安全技术规程的要求，定期检测，健全相关管理制度，落实安全管理责任。</w:t>
      </w:r>
    </w:p>
    <w:p>
      <w:pPr>
        <w:ind w:firstLine="560"/>
      </w:pPr>
      <w:r>
        <w:rPr>
          <w:rFonts w:hint="eastAsia"/>
        </w:rPr>
        <w:t>（4）采用优质的材料和设备，加强施工质量的监管力度，确保储罐、阀门的密封，加强对各类设施的维护与管理，减少“跑、冒、滴、漏”现象。</w:t>
      </w:r>
    </w:p>
    <w:p>
      <w:pPr>
        <w:ind w:firstLine="560"/>
      </w:pPr>
      <w:r>
        <w:rPr>
          <w:rFonts w:hint="eastAsia"/>
        </w:rPr>
        <w:t>（5）严格按照操作规程进行物料运输、装卸操作及生产单元操作，防止人为失误造成物料泄漏。装卸过程中轻拿轻放。</w:t>
      </w:r>
    </w:p>
    <w:p>
      <w:pPr>
        <w:ind w:firstLine="562"/>
        <w:rPr>
          <w:b/>
        </w:rPr>
      </w:pPr>
      <w:r>
        <w:rPr>
          <w:rFonts w:hint="eastAsia"/>
          <w:b/>
        </w:rPr>
        <w:t>2、具体响应程序</w:t>
      </w:r>
    </w:p>
    <w:p>
      <w:pPr>
        <w:ind w:firstLine="560"/>
      </w:pPr>
      <w:r>
        <w:rPr>
          <w:rFonts w:hint="eastAsia"/>
        </w:rPr>
        <w:t>（1）生产部接到报警后迅速确认人员报警情况、化学品泄漏发生场所、影响区域危险源状况、人员中毒、伤亡、监控录像等情况，上报应急指挥中心。通过电话、对讲机等通讯手段与事故现场指挥人员保持联络。</w:t>
      </w:r>
    </w:p>
    <w:p>
      <w:pPr>
        <w:ind w:firstLine="560"/>
      </w:pPr>
      <w:r>
        <w:rPr>
          <w:rFonts w:hint="eastAsia"/>
        </w:rPr>
        <w:t>（2）应急指挥中心掌握化学品泄漏状况并分析原因，根据应急响应级别启动应急程序。划定泄漏发生警戒隔离区域，管制人员出入，安排各应急响应小组人员和相关部门行动，防止事故扩散。同时指示紧急救施者正确穿戴劳防用品。根据人员中毒、伤亡情况组织实施救助。响应过程中可根据事故发展状况确定提高或降低响应等级。</w:t>
      </w:r>
    </w:p>
    <w:p>
      <w:pPr>
        <w:ind w:firstLine="560"/>
      </w:pPr>
      <w:r>
        <w:rPr>
          <w:rFonts w:hint="eastAsia"/>
        </w:rPr>
        <w:t>（3）化学品泄漏事故可能向公司外部扩散等必要时，应急指挥中心应对生产中断等重要决定事项进行判断，并做出指示，请求环保部门、医院等政府部门协助。</w:t>
      </w:r>
    </w:p>
    <w:p>
      <w:pPr>
        <w:ind w:firstLine="560"/>
      </w:pPr>
      <w:r>
        <w:rPr>
          <w:rFonts w:hint="eastAsia"/>
        </w:rPr>
        <w:t>（4）控制泄漏源，切断危险源、电源，检查雨水管网阀门，确保是关闭状态，防止二次事故；疏散引导，确认有无人员伤亡等；掌握未疏散人员情况，确认被救助人员健康状态并联系医院；提供泄漏事故所需的应急物资；确认生产设备系统等是否异常等。</w:t>
      </w:r>
    </w:p>
    <w:p>
      <w:pPr>
        <w:ind w:firstLine="562"/>
        <w:rPr>
          <w:b/>
        </w:rPr>
      </w:pPr>
      <w:r>
        <w:rPr>
          <w:rFonts w:hint="eastAsia"/>
          <w:b/>
        </w:rPr>
        <w:t>3、初期应急措施</w:t>
      </w:r>
    </w:p>
    <w:p>
      <w:pPr>
        <w:ind w:firstLine="560"/>
      </w:pPr>
      <w:r>
        <w:rPr>
          <w:rFonts w:hint="eastAsia"/>
        </w:rPr>
        <w:t>（1）进入泄漏现场进行处理时，应注意安全防护，救援人员必须配备必要的防护工具。应急处理时严禁单独行动，需有监护人。</w:t>
      </w:r>
    </w:p>
    <w:p>
      <w:pPr>
        <w:ind w:firstLine="560"/>
      </w:pPr>
      <w:r>
        <w:rPr>
          <w:rFonts w:hint="eastAsia"/>
        </w:rPr>
        <w:t>（2）泄漏化学品浓度较大时可能造成窒息，应使用防护服和防毒面具。根据有毒物监测情况，设定隔离区，封闭事故现场。根据风向，撤离至指定的安全地点后清点人数。</w:t>
      </w:r>
    </w:p>
    <w:p>
      <w:pPr>
        <w:ind w:firstLine="560"/>
      </w:pPr>
      <w:r>
        <w:rPr>
          <w:rFonts w:hint="eastAsia"/>
        </w:rPr>
        <w:t>（3）控制泄漏源，防止次生灾害发生。实时监测空气中有毒物质的浓度，及时调整隔离区的范围。采用合适的材料和技术手段堵住泄漏处。</w:t>
      </w:r>
    </w:p>
    <w:p>
      <w:pPr>
        <w:ind w:firstLine="560"/>
      </w:pPr>
      <w:r>
        <w:rPr>
          <w:rFonts w:hint="eastAsia"/>
        </w:rPr>
        <w:t>（4）如发生化学品中毒时，应急救援人员必须佩戴防毒面具进入现场危险区，沿逆风方向将患者转移空气新鲜处，保持患者呼吸道通畅，根据受伤情况进行现场急救，并拨打电话120，直到医务人员赶到，视实际情况将受伤、中毒人员送往医院抢救。</w:t>
      </w:r>
    </w:p>
    <w:p>
      <w:pPr>
        <w:ind w:firstLine="562"/>
        <w:rPr>
          <w:b/>
        </w:rPr>
      </w:pPr>
      <w:r>
        <w:rPr>
          <w:rFonts w:hint="eastAsia"/>
          <w:b/>
        </w:rPr>
        <w:t>4、警戒、隔离</w:t>
      </w:r>
    </w:p>
    <w:p>
      <w:pPr>
        <w:ind w:firstLine="560"/>
      </w:pPr>
      <w:r>
        <w:rPr>
          <w:rFonts w:hint="eastAsia"/>
        </w:rPr>
        <w:t>（1）建立警戒区域。泄漏事故发生后，应根据化学品泄漏扩散所涉及到的范围建立警戒区，如事故较大，可要求交警协助在通往事故现场的主要干道上实行交通管制。</w:t>
      </w:r>
    </w:p>
    <w:p>
      <w:pPr>
        <w:ind w:firstLine="560"/>
      </w:pPr>
      <w:r>
        <w:rPr>
          <w:rFonts w:hint="eastAsia"/>
        </w:rPr>
        <w:t>（2）将警戒区域划分为重危区、轻危区和安全区，并设立警戒标志，在安全区视情况设立隔离带；组织事故处理小组人员将警戒区内与事故应急处理无关的人员撤离，以免引起不必要的人员伤亡。迅速将现场其他物品转移到安全区，防止接触反应的二次污染及其他事故发生。</w:t>
      </w:r>
    </w:p>
    <w:p>
      <w:pPr>
        <w:ind w:firstLine="560"/>
      </w:pPr>
      <w:r>
        <w:rPr>
          <w:rFonts w:hint="eastAsia"/>
        </w:rPr>
        <w:t>（3）除消防、应急处理人员外，其他人员禁止进入警戒区。</w:t>
      </w:r>
    </w:p>
    <w:p>
      <w:pPr>
        <w:ind w:firstLine="560"/>
      </w:pPr>
      <w:r>
        <w:rPr>
          <w:rFonts w:hint="eastAsia"/>
        </w:rPr>
        <w:t>（4）警戒区域内严禁火种。</w:t>
      </w:r>
    </w:p>
    <w:p>
      <w:pPr>
        <w:ind w:firstLine="562"/>
        <w:rPr>
          <w:b/>
        </w:rPr>
      </w:pPr>
      <w:r>
        <w:rPr>
          <w:rFonts w:hint="eastAsia"/>
          <w:b/>
        </w:rPr>
        <w:t>5、切断危险源</w:t>
      </w:r>
    </w:p>
    <w:p>
      <w:pPr>
        <w:ind w:firstLine="560"/>
      </w:pPr>
      <w:r>
        <w:rPr>
          <w:rFonts w:hint="eastAsia"/>
        </w:rPr>
        <w:t>（1）在确保人员安全的前提下，转移其余化学品。</w:t>
      </w:r>
    </w:p>
    <w:p>
      <w:pPr>
        <w:ind w:firstLine="560"/>
      </w:pPr>
      <w:r>
        <w:rPr>
          <w:rFonts w:hint="eastAsia"/>
        </w:rPr>
        <w:t>（3）生产车间、化学品储存间和废弃物存放站等风险单元的主要环境风险物质一旦泄漏，需做到：</w:t>
      </w:r>
    </w:p>
    <w:p>
      <w:pPr>
        <w:ind w:firstLine="560"/>
      </w:pPr>
      <w:r>
        <w:rPr>
          <w:rFonts w:hint="eastAsia"/>
        </w:rPr>
        <w:t>——截留：第一时间利用地面沟、槽、围挡等将物质拦截，防止其流入土壤或水体；</w:t>
      </w:r>
    </w:p>
    <w:p>
      <w:pPr>
        <w:ind w:firstLine="560"/>
      </w:pPr>
      <w:r>
        <w:rPr>
          <w:rFonts w:hint="eastAsia"/>
        </w:rPr>
        <w:t>——稀释与覆盖：用泡沫、黄沙或其他覆盖物（化学吸附毯）覆盖外泄的物料，在其表面形成覆盖层，抑制其蒸发，阻隔其与空气的接触。</w:t>
      </w:r>
    </w:p>
    <w:p>
      <w:pPr>
        <w:ind w:firstLine="560"/>
      </w:pPr>
      <w:r>
        <w:rPr>
          <w:rFonts w:hint="eastAsia"/>
        </w:rPr>
        <w:t>——收集：小量泄漏时可用吸附材料（如吸附棉）、黄沙等吸附材料吸收，大泄漏时可用泵将泄漏的物料抽入容器内，作为危险废物在厂内废弃物存放站内。将沾有泄漏化学品的吸附材料放入铁桶或其他盛装容器类。</w:t>
      </w:r>
    </w:p>
    <w:p>
      <w:pPr>
        <w:pStyle w:val="6"/>
      </w:pPr>
      <w:r>
        <w:rPr>
          <w:rFonts w:hint="eastAsia"/>
        </w:rPr>
        <w:t>火灾爆炸事故</w:t>
      </w:r>
    </w:p>
    <w:p>
      <w:pPr>
        <w:ind w:firstLine="560"/>
        <w:rPr>
          <w:rFonts w:hint="eastAsia"/>
        </w:rPr>
      </w:pPr>
      <w:r>
        <w:rPr>
          <w:rFonts w:hint="eastAsia"/>
        </w:rPr>
        <w:t>主要风险为电气、电缆、电线等因负荷过载、绝缘老化，异物侵入等引起电气火灾。火灾、爆炸产生的消防水进入雨水管污染水体。</w:t>
      </w:r>
    </w:p>
    <w:p>
      <w:pPr>
        <w:ind w:firstLine="562"/>
        <w:rPr>
          <w:b/>
        </w:rPr>
      </w:pPr>
      <w:r>
        <w:rPr>
          <w:rFonts w:hint="eastAsia"/>
          <w:b/>
        </w:rPr>
        <w:t>1、事故预防措施</w:t>
      </w:r>
    </w:p>
    <w:p>
      <w:pPr>
        <w:ind w:firstLine="560"/>
      </w:pPr>
      <w:r>
        <w:rPr>
          <w:rFonts w:hint="eastAsia"/>
        </w:rPr>
        <w:t>（1）工作人员必须对</w:t>
      </w:r>
      <w:r>
        <w:rPr>
          <w:rFonts w:hint="eastAsia"/>
          <w:lang w:val="en-US" w:eastAsia="zh-CN"/>
        </w:rPr>
        <w:t>电气、电缆、电线等</w:t>
      </w:r>
      <w:r>
        <w:rPr>
          <w:rFonts w:hint="eastAsia"/>
        </w:rPr>
        <w:t>进行检查，</w:t>
      </w:r>
      <w:r>
        <w:rPr>
          <w:rFonts w:hint="eastAsia"/>
          <w:lang w:val="en-US" w:eastAsia="zh-CN"/>
        </w:rPr>
        <w:t>防止负荷过载、绝缘老化、异物侵入</w:t>
      </w:r>
      <w:r>
        <w:rPr>
          <w:rFonts w:hint="eastAsia"/>
        </w:rPr>
        <w:t>；</w:t>
      </w:r>
    </w:p>
    <w:p>
      <w:pPr>
        <w:ind w:firstLine="562"/>
        <w:rPr>
          <w:b/>
        </w:rPr>
      </w:pPr>
      <w:r>
        <w:rPr>
          <w:rFonts w:hint="eastAsia"/>
          <w:b/>
        </w:rPr>
        <w:t>2、具体响应程序</w:t>
      </w:r>
    </w:p>
    <w:p>
      <w:pPr>
        <w:ind w:firstLine="560"/>
      </w:pPr>
      <w:r>
        <w:rPr>
          <w:rFonts w:hint="eastAsia"/>
        </w:rPr>
        <w:t>（1）生产部接到报警后迅速确认现场应急处置、火灾发生场所、影响区域危险源状况、人员伤亡、区域监控录像等情况，根据应急响应级别启动应急程序，上报应急指挥中心，确定现场指挥人员。通过电话、对讲机等通讯手段与事故现场指挥人员保持联络。</w:t>
      </w:r>
    </w:p>
    <w:p>
      <w:pPr>
        <w:ind w:firstLine="560"/>
      </w:pPr>
      <w:r>
        <w:rPr>
          <w:rFonts w:hint="eastAsia"/>
        </w:rPr>
        <w:t>（2）应急指挥中心掌握火灾爆炸状况并分析原因划定火灾发生警戒隔离区域，管制人员出入，安排各应急响应小组人员和相关部门行动，防止事故扩散，并指示紧急措施者正确穿戴劳防用品。根据人员伤亡情况组织实施救助。响应过程中可根据事故发展状况确定提高或降低响应等级。</w:t>
      </w:r>
    </w:p>
    <w:p>
      <w:pPr>
        <w:ind w:firstLine="560"/>
      </w:pPr>
      <w:r>
        <w:rPr>
          <w:rFonts w:hint="eastAsia"/>
        </w:rPr>
        <w:t>（3）火灾爆炸事故可能向公司外部扩散等必要时，应急指挥组长应对生产中断、请求外援等重要决定事项进行判断，并做出指示，请求消防队、医院、区环保部门等政府部门协助。</w:t>
      </w:r>
    </w:p>
    <w:p>
      <w:pPr>
        <w:ind w:firstLine="560"/>
      </w:pPr>
      <w:r>
        <w:rPr>
          <w:rFonts w:hint="eastAsia"/>
        </w:rPr>
        <w:t>（4）控制泄漏源，切断危险源、电源，检查雨水管网阀门，确保是关闭状态，防止二次事故；疏散引导，确认有无人员伤亡等；掌握未疏散人员情况，确认被救助人员健康状态并联系医院；提供泄漏事故所需的应急物资；调整生产，确认生产设备、仓库等是否异常等。</w:t>
      </w:r>
    </w:p>
    <w:p>
      <w:pPr>
        <w:ind w:firstLine="562"/>
        <w:rPr>
          <w:b/>
        </w:rPr>
      </w:pPr>
      <w:r>
        <w:rPr>
          <w:rFonts w:hint="eastAsia"/>
          <w:b/>
        </w:rPr>
        <w:t>3、警戒、隔离</w:t>
      </w:r>
    </w:p>
    <w:p>
      <w:pPr>
        <w:ind w:firstLine="560"/>
      </w:pPr>
      <w:r>
        <w:rPr>
          <w:rFonts w:hint="eastAsia"/>
        </w:rPr>
        <w:t>根据事故现场火焰辐射热、爆炸所涉及到的范围、场所危险源状况建立警戒区域，在警戒区域边界设警示标志。对通往事故现场的道路实行交通管制，严禁无关车辆进入，清理主要交通干道，保证道路畅通。合理设置出入口，除应应急救援人员外，严禁外部无关人员进入。根据事故控制情况，适当调整警戒区域。</w:t>
      </w:r>
    </w:p>
    <w:p>
      <w:pPr>
        <w:ind w:firstLine="560"/>
      </w:pPr>
      <w:r>
        <w:rPr>
          <w:rFonts w:hint="eastAsia"/>
        </w:rPr>
        <w:t>人员疏散时应根据化学品危害特性，组织和指导人员就地取材（如毛巾、湿布、口罩等），采用简易有效的措施保护自己。疏散时应根据规定选择正确的应急疏散路线，避免横穿危险区。</w:t>
      </w:r>
    </w:p>
    <w:p>
      <w:pPr>
        <w:ind w:firstLine="562"/>
        <w:rPr>
          <w:b/>
        </w:rPr>
      </w:pPr>
      <w:r>
        <w:rPr>
          <w:rFonts w:hint="eastAsia"/>
          <w:b/>
        </w:rPr>
        <w:t>4、初期应急措施</w:t>
      </w:r>
    </w:p>
    <w:p>
      <w:pPr>
        <w:ind w:firstLine="560"/>
      </w:pPr>
      <w:r>
        <w:rPr>
          <w:rFonts w:hint="eastAsia"/>
        </w:rPr>
        <w:t>（1）工艺应急处置：生产、设备、技术等相关部门密切监控生产工艺、设备受火灾事故影响的情况，及时调整生产方案，必要时根据相关设备规定进行停机，避免事故扩大。保障事故应急救援所需的电及消防水等各种动力供应。根据紧急状态采取措施切断事故区域物料来源、电源，进行物料倒空等措施。</w:t>
      </w:r>
    </w:p>
    <w:p>
      <w:pPr>
        <w:ind w:firstLine="560"/>
      </w:pPr>
      <w:r>
        <w:rPr>
          <w:rFonts w:hint="eastAsia"/>
        </w:rPr>
        <w:t>（2）事故现场应急处置：</w:t>
      </w:r>
    </w:p>
    <w:p>
      <w:pPr>
        <w:ind w:firstLine="560"/>
      </w:pPr>
      <w:r>
        <w:rPr>
          <w:rFonts w:hint="eastAsia"/>
        </w:rPr>
        <w:t>据事故现场灾情、应急预案及救援力量等情况，研究确定科学、合理的扑救对策。若形成稳定燃烧，应设法采取切断或放空等措施，然后再行灭火。对于可燃液体物料，应在物料切断后，进行保护燃烧直至自行燃尽熄灭。对火势较大，不可能立即扑灭的火灾，首先控制火势继续蔓延扩大，具备扑灭火灾条件时，再行灭火。</w:t>
      </w:r>
    </w:p>
    <w:p>
      <w:pPr>
        <w:ind w:firstLine="560"/>
      </w:pPr>
      <w:r>
        <w:rPr>
          <w:rFonts w:hint="eastAsia"/>
        </w:rPr>
        <w:t>根据危险化学品特性，选用正确的灭火剂。遇湿可燃物品禁止用水、泡沫等含水灭火剂扑救。对粉末状物品火灾，不得使用直流水冲击灭火。腐蚀品火灾应尽量使用低压水流或雾状水，避免腐蚀品溅出。电气火灾应首先切断着火地段电源，再组织扑救。</w:t>
      </w:r>
    </w:p>
    <w:p>
      <w:pPr>
        <w:ind w:firstLine="562"/>
        <w:rPr>
          <w:b/>
        </w:rPr>
      </w:pPr>
      <w:r>
        <w:rPr>
          <w:rFonts w:hint="eastAsia"/>
          <w:b/>
        </w:rPr>
        <w:t>5、二次灾害防范措施</w:t>
      </w:r>
    </w:p>
    <w:p>
      <w:pPr>
        <w:ind w:firstLine="560"/>
      </w:pPr>
      <w:r>
        <w:rPr>
          <w:rFonts w:hint="eastAsia"/>
        </w:rPr>
        <w:t>启用灭火器、消火栓等灭火设施，冷却着火设备、装置及与其相邻的设备、装置，防止因温度升高而引发次生事故。</w:t>
      </w:r>
    </w:p>
    <w:p>
      <w:pPr>
        <w:ind w:firstLine="560"/>
      </w:pPr>
      <w:r>
        <w:rPr>
          <w:rFonts w:hint="eastAsia"/>
        </w:rPr>
        <w:t>根据现场情况采用强力吹扫或强力吸除等措施控制现场有毒有害气体扩散，避免中毒事故。对液态泄漏物进行围堵、收集、转输，避免其流向重要目标或危险源。检查厂区内雨水管网总排口和污水总排口的关闭阀门是否为关闭状态，避免事故废水进入市政雨水管道。</w:t>
      </w:r>
    </w:p>
    <w:p>
      <w:pPr>
        <w:ind w:firstLine="562"/>
        <w:rPr>
          <w:b/>
        </w:rPr>
      </w:pPr>
      <w:r>
        <w:rPr>
          <w:rFonts w:hint="eastAsia"/>
          <w:b/>
        </w:rPr>
        <w:t>6、外部救援与撤离</w:t>
      </w:r>
    </w:p>
    <w:p>
      <w:pPr>
        <w:ind w:firstLine="560"/>
      </w:pPr>
      <w:r>
        <w:rPr>
          <w:rFonts w:hint="eastAsia"/>
        </w:rPr>
        <w:t>一旦紧急处置失败，事态失控，立即拨打119火警电话，请求消防支持；同时立即组织事故现场、公司员工紧急疏散。发生人员受伤的情况，组织现场急救和紧急送医院抢救。</w:t>
      </w:r>
    </w:p>
    <w:p>
      <w:pPr>
        <w:ind w:firstLine="560"/>
      </w:pPr>
      <w:r>
        <w:rPr>
          <w:rFonts w:hint="eastAsia"/>
        </w:rPr>
        <w:t>发生燃烧事故，应第一时间通知周边居民，并协助进行撤离。</w:t>
      </w:r>
    </w:p>
    <w:p>
      <w:pPr>
        <w:ind w:firstLine="562"/>
        <w:rPr>
          <w:b/>
        </w:rPr>
      </w:pPr>
      <w:r>
        <w:rPr>
          <w:rFonts w:hint="eastAsia"/>
          <w:b/>
        </w:rPr>
        <w:t>7、洗消及现场清理</w:t>
      </w:r>
    </w:p>
    <w:p>
      <w:pPr>
        <w:ind w:firstLine="560"/>
      </w:pPr>
      <w:r>
        <w:rPr>
          <w:rFonts w:hint="eastAsia"/>
        </w:rPr>
        <w:t>在警戒区域区与安全区交界处设立洗消点。使用相应的洗消药剂，对所有被污染人员及工具、装备进行洗消。</w:t>
      </w:r>
    </w:p>
    <w:p>
      <w:pPr>
        <w:ind w:firstLine="560"/>
      </w:pPr>
      <w:r>
        <w:rPr>
          <w:rFonts w:hint="eastAsia"/>
        </w:rPr>
        <w:t>根据物质性能使用水、蒸汽等清扫现场内事故容器、管道、低洼、沟渠等处，确保不留残余气体。少量残液，用干砂土等吸附；大量残液，用防爆泵抽吸或使用容器收集，收集后集中处理。在污染地面洒上中和剂或洗涤剂等浸洗清洗污染地面，特别是低洼、沟渠等处，确保不留残液和固体残物。对事故现场固体残物进行清扫收集，集中处理。所有污染物不得未加处理直接排放。</w:t>
      </w:r>
    </w:p>
    <w:p>
      <w:pPr>
        <w:pStyle w:val="6"/>
      </w:pPr>
      <w:r>
        <w:rPr>
          <w:rFonts w:hint="eastAsia"/>
        </w:rPr>
        <w:t>台风、暴雨、地震、雷击等自然灾害事故</w:t>
      </w:r>
    </w:p>
    <w:p>
      <w:pPr>
        <w:ind w:firstLine="562"/>
        <w:rPr>
          <w:b/>
        </w:rPr>
      </w:pPr>
      <w:r>
        <w:rPr>
          <w:rFonts w:hint="eastAsia"/>
          <w:b/>
        </w:rPr>
        <w:t>1、具体响应程序</w:t>
      </w:r>
    </w:p>
    <w:p>
      <w:pPr>
        <w:ind w:firstLine="560"/>
      </w:pPr>
      <w:r>
        <w:rPr>
          <w:rFonts w:hint="eastAsia"/>
        </w:rPr>
        <w:t>（1）车间组长接到报警后迅速确认人员报警情况、自然灾害发生场所、影响区域危险源状况、人员伤亡、监控录像等情况，上报应急指挥组。通过电话、对讲机等通讯手段与事故现场指挥人员保持联络。</w:t>
      </w:r>
    </w:p>
    <w:p>
      <w:pPr>
        <w:ind w:firstLine="560"/>
      </w:pPr>
      <w:r>
        <w:rPr>
          <w:rFonts w:hint="eastAsia"/>
        </w:rPr>
        <w:t>（2）应急指挥中心掌握根据事故区域建筑物、设备的破坏程度，人员伤亡情况等，确定是否控制外部作业、人员出入，是否进行人员疏散，安排各小组人员和相关部门应急。有必要时应向政府、</w:t>
      </w:r>
      <w:r>
        <w:rPr>
          <w:rFonts w:hint="eastAsia"/>
          <w:lang w:val="en-US" w:eastAsia="zh-CN"/>
        </w:rPr>
        <w:t>生态环境</w:t>
      </w:r>
      <w:r>
        <w:rPr>
          <w:rFonts w:hint="eastAsia"/>
        </w:rPr>
        <w:t>局、安全、消防对等相关部门请求支援。</w:t>
      </w:r>
    </w:p>
    <w:p>
      <w:pPr>
        <w:ind w:firstLine="560"/>
      </w:pPr>
      <w:r>
        <w:rPr>
          <w:rFonts w:hint="eastAsia"/>
        </w:rPr>
        <w:t>（3）自然灾害可能造成的二次事故的隐患得到清除，受伤害人员得到妥善救治，受损害的设备、建筑得到修复，水、电供应恢复正常，各种废弃物已清理，结束应急行动。</w:t>
      </w:r>
    </w:p>
    <w:p>
      <w:pPr>
        <w:ind w:firstLine="562"/>
        <w:rPr>
          <w:b/>
        </w:rPr>
      </w:pPr>
      <w:r>
        <w:rPr>
          <w:rFonts w:hint="eastAsia"/>
          <w:b/>
        </w:rPr>
        <w:t>2、初期应急措施</w:t>
      </w:r>
    </w:p>
    <w:p>
      <w:pPr>
        <w:ind w:firstLine="560"/>
      </w:pPr>
      <w:r>
        <w:rPr>
          <w:rFonts w:hint="eastAsia"/>
        </w:rPr>
        <w:t>（1）当局部发生积水时，要首先采取排水措施，疏通排水渠道，或设置水泵抽排。当积水危及员工、设备的安全时，采取果断措施，断电、停机、抢救受害人员，迅速脱离危险区域。对于遇水将引起剧烈反应的化学品，及时采取措施隔离阻断，确保化学品不会在水中发生二次灾害。当积水淹没道路时，要设置道路指示牌，以利于应急车辆通行。</w:t>
      </w:r>
    </w:p>
    <w:p>
      <w:pPr>
        <w:ind w:firstLine="560"/>
      </w:pPr>
      <w:r>
        <w:rPr>
          <w:rFonts w:hint="eastAsia"/>
        </w:rPr>
        <w:t>（2）接到台风预警后，立即清理或加固可能受影响的设备、建筑等，临时托盘、广告牌、门窗以及棚架等设施需要进库或进行固定。人员不得在临时建筑物附近逗留，以免临时建筑物倾倒，伤害人员。限制外部作业和人员、车辆出入。</w:t>
      </w:r>
    </w:p>
    <w:p>
      <w:pPr>
        <w:ind w:firstLine="560"/>
      </w:pPr>
      <w:r>
        <w:rPr>
          <w:rFonts w:hint="eastAsia"/>
        </w:rPr>
        <w:t>（3）如发生事故造成化学品泄漏或火灾事故时，当发生人员受伤立刻进行现场急救，并拨打电话120，直至医务救援人员赶到，视实际情况将受伤、中毒人员送往医院抢救。</w:t>
      </w:r>
    </w:p>
    <w:p>
      <w:pPr>
        <w:ind w:firstLine="560"/>
      </w:pPr>
      <w:r>
        <w:rPr>
          <w:rFonts w:hint="eastAsia"/>
        </w:rPr>
        <w:t>（4）若台风、暴雨、地震造成厂房及设备破坏或发生火灾，要视对现场的破坏程度而采取不同的应急措施，应按地方主管部门或专家要求采取补救措施，提交《环境事故发生及应急处理报告》。</w:t>
      </w:r>
    </w:p>
    <w:p>
      <w:pPr>
        <w:ind w:firstLine="560"/>
      </w:pPr>
      <w:r>
        <w:rPr>
          <w:rFonts w:hint="eastAsia"/>
        </w:rPr>
        <w:t>（5）雷击</w:t>
      </w:r>
    </w:p>
    <w:p>
      <w:pPr>
        <w:ind w:firstLine="560"/>
      </w:pPr>
      <w:r>
        <w:rPr>
          <w:rFonts w:hint="eastAsia"/>
        </w:rPr>
        <w:t>视雷击现场毁坏程度以及伴随的紧急情况迅速知会工程部或相关区域负责人；若引发火灾，应速用灭火器灭火，由于累计多伴随暴雨，应切断电气线路进行灭火；若损坏机械设备，应有工程部安排人员抢修并关停不影响排废的系统；检查避雷针、避雷网等防雷击系统的安全隐患并尽快修复；彻底清理现场，减轻对设备的危害和防止化学品、事故废水的泄漏，提交《环境事故发生及应急处理报告》。</w:t>
      </w:r>
    </w:p>
    <w:p>
      <w:pPr>
        <w:pStyle w:val="6"/>
      </w:pPr>
      <w:r>
        <w:rPr>
          <w:rFonts w:hint="eastAsia"/>
        </w:rPr>
        <w:t>化学品贮运安全防范措施（限于厂内）</w:t>
      </w:r>
    </w:p>
    <w:p>
      <w:pPr>
        <w:ind w:firstLine="562"/>
        <w:rPr>
          <w:b/>
        </w:rPr>
      </w:pPr>
      <w:r>
        <w:rPr>
          <w:rFonts w:hint="eastAsia"/>
          <w:b/>
        </w:rPr>
        <w:t>1、运输过程风险防范</w:t>
      </w:r>
    </w:p>
    <w:p>
      <w:pPr>
        <w:ind w:firstLine="560"/>
      </w:pPr>
      <w:r>
        <w:rPr>
          <w:rFonts w:hint="eastAsia"/>
        </w:rPr>
        <w:t>运输过程风险防范包括厂内的交通事故预防、运输过程设备故障性泄漏防范以及事故发生后的应急处理等，建设项目原材料运输以汽车为主。</w:t>
      </w:r>
    </w:p>
    <w:p>
      <w:pPr>
        <w:ind w:firstLine="560"/>
      </w:pPr>
      <w:r>
        <w:rPr>
          <w:rFonts w:hint="eastAsia"/>
        </w:rPr>
        <w:t>（1）厂内运输过程风险防范应从包装着手，危险品原材料包装的具体要求参照《危险货物分类和品名编号》（GB</w:t>
      </w:r>
      <w:r>
        <w:t xml:space="preserve"> </w:t>
      </w:r>
      <w:r>
        <w:rPr>
          <w:rFonts w:hint="eastAsia"/>
        </w:rPr>
        <w:t>6944-2012）、《危险货物包装标志》（GB</w:t>
      </w:r>
      <w:r>
        <w:t xml:space="preserve"> </w:t>
      </w:r>
      <w:r>
        <w:rPr>
          <w:rFonts w:hint="eastAsia"/>
        </w:rPr>
        <w:t>190-2009）、《危险货物运输包装通用技术条件》（GB1</w:t>
      </w:r>
      <w:r>
        <w:t xml:space="preserve"> </w:t>
      </w:r>
      <w:r>
        <w:rPr>
          <w:rFonts w:hint="eastAsia"/>
        </w:rPr>
        <w:t>2463-2009）等一系列规章制度进行，包装应严格按照有关危险品特性及相关强度等级进行，定期检验，运输包装件严格按规定印制提醒符号，标明危险品类别、名称及尺寸、颜色。</w:t>
      </w:r>
    </w:p>
    <w:p>
      <w:pPr>
        <w:ind w:firstLine="560"/>
      </w:pPr>
      <w:r>
        <w:rPr>
          <w:rFonts w:hint="eastAsia"/>
        </w:rPr>
        <w:t>（2）厂内运输装卸过程严格按照国家有关规定执行，加强对运输车辆的检修和维护，杜绝事故隐患，包括《汽车危险货物运输规则》(JT617-2004)、《汽车危险货物运输、装卸作业规程》（JT618-2004)）、《机动车运行安全技术条件》（GB7258-2012）等，有经过安全培训合格的驾驶员、押运员，并提倡今后开展第三方现代物流运输方式。</w:t>
      </w:r>
    </w:p>
    <w:p>
      <w:pPr>
        <w:ind w:firstLine="560"/>
      </w:pPr>
      <w:r>
        <w:rPr>
          <w:rFonts w:hint="eastAsia"/>
        </w:rPr>
        <w:t>（3）其它措施如下：</w:t>
      </w:r>
    </w:p>
    <w:p>
      <w:pPr>
        <w:ind w:firstLine="560"/>
      </w:pPr>
      <w:r>
        <w:rPr>
          <w:rFonts w:hint="eastAsia"/>
        </w:rPr>
        <w:t>危险品装卸前后，必须对车辆和库区进行必要的通风、清扫干净，装卸作业使用的工具必须能防止产生火花，必须有各种防护装置。</w:t>
      </w:r>
    </w:p>
    <w:p>
      <w:pPr>
        <w:ind w:firstLine="560"/>
      </w:pPr>
      <w:r>
        <w:rPr>
          <w:rFonts w:hint="eastAsia"/>
        </w:rPr>
        <w:t>厂内运输过程中需要注意不同的危险物要单独运输，包装容器要密闭，以免在运输途中发生危险物的泄漏、渗透、蒸发、雨水淋溶以及风沙吹扬等情况，避免产生二次污染。</w:t>
      </w:r>
    </w:p>
    <w:p>
      <w:pPr>
        <w:ind w:firstLine="562"/>
        <w:rPr>
          <w:b/>
        </w:rPr>
      </w:pPr>
      <w:r>
        <w:rPr>
          <w:rFonts w:hint="eastAsia"/>
          <w:b/>
        </w:rPr>
        <w:t>2、储存过程风险防范</w:t>
      </w:r>
    </w:p>
    <w:p>
      <w:pPr>
        <w:ind w:firstLine="560"/>
      </w:pPr>
      <w:r>
        <w:rPr>
          <w:rFonts w:hint="eastAsia"/>
        </w:rPr>
        <w:t>（1）在储存过程中根据各种危险品的性质进行分类收集和储存，不能混合收集储存；各种危险物要有单独的储存室，并贴上标签；容器及容器的材质要满足相应强度要求，并必须完整无损。</w:t>
      </w:r>
    </w:p>
    <w:p>
      <w:pPr>
        <w:ind w:firstLine="560"/>
      </w:pPr>
      <w:r>
        <w:rPr>
          <w:rFonts w:hint="eastAsia"/>
        </w:rPr>
        <w:t>（2）贮存危险品的车间管理人员，必须经过专业知识培训，熟悉贮存物品的特性、事故处理办法和防护知识，持证上岗，同时，必须配备有关的个人防护用品。</w:t>
      </w:r>
    </w:p>
    <w:p>
      <w:pPr>
        <w:ind w:firstLine="560"/>
      </w:pPr>
      <w:r>
        <w:rPr>
          <w:rFonts w:hint="eastAsia"/>
        </w:rPr>
        <w:t>（3）贮存的危险品必须设有明显的标志，并按国家规定标准控制不同单位面积的最大贮存限量和垛距。</w:t>
      </w:r>
    </w:p>
    <w:p>
      <w:pPr>
        <w:ind w:firstLine="560"/>
      </w:pPr>
      <w:r>
        <w:rPr>
          <w:rFonts w:hint="eastAsia"/>
        </w:rPr>
        <w:t>（4）危险品出入库必须检查验收登记，贮存期间定期养护，控制好贮存场所的温度和湿度；装卸。搬运时应轻装轻卸，注意自我保护。</w:t>
      </w:r>
    </w:p>
    <w:p>
      <w:pPr>
        <w:pStyle w:val="6"/>
      </w:pPr>
      <w:r>
        <w:rPr>
          <w:rFonts w:hint="eastAsia"/>
        </w:rPr>
        <w:t>土壤和地下水风险防范措施</w:t>
      </w:r>
    </w:p>
    <w:p>
      <w:pPr>
        <w:ind w:firstLine="560"/>
      </w:pPr>
      <w:r>
        <w:rPr>
          <w:rFonts w:hint="eastAsia"/>
        </w:rPr>
        <w:t>为防范泄漏事故造成土壤和地下水污染，除生产车间设置监控报警、配套有效的收集、处置物资，以保证及时发现和有效处置外，还通过分区有效防渗，降低物料泄漏污染土壤和地下水的可能性。</w:t>
      </w:r>
    </w:p>
    <w:p>
      <w:pPr>
        <w:ind w:firstLine="560"/>
      </w:pPr>
      <w:r>
        <w:rPr>
          <w:rFonts w:hint="eastAsia"/>
        </w:rPr>
        <w:t>危废仓库等区域设置有效防渗、防腐，降低项目土壤和地下水污染隐患。</w:t>
      </w:r>
    </w:p>
    <w:p>
      <w:pPr>
        <w:pStyle w:val="6"/>
      </w:pPr>
      <w:r>
        <w:rPr>
          <w:rFonts w:hint="eastAsia"/>
        </w:rPr>
        <w:t>人员紧急撤离和疏散</w:t>
      </w:r>
    </w:p>
    <w:p>
      <w:pPr>
        <w:ind w:firstLine="560"/>
      </w:pPr>
      <w:r>
        <w:rPr>
          <w:rFonts w:hint="eastAsia"/>
        </w:rPr>
        <w:t>应急总指挥根据事故的严重程度，视情况发布人员紧急疏散命令。各区域听到需要疏散人员的警报时，所有人员在报警警戒组的指挥下迅速、有序地撤离危险区域，并到指定地点结合，从而避免人员伤亡。各生产区域的负责人在撤离前，利用最短的时间，关闭该区域内可能会引起更大事故的电源和管道阀门等。</w:t>
      </w:r>
    </w:p>
    <w:p>
      <w:pPr>
        <w:ind w:firstLine="560"/>
      </w:pPr>
      <w:r>
        <w:rPr>
          <w:rFonts w:hint="eastAsia"/>
        </w:rPr>
        <w:t>1、事故现场人员的撤离</w:t>
      </w:r>
    </w:p>
    <w:p>
      <w:pPr>
        <w:ind w:firstLine="560"/>
        <w:rPr>
          <w:color w:val="000000" w:themeColor="text1"/>
          <w14:textFill>
            <w14:solidFill>
              <w14:schemeClr w14:val="tx1"/>
            </w14:solidFill>
          </w14:textFill>
        </w:rPr>
      </w:pPr>
      <w:r>
        <w:rPr>
          <w:rFonts w:hint="eastAsia"/>
        </w:rPr>
        <w:t>事故现场人员有秩序地疏散到紧急集合地点。发现缺员，应报告所缺员工的姓名和事故前所处位置，立即派人进入事故区域寻找失踪人员。发现人员受伤，医疗救护组在集合点提供急救或送医服</w:t>
      </w:r>
      <w:r>
        <w:rPr>
          <w:rFonts w:hint="eastAsia"/>
          <w:color w:val="000000" w:themeColor="text1"/>
          <w14:textFill>
            <w14:solidFill>
              <w14:schemeClr w14:val="tx1"/>
            </w14:solidFill>
          </w14:textFill>
        </w:rPr>
        <w:t>务。具体现场紧急疏散路线见附图</w:t>
      </w:r>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w:t>
      </w:r>
    </w:p>
    <w:p>
      <w:pPr>
        <w:ind w:firstLine="560"/>
      </w:pPr>
      <w:r>
        <w:rPr>
          <w:rFonts w:hint="eastAsia"/>
        </w:rPr>
        <w:t>2、事故周边敏感点的撤离</w:t>
      </w:r>
    </w:p>
    <w:p>
      <w:pPr>
        <w:ind w:firstLine="560"/>
      </w:pPr>
      <w:r>
        <w:rPr>
          <w:rFonts w:hint="eastAsia"/>
        </w:rPr>
        <w:t>发生事故时，应安排公司指定人员第一时间按由近及远的顺序通知周边居民，并协助进行撤离。撤离时注意事故区风向，尤其是下风向敏感目标处，发现人员受伤，公司医疗救护组迅速提供急救或送医服务。</w:t>
      </w:r>
    </w:p>
    <w:p>
      <w:pPr>
        <w:ind w:firstLine="560"/>
      </w:pPr>
      <w:r>
        <w:rPr>
          <w:rFonts w:hint="eastAsia"/>
        </w:rPr>
        <w:t>3、抢救人员在撤离前、撤离后的报告</w:t>
      </w:r>
    </w:p>
    <w:p>
      <w:pPr>
        <w:ind w:firstLine="560"/>
      </w:pPr>
      <w:r>
        <w:rPr>
          <w:rFonts w:hint="eastAsia"/>
        </w:rPr>
        <w:t>负责抢险和救护的人员在接指挥部通知后，立即带上救护和防护装备赶赴现场，等候指令，听从指挥。由副总指挥分工，分批进入事发点进行抢险或救护，抢险人员数量和名单进行登记。</w:t>
      </w:r>
    </w:p>
    <w:p>
      <w:pPr>
        <w:ind w:firstLine="560"/>
      </w:pPr>
      <w:r>
        <w:rPr>
          <w:rFonts w:hint="eastAsia"/>
        </w:rPr>
        <w:t>抢险人员完成任务后，向指挥部报告任务执行情况以及人员安全状况，申请下达撤离命令。指挥部根据事故控制情况，即时作出撤离或继续抢险的决定。组长若接撤命令后，带领抢险人员撤离事故点至安全地带，清点人数，向指挥组报告。</w:t>
      </w:r>
    </w:p>
    <w:p>
      <w:pPr>
        <w:pStyle w:val="6"/>
      </w:pPr>
      <w:r>
        <w:rPr>
          <w:rFonts w:hint="eastAsia"/>
        </w:rPr>
        <w:t>人员防护、监护措施</w:t>
      </w:r>
    </w:p>
    <w:p>
      <w:pPr>
        <w:ind w:firstLine="562"/>
        <w:rPr>
          <w:b/>
        </w:rPr>
      </w:pPr>
      <w:r>
        <w:rPr>
          <w:rFonts w:hint="eastAsia"/>
          <w:b/>
        </w:rPr>
        <w:t>1、事故隔离区的划定、方法</w:t>
      </w:r>
    </w:p>
    <w:p>
      <w:pPr>
        <w:ind w:firstLine="560"/>
      </w:pPr>
      <w:r>
        <w:rPr>
          <w:rFonts w:hint="eastAsia"/>
        </w:rPr>
        <w:t>为防止无关人员误入现场造成伤害，按危险区的设定，建立警戒区域，划定事故现场隔离区范围。</w:t>
      </w:r>
    </w:p>
    <w:p>
      <w:pPr>
        <w:ind w:firstLine="560"/>
      </w:pPr>
      <w:r>
        <w:rPr>
          <w:rFonts w:hint="eastAsia"/>
        </w:rPr>
        <w:t>（1）警戒区域的边界应设警示标志并有专人警戒。</w:t>
      </w:r>
    </w:p>
    <w:p>
      <w:pPr>
        <w:ind w:firstLine="560"/>
      </w:pPr>
      <w:r>
        <w:rPr>
          <w:rFonts w:hint="eastAsia"/>
        </w:rPr>
        <w:t>（2）除消防、应急处理人员以及必须坚守岗位人员外，其他人员禁止进入警戒区。</w:t>
      </w:r>
    </w:p>
    <w:p>
      <w:pPr>
        <w:ind w:firstLine="560"/>
      </w:pPr>
      <w:r>
        <w:rPr>
          <w:rFonts w:hint="eastAsia"/>
        </w:rPr>
        <w:t>（3）注意事故区风向，尤其是下风向敏感目标处，对事故区厂外道路要实施临时戒严措施。</w:t>
      </w:r>
    </w:p>
    <w:p>
      <w:pPr>
        <w:ind w:firstLine="560"/>
      </w:pPr>
      <w:r>
        <w:rPr>
          <w:rFonts w:hint="eastAsia"/>
        </w:rPr>
        <w:t>（4）戒严区域内严禁火种，迅速控制泄漏扩散区域方向的可能产生明火的地点，控制室关严门窗，扑灭火种。限制车辆通行。</w:t>
      </w:r>
    </w:p>
    <w:p>
      <w:pPr>
        <w:ind w:firstLine="560"/>
      </w:pPr>
      <w:r>
        <w:rPr>
          <w:rFonts w:hint="eastAsia"/>
        </w:rPr>
        <w:t>（5）泄漏的危险物质可能扩散影响到邻厂或更大区域，应尽快联络通知各政府职能单位和敏感目标，说明情况，请求协助处理和应急疏散。</w:t>
      </w:r>
    </w:p>
    <w:p>
      <w:pPr>
        <w:ind w:firstLine="562"/>
        <w:rPr>
          <w:b/>
        </w:rPr>
      </w:pPr>
      <w:r>
        <w:rPr>
          <w:rFonts w:hint="eastAsia"/>
          <w:b/>
        </w:rPr>
        <w:t>2、救护原则</w:t>
      </w:r>
    </w:p>
    <w:p>
      <w:pPr>
        <w:ind w:firstLine="560"/>
      </w:pPr>
      <w:r>
        <w:rPr>
          <w:rFonts w:hint="eastAsia"/>
        </w:rPr>
        <w:t>（1）发生伤亡事故，抢救、急救工作要分秒必争，及时、果断、正确，不得耽误、拖延。</w:t>
      </w:r>
    </w:p>
    <w:p>
      <w:pPr>
        <w:ind w:firstLine="560"/>
      </w:pPr>
      <w:r>
        <w:rPr>
          <w:rFonts w:hint="eastAsia"/>
        </w:rPr>
        <w:t>（2）救护人员进入现场必须两人以上分组进行。</w:t>
      </w:r>
    </w:p>
    <w:p>
      <w:pPr>
        <w:ind w:firstLine="560"/>
      </w:pPr>
      <w:r>
        <w:rPr>
          <w:rFonts w:hint="eastAsia"/>
        </w:rPr>
        <w:t>（3）救护人员必须在确保自身安全的前提下进行救护。</w:t>
      </w:r>
    </w:p>
    <w:p>
      <w:pPr>
        <w:ind w:firstLine="560"/>
      </w:pPr>
      <w:r>
        <w:rPr>
          <w:rFonts w:hint="eastAsia"/>
        </w:rPr>
        <w:t>（4）救护人员必须听从指挥，了解中毒物质及现场情况，防护器具佩戴齐全。</w:t>
      </w:r>
    </w:p>
    <w:p>
      <w:pPr>
        <w:ind w:firstLine="560"/>
      </w:pPr>
      <w:r>
        <w:rPr>
          <w:rFonts w:hint="eastAsia"/>
        </w:rPr>
        <w:t>（5）迅速将伤员抬离现场，搬运方法要正确。</w:t>
      </w:r>
    </w:p>
    <w:p>
      <w:pPr>
        <w:ind w:firstLine="562"/>
        <w:rPr>
          <w:b/>
        </w:rPr>
      </w:pPr>
      <w:r>
        <w:rPr>
          <w:rFonts w:hint="eastAsia"/>
          <w:b/>
        </w:rPr>
        <w:t>3、人员防护</w:t>
      </w:r>
    </w:p>
    <w:p>
      <w:pPr>
        <w:ind w:firstLine="560"/>
      </w:pPr>
      <w:r>
        <w:rPr>
          <w:rFonts w:hint="eastAsia"/>
        </w:rPr>
        <w:t>呼吸系统的防护：救护人员必须佩带防毒面具或自给式呼吸器。</w:t>
      </w:r>
    </w:p>
    <w:p>
      <w:pPr>
        <w:ind w:firstLine="560"/>
      </w:pPr>
      <w:r>
        <w:rPr>
          <w:rFonts w:hint="eastAsia"/>
        </w:rPr>
        <w:t>眼面部防护：戴防化眼镜或防护面罩。</w:t>
      </w:r>
    </w:p>
    <w:p>
      <w:pPr>
        <w:ind w:firstLine="560"/>
      </w:pPr>
      <w:r>
        <w:rPr>
          <w:rFonts w:hint="eastAsia"/>
        </w:rPr>
        <w:t>身体防护：穿防化工作服。</w:t>
      </w:r>
    </w:p>
    <w:p>
      <w:pPr>
        <w:ind w:firstLine="560"/>
      </w:pPr>
      <w:r>
        <w:rPr>
          <w:rFonts w:hint="eastAsia"/>
        </w:rPr>
        <w:t>足部防护：穿高帮防化靴。</w:t>
      </w:r>
    </w:p>
    <w:p>
      <w:pPr>
        <w:ind w:firstLine="560"/>
      </w:pPr>
      <w:r>
        <w:rPr>
          <w:rFonts w:hint="eastAsia"/>
        </w:rPr>
        <w:t>手部防护：戴防护手套。</w:t>
      </w:r>
    </w:p>
    <w:p>
      <w:pPr>
        <w:ind w:firstLine="560"/>
      </w:pPr>
      <w:r>
        <w:rPr>
          <w:rFonts w:hint="eastAsia"/>
        </w:rPr>
        <w:t>参加救护、救援人员必须按规定着装，佩带戴好个人防护器具，并注意风向，在昏暗地区救援时，应配备有照明灯具。</w:t>
      </w:r>
    </w:p>
    <w:p>
      <w:pPr>
        <w:pStyle w:val="6"/>
      </w:pPr>
      <w:r>
        <w:rPr>
          <w:rFonts w:hint="eastAsia"/>
        </w:rPr>
        <w:t>应急监测</w:t>
      </w:r>
    </w:p>
    <w:p>
      <w:pPr>
        <w:ind w:firstLine="560"/>
      </w:pPr>
      <w:r>
        <w:rPr>
          <w:rFonts w:hint="eastAsia"/>
        </w:rPr>
        <w:t>现公司不具备应急监测能力，当发生突发环境事件时，企业应急指挥中心应立即上报</w:t>
      </w:r>
      <w:r>
        <w:rPr>
          <w:rFonts w:hint="eastAsia"/>
          <w:lang w:eastAsia="zh-CN"/>
        </w:rPr>
        <w:t>江西省南昌生态环境监测中心</w:t>
      </w:r>
      <w:r>
        <w:rPr>
          <w:rFonts w:hint="eastAsia"/>
        </w:rPr>
        <w:t>电话，请求技术支援，委托相关监测机构安排应急监测。应急监测因子应包括废气中事故废水中的SS、COD、BOD、氨氮、石油类等，监测点位为污水总排口和雨水总排口。本企业应积极配合政府部门环境监测机构做好环境应急监测。</w:t>
      </w:r>
    </w:p>
    <w:p>
      <w:pPr>
        <w:pStyle w:val="5"/>
      </w:pPr>
      <w:bookmarkStart w:id="59" w:name="_Toc6876"/>
      <w:r>
        <w:rPr>
          <w:rFonts w:hint="eastAsia"/>
        </w:rPr>
        <w:t>应急终止</w:t>
      </w:r>
      <w:bookmarkEnd w:id="59"/>
    </w:p>
    <w:p>
      <w:pPr>
        <w:ind w:firstLine="560"/>
      </w:pPr>
      <w:r>
        <w:rPr>
          <w:rFonts w:hint="eastAsia"/>
        </w:rPr>
        <w:t>事件现场得以控制，环境符合有关标准，导致次生、衍生事件隐患消除后，经事件现场应急指挥机构批准后，现场立即结束。</w:t>
      </w:r>
    </w:p>
    <w:p>
      <w:pPr>
        <w:pStyle w:val="6"/>
      </w:pPr>
      <w:r>
        <w:rPr>
          <w:rFonts w:hint="eastAsia"/>
        </w:rPr>
        <w:t>应急终止的条件</w:t>
      </w:r>
    </w:p>
    <w:p>
      <w:pPr>
        <w:ind w:firstLine="560"/>
      </w:pPr>
      <w:r>
        <w:rPr>
          <w:rFonts w:hint="eastAsia"/>
        </w:rPr>
        <w:t>符合下列条件，即满足终止条件：</w:t>
      </w:r>
    </w:p>
    <w:p>
      <w:pPr>
        <w:ind w:firstLine="560"/>
      </w:pPr>
      <w:r>
        <w:rPr>
          <w:rFonts w:hint="eastAsia"/>
        </w:rPr>
        <w:t>1、事故现场得到控制，泄漏物质妥善处置，污染面清洗完毕，事件条件已经消除；</w:t>
      </w:r>
    </w:p>
    <w:p>
      <w:pPr>
        <w:ind w:firstLine="560"/>
      </w:pPr>
      <w:r>
        <w:t>2</w:t>
      </w:r>
      <w:r>
        <w:rPr>
          <w:rFonts w:hint="eastAsia"/>
        </w:rPr>
        <w:t>、污染源的泄漏或释放已降到规定的限值之内；</w:t>
      </w:r>
    </w:p>
    <w:p>
      <w:pPr>
        <w:ind w:firstLine="560"/>
      </w:pPr>
      <w:r>
        <w:rPr>
          <w:rFonts w:hint="eastAsia"/>
        </w:rPr>
        <w:t>3、事件所造成的灾害已彻底消除，无继发可能；</w:t>
      </w:r>
    </w:p>
    <w:p>
      <w:pPr>
        <w:ind w:firstLine="560"/>
      </w:pPr>
      <w:r>
        <w:rPr>
          <w:rFonts w:hint="eastAsia"/>
        </w:rPr>
        <w:t>4、事故现场的各种专业应急处置行动已无继续的必要；</w:t>
      </w:r>
    </w:p>
    <w:p>
      <w:pPr>
        <w:pStyle w:val="6"/>
      </w:pPr>
      <w:r>
        <w:rPr>
          <w:rFonts w:hint="eastAsia"/>
        </w:rPr>
        <w:t>应急终止的程序</w:t>
      </w:r>
    </w:p>
    <w:p>
      <w:pPr>
        <w:ind w:firstLine="560"/>
      </w:pPr>
      <w:r>
        <w:rPr>
          <w:rFonts w:hint="eastAsia"/>
        </w:rPr>
        <w:t>各小组完成救援任务后，及时反馈信息，应急指挥部根据反馈信息，确认救援结束：</w:t>
      </w:r>
    </w:p>
    <w:p>
      <w:pPr>
        <w:ind w:firstLine="560"/>
      </w:pPr>
      <w:r>
        <w:rPr>
          <w:rFonts w:hint="eastAsia"/>
        </w:rPr>
        <w:t>1、III级突发环境事件由应急办公室决定终止救援，由应急办公室下达终止命令；</w:t>
      </w:r>
    </w:p>
    <w:p>
      <w:pPr>
        <w:ind w:firstLine="560"/>
      </w:pPr>
      <w:r>
        <w:rPr>
          <w:rFonts w:hint="eastAsia"/>
        </w:rPr>
        <w:t>2、II级突发环境事件由应急救援指挥部决定终止救援，发布终止命令。应急救援指挥部向应急办公室下达应急救援终止命令，再由应急办公室向各救援小组转达应急救援终止命令；</w:t>
      </w:r>
    </w:p>
    <w:p>
      <w:pPr>
        <w:ind w:firstLine="560"/>
      </w:pPr>
      <w:r>
        <w:rPr>
          <w:rFonts w:hint="eastAsia"/>
        </w:rPr>
        <w:t>3、I级突发环境事件由公司应急救援指挥部和</w:t>
      </w:r>
      <w:r>
        <w:rPr>
          <w:rFonts w:hint="eastAsia"/>
          <w:lang w:eastAsia="zh-CN"/>
        </w:rPr>
        <w:t>经开管委会</w:t>
      </w:r>
      <w:r>
        <w:rPr>
          <w:rFonts w:hint="eastAsia"/>
        </w:rPr>
        <w:t>应急办共同决定终止救援，由临时指挥部向应急办公室下达救援终止命令。再由应急办公室向各救援小组和周围受影响的敏感目标转达救援终止命令。</w:t>
      </w:r>
    </w:p>
    <w:p>
      <w:pPr>
        <w:ind w:firstLine="560"/>
      </w:pPr>
      <w:r>
        <w:rPr>
          <w:rFonts w:hint="eastAsia"/>
        </w:rPr>
        <w:t>突发环境事件应急终止的程序详见</w:t>
      </w:r>
      <w:r>
        <w:fldChar w:fldCharType="begin"/>
      </w:r>
      <w:r>
        <w:instrText xml:space="preserve"> </w:instrText>
      </w:r>
      <w:r>
        <w:rPr>
          <w:rFonts w:hint="eastAsia"/>
        </w:rPr>
        <w:instrText xml:space="preserve">REF _Ref527061237 \h</w:instrText>
      </w:r>
      <w:r>
        <w:instrText xml:space="preserve"> </w:instrText>
      </w:r>
      <w:r>
        <w:fldChar w:fldCharType="separate"/>
      </w:r>
      <w:r>
        <w:rPr>
          <w:rFonts w:hint="eastAsia"/>
        </w:rPr>
        <w:t xml:space="preserve">图 </w:t>
      </w:r>
      <w:r>
        <w:t>8</w:t>
      </w:r>
      <w:r>
        <w:noBreakHyphen/>
      </w:r>
      <w:r>
        <w:t>3</w:t>
      </w:r>
      <w:r>
        <w:fldChar w:fldCharType="end"/>
      </w:r>
      <w:r>
        <w:rPr>
          <w:rFonts w:hint="eastAsia"/>
        </w:rPr>
        <w:t>。</w:t>
      </w:r>
    </w:p>
    <w:p>
      <w:pPr>
        <w:keepNext/>
        <w:ind w:firstLine="0" w:firstLineChars="0"/>
      </w:pPr>
      <w:r>
        <w:drawing>
          <wp:inline distT="0" distB="0" distL="0" distR="0">
            <wp:extent cx="5427980" cy="6018530"/>
            <wp:effectExtent l="0" t="0" r="1270" b="127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6"/>
                    <a:stretch>
                      <a:fillRect/>
                    </a:stretch>
                  </pic:blipFill>
                  <pic:spPr>
                    <a:xfrm>
                      <a:off x="0" y="0"/>
                      <a:ext cx="5428571" cy="6019048"/>
                    </a:xfrm>
                    <a:prstGeom prst="rect">
                      <a:avLst/>
                    </a:prstGeom>
                  </pic:spPr>
                </pic:pic>
              </a:graphicData>
            </a:graphic>
          </wp:inline>
        </w:drawing>
      </w:r>
    </w:p>
    <w:p>
      <w:pPr>
        <w:pStyle w:val="8"/>
      </w:pPr>
      <w:bookmarkStart w:id="60" w:name="_Ref527061237"/>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8</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3</w:t>
      </w:r>
      <w:r>
        <w:fldChar w:fldCharType="end"/>
      </w:r>
      <w:bookmarkEnd w:id="60"/>
      <w:r>
        <w:rPr>
          <w:rFonts w:hint="eastAsia"/>
        </w:rPr>
        <w:t>突发环境事件应急终止程序</w:t>
      </w:r>
    </w:p>
    <w:p>
      <w:pPr>
        <w:pStyle w:val="6"/>
      </w:pPr>
      <w:r>
        <w:rPr>
          <w:rFonts w:hint="eastAsia"/>
        </w:rPr>
        <w:t>应急终止后的行动</w:t>
      </w:r>
    </w:p>
    <w:p>
      <w:pPr>
        <w:ind w:firstLine="560"/>
      </w:pPr>
      <w:r>
        <w:rPr>
          <w:rFonts w:hint="eastAsia"/>
        </w:rPr>
        <w:t>1、事故处理完毕后，应急救援指挥部要及时将环境危险已解除的情况通报给公司相关部门和根据临时指挥部的指示通知周边单位、社区和社会关注区事件危险已解除，以恢复他们正常的工作和生活。</w:t>
      </w:r>
    </w:p>
    <w:p>
      <w:pPr>
        <w:ind w:firstLine="560"/>
      </w:pPr>
      <w:r>
        <w:rPr>
          <w:rFonts w:hint="eastAsia"/>
        </w:rPr>
        <w:t>2、由应急办公室负责采用照相和录像的方法保存事故现场资料。</w:t>
      </w:r>
    </w:p>
    <w:p>
      <w:pPr>
        <w:ind w:firstLine="560"/>
      </w:pPr>
      <w:r>
        <w:rPr>
          <w:rFonts w:hint="eastAsia"/>
        </w:rPr>
        <w:t>3、应急办公室负责组织对现场中暴露的工作人员、应急行动人员进行身体检查和受污染设备、事故现场进行清洁净化、整理、分类回收；</w:t>
      </w:r>
    </w:p>
    <w:p>
      <w:pPr>
        <w:ind w:firstLine="560"/>
      </w:pPr>
      <w:r>
        <w:rPr>
          <w:rFonts w:hint="eastAsia"/>
        </w:rPr>
        <w:t>4、对工艺流程、设备进行全面检查，排除故障和不安全因素。</w:t>
      </w:r>
    </w:p>
    <w:p>
      <w:pPr>
        <w:ind w:firstLine="560"/>
      </w:pPr>
      <w:r>
        <w:rPr>
          <w:rFonts w:hint="eastAsia"/>
        </w:rPr>
        <w:t>5、应急办公室负责调查事故的原因，经济损失，认定事故的责任者；</w:t>
      </w:r>
    </w:p>
    <w:p>
      <w:pPr>
        <w:ind w:firstLine="560"/>
      </w:pPr>
      <w:r>
        <w:rPr>
          <w:rFonts w:hint="eastAsia"/>
        </w:rPr>
        <w:t>6、突发环境污染事故应急处理结束后，应急办公室应组织公司相关部门认真总结、分析、吸取事故教训，及时进行整改完善；</w:t>
      </w:r>
    </w:p>
    <w:p>
      <w:pPr>
        <w:ind w:firstLine="560"/>
      </w:pPr>
      <w:r>
        <w:rPr>
          <w:rFonts w:hint="eastAsia"/>
        </w:rPr>
        <w:t>7、应急办公室组织各职能小组对应急计划和实施程序的可行性、应急装备的有效性、应急人员的素质和反应速度作出评价，并提出对应急预案的修改意见和建议。</w:t>
      </w:r>
    </w:p>
    <w:p>
      <w:pPr>
        <w:ind w:firstLine="560"/>
      </w:pPr>
      <w:r>
        <w:rPr>
          <w:rFonts w:hint="eastAsia"/>
        </w:rPr>
        <w:t>8、如有需要，应急办公室可组织环境监测、环境评价人员及相关部门专家进行跟踪监测，并对事故进行污染损失评估。弄清楚污染状况和污染覆盖面，确定事故的波及范围和影响程度，对事故污染的经济损失进行评估，评价报告报</w:t>
      </w:r>
      <w:r>
        <w:rPr>
          <w:rFonts w:hint="eastAsia"/>
          <w:lang w:eastAsia="zh-CN"/>
        </w:rPr>
        <w:t>昌北生态环境局</w:t>
      </w:r>
      <w:r>
        <w:rPr>
          <w:rFonts w:hint="eastAsia"/>
        </w:rPr>
        <w:t>应急办作为事故处理的依据。</w:t>
      </w:r>
    </w:p>
    <w:p>
      <w:pPr>
        <w:ind w:firstLine="560"/>
      </w:pPr>
      <w:r>
        <w:rPr>
          <w:rFonts w:hint="eastAsia"/>
        </w:rPr>
        <w:t>报告一般包括如下几个方面：</w:t>
      </w:r>
    </w:p>
    <w:p>
      <w:pPr>
        <w:ind w:firstLine="560"/>
      </w:pPr>
      <w:r>
        <w:rPr>
          <w:rFonts w:hint="eastAsia"/>
        </w:rPr>
        <w:t>（1）自然资源和能源流失的损失；</w:t>
      </w:r>
    </w:p>
    <w:p>
      <w:pPr>
        <w:ind w:firstLine="560"/>
      </w:pPr>
      <w:r>
        <w:rPr>
          <w:rFonts w:hint="eastAsia"/>
        </w:rPr>
        <w:t>（2）人员生命、健康和劳动力的损失</w:t>
      </w:r>
    </w:p>
    <w:p>
      <w:pPr>
        <w:ind w:firstLine="560"/>
      </w:pPr>
      <w:r>
        <w:rPr>
          <w:rFonts w:hint="eastAsia"/>
        </w:rPr>
        <w:t>（3）事故清污费用及其他事故处理费用</w:t>
      </w:r>
    </w:p>
    <w:p>
      <w:pPr>
        <w:ind w:firstLine="560"/>
      </w:pPr>
      <w:r>
        <w:rPr>
          <w:rFonts w:hint="eastAsia"/>
        </w:rPr>
        <w:t>（4）事故环境恢复措施及相关监测费用</w:t>
      </w:r>
    </w:p>
    <w:p>
      <w:pPr>
        <w:ind w:firstLine="560"/>
      </w:pPr>
      <w:r>
        <w:rPr>
          <w:rFonts w:hint="eastAsia"/>
        </w:rPr>
        <w:t>（5）其他相关费用。</w:t>
      </w:r>
    </w:p>
    <w:p>
      <w:pPr>
        <w:ind w:firstLine="560"/>
      </w:pPr>
      <w:r>
        <w:rPr>
          <w:rFonts w:hint="eastAsia"/>
        </w:rPr>
        <w:t>跟踪监测与评估：事故现场经过处置后，为检验其处置效果，同时为掌握事故影响的程度和范围，还应做好跟踪监测，直到污染物达到排放标准和环境质量标准为止。监测间隔时间2小时一次。</w:t>
      </w:r>
    </w:p>
    <w:p>
      <w:pPr>
        <w:ind w:firstLine="560"/>
      </w:pPr>
    </w:p>
    <w:p>
      <w:pPr>
        <w:ind w:firstLine="560"/>
        <w:sectPr>
          <w:pgSz w:w="11906" w:h="16838"/>
          <w:pgMar w:top="1304" w:right="1247" w:bottom="1304" w:left="1531" w:header="851" w:footer="851" w:gutter="0"/>
          <w:pgBorders>
            <w:top w:val="none" w:sz="0" w:space="0"/>
            <w:left w:val="none" w:sz="0" w:space="0"/>
            <w:bottom w:val="none" w:sz="0" w:space="0"/>
            <w:right w:val="none" w:sz="0" w:space="0"/>
          </w:pgBorders>
          <w:pgNumType w:fmt="decimal"/>
          <w:cols w:space="425" w:num="1"/>
          <w:docGrid w:type="lines" w:linePitch="312" w:charSpace="0"/>
        </w:sectPr>
      </w:pPr>
    </w:p>
    <w:p>
      <w:pPr>
        <w:pStyle w:val="4"/>
        <w:rPr>
          <w:color w:val="000000" w:themeColor="text1"/>
          <w14:textFill>
            <w14:solidFill>
              <w14:schemeClr w14:val="tx1"/>
            </w14:solidFill>
          </w14:textFill>
        </w:rPr>
      </w:pPr>
      <w:bookmarkStart w:id="61" w:name="_Toc7633"/>
      <w:r>
        <w:rPr>
          <w:rFonts w:hint="eastAsia"/>
          <w:color w:val="000000" w:themeColor="text1"/>
          <w14:textFill>
            <w14:solidFill>
              <w14:schemeClr w14:val="tx1"/>
            </w14:solidFill>
          </w14:textFill>
        </w:rPr>
        <w:t>信息公开</w:t>
      </w:r>
      <w:bookmarkEnd w:id="61"/>
    </w:p>
    <w:p>
      <w:pPr>
        <w:ind w:firstLine="560"/>
      </w:pPr>
      <w:r>
        <w:rPr>
          <w:rFonts w:hint="eastAsia"/>
        </w:rPr>
        <w:t>重大事故发生后，不可避免的引起新闻媒体、社会公众的关注。因此，要及时将事故的信息、影响、救援工作的进展等情况向有关新闻媒体、社会公众进行通报，以消除公众的恐慌心理，控制谣言，避免公众的猜疑和不满。</w:t>
      </w:r>
    </w:p>
    <w:p>
      <w:pPr>
        <w:ind w:firstLine="560"/>
      </w:pPr>
      <w:r>
        <w:rPr>
          <w:rFonts w:hint="eastAsia"/>
        </w:rPr>
        <w:t>上级主管部门或应急管理机构负责信息通报工作，通报前应对要通报的信息进行认真的审核，经过审核和批准后，方能对外透露，以确保信息的统一性。同时，为公众咨询、接待、安抚受伤人员家属作出合理安排。</w:t>
      </w:r>
    </w:p>
    <w:p>
      <w:pPr>
        <w:ind w:firstLine="560"/>
      </w:pPr>
    </w:p>
    <w:p>
      <w:pPr>
        <w:ind w:firstLine="560"/>
        <w:sectPr>
          <w:pgSz w:w="11906" w:h="16838"/>
          <w:pgMar w:top="1440" w:right="1276" w:bottom="1440" w:left="1134" w:header="851" w:footer="992" w:gutter="0"/>
          <w:pgBorders>
            <w:top w:val="none" w:sz="0" w:space="0"/>
            <w:left w:val="none" w:sz="0" w:space="0"/>
            <w:bottom w:val="none" w:sz="0" w:space="0"/>
            <w:right w:val="none" w:sz="0" w:space="0"/>
          </w:pgBorders>
          <w:pgNumType w:fmt="decimal"/>
          <w:cols w:space="425" w:num="1"/>
          <w:docGrid w:type="linesAndChars" w:linePitch="381" w:charSpace="0"/>
        </w:sectPr>
      </w:pPr>
    </w:p>
    <w:p>
      <w:pPr>
        <w:pStyle w:val="4"/>
      </w:pPr>
      <w:bookmarkStart w:id="62" w:name="_Toc15971"/>
      <w:r>
        <w:rPr>
          <w:rFonts w:hint="eastAsia"/>
        </w:rPr>
        <w:t>后期处置</w:t>
      </w:r>
      <w:bookmarkEnd w:id="62"/>
    </w:p>
    <w:p>
      <w:pPr>
        <w:pStyle w:val="5"/>
      </w:pPr>
      <w:bookmarkStart w:id="63" w:name="_Toc14988"/>
      <w:r>
        <w:rPr>
          <w:rFonts w:hint="eastAsia"/>
        </w:rPr>
        <w:t>善后处置</w:t>
      </w:r>
      <w:bookmarkEnd w:id="63"/>
    </w:p>
    <w:p>
      <w:pPr>
        <w:pStyle w:val="6"/>
      </w:pPr>
      <w:r>
        <w:rPr>
          <w:rFonts w:hint="eastAsia"/>
        </w:rPr>
        <w:t>事故现场处理</w:t>
      </w:r>
    </w:p>
    <w:p>
      <w:pPr>
        <w:ind w:firstLine="560"/>
      </w:pPr>
      <w:r>
        <w:rPr>
          <w:rFonts w:hint="eastAsia"/>
        </w:rPr>
        <w:t>突发环境事件处置结束后，在应急中未能及时、彻底清除的有害污染物，事故受控后进行清理。现场遗留区域可以采用以下几种方法进行处理。</w:t>
      </w:r>
    </w:p>
    <w:p>
      <w:pPr>
        <w:ind w:firstLine="560"/>
      </w:pPr>
      <w:r>
        <w:rPr>
          <w:rFonts w:hint="eastAsia"/>
        </w:rPr>
        <w:t>1、清洗：用水、清洁剂、清洗液对污染区域进行清洗，清洗水不可排入雨水管道；</w:t>
      </w:r>
    </w:p>
    <w:p>
      <w:pPr>
        <w:ind w:firstLine="560"/>
      </w:pPr>
      <w:r>
        <w:rPr>
          <w:rFonts w:hint="eastAsia"/>
        </w:rPr>
        <w:t>2、吸附：化学试剂、高浓度化学品等用吸附材料吸收污染物，吸附材料作为危废处理；</w:t>
      </w:r>
    </w:p>
    <w:p>
      <w:pPr>
        <w:ind w:firstLine="560"/>
      </w:pPr>
      <w:r>
        <w:rPr>
          <w:rFonts w:hint="eastAsia"/>
        </w:rPr>
        <w:t>3、清扫：固态物质及时清扫，放入危废桶中暂存。</w:t>
      </w:r>
    </w:p>
    <w:p>
      <w:pPr>
        <w:ind w:firstLine="560"/>
      </w:pPr>
      <w:r>
        <w:rPr>
          <w:rFonts w:hint="eastAsia"/>
        </w:rPr>
        <w:t>清理具体工作程序中产生的危险废物应按公司危险废物相关的管理和处置规定进行回收、处置。</w:t>
      </w:r>
    </w:p>
    <w:p>
      <w:pPr>
        <w:pStyle w:val="6"/>
      </w:pPr>
      <w:r>
        <w:rPr>
          <w:rFonts w:hint="eastAsia"/>
        </w:rPr>
        <w:t>现场秩序恢复</w:t>
      </w:r>
    </w:p>
    <w:p>
      <w:pPr>
        <w:ind w:firstLine="560"/>
      </w:pPr>
      <w:r>
        <w:rPr>
          <w:rFonts w:hint="eastAsia"/>
        </w:rPr>
        <w:t>当应急抢险各队伍任务完成，事故现场得到妥善处置，无发生二次灾害的危险后，由应急指挥中心总指挥宣布解除紧急状态，安全集合点的员工可返回各相应的工作区域。</w:t>
      </w:r>
    </w:p>
    <w:p>
      <w:pPr>
        <w:ind w:firstLine="560"/>
      </w:pPr>
      <w:r>
        <w:rPr>
          <w:rFonts w:hint="eastAsia"/>
        </w:rPr>
        <w:t>办公室对现场使用的应急物资进行清点、记录并及时购置补充。</w:t>
      </w:r>
    </w:p>
    <w:p>
      <w:pPr>
        <w:ind w:firstLine="560"/>
      </w:pPr>
      <w:r>
        <w:rPr>
          <w:rFonts w:hint="eastAsia"/>
        </w:rPr>
        <w:t>公司生产及部门管理人员及时对生产设备进行检查检测，确保各类设备设施能正常运转时恢复生产。</w:t>
      </w:r>
    </w:p>
    <w:p>
      <w:pPr>
        <w:pStyle w:val="6"/>
      </w:pPr>
      <w:r>
        <w:rPr>
          <w:rFonts w:hint="eastAsia"/>
        </w:rPr>
        <w:t>受灾人员的安置及损失赔偿</w:t>
      </w:r>
    </w:p>
    <w:p>
      <w:pPr>
        <w:ind w:firstLine="560"/>
      </w:pPr>
      <w:r>
        <w:rPr>
          <w:rFonts w:hint="eastAsia"/>
        </w:rPr>
        <w:t>突发环境事件结束后，应急指挥中心承担善后处置任务，具体负责处置现场清理、人员安置和赔偿、污染物收集、清理与处置等善后工作。各部门对所负责的善后工作制定严格的处置程序，尽快恢复事故发生区的正常工作。突发环境事件结束后，由财政部联系保险机构开展相关的保险受理和赔付工作。</w:t>
      </w:r>
    </w:p>
    <w:p>
      <w:pPr>
        <w:ind w:firstLine="560"/>
      </w:pPr>
      <w:r>
        <w:rPr>
          <w:rFonts w:hint="eastAsia"/>
        </w:rPr>
        <w:t>坚持以人为本的原则，从职工切身利益出发，严格执行有关法律法规，妥善安置受灾人员。不适合在原岗位工作的，另择合适岗位安排。并对受灾人员按照相关规定进行相应的补偿。对因工负伤的职工，按照国家规定执行伤残补贴，并支付一定的经济补偿金。</w:t>
      </w:r>
    </w:p>
    <w:p>
      <w:pPr>
        <w:ind w:firstLine="560"/>
      </w:pPr>
      <w:r>
        <w:rPr>
          <w:rFonts w:hint="eastAsia"/>
        </w:rPr>
        <w:t>为妥善照顾已疏散人群，根据政府安排，组织已疏散人群至安全的临时安置场所，并保障其基本生活需求。</w:t>
      </w:r>
    </w:p>
    <w:p>
      <w:pPr>
        <w:pStyle w:val="6"/>
      </w:pPr>
      <w:r>
        <w:rPr>
          <w:rFonts w:hint="eastAsia"/>
        </w:rPr>
        <w:t>境应急预案的修订</w:t>
      </w:r>
    </w:p>
    <w:p>
      <w:pPr>
        <w:ind w:firstLine="560"/>
      </w:pPr>
      <w:r>
        <w:rPr>
          <w:rFonts w:hint="eastAsia"/>
        </w:rPr>
        <w:t>事故善后处置工作结束后，应急指挥部要专门针对本预案进行总结，主要总结内容包括：预案对突发环境事件的评估是否准确、应急救援决策是否准确有效、应急救援资源调配是否合理、应急救援行动是否协调、通信是否畅通，评估本预案不适之处，应及时提出修改意见并更新出新版本的应急预案。</w:t>
      </w:r>
    </w:p>
    <w:p>
      <w:pPr>
        <w:pStyle w:val="5"/>
      </w:pPr>
      <w:bookmarkStart w:id="64" w:name="_Toc24038"/>
      <w:r>
        <w:rPr>
          <w:rFonts w:hint="eastAsia"/>
        </w:rPr>
        <w:t>调查与评估</w:t>
      </w:r>
      <w:bookmarkEnd w:id="64"/>
    </w:p>
    <w:p>
      <w:pPr>
        <w:ind w:firstLine="560"/>
      </w:pPr>
      <w:r>
        <w:rPr>
          <w:rFonts w:hint="eastAsia"/>
        </w:rPr>
        <w:t>突发环境事件结束后，应急指挥中心组织对环境事件的处理情况进行调查和评估，主要内容主要包括事件概况、突发原由、现场处理情况、受害人群救治情况、经济损失、应急处理过程存在的问题和取得的经验，在事故调查结束后1周内编制事故调查评估报告，分析原因，制定纠正预防措施，并向应急指挥中心提交事故调查评估报告。事故调查评估报告需经应急指挥中心讨论，强调“四不放过”，即必须坚持事故原因分析不清不放过，责任人员未受到严肃处理不放过，事故责任者和员工没有受到教育不放过，没有采取切实可行的防范措施不放过。以起到教育和预防的作用。</w:t>
      </w:r>
    </w:p>
    <w:p>
      <w:pPr>
        <w:ind w:firstLine="560"/>
      </w:pPr>
      <w:r>
        <w:rPr>
          <w:rFonts w:hint="eastAsia"/>
        </w:rPr>
        <w:t>应急指挥中心积极配合安全、环境、卫生和消防等部门对公司开展的环境污染损害评估及中长期评估工作。</w:t>
      </w:r>
    </w:p>
    <w:p>
      <w:pPr>
        <w:ind w:firstLine="560"/>
      </w:pPr>
      <w:r>
        <w:rPr>
          <w:rFonts w:hint="eastAsia"/>
        </w:rPr>
        <w:t>事故调查评估报告经应急指挥中心评估后，在全公司各部门发布，进行学习教育，若有需要，在规定时间内上报</w:t>
      </w:r>
      <w:r>
        <w:rPr>
          <w:rFonts w:hint="eastAsia"/>
          <w:lang w:val="en-US" w:eastAsia="zh-CN"/>
        </w:rPr>
        <w:t>经开区</w:t>
      </w:r>
      <w:r>
        <w:rPr>
          <w:rFonts w:hint="eastAsia"/>
        </w:rPr>
        <w:t>政府。</w:t>
      </w:r>
    </w:p>
    <w:p>
      <w:pPr>
        <w:pStyle w:val="5"/>
      </w:pPr>
      <w:bookmarkStart w:id="65" w:name="_Toc22531"/>
      <w:r>
        <w:rPr>
          <w:rFonts w:hint="eastAsia"/>
        </w:rPr>
        <w:t>恢复重建</w:t>
      </w:r>
      <w:bookmarkEnd w:id="65"/>
    </w:p>
    <w:p>
      <w:pPr>
        <w:ind w:firstLine="560"/>
      </w:pPr>
      <w:r>
        <w:rPr>
          <w:rFonts w:hint="eastAsia"/>
        </w:rPr>
        <w:t>事故善后完成后，必须由应急指挥中心进行事故善后及现场设备设施的验收，确认事故隐患消除并且无连锁损害和潜在影响后，方可批准进行生产恢复。生产恢复初期，应急指挥中心和部门负责人必须在应急岗位，密切监控生产安全情况，确保恢复正常。</w:t>
      </w:r>
    </w:p>
    <w:p>
      <w:pPr>
        <w:ind w:firstLine="560"/>
      </w:pPr>
      <w:r>
        <w:rPr>
          <w:rFonts w:hint="eastAsia"/>
        </w:rPr>
        <w:t>积极开展环境恢复与重建工作。明确环境恢复对象（土壤、大气、水体），确定系统边界；诊断分析环境损害系统，确定恢复目标，进行环境恢复的自然-经济-社会技术可行性分析。提出环境重建实施方案，后续进行监测、评价与反馈。</w:t>
      </w:r>
    </w:p>
    <w:p>
      <w:pPr>
        <w:ind w:firstLine="560"/>
      </w:pPr>
    </w:p>
    <w:p>
      <w:pPr>
        <w:ind w:firstLine="560"/>
        <w:sectPr>
          <w:pgSz w:w="11906" w:h="16838"/>
          <w:pgMar w:top="1440" w:right="1276" w:bottom="1440" w:left="1134" w:header="851" w:footer="992" w:gutter="0"/>
          <w:pgBorders>
            <w:top w:val="none" w:sz="0" w:space="0"/>
            <w:left w:val="none" w:sz="0" w:space="0"/>
            <w:bottom w:val="none" w:sz="0" w:space="0"/>
            <w:right w:val="none" w:sz="0" w:space="0"/>
          </w:pgBorders>
          <w:pgNumType w:fmt="decimal"/>
          <w:cols w:space="425" w:num="1"/>
          <w:docGrid w:type="linesAndChars" w:linePitch="381" w:charSpace="0"/>
        </w:sectPr>
      </w:pPr>
    </w:p>
    <w:p>
      <w:pPr>
        <w:pStyle w:val="4"/>
      </w:pPr>
      <w:bookmarkStart w:id="66" w:name="_Toc31260"/>
      <w:r>
        <w:rPr>
          <w:rFonts w:hint="eastAsia"/>
        </w:rPr>
        <w:t>保障措施</w:t>
      </w:r>
      <w:bookmarkEnd w:id="66"/>
    </w:p>
    <w:p>
      <w:pPr>
        <w:pStyle w:val="5"/>
      </w:pPr>
      <w:bookmarkStart w:id="67" w:name="_Toc27569"/>
      <w:r>
        <w:rPr>
          <w:rFonts w:hint="eastAsia"/>
        </w:rPr>
        <w:t>应急通信与信息保障</w:t>
      </w:r>
      <w:bookmarkEnd w:id="67"/>
    </w:p>
    <w:p>
      <w:pPr>
        <w:ind w:firstLine="560"/>
      </w:pPr>
      <w:r>
        <w:rPr>
          <w:rFonts w:hint="eastAsia"/>
        </w:rPr>
        <w:t>应急指挥中心应协调有关部门建立稳定、可靠、便捷的通讯手段，明确处置突发事件参与部门、单位和有关人员的通讯联系方式，定期对通讯系统进行检查和维护。指挥中心各负责人必须24小时开通个人手机，值班电话24小时保持通畅，节假日安排人员值班，确保通讯畅通。</w:t>
      </w:r>
    </w:p>
    <w:p>
      <w:pPr>
        <w:ind w:firstLine="560"/>
      </w:pPr>
      <w:r>
        <w:rPr>
          <w:rFonts w:hint="eastAsia"/>
        </w:rPr>
        <w:t>发生、发现事故或紧急情况，通过手机、内线电话等方式报告相关部门。</w:t>
      </w:r>
    </w:p>
    <w:p>
      <w:pPr>
        <w:pStyle w:val="5"/>
      </w:pPr>
      <w:bookmarkStart w:id="68" w:name="_Toc13254"/>
      <w:r>
        <w:rPr>
          <w:rFonts w:hint="eastAsia"/>
        </w:rPr>
        <w:t>应急队伍保障</w:t>
      </w:r>
      <w:bookmarkEnd w:id="68"/>
    </w:p>
    <w:p>
      <w:pPr>
        <w:ind w:firstLine="560"/>
      </w:pPr>
      <w:r>
        <w:rPr>
          <w:rFonts w:hint="eastAsia"/>
        </w:rPr>
        <w:t>公司各部门都建立了应急响应责任人员名单，确保不论是何时发生事故，都有应急响应人员能第一时间出现在现场。公司加强了各应急救援抢险队伍的业务培训和应急演练，整合公司范围内现有应急资源，建立联动协调机制，提高装备水平；加强广大员工应急能力培训和教育；积极参与突发事件的应急救援工作，不断提高公司应急抢险救助队伍综合素质。确保在事件发生时，能迅速控制污染、减少危害，确保环境和公众安全。同时公司应确保应急救援组织机构的完整，一旦出现人事流动，及时调整、培训，确保应急队伍在发生突发事件时能快速有效遏制时间发展。</w:t>
      </w:r>
    </w:p>
    <w:p>
      <w:pPr>
        <w:pStyle w:val="5"/>
      </w:pPr>
      <w:bookmarkStart w:id="69" w:name="_Toc22457"/>
      <w:r>
        <w:rPr>
          <w:rFonts w:hint="eastAsia"/>
        </w:rPr>
        <w:t>应急装备保障</w:t>
      </w:r>
      <w:bookmarkEnd w:id="69"/>
    </w:p>
    <w:p>
      <w:pPr>
        <w:ind w:firstLine="560"/>
      </w:pPr>
      <w:r>
        <w:rPr>
          <w:rFonts w:hint="eastAsia"/>
        </w:rPr>
        <w:t>依据本预案应急处置的需求，建立健全公司应急物资储备系统。公司厂内必须配备一定的应急设备和防护用品，事故应急抢险救援需要，落实配备消防、堵漏、通讯、交通、工具、应急照明、防护、急救等。各类所需应急抢险装备器材，以便在发生安全事故是能迅速、正确的投入到应急救援行动中。所有应急设备、器材应有专人管理，保证完好、有效、随时可用。</w:t>
      </w:r>
    </w:p>
    <w:p>
      <w:pPr>
        <w:ind w:firstLine="560"/>
      </w:pPr>
      <w:r>
        <w:rPr>
          <w:rFonts w:hint="eastAsia"/>
        </w:rPr>
        <w:t>制定巡检制度，对应急物资进行例行常规检查，确保在有效期内，发生环境事故时各类应急物资能正常使用。及时对失效物资进行更换，对缺少的物资进行补充。在应急状态下，应急物资由公司应急指挥中心统一调配使用。</w:t>
      </w:r>
    </w:p>
    <w:p>
      <w:pPr>
        <w:pStyle w:val="5"/>
      </w:pPr>
      <w:bookmarkStart w:id="70" w:name="_Toc16187"/>
      <w:r>
        <w:rPr>
          <w:rFonts w:hint="eastAsia"/>
        </w:rPr>
        <w:t>其他保障</w:t>
      </w:r>
      <w:bookmarkEnd w:id="70"/>
    </w:p>
    <w:p>
      <w:pPr>
        <w:pStyle w:val="6"/>
      </w:pPr>
      <w:r>
        <w:rPr>
          <w:rFonts w:hint="eastAsia"/>
        </w:rPr>
        <w:t>资金保障</w:t>
      </w:r>
    </w:p>
    <w:p>
      <w:pPr>
        <w:ind w:firstLine="560"/>
      </w:pPr>
      <w:r>
        <w:rPr>
          <w:rFonts w:hint="eastAsia"/>
        </w:rPr>
        <w:t>公司总指挥保障提供满足生产安全和环保达标的各种资金需求。公司总经理助理负责对全厂范围内的应急工作的日常费用作出预算，经财务部门预审和总指挥审定后，列入年度预算，保证专款专用；突发事件应急处置结束后，财务部、总经理助理等相关人员对应急处置费用进行如实核销。该经费专门用于完善和改进企业应急救援体系建设、监控设备使用和维护、应急救援物质采购、应急救援演习和应急人员培训等，保障应急状态时应急经费的及时到位。</w:t>
      </w:r>
    </w:p>
    <w:p>
      <w:pPr>
        <w:pStyle w:val="6"/>
      </w:pPr>
      <w:r>
        <w:rPr>
          <w:rFonts w:hint="eastAsia"/>
        </w:rPr>
        <w:t>医疗卫生保障</w:t>
      </w:r>
    </w:p>
    <w:p>
      <w:pPr>
        <w:ind w:firstLine="560"/>
      </w:pPr>
      <w:r>
        <w:rPr>
          <w:rFonts w:hint="eastAsia"/>
        </w:rPr>
        <w:t>应急指挥中心组织协调各级医疗救护队伍实施医疗救治，应急救援行动以人员安全放在首要地位，应急救援人员必须穿戴好防护服、安全帽、呼吸面罩等个人防护用品后方可实施救援行动。</w:t>
      </w:r>
    </w:p>
    <w:p>
      <w:pPr>
        <w:ind w:firstLine="560"/>
      </w:pPr>
      <w:r>
        <w:rPr>
          <w:rFonts w:hint="eastAsia"/>
        </w:rPr>
        <w:t>当发生有重大人员伤亡时，快速联系外部医疗机构，引导外部医疗人员到达指定救护区域，并护送、陪同伤情较重人员到医院进行治疗。</w:t>
      </w:r>
    </w:p>
    <w:p>
      <w:pPr>
        <w:pStyle w:val="6"/>
      </w:pPr>
      <w:r>
        <w:rPr>
          <w:rFonts w:hint="eastAsia"/>
        </w:rPr>
        <w:t>治安维护</w:t>
      </w:r>
    </w:p>
    <w:p>
      <w:pPr>
        <w:ind w:firstLine="560"/>
      </w:pPr>
      <w:r>
        <w:rPr>
          <w:rFonts w:hint="eastAsia"/>
        </w:rPr>
        <w:t>加强对重要物质和设备的保护，维持现场秩序，及时疏散群众。同时，门卫负责隔离厂区入口，管制人员、车辆进出工厂及执行厂区内、外交通指挥与疏散，协助执行事故现场的封锁、隔离及警戒工作。必要时请求</w:t>
      </w:r>
      <w:r>
        <w:rPr>
          <w:rFonts w:hint="eastAsia"/>
          <w:lang w:eastAsia="zh-CN"/>
        </w:rPr>
        <w:t>经开管委会</w:t>
      </w:r>
      <w:r>
        <w:rPr>
          <w:rFonts w:hint="eastAsia"/>
        </w:rPr>
        <w:t>协助事故灾难现场治安警戒和治安管理。</w:t>
      </w:r>
    </w:p>
    <w:p>
      <w:pPr>
        <w:pStyle w:val="6"/>
      </w:pPr>
      <w:r>
        <w:rPr>
          <w:rFonts w:hint="eastAsia"/>
        </w:rPr>
        <w:t>交通运输保障</w:t>
      </w:r>
    </w:p>
    <w:p>
      <w:pPr>
        <w:ind w:firstLine="560"/>
      </w:pPr>
      <w:r>
        <w:rPr>
          <w:rFonts w:hint="eastAsia"/>
        </w:rPr>
        <w:t>在应急响应时，利用现有的交通资源，请求交通部门提供交通支持，保证及时调用有关应急救援人员、装备和物质。</w:t>
      </w:r>
    </w:p>
    <w:p>
      <w:pPr>
        <w:pStyle w:val="6"/>
      </w:pPr>
      <w:r>
        <w:rPr>
          <w:rFonts w:hint="eastAsia"/>
        </w:rPr>
        <w:t>技术保障</w:t>
      </w:r>
    </w:p>
    <w:p>
      <w:pPr>
        <w:ind w:firstLine="560"/>
      </w:pPr>
      <w:r>
        <w:rPr>
          <w:rFonts w:hint="eastAsia"/>
        </w:rPr>
        <w:t>充分利用现有的技术人才资源和技术设备设施资源，提供在应急状态下的技术支持。在应急响应状态时，请求当地气象部门为应急救援决策和响应行动提供所需要的气象资料和气象技术支持。</w:t>
      </w:r>
    </w:p>
    <w:p>
      <w:pPr>
        <w:ind w:firstLine="560"/>
      </w:pPr>
    </w:p>
    <w:p>
      <w:pPr>
        <w:ind w:firstLine="560"/>
        <w:sectPr>
          <w:pgSz w:w="11906" w:h="16838"/>
          <w:pgMar w:top="1440" w:right="1276" w:bottom="1440" w:left="1134" w:header="851" w:footer="992" w:gutter="0"/>
          <w:pgBorders>
            <w:top w:val="none" w:sz="0" w:space="0"/>
            <w:left w:val="none" w:sz="0" w:space="0"/>
            <w:bottom w:val="none" w:sz="0" w:space="0"/>
            <w:right w:val="none" w:sz="0" w:space="0"/>
          </w:pgBorders>
          <w:pgNumType w:fmt="decimal"/>
          <w:cols w:space="425" w:num="1"/>
          <w:docGrid w:type="linesAndChars" w:linePitch="381" w:charSpace="0"/>
        </w:sectPr>
      </w:pPr>
    </w:p>
    <w:p>
      <w:pPr>
        <w:pStyle w:val="4"/>
      </w:pPr>
      <w:bookmarkStart w:id="71" w:name="_Toc30418"/>
      <w:r>
        <w:rPr>
          <w:rFonts w:hint="eastAsia"/>
        </w:rPr>
        <w:t>预案管理</w:t>
      </w:r>
      <w:bookmarkEnd w:id="71"/>
    </w:p>
    <w:p>
      <w:pPr>
        <w:pStyle w:val="5"/>
      </w:pPr>
      <w:bookmarkStart w:id="72" w:name="_Toc3370"/>
      <w:r>
        <w:rPr>
          <w:rFonts w:hint="eastAsia"/>
        </w:rPr>
        <w:t>培训</w:t>
      </w:r>
      <w:bookmarkEnd w:id="72"/>
    </w:p>
    <w:p>
      <w:pPr>
        <w:ind w:firstLine="560"/>
      </w:pPr>
      <w:r>
        <w:rPr>
          <w:rFonts w:hint="eastAsia"/>
        </w:rPr>
        <w:t>对公司员工进行培训，防止突发性环境事件的发生，并能在事件发生后，能以最快的速度发挥最大的效能，有序地实施救援。应急救援培训的目的：</w:t>
      </w:r>
    </w:p>
    <w:p>
      <w:pPr>
        <w:ind w:firstLine="560"/>
      </w:pPr>
      <w:r>
        <w:t>1</w:t>
      </w:r>
      <w:r>
        <w:rPr>
          <w:rFonts w:hint="eastAsia"/>
        </w:rPr>
        <w:t>、提高公司员工的安全意识和对突发事故的思想重视程度。</w:t>
      </w:r>
    </w:p>
    <w:p>
      <w:pPr>
        <w:ind w:firstLine="560"/>
      </w:pPr>
      <w:r>
        <w:rPr>
          <w:rFonts w:hint="eastAsia"/>
        </w:rPr>
        <w:t>2、提高公司特殊岗位和参与应急响应人员的岗位操作水平和应急技能。</w:t>
      </w:r>
    </w:p>
    <w:p>
      <w:pPr>
        <w:ind w:firstLine="560"/>
      </w:pPr>
      <w:r>
        <w:rPr>
          <w:rFonts w:hint="eastAsia"/>
        </w:rPr>
        <w:t>3、了解并掌握原辅料及各类危险废弃物的特性和危害。</w:t>
      </w:r>
    </w:p>
    <w:p>
      <w:pPr>
        <w:ind w:firstLine="560"/>
      </w:pPr>
      <w:r>
        <w:rPr>
          <w:rFonts w:hint="eastAsia"/>
        </w:rPr>
        <w:t>4、提高对企业危险目标、潜在风险的预防、控制能力和水平。</w:t>
      </w:r>
    </w:p>
    <w:p>
      <w:pPr>
        <w:ind w:firstLine="560"/>
      </w:pPr>
      <w:r>
        <w:rPr>
          <w:rFonts w:hint="eastAsia"/>
        </w:rPr>
        <w:t>5、熟悉理解“事故应急预案”的内容和要求，正确作出应急响应。</w:t>
      </w:r>
    </w:p>
    <w:p>
      <w:pPr>
        <w:pStyle w:val="6"/>
      </w:pPr>
      <w:r>
        <w:rPr>
          <w:rFonts w:hint="eastAsia"/>
        </w:rPr>
        <w:t>培训组织</w:t>
      </w:r>
    </w:p>
    <w:p>
      <w:pPr>
        <w:ind w:firstLine="560"/>
      </w:pPr>
      <w:r>
        <w:rPr>
          <w:rFonts w:hint="eastAsia"/>
        </w:rPr>
        <w:t>培训的实施：</w:t>
      </w:r>
    </w:p>
    <w:p>
      <w:pPr>
        <w:ind w:firstLine="560"/>
      </w:pPr>
      <w:r>
        <w:rPr>
          <w:rFonts w:hint="eastAsia"/>
        </w:rPr>
        <w:t>1、全体员工分别按培训计划参加培训；</w:t>
      </w:r>
    </w:p>
    <w:p>
      <w:pPr>
        <w:ind w:firstLine="560"/>
      </w:pPr>
      <w:r>
        <w:rPr>
          <w:rFonts w:hint="eastAsia"/>
        </w:rPr>
        <w:t>2、师资以专兼职结合，内请外聘解决；</w:t>
      </w:r>
    </w:p>
    <w:p>
      <w:pPr>
        <w:ind w:firstLine="560"/>
      </w:pPr>
      <w:r>
        <w:rPr>
          <w:rFonts w:hint="eastAsia"/>
        </w:rPr>
        <w:t>3、培训过程中，应急办公室负责检查培训进度和培训质量；</w:t>
      </w:r>
    </w:p>
    <w:p>
      <w:pPr>
        <w:ind w:firstLine="560"/>
      </w:pPr>
      <w:r>
        <w:rPr>
          <w:rFonts w:hint="eastAsia"/>
        </w:rPr>
        <w:t>4、各类培训做好培训记录，培训考试试卷由应急办公室保存；</w:t>
      </w:r>
    </w:p>
    <w:p>
      <w:pPr>
        <w:ind w:firstLine="560"/>
      </w:pPr>
      <w:r>
        <w:rPr>
          <w:rFonts w:hint="eastAsia"/>
        </w:rPr>
        <w:t>5、特殊工种参加法定的持证上岗培训。</w:t>
      </w:r>
    </w:p>
    <w:p>
      <w:pPr>
        <w:pStyle w:val="6"/>
      </w:pPr>
      <w:r>
        <w:rPr>
          <w:rFonts w:hint="eastAsia"/>
        </w:rPr>
        <w:t>培训内容和对象</w:t>
      </w:r>
    </w:p>
    <w:p>
      <w:pPr>
        <w:ind w:firstLine="560"/>
      </w:pPr>
      <w:r>
        <w:rPr>
          <w:rFonts w:hint="eastAsia"/>
        </w:rPr>
        <w:t>根据受培训人员的不同情况，选择不同侧重点，制定切实可行的培训计划，确定培训内容。培训内容详见</w:t>
      </w:r>
      <w:r>
        <w:fldChar w:fldCharType="begin"/>
      </w:r>
      <w:r>
        <w:instrText xml:space="preserve"> </w:instrText>
      </w:r>
      <w:r>
        <w:rPr>
          <w:rFonts w:hint="eastAsia"/>
        </w:rPr>
        <w:instrText xml:space="preserve">REF _Ref527061444 \h</w:instrText>
      </w:r>
      <w:r>
        <w:instrText xml:space="preserve"> </w:instrText>
      </w:r>
      <w:r>
        <w:fldChar w:fldCharType="separate"/>
      </w:r>
      <w:r>
        <w:rPr>
          <w:rFonts w:hint="eastAsia"/>
        </w:rPr>
        <w:t xml:space="preserve">表 </w:t>
      </w:r>
      <w:r>
        <w:t>12</w:t>
      </w:r>
      <w:r>
        <w:noBreakHyphen/>
      </w:r>
      <w:r>
        <w:t>1</w:t>
      </w:r>
      <w:r>
        <w:fldChar w:fldCharType="end"/>
      </w:r>
      <w:r>
        <w:rPr>
          <w:rFonts w:hint="eastAsia"/>
        </w:rPr>
        <w:t>。</w:t>
      </w:r>
    </w:p>
    <w:p>
      <w:pPr>
        <w:widowControl/>
        <w:spacing w:line="240" w:lineRule="auto"/>
        <w:ind w:firstLine="0" w:firstLineChars="0"/>
        <w:jc w:val="left"/>
      </w:pPr>
      <w:r>
        <w:br w:type="page"/>
      </w:r>
    </w:p>
    <w:p>
      <w:pPr>
        <w:pStyle w:val="8"/>
        <w:keepNext/>
      </w:pPr>
      <w:bookmarkStart w:id="73" w:name="_Ref527061444"/>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12</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1</w:t>
      </w:r>
      <w:r>
        <w:fldChar w:fldCharType="end"/>
      </w:r>
      <w:bookmarkEnd w:id="73"/>
      <w:r>
        <w:rPr>
          <w:rFonts w:hint="eastAsia"/>
        </w:rPr>
        <w:t>培训内容和培训对象</w:t>
      </w:r>
    </w:p>
    <w:tbl>
      <w:tblPr>
        <w:tblStyle w:val="1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9"/>
        <w:gridCol w:w="2776"/>
        <w:gridCol w:w="60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432" w:type="pct"/>
            <w:shd w:val="clear" w:color="auto" w:fill="auto"/>
            <w:vAlign w:val="center"/>
          </w:tcPr>
          <w:p>
            <w:pPr>
              <w:spacing w:line="240" w:lineRule="auto"/>
              <w:ind w:firstLine="0" w:firstLineChars="0"/>
              <w:jc w:val="center"/>
              <w:rPr>
                <w:rFonts w:cs="Times New Roman"/>
                <w:sz w:val="21"/>
                <w:szCs w:val="21"/>
              </w:rPr>
            </w:pPr>
            <w:bookmarkStart w:id="74" w:name="_Toc430925964"/>
            <w:bookmarkStart w:id="75" w:name="_Toc430850354"/>
            <w:r>
              <w:rPr>
                <w:rFonts w:cs="Times New Roman"/>
                <w:sz w:val="21"/>
                <w:szCs w:val="21"/>
              </w:rPr>
              <w:t>序号</w:t>
            </w:r>
            <w:bookmarkEnd w:id="74"/>
            <w:bookmarkEnd w:id="75"/>
          </w:p>
        </w:tc>
        <w:tc>
          <w:tcPr>
            <w:tcW w:w="1429" w:type="pct"/>
            <w:shd w:val="clear" w:color="auto" w:fill="auto"/>
            <w:vAlign w:val="center"/>
          </w:tcPr>
          <w:p>
            <w:pPr>
              <w:spacing w:line="240" w:lineRule="auto"/>
              <w:ind w:firstLine="0" w:firstLineChars="0"/>
              <w:jc w:val="center"/>
              <w:rPr>
                <w:rFonts w:cs="Times New Roman"/>
                <w:sz w:val="21"/>
                <w:szCs w:val="21"/>
              </w:rPr>
            </w:pPr>
            <w:bookmarkStart w:id="76" w:name="_Toc430925965"/>
            <w:bookmarkStart w:id="77" w:name="_Toc430850355"/>
            <w:r>
              <w:rPr>
                <w:rFonts w:cs="Times New Roman"/>
                <w:sz w:val="21"/>
                <w:szCs w:val="21"/>
              </w:rPr>
              <w:t>培训内容</w:t>
            </w:r>
            <w:bookmarkEnd w:id="76"/>
            <w:bookmarkEnd w:id="77"/>
          </w:p>
        </w:tc>
        <w:tc>
          <w:tcPr>
            <w:tcW w:w="3139" w:type="pct"/>
            <w:shd w:val="clear" w:color="auto" w:fill="auto"/>
            <w:vAlign w:val="center"/>
          </w:tcPr>
          <w:p>
            <w:pPr>
              <w:spacing w:line="240" w:lineRule="auto"/>
              <w:ind w:firstLine="0" w:firstLineChars="0"/>
              <w:jc w:val="center"/>
              <w:rPr>
                <w:rFonts w:cs="Times New Roman"/>
                <w:sz w:val="21"/>
                <w:szCs w:val="21"/>
              </w:rPr>
            </w:pPr>
            <w:bookmarkStart w:id="78" w:name="_Toc430925966"/>
            <w:bookmarkStart w:id="79" w:name="_Toc430850356"/>
            <w:r>
              <w:rPr>
                <w:rFonts w:cs="Times New Roman"/>
                <w:sz w:val="21"/>
                <w:szCs w:val="21"/>
              </w:rPr>
              <w:t>接受培训对象</w:t>
            </w:r>
            <w:bookmarkEnd w:id="78"/>
            <w:bookmarkEnd w:id="79"/>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432" w:type="pct"/>
            <w:shd w:val="clear" w:color="auto" w:fill="auto"/>
            <w:vAlign w:val="center"/>
          </w:tcPr>
          <w:p>
            <w:pPr>
              <w:spacing w:line="240" w:lineRule="auto"/>
              <w:ind w:firstLine="0" w:firstLineChars="0"/>
              <w:jc w:val="center"/>
              <w:rPr>
                <w:rFonts w:cs="Times New Roman"/>
                <w:sz w:val="21"/>
                <w:szCs w:val="21"/>
              </w:rPr>
            </w:pPr>
            <w:bookmarkStart w:id="80" w:name="_Toc430925967"/>
            <w:bookmarkStart w:id="81" w:name="_Toc430850357"/>
            <w:r>
              <w:rPr>
                <w:rFonts w:cs="Times New Roman"/>
                <w:sz w:val="21"/>
                <w:szCs w:val="21"/>
              </w:rPr>
              <w:t>1</w:t>
            </w:r>
            <w:bookmarkEnd w:id="80"/>
            <w:bookmarkEnd w:id="81"/>
          </w:p>
        </w:tc>
        <w:tc>
          <w:tcPr>
            <w:tcW w:w="1429" w:type="pct"/>
            <w:shd w:val="clear" w:color="auto" w:fill="auto"/>
            <w:vAlign w:val="center"/>
          </w:tcPr>
          <w:p>
            <w:pPr>
              <w:spacing w:line="240" w:lineRule="auto"/>
              <w:ind w:firstLine="0" w:firstLineChars="0"/>
              <w:jc w:val="center"/>
              <w:rPr>
                <w:rFonts w:cs="Times New Roman"/>
                <w:sz w:val="21"/>
                <w:szCs w:val="21"/>
              </w:rPr>
            </w:pPr>
            <w:bookmarkStart w:id="82" w:name="_Toc430925968"/>
            <w:bookmarkStart w:id="83" w:name="_Toc430850358"/>
            <w:r>
              <w:rPr>
                <w:rFonts w:cs="Times New Roman"/>
                <w:sz w:val="21"/>
                <w:szCs w:val="21"/>
              </w:rPr>
              <w:t>事故应急救援预案</w:t>
            </w:r>
            <w:bookmarkEnd w:id="82"/>
            <w:bookmarkEnd w:id="83"/>
          </w:p>
        </w:tc>
        <w:tc>
          <w:tcPr>
            <w:tcW w:w="3139" w:type="pct"/>
            <w:shd w:val="clear" w:color="auto" w:fill="auto"/>
            <w:vAlign w:val="center"/>
          </w:tcPr>
          <w:p>
            <w:pPr>
              <w:spacing w:line="240" w:lineRule="auto"/>
              <w:ind w:firstLine="0" w:firstLineChars="0"/>
              <w:jc w:val="center"/>
              <w:rPr>
                <w:rFonts w:cs="Times New Roman"/>
                <w:sz w:val="21"/>
                <w:szCs w:val="21"/>
              </w:rPr>
            </w:pPr>
            <w:bookmarkStart w:id="84" w:name="_Toc430925969"/>
            <w:bookmarkStart w:id="85" w:name="_Toc430850359"/>
            <w:r>
              <w:rPr>
                <w:rFonts w:cs="Times New Roman"/>
                <w:sz w:val="21"/>
                <w:szCs w:val="21"/>
              </w:rPr>
              <w:t>企业员工</w:t>
            </w:r>
            <w:bookmarkEnd w:id="84"/>
            <w:bookmarkEnd w:id="85"/>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432" w:type="pct"/>
            <w:shd w:val="clear" w:color="auto" w:fill="auto"/>
            <w:vAlign w:val="center"/>
          </w:tcPr>
          <w:p>
            <w:pPr>
              <w:spacing w:line="240" w:lineRule="auto"/>
              <w:ind w:firstLine="0" w:firstLineChars="0"/>
              <w:jc w:val="center"/>
              <w:rPr>
                <w:rFonts w:cs="Times New Roman"/>
                <w:sz w:val="21"/>
                <w:szCs w:val="21"/>
              </w:rPr>
            </w:pPr>
            <w:bookmarkStart w:id="86" w:name="_Toc430925970"/>
            <w:bookmarkStart w:id="87" w:name="_Toc430850360"/>
            <w:r>
              <w:rPr>
                <w:rFonts w:cs="Times New Roman"/>
                <w:sz w:val="21"/>
                <w:szCs w:val="21"/>
              </w:rPr>
              <w:t>2</w:t>
            </w:r>
            <w:bookmarkEnd w:id="86"/>
            <w:bookmarkEnd w:id="87"/>
          </w:p>
        </w:tc>
        <w:tc>
          <w:tcPr>
            <w:tcW w:w="1429" w:type="pct"/>
            <w:shd w:val="clear" w:color="auto" w:fill="auto"/>
            <w:vAlign w:val="center"/>
          </w:tcPr>
          <w:p>
            <w:pPr>
              <w:spacing w:line="240" w:lineRule="auto"/>
              <w:ind w:firstLine="0" w:firstLineChars="0"/>
              <w:jc w:val="center"/>
              <w:rPr>
                <w:rFonts w:cs="Times New Roman"/>
                <w:sz w:val="21"/>
                <w:szCs w:val="21"/>
              </w:rPr>
            </w:pPr>
            <w:bookmarkStart w:id="88" w:name="_Toc430850361"/>
            <w:bookmarkStart w:id="89" w:name="_Toc430925971"/>
            <w:r>
              <w:rPr>
                <w:rFonts w:cs="Times New Roman"/>
                <w:sz w:val="21"/>
                <w:szCs w:val="21"/>
              </w:rPr>
              <w:t>应急知识宣传资料</w:t>
            </w:r>
            <w:bookmarkEnd w:id="88"/>
            <w:bookmarkEnd w:id="89"/>
          </w:p>
        </w:tc>
        <w:tc>
          <w:tcPr>
            <w:tcW w:w="3139" w:type="pct"/>
            <w:shd w:val="clear" w:color="auto" w:fill="auto"/>
            <w:vAlign w:val="center"/>
          </w:tcPr>
          <w:p>
            <w:pPr>
              <w:spacing w:line="240" w:lineRule="auto"/>
              <w:ind w:firstLine="0" w:firstLineChars="0"/>
              <w:jc w:val="center"/>
              <w:rPr>
                <w:rFonts w:cs="Times New Roman"/>
                <w:sz w:val="21"/>
                <w:szCs w:val="21"/>
              </w:rPr>
            </w:pPr>
            <w:bookmarkStart w:id="90" w:name="_Toc430925972"/>
            <w:bookmarkStart w:id="91" w:name="_Toc430850362"/>
            <w:r>
              <w:rPr>
                <w:rFonts w:cs="Times New Roman"/>
                <w:sz w:val="21"/>
                <w:szCs w:val="21"/>
              </w:rPr>
              <w:t>企业员工、外部公众</w:t>
            </w:r>
            <w:bookmarkEnd w:id="90"/>
            <w:bookmarkEnd w:id="91"/>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432" w:type="pct"/>
            <w:shd w:val="clear" w:color="auto" w:fill="auto"/>
            <w:vAlign w:val="center"/>
          </w:tcPr>
          <w:p>
            <w:pPr>
              <w:spacing w:line="240" w:lineRule="auto"/>
              <w:ind w:firstLine="0" w:firstLineChars="0"/>
              <w:jc w:val="center"/>
              <w:rPr>
                <w:rFonts w:cs="Times New Roman"/>
                <w:sz w:val="21"/>
                <w:szCs w:val="21"/>
              </w:rPr>
            </w:pPr>
            <w:bookmarkStart w:id="92" w:name="_Toc430925973"/>
            <w:bookmarkStart w:id="93" w:name="_Toc430850363"/>
            <w:r>
              <w:rPr>
                <w:rFonts w:cs="Times New Roman"/>
                <w:sz w:val="21"/>
                <w:szCs w:val="21"/>
              </w:rPr>
              <w:t>3</w:t>
            </w:r>
            <w:bookmarkEnd w:id="92"/>
            <w:bookmarkEnd w:id="93"/>
          </w:p>
        </w:tc>
        <w:tc>
          <w:tcPr>
            <w:tcW w:w="1429" w:type="pct"/>
            <w:shd w:val="clear" w:color="auto" w:fill="auto"/>
            <w:vAlign w:val="center"/>
          </w:tcPr>
          <w:p>
            <w:pPr>
              <w:spacing w:line="240" w:lineRule="auto"/>
              <w:ind w:firstLine="0" w:firstLineChars="0"/>
              <w:jc w:val="center"/>
              <w:rPr>
                <w:rFonts w:cs="Times New Roman"/>
                <w:sz w:val="21"/>
                <w:szCs w:val="21"/>
              </w:rPr>
            </w:pPr>
            <w:bookmarkStart w:id="94" w:name="_Toc430925974"/>
            <w:bookmarkStart w:id="95" w:name="_Toc430850364"/>
            <w:r>
              <w:rPr>
                <w:rFonts w:cs="Times New Roman"/>
                <w:sz w:val="21"/>
                <w:szCs w:val="21"/>
              </w:rPr>
              <w:t>危险废物特性</w:t>
            </w:r>
            <w:bookmarkEnd w:id="94"/>
            <w:bookmarkEnd w:id="95"/>
          </w:p>
        </w:tc>
        <w:tc>
          <w:tcPr>
            <w:tcW w:w="3139" w:type="pct"/>
            <w:shd w:val="clear" w:color="auto" w:fill="auto"/>
            <w:vAlign w:val="center"/>
          </w:tcPr>
          <w:p>
            <w:pPr>
              <w:spacing w:line="240" w:lineRule="auto"/>
              <w:ind w:firstLine="0" w:firstLineChars="0"/>
              <w:jc w:val="center"/>
              <w:rPr>
                <w:rFonts w:cs="Times New Roman"/>
                <w:sz w:val="21"/>
                <w:szCs w:val="21"/>
              </w:rPr>
            </w:pPr>
            <w:bookmarkStart w:id="96" w:name="_Toc430925975"/>
            <w:bookmarkStart w:id="97" w:name="_Toc430850365"/>
            <w:r>
              <w:rPr>
                <w:rFonts w:cs="Times New Roman"/>
                <w:sz w:val="21"/>
                <w:szCs w:val="21"/>
              </w:rPr>
              <w:t>企业主要岗位入员、应急参与人员</w:t>
            </w:r>
            <w:bookmarkEnd w:id="96"/>
            <w:bookmarkEnd w:id="9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432" w:type="pct"/>
            <w:shd w:val="clear" w:color="auto" w:fill="auto"/>
            <w:vAlign w:val="center"/>
          </w:tcPr>
          <w:p>
            <w:pPr>
              <w:spacing w:line="240" w:lineRule="auto"/>
              <w:ind w:firstLine="0" w:firstLineChars="0"/>
              <w:jc w:val="center"/>
              <w:rPr>
                <w:rFonts w:cs="Times New Roman"/>
                <w:sz w:val="21"/>
                <w:szCs w:val="21"/>
              </w:rPr>
            </w:pPr>
            <w:bookmarkStart w:id="98" w:name="_Toc430925976"/>
            <w:bookmarkStart w:id="99" w:name="_Toc430850366"/>
            <w:r>
              <w:rPr>
                <w:rFonts w:cs="Times New Roman"/>
                <w:sz w:val="21"/>
                <w:szCs w:val="21"/>
              </w:rPr>
              <w:t>4</w:t>
            </w:r>
            <w:bookmarkEnd w:id="98"/>
            <w:bookmarkEnd w:id="99"/>
          </w:p>
        </w:tc>
        <w:tc>
          <w:tcPr>
            <w:tcW w:w="1429" w:type="pct"/>
            <w:shd w:val="clear" w:color="auto" w:fill="auto"/>
            <w:vAlign w:val="center"/>
          </w:tcPr>
          <w:p>
            <w:pPr>
              <w:spacing w:line="240" w:lineRule="auto"/>
              <w:ind w:firstLine="0" w:firstLineChars="0"/>
              <w:jc w:val="center"/>
              <w:rPr>
                <w:rFonts w:cs="Times New Roman"/>
                <w:sz w:val="21"/>
                <w:szCs w:val="21"/>
              </w:rPr>
            </w:pPr>
            <w:bookmarkStart w:id="100" w:name="_Toc430850367"/>
            <w:bookmarkStart w:id="101" w:name="_Toc430925977"/>
            <w:r>
              <w:rPr>
                <w:rFonts w:cs="Times New Roman"/>
                <w:sz w:val="21"/>
                <w:szCs w:val="21"/>
              </w:rPr>
              <w:t>突发事故危害性</w:t>
            </w:r>
            <w:bookmarkEnd w:id="100"/>
            <w:bookmarkEnd w:id="101"/>
          </w:p>
        </w:tc>
        <w:tc>
          <w:tcPr>
            <w:tcW w:w="3139" w:type="pct"/>
            <w:shd w:val="clear" w:color="auto" w:fill="auto"/>
            <w:vAlign w:val="center"/>
          </w:tcPr>
          <w:p>
            <w:pPr>
              <w:spacing w:line="240" w:lineRule="auto"/>
              <w:ind w:firstLine="0" w:firstLineChars="0"/>
              <w:jc w:val="center"/>
              <w:rPr>
                <w:rFonts w:cs="Times New Roman"/>
                <w:sz w:val="21"/>
                <w:szCs w:val="21"/>
              </w:rPr>
            </w:pPr>
            <w:bookmarkStart w:id="102" w:name="_Toc430850368"/>
            <w:bookmarkStart w:id="103" w:name="_Toc430925978"/>
            <w:r>
              <w:rPr>
                <w:rFonts w:cs="Times New Roman"/>
                <w:sz w:val="21"/>
                <w:szCs w:val="21"/>
              </w:rPr>
              <w:t>企业员工、外部公众</w:t>
            </w:r>
            <w:bookmarkEnd w:id="102"/>
            <w:bookmarkEnd w:id="103"/>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432" w:type="pct"/>
            <w:shd w:val="clear" w:color="auto" w:fill="auto"/>
            <w:vAlign w:val="center"/>
          </w:tcPr>
          <w:p>
            <w:pPr>
              <w:spacing w:line="240" w:lineRule="auto"/>
              <w:ind w:firstLine="0" w:firstLineChars="0"/>
              <w:jc w:val="center"/>
              <w:rPr>
                <w:rFonts w:cs="Times New Roman"/>
                <w:sz w:val="21"/>
                <w:szCs w:val="21"/>
              </w:rPr>
            </w:pPr>
            <w:bookmarkStart w:id="104" w:name="_Toc430850369"/>
            <w:bookmarkStart w:id="105" w:name="_Toc430925979"/>
            <w:r>
              <w:rPr>
                <w:rFonts w:cs="Times New Roman"/>
                <w:sz w:val="21"/>
                <w:szCs w:val="21"/>
              </w:rPr>
              <w:t>5</w:t>
            </w:r>
            <w:bookmarkEnd w:id="104"/>
            <w:bookmarkEnd w:id="105"/>
          </w:p>
        </w:tc>
        <w:tc>
          <w:tcPr>
            <w:tcW w:w="1429" w:type="pct"/>
            <w:shd w:val="clear" w:color="auto" w:fill="auto"/>
            <w:vAlign w:val="center"/>
          </w:tcPr>
          <w:p>
            <w:pPr>
              <w:spacing w:line="240" w:lineRule="auto"/>
              <w:ind w:firstLine="0" w:firstLineChars="0"/>
              <w:jc w:val="center"/>
              <w:rPr>
                <w:rFonts w:cs="Times New Roman"/>
                <w:sz w:val="21"/>
                <w:szCs w:val="21"/>
              </w:rPr>
            </w:pPr>
            <w:bookmarkStart w:id="106" w:name="_Toc430925980"/>
            <w:bookmarkStart w:id="107" w:name="_Toc430850370"/>
            <w:r>
              <w:rPr>
                <w:rFonts w:cs="Times New Roman"/>
                <w:sz w:val="21"/>
                <w:szCs w:val="21"/>
              </w:rPr>
              <w:t>应急演练知识培训</w:t>
            </w:r>
            <w:bookmarkEnd w:id="106"/>
            <w:bookmarkEnd w:id="107"/>
          </w:p>
        </w:tc>
        <w:tc>
          <w:tcPr>
            <w:tcW w:w="3139" w:type="pct"/>
            <w:shd w:val="clear" w:color="auto" w:fill="auto"/>
            <w:vAlign w:val="center"/>
          </w:tcPr>
          <w:p>
            <w:pPr>
              <w:spacing w:line="240" w:lineRule="auto"/>
              <w:ind w:firstLine="0" w:firstLineChars="0"/>
              <w:jc w:val="center"/>
              <w:rPr>
                <w:rFonts w:cs="Times New Roman"/>
                <w:sz w:val="21"/>
                <w:szCs w:val="21"/>
              </w:rPr>
            </w:pPr>
            <w:bookmarkStart w:id="108" w:name="_Toc430925981"/>
            <w:bookmarkStart w:id="109" w:name="_Toc430850371"/>
            <w:r>
              <w:rPr>
                <w:rFonts w:cs="Times New Roman"/>
                <w:sz w:val="21"/>
                <w:szCs w:val="21"/>
              </w:rPr>
              <w:t>应急响应人员及领导</w:t>
            </w:r>
            <w:bookmarkEnd w:id="108"/>
            <w:bookmarkEnd w:id="109"/>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432" w:type="pct"/>
            <w:shd w:val="clear" w:color="auto" w:fill="auto"/>
            <w:vAlign w:val="center"/>
          </w:tcPr>
          <w:p>
            <w:pPr>
              <w:spacing w:line="240" w:lineRule="auto"/>
              <w:ind w:firstLine="0" w:firstLineChars="0"/>
              <w:jc w:val="center"/>
              <w:rPr>
                <w:rFonts w:cs="Times New Roman"/>
                <w:sz w:val="21"/>
                <w:szCs w:val="21"/>
              </w:rPr>
            </w:pPr>
            <w:bookmarkStart w:id="110" w:name="_Toc430850372"/>
            <w:bookmarkStart w:id="111" w:name="_Toc430925982"/>
            <w:r>
              <w:rPr>
                <w:rFonts w:cs="Times New Roman"/>
                <w:sz w:val="21"/>
                <w:szCs w:val="21"/>
              </w:rPr>
              <w:t>6</w:t>
            </w:r>
            <w:bookmarkEnd w:id="110"/>
            <w:bookmarkEnd w:id="111"/>
          </w:p>
        </w:tc>
        <w:tc>
          <w:tcPr>
            <w:tcW w:w="1429" w:type="pct"/>
            <w:shd w:val="clear" w:color="auto" w:fill="auto"/>
            <w:vAlign w:val="center"/>
          </w:tcPr>
          <w:p>
            <w:pPr>
              <w:tabs>
                <w:tab w:val="left" w:pos="614"/>
              </w:tabs>
              <w:spacing w:line="240" w:lineRule="auto"/>
              <w:ind w:firstLine="0" w:firstLineChars="0"/>
              <w:jc w:val="center"/>
              <w:rPr>
                <w:rFonts w:cs="Times New Roman"/>
                <w:sz w:val="21"/>
                <w:szCs w:val="21"/>
              </w:rPr>
            </w:pPr>
            <w:bookmarkStart w:id="112" w:name="_Toc430925983"/>
            <w:bookmarkStart w:id="113" w:name="_Toc430850373"/>
            <w:r>
              <w:rPr>
                <w:rFonts w:cs="Times New Roman"/>
                <w:sz w:val="21"/>
                <w:szCs w:val="21"/>
              </w:rPr>
              <w:t>事故报警程序</w:t>
            </w:r>
            <w:bookmarkEnd w:id="112"/>
            <w:bookmarkEnd w:id="113"/>
          </w:p>
        </w:tc>
        <w:tc>
          <w:tcPr>
            <w:tcW w:w="3139" w:type="pct"/>
            <w:shd w:val="clear" w:color="auto" w:fill="auto"/>
            <w:vAlign w:val="center"/>
          </w:tcPr>
          <w:p>
            <w:pPr>
              <w:spacing w:line="240" w:lineRule="auto"/>
              <w:ind w:firstLine="0" w:firstLineChars="0"/>
              <w:jc w:val="center"/>
              <w:rPr>
                <w:rFonts w:cs="Times New Roman"/>
                <w:sz w:val="21"/>
                <w:szCs w:val="21"/>
              </w:rPr>
            </w:pPr>
            <w:bookmarkStart w:id="114" w:name="_Toc430925984"/>
            <w:bookmarkStart w:id="115" w:name="_Toc430850374"/>
            <w:r>
              <w:rPr>
                <w:rFonts w:cs="Times New Roman"/>
                <w:sz w:val="21"/>
                <w:szCs w:val="21"/>
              </w:rPr>
              <w:t>企业员工</w:t>
            </w:r>
            <w:bookmarkEnd w:id="114"/>
            <w:bookmarkEnd w:id="115"/>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5" w:hRule="atLeast"/>
        </w:trPr>
        <w:tc>
          <w:tcPr>
            <w:tcW w:w="432" w:type="pct"/>
            <w:shd w:val="clear" w:color="auto" w:fill="auto"/>
            <w:vAlign w:val="center"/>
          </w:tcPr>
          <w:p>
            <w:pPr>
              <w:spacing w:line="240" w:lineRule="auto"/>
              <w:ind w:firstLine="0" w:firstLineChars="0"/>
              <w:jc w:val="center"/>
              <w:rPr>
                <w:rFonts w:cs="Times New Roman"/>
                <w:sz w:val="21"/>
                <w:szCs w:val="21"/>
              </w:rPr>
            </w:pPr>
            <w:bookmarkStart w:id="116" w:name="_Toc430850375"/>
            <w:bookmarkStart w:id="117" w:name="_Toc430925985"/>
            <w:r>
              <w:rPr>
                <w:rFonts w:cs="Times New Roman"/>
                <w:sz w:val="21"/>
                <w:szCs w:val="21"/>
              </w:rPr>
              <w:t>7</w:t>
            </w:r>
            <w:bookmarkEnd w:id="116"/>
            <w:bookmarkEnd w:id="117"/>
          </w:p>
        </w:tc>
        <w:tc>
          <w:tcPr>
            <w:tcW w:w="1429" w:type="pct"/>
            <w:shd w:val="clear" w:color="auto" w:fill="auto"/>
            <w:vAlign w:val="center"/>
          </w:tcPr>
          <w:p>
            <w:pPr>
              <w:spacing w:line="240" w:lineRule="auto"/>
              <w:ind w:firstLine="0" w:firstLineChars="0"/>
              <w:jc w:val="center"/>
              <w:rPr>
                <w:rFonts w:cs="Times New Roman"/>
                <w:sz w:val="21"/>
                <w:szCs w:val="21"/>
              </w:rPr>
            </w:pPr>
            <w:bookmarkStart w:id="118" w:name="_Toc430925986"/>
            <w:bookmarkStart w:id="119" w:name="_Toc430850376"/>
            <w:r>
              <w:rPr>
                <w:rFonts w:cs="Times New Roman"/>
                <w:sz w:val="21"/>
                <w:szCs w:val="21"/>
              </w:rPr>
              <w:t>消防、初期灭火知识</w:t>
            </w:r>
            <w:bookmarkEnd w:id="118"/>
            <w:bookmarkEnd w:id="119"/>
          </w:p>
        </w:tc>
        <w:tc>
          <w:tcPr>
            <w:tcW w:w="3139" w:type="pct"/>
            <w:shd w:val="clear" w:color="auto" w:fill="auto"/>
            <w:vAlign w:val="center"/>
          </w:tcPr>
          <w:p>
            <w:pPr>
              <w:spacing w:line="240" w:lineRule="auto"/>
              <w:ind w:firstLine="0" w:firstLineChars="0"/>
              <w:jc w:val="center"/>
              <w:rPr>
                <w:rFonts w:cs="Times New Roman"/>
                <w:sz w:val="21"/>
                <w:szCs w:val="21"/>
              </w:rPr>
            </w:pPr>
            <w:bookmarkStart w:id="120" w:name="_Toc430850377"/>
            <w:bookmarkStart w:id="121" w:name="_Toc430925987"/>
            <w:r>
              <w:rPr>
                <w:rFonts w:cs="Times New Roman"/>
                <w:sz w:val="21"/>
                <w:szCs w:val="21"/>
              </w:rPr>
              <w:t>环境、安全工作人员，主要危险源场所人员</w:t>
            </w:r>
            <w:bookmarkEnd w:id="120"/>
            <w:bookmarkEnd w:id="121"/>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432" w:type="pct"/>
            <w:shd w:val="clear" w:color="auto" w:fill="auto"/>
            <w:vAlign w:val="center"/>
          </w:tcPr>
          <w:p>
            <w:pPr>
              <w:spacing w:line="240" w:lineRule="auto"/>
              <w:ind w:firstLine="0" w:firstLineChars="0"/>
              <w:jc w:val="center"/>
              <w:rPr>
                <w:rFonts w:cs="Times New Roman"/>
                <w:sz w:val="21"/>
                <w:szCs w:val="21"/>
              </w:rPr>
            </w:pPr>
            <w:bookmarkStart w:id="122" w:name="_Toc430850378"/>
            <w:bookmarkStart w:id="123" w:name="_Toc430925988"/>
            <w:r>
              <w:rPr>
                <w:rFonts w:cs="Times New Roman"/>
                <w:sz w:val="21"/>
                <w:szCs w:val="21"/>
              </w:rPr>
              <w:t>8</w:t>
            </w:r>
            <w:bookmarkEnd w:id="122"/>
            <w:bookmarkEnd w:id="123"/>
          </w:p>
        </w:tc>
        <w:tc>
          <w:tcPr>
            <w:tcW w:w="1429" w:type="pct"/>
            <w:shd w:val="clear" w:color="auto" w:fill="auto"/>
            <w:vAlign w:val="center"/>
          </w:tcPr>
          <w:p>
            <w:pPr>
              <w:spacing w:line="240" w:lineRule="auto"/>
              <w:ind w:firstLine="0" w:firstLineChars="0"/>
              <w:jc w:val="center"/>
              <w:rPr>
                <w:rFonts w:cs="Times New Roman"/>
                <w:sz w:val="21"/>
                <w:szCs w:val="21"/>
              </w:rPr>
            </w:pPr>
            <w:bookmarkStart w:id="124" w:name="_Toc430850379"/>
            <w:bookmarkStart w:id="125" w:name="_Toc430925989"/>
            <w:r>
              <w:rPr>
                <w:rFonts w:cs="Times New Roman"/>
                <w:sz w:val="21"/>
                <w:szCs w:val="21"/>
              </w:rPr>
              <w:t>抢救抢修知识</w:t>
            </w:r>
            <w:bookmarkEnd w:id="124"/>
            <w:bookmarkEnd w:id="125"/>
          </w:p>
        </w:tc>
        <w:tc>
          <w:tcPr>
            <w:tcW w:w="3139" w:type="pct"/>
            <w:shd w:val="clear" w:color="auto" w:fill="auto"/>
            <w:vAlign w:val="center"/>
          </w:tcPr>
          <w:p>
            <w:pPr>
              <w:spacing w:line="240" w:lineRule="auto"/>
              <w:ind w:firstLine="0" w:firstLineChars="0"/>
              <w:jc w:val="center"/>
              <w:rPr>
                <w:rFonts w:cs="Times New Roman"/>
                <w:sz w:val="21"/>
                <w:szCs w:val="21"/>
              </w:rPr>
            </w:pPr>
            <w:bookmarkStart w:id="126" w:name="_Toc430850380"/>
            <w:bookmarkStart w:id="127" w:name="_Toc430925990"/>
            <w:r>
              <w:rPr>
                <w:rFonts w:cs="Times New Roman"/>
                <w:sz w:val="21"/>
                <w:szCs w:val="21"/>
              </w:rPr>
              <w:t>消防与抢险救灾专业人员，主要危险源场所人员</w:t>
            </w:r>
            <w:bookmarkEnd w:id="126"/>
            <w:bookmarkEnd w:id="12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432" w:type="pct"/>
            <w:shd w:val="clear" w:color="auto" w:fill="auto"/>
            <w:vAlign w:val="center"/>
          </w:tcPr>
          <w:p>
            <w:pPr>
              <w:spacing w:line="240" w:lineRule="auto"/>
              <w:ind w:firstLine="0" w:firstLineChars="0"/>
              <w:jc w:val="center"/>
              <w:rPr>
                <w:rFonts w:cs="Times New Roman"/>
                <w:sz w:val="21"/>
                <w:szCs w:val="21"/>
              </w:rPr>
            </w:pPr>
            <w:bookmarkStart w:id="128" w:name="_Toc430925991"/>
            <w:bookmarkStart w:id="129" w:name="_Toc430850381"/>
            <w:r>
              <w:rPr>
                <w:rFonts w:cs="Times New Roman"/>
                <w:sz w:val="21"/>
                <w:szCs w:val="21"/>
              </w:rPr>
              <w:t>9</w:t>
            </w:r>
            <w:bookmarkEnd w:id="128"/>
            <w:bookmarkEnd w:id="129"/>
          </w:p>
        </w:tc>
        <w:tc>
          <w:tcPr>
            <w:tcW w:w="1429" w:type="pct"/>
            <w:shd w:val="clear" w:color="auto" w:fill="auto"/>
            <w:vAlign w:val="center"/>
          </w:tcPr>
          <w:p>
            <w:pPr>
              <w:spacing w:line="240" w:lineRule="auto"/>
              <w:ind w:firstLine="0" w:firstLineChars="0"/>
              <w:jc w:val="center"/>
              <w:rPr>
                <w:rFonts w:cs="Times New Roman"/>
                <w:sz w:val="21"/>
                <w:szCs w:val="21"/>
              </w:rPr>
            </w:pPr>
            <w:bookmarkStart w:id="130" w:name="_Toc430850382"/>
            <w:bookmarkStart w:id="131" w:name="_Toc430925992"/>
            <w:r>
              <w:rPr>
                <w:rFonts w:cs="Times New Roman"/>
                <w:sz w:val="21"/>
                <w:szCs w:val="21"/>
              </w:rPr>
              <w:t>现场人员救援</w:t>
            </w:r>
            <w:bookmarkEnd w:id="130"/>
            <w:bookmarkEnd w:id="131"/>
          </w:p>
        </w:tc>
        <w:tc>
          <w:tcPr>
            <w:tcW w:w="3139" w:type="pct"/>
            <w:shd w:val="clear" w:color="auto" w:fill="auto"/>
            <w:vAlign w:val="center"/>
          </w:tcPr>
          <w:p>
            <w:pPr>
              <w:spacing w:line="240" w:lineRule="auto"/>
              <w:ind w:firstLine="0" w:firstLineChars="0"/>
              <w:jc w:val="center"/>
              <w:rPr>
                <w:rFonts w:cs="Times New Roman"/>
                <w:sz w:val="21"/>
                <w:szCs w:val="21"/>
              </w:rPr>
            </w:pPr>
            <w:bookmarkStart w:id="132" w:name="_Toc430925993"/>
            <w:bookmarkStart w:id="133" w:name="_Toc430850383"/>
            <w:r>
              <w:rPr>
                <w:rFonts w:cs="Times New Roman"/>
                <w:sz w:val="21"/>
                <w:szCs w:val="21"/>
              </w:rPr>
              <w:t>消防与抢险救灾专业人员，主要危险源场所人员</w:t>
            </w:r>
            <w:bookmarkEnd w:id="132"/>
            <w:bookmarkEnd w:id="133"/>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432" w:type="pct"/>
            <w:shd w:val="clear" w:color="auto" w:fill="auto"/>
            <w:vAlign w:val="center"/>
          </w:tcPr>
          <w:p>
            <w:pPr>
              <w:spacing w:line="240" w:lineRule="auto"/>
              <w:ind w:firstLine="0" w:firstLineChars="0"/>
              <w:jc w:val="center"/>
              <w:rPr>
                <w:rFonts w:cs="Times New Roman"/>
                <w:sz w:val="21"/>
                <w:szCs w:val="21"/>
              </w:rPr>
            </w:pPr>
            <w:bookmarkStart w:id="134" w:name="_Toc430850384"/>
            <w:bookmarkStart w:id="135" w:name="_Toc430925994"/>
            <w:r>
              <w:rPr>
                <w:rFonts w:cs="Times New Roman"/>
                <w:sz w:val="21"/>
                <w:szCs w:val="21"/>
              </w:rPr>
              <w:t>10</w:t>
            </w:r>
            <w:bookmarkEnd w:id="134"/>
            <w:bookmarkEnd w:id="135"/>
          </w:p>
        </w:tc>
        <w:tc>
          <w:tcPr>
            <w:tcW w:w="1429" w:type="pct"/>
            <w:shd w:val="clear" w:color="auto" w:fill="auto"/>
            <w:vAlign w:val="center"/>
          </w:tcPr>
          <w:p>
            <w:pPr>
              <w:spacing w:line="240" w:lineRule="auto"/>
              <w:ind w:firstLine="0" w:firstLineChars="0"/>
              <w:jc w:val="center"/>
              <w:rPr>
                <w:rFonts w:cs="Times New Roman"/>
                <w:sz w:val="21"/>
                <w:szCs w:val="21"/>
              </w:rPr>
            </w:pPr>
            <w:bookmarkStart w:id="136" w:name="_Toc430925995"/>
            <w:bookmarkStart w:id="137" w:name="_Toc430850385"/>
            <w:r>
              <w:rPr>
                <w:rFonts w:cs="Times New Roman"/>
                <w:sz w:val="21"/>
                <w:szCs w:val="21"/>
              </w:rPr>
              <w:t>受伤人员临时急救</w:t>
            </w:r>
            <w:bookmarkEnd w:id="136"/>
            <w:bookmarkEnd w:id="137"/>
          </w:p>
        </w:tc>
        <w:tc>
          <w:tcPr>
            <w:tcW w:w="3139" w:type="pct"/>
            <w:shd w:val="clear" w:color="auto" w:fill="auto"/>
            <w:vAlign w:val="center"/>
          </w:tcPr>
          <w:p>
            <w:pPr>
              <w:spacing w:line="240" w:lineRule="auto"/>
              <w:ind w:firstLine="0" w:firstLineChars="0"/>
              <w:jc w:val="center"/>
              <w:rPr>
                <w:rFonts w:cs="Times New Roman"/>
                <w:sz w:val="21"/>
                <w:szCs w:val="21"/>
              </w:rPr>
            </w:pPr>
            <w:bookmarkStart w:id="138" w:name="_Toc430925996"/>
            <w:bookmarkStart w:id="139" w:name="_Toc430850386"/>
            <w:r>
              <w:rPr>
                <w:rFonts w:cs="Times New Roman"/>
                <w:sz w:val="21"/>
                <w:szCs w:val="21"/>
              </w:rPr>
              <w:t>主要危险源场所人员，医疗救治专业人员</w:t>
            </w:r>
            <w:bookmarkEnd w:id="138"/>
            <w:bookmarkEnd w:id="139"/>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432" w:type="pct"/>
            <w:shd w:val="clear" w:color="auto" w:fill="auto"/>
            <w:vAlign w:val="center"/>
          </w:tcPr>
          <w:p>
            <w:pPr>
              <w:spacing w:line="240" w:lineRule="auto"/>
              <w:ind w:firstLine="0" w:firstLineChars="0"/>
              <w:jc w:val="center"/>
              <w:rPr>
                <w:rFonts w:cs="Times New Roman"/>
                <w:sz w:val="21"/>
                <w:szCs w:val="21"/>
              </w:rPr>
            </w:pPr>
            <w:bookmarkStart w:id="140" w:name="_Toc430850387"/>
            <w:bookmarkStart w:id="141" w:name="_Toc430925997"/>
            <w:r>
              <w:rPr>
                <w:rFonts w:cs="Times New Roman"/>
                <w:sz w:val="21"/>
                <w:szCs w:val="21"/>
              </w:rPr>
              <w:t>11</w:t>
            </w:r>
            <w:bookmarkEnd w:id="140"/>
            <w:bookmarkEnd w:id="141"/>
          </w:p>
        </w:tc>
        <w:tc>
          <w:tcPr>
            <w:tcW w:w="1429" w:type="pct"/>
            <w:shd w:val="clear" w:color="auto" w:fill="auto"/>
            <w:vAlign w:val="center"/>
          </w:tcPr>
          <w:p>
            <w:pPr>
              <w:spacing w:line="240" w:lineRule="auto"/>
              <w:ind w:firstLine="0" w:firstLineChars="0"/>
              <w:jc w:val="center"/>
              <w:rPr>
                <w:rFonts w:cs="Times New Roman"/>
                <w:sz w:val="21"/>
                <w:szCs w:val="21"/>
              </w:rPr>
            </w:pPr>
            <w:bookmarkStart w:id="142" w:name="_Toc430925998"/>
            <w:bookmarkStart w:id="143" w:name="_Toc430850388"/>
            <w:r>
              <w:rPr>
                <w:rFonts w:cs="Times New Roman"/>
                <w:sz w:val="21"/>
                <w:szCs w:val="21"/>
              </w:rPr>
              <w:t>现场环境监测</w:t>
            </w:r>
            <w:bookmarkEnd w:id="142"/>
            <w:bookmarkEnd w:id="143"/>
          </w:p>
        </w:tc>
        <w:tc>
          <w:tcPr>
            <w:tcW w:w="3139" w:type="pct"/>
            <w:shd w:val="clear" w:color="auto" w:fill="auto"/>
            <w:vAlign w:val="center"/>
          </w:tcPr>
          <w:p>
            <w:pPr>
              <w:spacing w:line="240" w:lineRule="auto"/>
              <w:ind w:firstLine="0" w:firstLineChars="0"/>
              <w:jc w:val="center"/>
              <w:rPr>
                <w:rFonts w:cs="Times New Roman"/>
                <w:sz w:val="21"/>
                <w:szCs w:val="21"/>
              </w:rPr>
            </w:pPr>
            <w:bookmarkStart w:id="144" w:name="_Toc430850389"/>
            <w:bookmarkStart w:id="145" w:name="_Toc430925999"/>
            <w:r>
              <w:rPr>
                <w:rFonts w:cs="Times New Roman"/>
                <w:sz w:val="21"/>
                <w:szCs w:val="21"/>
              </w:rPr>
              <w:t>环保工作人员</w:t>
            </w:r>
            <w:bookmarkEnd w:id="144"/>
            <w:bookmarkEnd w:id="145"/>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432" w:type="pct"/>
            <w:shd w:val="clear" w:color="auto" w:fill="auto"/>
            <w:vAlign w:val="center"/>
          </w:tcPr>
          <w:p>
            <w:pPr>
              <w:spacing w:line="240" w:lineRule="auto"/>
              <w:ind w:firstLine="0" w:firstLineChars="0"/>
              <w:jc w:val="center"/>
              <w:rPr>
                <w:rFonts w:cs="Times New Roman"/>
                <w:sz w:val="21"/>
                <w:szCs w:val="21"/>
              </w:rPr>
            </w:pPr>
            <w:bookmarkStart w:id="146" w:name="_Toc430850390"/>
            <w:bookmarkStart w:id="147" w:name="_Toc430926000"/>
            <w:r>
              <w:rPr>
                <w:rFonts w:cs="Times New Roman"/>
                <w:sz w:val="21"/>
                <w:szCs w:val="21"/>
              </w:rPr>
              <w:t>12</w:t>
            </w:r>
            <w:bookmarkEnd w:id="146"/>
            <w:bookmarkEnd w:id="147"/>
          </w:p>
        </w:tc>
        <w:tc>
          <w:tcPr>
            <w:tcW w:w="1429" w:type="pct"/>
            <w:shd w:val="clear" w:color="auto" w:fill="auto"/>
            <w:vAlign w:val="center"/>
          </w:tcPr>
          <w:p>
            <w:pPr>
              <w:spacing w:line="240" w:lineRule="auto"/>
              <w:ind w:firstLine="0" w:firstLineChars="0"/>
              <w:jc w:val="center"/>
              <w:rPr>
                <w:rFonts w:cs="Times New Roman"/>
                <w:sz w:val="21"/>
                <w:szCs w:val="21"/>
              </w:rPr>
            </w:pPr>
            <w:bookmarkStart w:id="148" w:name="_Toc430850391"/>
            <w:bookmarkStart w:id="149" w:name="_Toc430926001"/>
            <w:r>
              <w:rPr>
                <w:rFonts w:cs="Times New Roman"/>
                <w:sz w:val="21"/>
                <w:szCs w:val="21"/>
              </w:rPr>
              <w:t>安全专业培训</w:t>
            </w:r>
            <w:bookmarkEnd w:id="148"/>
            <w:bookmarkEnd w:id="149"/>
          </w:p>
        </w:tc>
        <w:tc>
          <w:tcPr>
            <w:tcW w:w="3139" w:type="pct"/>
            <w:shd w:val="clear" w:color="auto" w:fill="auto"/>
            <w:vAlign w:val="center"/>
          </w:tcPr>
          <w:p>
            <w:pPr>
              <w:spacing w:line="240" w:lineRule="auto"/>
              <w:ind w:firstLine="0" w:firstLineChars="0"/>
              <w:jc w:val="center"/>
              <w:rPr>
                <w:rFonts w:cs="Times New Roman"/>
                <w:sz w:val="21"/>
                <w:szCs w:val="21"/>
              </w:rPr>
            </w:pPr>
            <w:bookmarkStart w:id="150" w:name="_Toc430850392"/>
            <w:bookmarkStart w:id="151" w:name="_Toc430926002"/>
            <w:r>
              <w:rPr>
                <w:rFonts w:cs="Times New Roman"/>
                <w:sz w:val="21"/>
                <w:szCs w:val="21"/>
              </w:rPr>
              <w:t>安全环保科人员</w:t>
            </w:r>
            <w:bookmarkEnd w:id="150"/>
            <w:bookmarkEnd w:id="151"/>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432" w:type="pct"/>
            <w:shd w:val="clear" w:color="auto" w:fill="auto"/>
            <w:vAlign w:val="center"/>
          </w:tcPr>
          <w:p>
            <w:pPr>
              <w:spacing w:line="240" w:lineRule="auto"/>
              <w:ind w:firstLine="0" w:firstLineChars="0"/>
              <w:jc w:val="center"/>
              <w:rPr>
                <w:rFonts w:cs="Times New Roman"/>
                <w:sz w:val="21"/>
                <w:szCs w:val="21"/>
              </w:rPr>
            </w:pPr>
            <w:bookmarkStart w:id="152" w:name="_Toc430850393"/>
            <w:bookmarkStart w:id="153" w:name="_Toc430926003"/>
            <w:r>
              <w:rPr>
                <w:rFonts w:cs="Times New Roman"/>
                <w:sz w:val="21"/>
                <w:szCs w:val="21"/>
              </w:rPr>
              <w:t>13</w:t>
            </w:r>
            <w:bookmarkEnd w:id="152"/>
            <w:bookmarkEnd w:id="153"/>
          </w:p>
        </w:tc>
        <w:tc>
          <w:tcPr>
            <w:tcW w:w="1429" w:type="pct"/>
            <w:shd w:val="clear" w:color="auto" w:fill="auto"/>
            <w:vAlign w:val="center"/>
          </w:tcPr>
          <w:p>
            <w:pPr>
              <w:spacing w:line="240" w:lineRule="auto"/>
              <w:ind w:firstLine="0" w:firstLineChars="0"/>
              <w:jc w:val="center"/>
              <w:rPr>
                <w:rFonts w:cs="Times New Roman"/>
                <w:sz w:val="21"/>
                <w:szCs w:val="21"/>
              </w:rPr>
            </w:pPr>
            <w:bookmarkStart w:id="154" w:name="_Toc430926004"/>
            <w:bookmarkStart w:id="155" w:name="_Toc430850394"/>
            <w:r>
              <w:rPr>
                <w:rFonts w:cs="Times New Roman"/>
                <w:sz w:val="21"/>
                <w:szCs w:val="21"/>
              </w:rPr>
              <w:t>事故现场逃生自救</w:t>
            </w:r>
            <w:bookmarkEnd w:id="154"/>
            <w:bookmarkEnd w:id="155"/>
          </w:p>
        </w:tc>
        <w:tc>
          <w:tcPr>
            <w:tcW w:w="3139" w:type="pct"/>
            <w:shd w:val="clear" w:color="auto" w:fill="auto"/>
            <w:vAlign w:val="center"/>
          </w:tcPr>
          <w:p>
            <w:pPr>
              <w:spacing w:line="240" w:lineRule="auto"/>
              <w:ind w:firstLine="0" w:firstLineChars="0"/>
              <w:jc w:val="center"/>
              <w:rPr>
                <w:rFonts w:cs="Times New Roman"/>
                <w:sz w:val="21"/>
                <w:szCs w:val="21"/>
              </w:rPr>
            </w:pPr>
            <w:bookmarkStart w:id="156" w:name="_Toc430926005"/>
            <w:bookmarkStart w:id="157" w:name="_Toc430850395"/>
            <w:r>
              <w:rPr>
                <w:rFonts w:cs="Times New Roman"/>
                <w:sz w:val="21"/>
                <w:szCs w:val="21"/>
              </w:rPr>
              <w:t>危险源现场作业人员</w:t>
            </w:r>
            <w:bookmarkEnd w:id="156"/>
            <w:bookmarkEnd w:id="157"/>
          </w:p>
        </w:tc>
      </w:tr>
    </w:tbl>
    <w:p>
      <w:pPr>
        <w:ind w:firstLine="562"/>
        <w:rPr>
          <w:b/>
        </w:rPr>
      </w:pPr>
      <w:r>
        <w:rPr>
          <w:rFonts w:hint="eastAsia"/>
          <w:b/>
        </w:rPr>
        <w:t>1、自吸过滤式防毒面具（半面罩）的使用方法</w:t>
      </w:r>
    </w:p>
    <w:p>
      <w:pPr>
        <w:ind w:firstLine="560"/>
      </w:pPr>
      <w:r>
        <w:rPr>
          <w:rFonts w:hint="eastAsia"/>
        </w:rPr>
        <w:t>（1）使用前必须弄清作业环境中的毒物质、浓度和空气中氧含量；检查各部件是否完好，导气管有无堵塞或破损，金属部件有无生锈、变形、橡胶有否老化。螺纹接头有无生锈、变形、连接是否紧密；检查部件和结合部的气密性。</w:t>
      </w:r>
    </w:p>
    <w:p>
      <w:pPr>
        <w:ind w:firstLine="560"/>
      </w:pPr>
      <w:r>
        <w:rPr>
          <w:rFonts w:hint="eastAsia"/>
        </w:rPr>
        <w:t>（2）撕开过滤件封口处的封条，将过滤件的顶部与底部密封盖去掉</w:t>
      </w:r>
    </w:p>
    <w:p>
      <w:pPr>
        <w:ind w:firstLine="560"/>
      </w:pPr>
      <w:r>
        <w:rPr>
          <w:rFonts w:hint="eastAsia"/>
        </w:rPr>
        <w:t>（3）将过滤件接口垂直对准面具上的过滤件接口，拧紧后稍微回转以避免因旋拧过紧而导致脱扣，并检查安装是否合格。</w:t>
      </w:r>
    </w:p>
    <w:p>
      <w:pPr>
        <w:ind w:firstLine="560"/>
      </w:pPr>
      <w:r>
        <w:rPr>
          <w:rFonts w:hint="eastAsia"/>
        </w:rPr>
        <w:t>（4）将连接好的面罩挂于胸前，把面罩头套的调节带放至最大限度。</w:t>
      </w:r>
    </w:p>
    <w:p>
      <w:pPr>
        <w:ind w:firstLine="560"/>
      </w:pPr>
      <w:r>
        <w:rPr>
          <w:rFonts w:hint="eastAsia"/>
        </w:rPr>
        <w:t>（5）戴上面具，双手抓住面具头套调节带同时向两侧拉紧，直至完全罩住面部并有硅胶反折边与面部完全贴合的感觉后即可，根据舒适性和密封性选择适当的松紧度。</w:t>
      </w:r>
    </w:p>
    <w:p>
      <w:pPr>
        <w:ind w:firstLine="560"/>
      </w:pPr>
      <w:r>
        <w:rPr>
          <w:rFonts w:hint="eastAsia"/>
        </w:rPr>
        <w:t>（6）全面罩防毒面具简易气密测试：带好面罩后用手掌堵住滤毒罐进气口，然后用力吸气，面罩会因气压关系向内挤压往面部紧贴，则表明面罩已经佩戴气密，不会产生漏气。</w:t>
      </w:r>
    </w:p>
    <w:p>
      <w:pPr>
        <w:ind w:firstLine="560"/>
      </w:pPr>
      <w:r>
        <w:rPr>
          <w:rFonts w:hint="eastAsia"/>
        </w:rPr>
        <w:t>（7）深呼吸测试通气是否顺畅。待防护设备佩戴完整检查无误后，方可进入符合使用条件的污染区作业。</w:t>
      </w:r>
    </w:p>
    <w:p>
      <w:pPr>
        <w:ind w:firstLine="560"/>
      </w:pPr>
      <w:r>
        <w:rPr>
          <w:rFonts w:hint="eastAsia"/>
        </w:rPr>
        <w:t>（8）使用后应清洗，消毒。在清洗和消毒时，应使用干净的布，蘸中性的家用皂液清洁，还应注意环境温度，不可使橡胶等部件轩受温度影响而发生质变受损；</w:t>
      </w:r>
    </w:p>
    <w:p>
      <w:pPr>
        <w:ind w:firstLine="560"/>
      </w:pPr>
      <w:r>
        <w:rPr>
          <w:rFonts w:hint="eastAsia"/>
        </w:rPr>
        <w:t>（9）禁止使用汽油、含氯的除油液体（如三氯乙烯）、有机溶剂或研磨型清洗剂清理清洗长管和面罩；</w:t>
      </w:r>
    </w:p>
    <w:p>
      <w:pPr>
        <w:ind w:firstLine="560"/>
      </w:pPr>
      <w:r>
        <w:rPr>
          <w:rFonts w:hint="eastAsia"/>
        </w:rPr>
        <w:t>（10）应专人使用和保管。</w:t>
      </w:r>
    </w:p>
    <w:p>
      <w:pPr>
        <w:ind w:firstLine="562"/>
        <w:rPr>
          <w:b/>
        </w:rPr>
      </w:pPr>
      <w:r>
        <w:rPr>
          <w:rFonts w:hint="eastAsia"/>
          <w:b/>
        </w:rPr>
        <w:t>2、正压式呼吸器的使用方法</w:t>
      </w:r>
    </w:p>
    <w:p>
      <w:pPr>
        <w:ind w:firstLine="560"/>
      </w:pPr>
      <w:r>
        <w:rPr>
          <w:rFonts w:hint="eastAsia"/>
        </w:rPr>
        <w:t>（1）佩戴时，先将快速接头断开(以防在佩戴时损坏全面罩)，然后将背托在人体背部(空气瓶开关在下方)，根据身材调节好肩带、腰带并系紧，以合身、牢靠、舒适为宜。</w:t>
      </w:r>
    </w:p>
    <w:p>
      <w:pPr>
        <w:ind w:firstLine="560"/>
      </w:pPr>
      <w:r>
        <w:rPr>
          <w:rFonts w:hint="eastAsia"/>
        </w:rPr>
        <w:t>（2）把全面罩上的长系带套在脖子上，使用前全面罩置于胸前，以便随吮佩戴，然后将快速接头接好。</w:t>
      </w:r>
    </w:p>
    <w:p>
      <w:pPr>
        <w:ind w:firstLine="560"/>
      </w:pPr>
      <w:r>
        <w:rPr>
          <w:rFonts w:hint="eastAsia"/>
        </w:rPr>
        <w:t>（3）将供给阀的转换开关置于关闭位置，打开空气瓶开关。</w:t>
      </w:r>
    </w:p>
    <w:p>
      <w:pPr>
        <w:ind w:firstLine="560"/>
      </w:pPr>
      <w:r>
        <w:rPr>
          <w:rFonts w:hint="eastAsia"/>
        </w:rPr>
        <w:t>（4）戴好全面罩(可不用系带)进行2~3次深呼吸，应感觉舒畅。屏气或呼气时，供给阀应停止供气，无“咝咝”的响声。用手按压供给阀的杠杆，检查其开启或关闭是否灵活。一切正常时，将全面罩系带收紧，收紧程度以既要保证气密又感觉舒适、无明显的压痛为宜。</w:t>
      </w:r>
    </w:p>
    <w:p>
      <w:pPr>
        <w:ind w:firstLine="560"/>
      </w:pPr>
      <w:r>
        <w:rPr>
          <w:rFonts w:hint="eastAsia"/>
        </w:rPr>
        <w:t>（5）撤离现场到达安全处所后，将全面罩系带卡子松开，摘下全面罩。</w:t>
      </w:r>
    </w:p>
    <w:p>
      <w:pPr>
        <w:ind w:firstLine="560"/>
      </w:pPr>
      <w:r>
        <w:rPr>
          <w:rFonts w:hint="eastAsia"/>
        </w:rPr>
        <w:t>（6）关闭气瓶开关，打开供给阀，拔开快速接头，从身上卸下呼吸器。</w:t>
      </w:r>
    </w:p>
    <w:p>
      <w:pPr>
        <w:ind w:firstLine="562"/>
        <w:rPr>
          <w:b/>
        </w:rPr>
      </w:pPr>
      <w:r>
        <w:rPr>
          <w:rFonts w:hint="eastAsia"/>
          <w:b/>
        </w:rPr>
        <w:t>3、灭火器的使用方法</w:t>
      </w:r>
    </w:p>
    <w:p>
      <w:pPr>
        <w:ind w:firstLine="560"/>
      </w:pPr>
      <w:r>
        <w:rPr>
          <w:rFonts w:hint="eastAsia"/>
        </w:rPr>
        <w:t>将灭火器提到起火地点附近，站在火场的上风头，</w:t>
      </w:r>
    </w:p>
    <w:p>
      <w:pPr>
        <w:ind w:firstLine="560"/>
      </w:pPr>
      <w:r>
        <w:rPr>
          <w:rFonts w:hint="eastAsia"/>
        </w:rPr>
        <w:t>（1）拔下保险销；</w:t>
      </w:r>
    </w:p>
    <w:p>
      <w:pPr>
        <w:ind w:firstLine="560"/>
      </w:pPr>
      <w:r>
        <w:rPr>
          <w:rFonts w:hint="eastAsia"/>
        </w:rPr>
        <w:t>（2）一手握紧喷管；</w:t>
      </w:r>
    </w:p>
    <w:p>
      <w:pPr>
        <w:ind w:firstLine="560"/>
      </w:pPr>
      <w:r>
        <w:rPr>
          <w:rFonts w:hint="eastAsia"/>
        </w:rPr>
        <w:t>（3）另一手捏紧压把；</w:t>
      </w:r>
    </w:p>
    <w:p>
      <w:pPr>
        <w:ind w:firstLine="560"/>
      </w:pPr>
      <w:r>
        <w:rPr>
          <w:rFonts w:hint="eastAsia"/>
        </w:rPr>
        <w:t>（4）喷嘴对准火焰根部扫射。</w:t>
      </w:r>
    </w:p>
    <w:p>
      <w:pPr>
        <w:ind w:firstLine="562"/>
        <w:rPr>
          <w:b/>
        </w:rPr>
      </w:pPr>
      <w:r>
        <w:rPr>
          <w:rFonts w:hint="eastAsia"/>
          <w:b/>
        </w:rPr>
        <w:t>4、事件发生后知何开展自救和互救</w:t>
      </w:r>
    </w:p>
    <w:p>
      <w:pPr>
        <w:ind w:firstLine="560"/>
      </w:pPr>
      <w:r>
        <w:rPr>
          <w:rFonts w:hint="eastAsia"/>
        </w:rPr>
        <w:t>（1）必须确保在做好个人防护的前提下，才能进入事件现场；</w:t>
      </w:r>
    </w:p>
    <w:p>
      <w:pPr>
        <w:ind w:firstLine="560"/>
      </w:pPr>
      <w:r>
        <w:rPr>
          <w:rFonts w:hint="eastAsia"/>
        </w:rPr>
        <w:t>（2）必须要两人以上同时进入事件现场。</w:t>
      </w:r>
    </w:p>
    <w:p>
      <w:pPr>
        <w:ind w:firstLine="562"/>
        <w:rPr>
          <w:b/>
        </w:rPr>
      </w:pPr>
      <w:r>
        <w:rPr>
          <w:rFonts w:hint="eastAsia"/>
          <w:b/>
        </w:rPr>
        <w:t>5、事件发生后的撤离和疏散方法</w:t>
      </w:r>
    </w:p>
    <w:p>
      <w:pPr>
        <w:ind w:firstLine="560"/>
        <w:rPr>
          <w:color w:val="000000" w:themeColor="text1"/>
          <w14:textFill>
            <w14:solidFill>
              <w14:schemeClr w14:val="tx1"/>
            </w14:solidFill>
          </w14:textFill>
        </w:rPr>
      </w:pPr>
      <w:r>
        <w:rPr>
          <w:rFonts w:hint="eastAsia"/>
        </w:rPr>
        <w:t>事件发生后除了应急救援人员外，</w:t>
      </w:r>
      <w:r>
        <w:rPr>
          <w:rFonts w:hint="eastAsia"/>
          <w:color w:val="000000" w:themeColor="text1"/>
          <w14:textFill>
            <w14:solidFill>
              <w14:schemeClr w14:val="tx1"/>
            </w14:solidFill>
          </w14:textFill>
        </w:rPr>
        <w:t>其余人员应按照紧急疏散线路示意图，向公司门口进行疏散，详见附图</w:t>
      </w:r>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w:t>
      </w:r>
    </w:p>
    <w:p>
      <w:pPr>
        <w:ind w:firstLine="562"/>
        <w:rPr>
          <w:b/>
        </w:rPr>
      </w:pPr>
      <w:r>
        <w:rPr>
          <w:b/>
        </w:rPr>
        <w:t>6</w:t>
      </w:r>
      <w:r>
        <w:rPr>
          <w:rFonts w:hint="eastAsia"/>
          <w:b/>
        </w:rPr>
        <w:t>、消防废水泄漏应急处置措施</w:t>
      </w:r>
    </w:p>
    <w:p>
      <w:pPr>
        <w:ind w:firstLine="560"/>
      </w:pPr>
      <w:r>
        <w:rPr>
          <w:rFonts w:hint="eastAsia"/>
        </w:rPr>
        <w:t>厂区存在的火灾事故风险源主要为</w:t>
      </w:r>
      <w:r>
        <w:rPr>
          <w:rFonts w:hint="eastAsia"/>
          <w:lang w:eastAsia="zh-CN"/>
        </w:rPr>
        <w:t>液化气站</w:t>
      </w:r>
      <w:r>
        <w:rPr>
          <w:rFonts w:hint="eastAsia"/>
        </w:rPr>
        <w:t>及事故池。</w:t>
      </w:r>
    </w:p>
    <w:p>
      <w:pPr>
        <w:ind w:firstLine="560"/>
      </w:pPr>
      <w:r>
        <w:rPr>
          <w:rFonts w:hint="eastAsia"/>
        </w:rPr>
        <w:t>（1）火灾、爆炸事故发生时抢险抢修组及时堵住雨水外排口，防止消防废水流出厂外，污染地表水；</w:t>
      </w:r>
    </w:p>
    <w:p>
      <w:pPr>
        <w:ind w:firstLine="560"/>
      </w:pPr>
      <w:r>
        <w:rPr>
          <w:rFonts w:hint="eastAsia"/>
        </w:rPr>
        <w:t>（2）在事故发生点周围产生的消防废水沿着排水沟自流入集水池内；</w:t>
      </w:r>
    </w:p>
    <w:p>
      <w:pPr>
        <w:ind w:firstLine="560"/>
      </w:pPr>
      <w:r>
        <w:rPr>
          <w:rFonts w:hint="eastAsia"/>
        </w:rPr>
        <w:t>（3）穿戴个人防护用品，做好个人防护工作后，进入事故现场抢救或搜寻可能的受伤、被困人员，转移现场可燃或易燃物品；</w:t>
      </w:r>
    </w:p>
    <w:p>
      <w:pPr>
        <w:ind w:firstLine="560"/>
      </w:pPr>
      <w:r>
        <w:rPr>
          <w:rFonts w:hint="eastAsia"/>
        </w:rPr>
        <w:t>（4）联系环境监测站对周边的环境进行监测；</w:t>
      </w:r>
    </w:p>
    <w:p>
      <w:pPr>
        <w:ind w:firstLine="560"/>
      </w:pPr>
      <w:r>
        <w:rPr>
          <w:rFonts w:hint="eastAsia"/>
        </w:rPr>
        <w:t>（5）安全环保部门要迅速的引导监测站找到应急监测的点位，同时将监测的数据及时反馈给临时应急指挥部，供领导做出及时的判断，指导应急救援工作。</w:t>
      </w:r>
    </w:p>
    <w:p>
      <w:pPr>
        <w:ind w:firstLine="560"/>
      </w:pPr>
      <w:r>
        <w:rPr>
          <w:rFonts w:hint="eastAsia"/>
        </w:rPr>
        <w:t>（6）因灭火产生的消防废水应收集进事故水池，严禁消防废水漫流，污染地表水、土壤和地下水。</w:t>
      </w:r>
    </w:p>
    <w:p>
      <w:pPr>
        <w:ind w:firstLine="562"/>
        <w:rPr>
          <w:b/>
        </w:rPr>
      </w:pPr>
      <w:r>
        <w:rPr>
          <w:b/>
        </w:rPr>
        <w:t>7</w:t>
      </w:r>
      <w:r>
        <w:rPr>
          <w:rFonts w:hint="eastAsia"/>
          <w:b/>
        </w:rPr>
        <w:t>、人员急救</w:t>
      </w:r>
    </w:p>
    <w:p>
      <w:pPr>
        <w:ind w:firstLine="560"/>
      </w:pPr>
      <w:r>
        <w:rPr>
          <w:rFonts w:hint="eastAsia"/>
        </w:rPr>
        <w:t>a．人工呼吸</w:t>
      </w:r>
    </w:p>
    <w:p>
      <w:pPr>
        <w:ind w:firstLine="560"/>
      </w:pPr>
      <w:r>
        <w:rPr>
          <w:rFonts w:hint="eastAsia"/>
        </w:rPr>
        <w:t>首先确认呼吸道是否通畅；</w:t>
      </w:r>
    </w:p>
    <w:p>
      <w:pPr>
        <w:ind w:firstLine="560"/>
      </w:pPr>
      <w:r>
        <w:rPr>
          <w:rFonts w:hint="eastAsia"/>
        </w:rPr>
        <w:t>（1）以耳靠近病人的鼻和口，以听或感觉是否有气流（也可观察棉花或纸条）。</w:t>
      </w:r>
    </w:p>
    <w:p>
      <w:pPr>
        <w:ind w:firstLine="560"/>
      </w:pPr>
      <w:r>
        <w:rPr>
          <w:rFonts w:hint="eastAsia"/>
        </w:rPr>
        <w:t>（2）观察病人的胸廓是否有起伏，判断呼吸是否停止。</w:t>
      </w:r>
    </w:p>
    <w:p>
      <w:pPr>
        <w:ind w:firstLine="560"/>
      </w:pPr>
      <w:r>
        <w:rPr>
          <w:rFonts w:hint="eastAsia"/>
        </w:rPr>
        <w:t>（3）然后清除呼吸道内的异物或分泌物，利用托下颌或将头部后仰可消除舌后缀引起的气道梗阻。</w:t>
      </w:r>
    </w:p>
    <w:p>
      <w:pPr>
        <w:ind w:firstLine="560"/>
      </w:pPr>
      <w:r>
        <w:rPr>
          <w:rFonts w:hint="eastAsia"/>
        </w:rPr>
        <w:t>（4）再进行口对口人工呼吸法：抢救者用手捏住患者的鼻孔，以每分钟16-20次的速度向患者口中吹气，也可进行心脏按压法。</w:t>
      </w:r>
    </w:p>
    <w:p>
      <w:pPr>
        <w:ind w:firstLine="560"/>
      </w:pPr>
      <w:r>
        <w:rPr>
          <w:rFonts w:hint="eastAsia"/>
        </w:rPr>
        <w:t>b．按压术</w:t>
      </w:r>
    </w:p>
    <w:p>
      <w:pPr>
        <w:ind w:firstLine="560"/>
      </w:pPr>
      <w:r>
        <w:rPr>
          <w:rFonts w:hint="eastAsia"/>
        </w:rPr>
        <w:t>针对心跳骤停者，方法：患者平躺在硬地上或木板床上，抢救者用双手挤压患者胸骨下端略靠左方，每分钟挤压60-70次，挤压时不要用力过猛，防肋骨骨折，心跳恢复的可靠指征是颈动脉或股动脉搏动恢复，血压复升，听诊有心音。</w:t>
      </w:r>
    </w:p>
    <w:p>
      <w:pPr>
        <w:ind w:firstLine="560"/>
      </w:pPr>
      <w:r>
        <w:rPr>
          <w:rFonts w:hint="eastAsia"/>
        </w:rPr>
        <w:t>c．现场外伤止血方法</w:t>
      </w:r>
    </w:p>
    <w:p>
      <w:pPr>
        <w:ind w:firstLine="560"/>
      </w:pPr>
      <w:r>
        <w:rPr>
          <w:rFonts w:hint="eastAsia"/>
        </w:rPr>
        <w:t>外伤止血方法有肢体抬高法和止血带止血法。肢体抬高法：抬起并保持出血的肢体高于胸部。一般用于四肢远端的出血，一般不单独用；止血带止血法：四肢大动脉的出血可用一米长的橡皮带或手帕、领带、长袜、丝巾等折叠成带状，宽度5厘米以上。先将伤肢抬高，然后将代用止血带缠绕在伤口近心端（先垫好衬垫）并用力勒紧至伤口无血，打结或用笔杆、筷子等插入其中，一提、二缚、三固定。每隔一小时（寒冷季节半小时）松开1-2分钟，以防肢体坏死。</w:t>
      </w:r>
    </w:p>
    <w:p>
      <w:pPr>
        <w:ind w:firstLine="560"/>
      </w:pPr>
      <w:r>
        <w:rPr>
          <w:rFonts w:hint="eastAsia"/>
        </w:rPr>
        <w:t>一般情况下出血分类分为以下几种情况：</w:t>
      </w:r>
    </w:p>
    <w:p>
      <w:pPr>
        <w:ind w:firstLine="560"/>
      </w:pPr>
      <w:r>
        <w:rPr>
          <w:rFonts w:hint="eastAsia"/>
        </w:rPr>
        <w:t>外出血：血液从皮肤向体外流出。</w:t>
      </w:r>
    </w:p>
    <w:p>
      <w:pPr>
        <w:ind w:firstLine="560"/>
      </w:pPr>
      <w:r>
        <w:rPr>
          <w:rFonts w:hint="eastAsia"/>
        </w:rPr>
        <w:t>内出血：血液从破裂的血管流入组织，脏器或体腔内。</w:t>
      </w:r>
    </w:p>
    <w:p>
      <w:pPr>
        <w:ind w:firstLine="560"/>
      </w:pPr>
      <w:r>
        <w:rPr>
          <w:rFonts w:hint="eastAsia"/>
        </w:rPr>
        <w:t>静脉出血：颜色暗红，流出缓慢，呈持续性。</w:t>
      </w:r>
    </w:p>
    <w:p>
      <w:pPr>
        <w:ind w:firstLine="560"/>
      </w:pPr>
      <w:r>
        <w:rPr>
          <w:rFonts w:hint="eastAsia"/>
        </w:rPr>
        <w:t>动脉出血：颜色鲜红，血流急，呈喷泉状或一汩汩涌出。</w:t>
      </w:r>
    </w:p>
    <w:p>
      <w:pPr>
        <w:pStyle w:val="6"/>
      </w:pPr>
      <w:r>
        <w:rPr>
          <w:rFonts w:hint="eastAsia"/>
        </w:rPr>
        <w:t>培训要求</w:t>
      </w:r>
    </w:p>
    <w:p>
      <w:pPr>
        <w:ind w:firstLine="560"/>
      </w:pPr>
      <w:r>
        <w:rPr>
          <w:rFonts w:hint="eastAsia"/>
        </w:rPr>
        <w:t>应急培训的基本要求：</w:t>
      </w:r>
    </w:p>
    <w:p>
      <w:pPr>
        <w:ind w:firstLine="560"/>
      </w:pPr>
      <w:r>
        <w:rPr>
          <w:rFonts w:hint="eastAsia"/>
        </w:rPr>
        <w:t>1、每位应急人员应有坚强的意志和作风，健康的体能，临场处置各种突变事故的能力，有自救和互救的能力。</w:t>
      </w:r>
    </w:p>
    <w:p>
      <w:pPr>
        <w:ind w:firstLine="560"/>
      </w:pPr>
      <w:r>
        <w:t>2</w:t>
      </w:r>
      <w:r>
        <w:rPr>
          <w:rFonts w:hint="eastAsia"/>
        </w:rPr>
        <w:t>、正确使用各种防护设施、通讯装备。</w:t>
      </w:r>
    </w:p>
    <w:p>
      <w:pPr>
        <w:ind w:firstLine="560"/>
      </w:pPr>
      <w:r>
        <w:rPr>
          <w:rFonts w:hint="eastAsia"/>
        </w:rPr>
        <w:t>3、熟练使用各种救护器材、工具，明确自己的救援任务。</w:t>
      </w:r>
    </w:p>
    <w:p>
      <w:pPr>
        <w:ind w:firstLine="560"/>
      </w:pPr>
      <w:r>
        <w:rPr>
          <w:rFonts w:hint="eastAsia"/>
        </w:rPr>
        <w:t>4、预案涉及人员明确各自的职责和应急应对能力。</w:t>
      </w:r>
    </w:p>
    <w:p>
      <w:pPr>
        <w:ind w:firstLine="560"/>
      </w:pPr>
      <w:r>
        <w:rPr>
          <w:rFonts w:hint="eastAsia"/>
        </w:rPr>
        <w:t>5、外部公众的培训，根据疏散、个体防护等需要进行。需要时向周边群众进行宣传，使事故波及到区域的外部公众都能对危险废弃物事故应急救援的基本程序、采取的措施等内容有全面了解。</w:t>
      </w:r>
    </w:p>
    <w:p>
      <w:pPr>
        <w:ind w:firstLine="560"/>
      </w:pPr>
      <w:r>
        <w:rPr>
          <w:rFonts w:hint="eastAsia"/>
        </w:rPr>
        <w:t>6、培训频次：公司应急办公室每年向公司申请专项资金、聘请或抽调专业人员开展两次对应急救援人员根据专业分工不同进行危险废弃物火灾或泄漏事故的专业性培训，重点掌握危险废弃物物理化学性质、扑救处置方法和注意事项，不断提高应急救援队伍的整体素质和救援专业水平。</w:t>
      </w:r>
    </w:p>
    <w:p>
      <w:pPr>
        <w:ind w:firstLine="560"/>
      </w:pPr>
      <w:r>
        <w:rPr>
          <w:rFonts w:hint="eastAsia"/>
        </w:rPr>
        <w:t>7、应急办公室应对培训的计划、内容、方式、考核等予以记录归档。</w:t>
      </w:r>
    </w:p>
    <w:p>
      <w:pPr>
        <w:pStyle w:val="6"/>
      </w:pPr>
      <w:r>
        <w:rPr>
          <w:rFonts w:hint="eastAsia"/>
        </w:rPr>
        <w:t>培训考核</w:t>
      </w:r>
    </w:p>
    <w:p>
      <w:pPr>
        <w:ind w:firstLine="560"/>
      </w:pPr>
      <w:r>
        <w:rPr>
          <w:rFonts w:hint="eastAsia"/>
        </w:rPr>
        <w:t>应急培训结束后，公司应急办公室对参与培训的人员进行考核。考核结果由公司应急救援办公室备案。</w:t>
      </w:r>
    </w:p>
    <w:p>
      <w:pPr>
        <w:ind w:firstLine="560"/>
      </w:pPr>
      <w:r>
        <w:rPr>
          <w:rFonts w:hint="eastAsia"/>
        </w:rPr>
        <w:t>核对象：主要是公司管理人员、生产人员。</w:t>
      </w:r>
    </w:p>
    <w:p>
      <w:pPr>
        <w:ind w:firstLine="560"/>
      </w:pPr>
      <w:r>
        <w:rPr>
          <w:rFonts w:hint="eastAsia"/>
        </w:rPr>
        <w:t>考核方法：采取试卷问答、现场提问、实际操作演练三种相结合的方式进行考核。</w:t>
      </w:r>
    </w:p>
    <w:p>
      <w:pPr>
        <w:ind w:firstLine="560"/>
        <w:rPr>
          <w:color w:val="000000" w:themeColor="text1"/>
          <w14:textFill>
            <w14:solidFill>
              <w14:schemeClr w14:val="tx1"/>
            </w14:solidFill>
          </w14:textFill>
        </w:rPr>
      </w:pPr>
      <w:r>
        <w:rPr>
          <w:rFonts w:hint="eastAsia"/>
        </w:rPr>
        <w:t>考核结果：考核结束后，由公司应急救援办公室将考核结果予以公布，对考核不合格的人员进行再培训。应急救援人员培训考核不合格的，由应急救援办公室在公司范围内进行通报批</w:t>
      </w:r>
      <w:r>
        <w:rPr>
          <w:rFonts w:hint="eastAsia"/>
          <w:color w:val="000000" w:themeColor="text1"/>
          <w14:textFill>
            <w14:solidFill>
              <w14:schemeClr w14:val="tx1"/>
            </w14:solidFill>
          </w14:textFill>
        </w:rPr>
        <w:t>评。应急预案培训考核表见附件</w:t>
      </w:r>
      <w:r>
        <w:rPr>
          <w:rFonts w:hint="eastAsia"/>
          <w:color w:val="000000" w:themeColor="text1"/>
          <w:lang w:val="en-US" w:eastAsia="zh-CN"/>
          <w14:textFill>
            <w14:solidFill>
              <w14:schemeClr w14:val="tx1"/>
            </w14:solidFill>
          </w14:textFill>
        </w:rPr>
        <w:t>6</w:t>
      </w:r>
      <w:r>
        <w:rPr>
          <w:rFonts w:hint="eastAsia"/>
          <w:color w:val="000000" w:themeColor="text1"/>
          <w14:textFill>
            <w14:solidFill>
              <w14:schemeClr w14:val="tx1"/>
            </w14:solidFill>
          </w14:textFill>
        </w:rPr>
        <w:t>。</w:t>
      </w:r>
    </w:p>
    <w:p>
      <w:pPr>
        <w:pStyle w:val="5"/>
      </w:pPr>
      <w:bookmarkStart w:id="158" w:name="_Toc15478"/>
      <w:r>
        <w:rPr>
          <w:rFonts w:hint="eastAsia"/>
        </w:rPr>
        <w:t>演练</w:t>
      </w:r>
      <w:bookmarkEnd w:id="158"/>
    </w:p>
    <w:p>
      <w:pPr>
        <w:ind w:firstLine="560"/>
      </w:pPr>
      <w:r>
        <w:rPr>
          <w:rFonts w:hint="eastAsia"/>
        </w:rPr>
        <w:t>通过预案演练来考察应急预案的完善性和可操作性，考察应急设备设施性能的可靠性，考察和锻炼应急人员的应急能力，培养应急指挥人员对事故预警的判断能力和公司员工的自救能力。</w:t>
      </w:r>
    </w:p>
    <w:p>
      <w:pPr>
        <w:pStyle w:val="6"/>
      </w:pPr>
      <w:r>
        <w:rPr>
          <w:rFonts w:hint="eastAsia"/>
        </w:rPr>
        <w:t>应急演练的组织</w:t>
      </w:r>
    </w:p>
    <w:p>
      <w:pPr>
        <w:ind w:firstLine="560"/>
      </w:pPr>
      <w:r>
        <w:rPr>
          <w:rFonts w:hint="eastAsia"/>
        </w:rPr>
        <w:t>1、应急演练分为部门、公司级演练和配合政府部门演练三级；</w:t>
      </w:r>
    </w:p>
    <w:p>
      <w:pPr>
        <w:ind w:firstLine="560"/>
      </w:pPr>
      <w:r>
        <w:rPr>
          <w:rFonts w:hint="eastAsia"/>
        </w:rPr>
        <w:t>2、部门级的演练由部门负责人（现场指挥）组织进行，公司安全、环保、技术及相关部门派员观摩指导；</w:t>
      </w:r>
    </w:p>
    <w:p>
      <w:pPr>
        <w:ind w:firstLine="560"/>
      </w:pPr>
      <w:r>
        <w:rPr>
          <w:rFonts w:hint="eastAsia"/>
        </w:rPr>
        <w:t>3、公司级演练由公司应急指挥小组组织进行，各相关部门参加；</w:t>
      </w:r>
    </w:p>
    <w:p>
      <w:pPr>
        <w:ind w:firstLine="560"/>
      </w:pPr>
      <w:r>
        <w:rPr>
          <w:rFonts w:hint="eastAsia"/>
        </w:rPr>
        <w:t>4、与政府有关部门的联合演练，由政府有关部门组织进行，公司应急领导小组成员参加，相关部门人员参加配合。</w:t>
      </w:r>
    </w:p>
    <w:p>
      <w:pPr>
        <w:pStyle w:val="6"/>
      </w:pPr>
      <w:r>
        <w:rPr>
          <w:rFonts w:hint="eastAsia"/>
        </w:rPr>
        <w:t>应急演练的准备</w:t>
      </w:r>
    </w:p>
    <w:p>
      <w:pPr>
        <w:ind w:firstLine="560"/>
      </w:pPr>
      <w:r>
        <w:rPr>
          <w:rFonts w:hint="eastAsia"/>
        </w:rPr>
        <w:t>1、演练应制订演练方案，按演练级别报应急指挥负责人审批；</w:t>
      </w:r>
    </w:p>
    <w:p>
      <w:pPr>
        <w:ind w:firstLine="560"/>
      </w:pPr>
      <w:r>
        <w:rPr>
          <w:rFonts w:hint="eastAsia"/>
        </w:rPr>
        <w:t>2、演练前应落实所需的各种器材装备与物资、交通车辆、防护器材的准备，以确保演练顺利进行；</w:t>
      </w:r>
    </w:p>
    <w:p>
      <w:pPr>
        <w:ind w:firstLine="560"/>
      </w:pPr>
      <w:r>
        <w:rPr>
          <w:rFonts w:hint="eastAsia"/>
        </w:rPr>
        <w:t>3、演练前应通知周边社区、企业人员，必要时与新闻媒体沟通，以避免造成不必要的影响。</w:t>
      </w:r>
    </w:p>
    <w:p>
      <w:pPr>
        <w:pStyle w:val="6"/>
      </w:pPr>
      <w:r>
        <w:rPr>
          <w:rFonts w:hint="eastAsia"/>
        </w:rPr>
        <w:t>应急演练的方式、范围和频次</w:t>
      </w:r>
    </w:p>
    <w:p>
      <w:pPr>
        <w:ind w:firstLine="560"/>
      </w:pPr>
      <w:r>
        <w:rPr>
          <w:rFonts w:hint="eastAsia"/>
        </w:rPr>
        <w:t>应急演练的方式：根据实际情况，可采用桌面推演，模拟演练、仿真演练等方式。</w:t>
      </w:r>
    </w:p>
    <w:p>
      <w:pPr>
        <w:ind w:firstLine="560"/>
      </w:pPr>
      <w:r>
        <w:rPr>
          <w:rFonts w:hint="eastAsia"/>
        </w:rPr>
        <w:t>演练的范围：根据演练的方式，本着节俭、实用的原则，确定演练的范围，可根据需要进行全面演练、也可针对重点进行局部演练。</w:t>
      </w:r>
    </w:p>
    <w:p>
      <w:pPr>
        <w:ind w:firstLine="560"/>
      </w:pPr>
      <w:r>
        <w:rPr>
          <w:rFonts w:hint="eastAsia"/>
        </w:rPr>
        <w:t>演练频次：每年公司组织一次应急预案演练。</w:t>
      </w:r>
    </w:p>
    <w:p>
      <w:pPr>
        <w:pStyle w:val="6"/>
      </w:pPr>
      <w:r>
        <w:rPr>
          <w:rFonts w:hint="eastAsia"/>
        </w:rPr>
        <w:t>应急演练的评价和总结</w:t>
      </w:r>
    </w:p>
    <w:p>
      <w:pPr>
        <w:ind w:firstLine="560"/>
      </w:pPr>
      <w:r>
        <w:rPr>
          <w:rFonts w:hint="eastAsia"/>
        </w:rPr>
        <w:t>1、应急演练结束后，应急办公室适时组织本单位专业技术人员进行分析评价，总结经验，分析不足之处，完善应急预案，健全应急保障。</w:t>
      </w:r>
    </w:p>
    <w:p>
      <w:pPr>
        <w:ind w:firstLine="560"/>
      </w:pPr>
      <w:r>
        <w:rPr>
          <w:rFonts w:hint="eastAsia"/>
        </w:rPr>
        <w:t>2、演练应留有相应的演练记录并归档。</w:t>
      </w:r>
    </w:p>
    <w:p>
      <w:pPr>
        <w:pStyle w:val="5"/>
      </w:pPr>
      <w:bookmarkStart w:id="159" w:name="_Toc6791"/>
      <w:r>
        <w:rPr>
          <w:rFonts w:hint="eastAsia"/>
        </w:rPr>
        <w:t>责任与奖惩</w:t>
      </w:r>
      <w:bookmarkEnd w:id="159"/>
    </w:p>
    <w:p>
      <w:pPr>
        <w:ind w:firstLine="560"/>
      </w:pPr>
      <w:r>
        <w:rPr>
          <w:rFonts w:hint="eastAsia"/>
        </w:rPr>
        <w:t>环境突发事故的处理强调“四个不放过”，即必须坚持事故原因分析不清不放过，责任人员未受到严肃处理不放过，事故责任者和群众没有受到教育不放过，没有采取切实可行的防范措施不放过。</w:t>
      </w:r>
    </w:p>
    <w:p>
      <w:pPr>
        <w:ind w:firstLine="560"/>
      </w:pPr>
      <w:r>
        <w:rPr>
          <w:rFonts w:hint="eastAsia"/>
        </w:rPr>
        <w:t>在与应急救援有关工作中有优异表现的部门或个人，按照公司相关规定或经应急指挥中心讨论后，给予一定的奖励。奖励包括物质奖励和精神奖励。</w:t>
      </w:r>
    </w:p>
    <w:p>
      <w:pPr>
        <w:ind w:firstLine="560"/>
      </w:pPr>
      <w:r>
        <w:rPr>
          <w:rFonts w:hint="eastAsia"/>
        </w:rPr>
        <w:t>1、及时发现、报告险情的。</w:t>
      </w:r>
    </w:p>
    <w:p>
      <w:pPr>
        <w:ind w:firstLine="560"/>
      </w:pPr>
      <w:r>
        <w:rPr>
          <w:rFonts w:hint="eastAsia"/>
        </w:rPr>
        <w:t>2、对公司的应急救援工作提出合理化建议的。</w:t>
      </w:r>
    </w:p>
    <w:p>
      <w:pPr>
        <w:ind w:firstLine="560"/>
      </w:pPr>
      <w:r>
        <w:rPr>
          <w:rFonts w:hint="eastAsia"/>
        </w:rPr>
        <w:t>3、出色完成应急救援工作任务的。</w:t>
      </w:r>
    </w:p>
    <w:p>
      <w:pPr>
        <w:ind w:firstLine="560"/>
      </w:pPr>
      <w:r>
        <w:rPr>
          <w:rFonts w:hint="eastAsia"/>
        </w:rPr>
        <w:t>4、有其他特殊贡献的。</w:t>
      </w:r>
    </w:p>
    <w:p>
      <w:pPr>
        <w:ind w:firstLine="560"/>
      </w:pPr>
      <w:r>
        <w:rPr>
          <w:rFonts w:hint="eastAsia"/>
        </w:rPr>
        <w:t>影响公司应急救援工作，造成后果加重的部门或个人，按照公司相关规定或应急指挥中心讨论后，给予一定的处罚。处罚包括公司行政处罚、经济处罚和停岗培训等。</w:t>
      </w:r>
    </w:p>
    <w:p>
      <w:pPr>
        <w:ind w:firstLine="560"/>
      </w:pPr>
      <w:r>
        <w:rPr>
          <w:rFonts w:hint="eastAsia"/>
        </w:rPr>
        <w:t>1、瞒报事故和紧急情况的。</w:t>
      </w:r>
    </w:p>
    <w:p>
      <w:pPr>
        <w:ind w:firstLine="560"/>
      </w:pPr>
      <w:r>
        <w:rPr>
          <w:rFonts w:hint="eastAsia"/>
        </w:rPr>
        <w:t>2、盗窃、破坏、挪用应急物资装备的。</w:t>
      </w:r>
    </w:p>
    <w:p>
      <w:pPr>
        <w:ind w:firstLine="560"/>
      </w:pPr>
      <w:r>
        <w:rPr>
          <w:rFonts w:hint="eastAsia"/>
        </w:rPr>
        <w:t>3、应急救援中不服从命令和指挥，或者在应急响应时临阵脱逃的。</w:t>
      </w:r>
    </w:p>
    <w:p>
      <w:pPr>
        <w:ind w:firstLine="560"/>
      </w:pPr>
      <w:r>
        <w:rPr>
          <w:rFonts w:hint="eastAsia"/>
        </w:rPr>
        <w:t>4、不履行应急救援职责的。</w:t>
      </w:r>
    </w:p>
    <w:p>
      <w:pPr>
        <w:ind w:firstLine="560"/>
      </w:pPr>
      <w:r>
        <w:rPr>
          <w:rFonts w:hint="eastAsia"/>
        </w:rPr>
        <w:t>5、其他危害应急救援工作的行为。</w:t>
      </w:r>
    </w:p>
    <w:p>
      <w:pPr>
        <w:pStyle w:val="5"/>
      </w:pPr>
      <w:bookmarkStart w:id="160" w:name="_Toc13222"/>
      <w:r>
        <w:rPr>
          <w:rFonts w:hint="eastAsia"/>
        </w:rPr>
        <w:t>评估及修订</w:t>
      </w:r>
      <w:bookmarkEnd w:id="160"/>
    </w:p>
    <w:p>
      <w:pPr>
        <w:pStyle w:val="6"/>
      </w:pPr>
      <w:r>
        <w:rPr>
          <w:rFonts w:hint="eastAsia"/>
        </w:rPr>
        <w:t>预案的评审</w:t>
      </w:r>
    </w:p>
    <w:p>
      <w:pPr>
        <w:ind w:firstLine="560"/>
      </w:pPr>
      <w:r>
        <w:rPr>
          <w:rFonts w:hint="eastAsia"/>
        </w:rPr>
        <w:t>邀请环保专家组成应急预案评估小组对应急预案草案进行评估。环境应急预案评估小组应当重点评估环境应急预案的实用性、基本要素的完整性、内容格式的规范性、应急保障措施的可行性以及与其他相关预案的衔接性等内容。应急预案编制人员根据评估结果，对应急预案草案进行修改。</w:t>
      </w:r>
    </w:p>
    <w:p>
      <w:pPr>
        <w:pStyle w:val="6"/>
      </w:pPr>
      <w:r>
        <w:rPr>
          <w:rFonts w:hint="eastAsia"/>
        </w:rPr>
        <w:t>预案的修订</w:t>
      </w:r>
    </w:p>
    <w:p>
      <w:pPr>
        <w:ind w:firstLine="560"/>
      </w:pPr>
      <w:r>
        <w:rPr>
          <w:rFonts w:hint="eastAsia"/>
        </w:rPr>
        <w:t>为适应国家相关法律、法规的调整和部门或应急资源的变化，结合生产过程中发现存在的问题和出现的新情况，每三年对本预案进行一次修订。如有以下情形之一的，应对预案进行及时修订：</w:t>
      </w:r>
    </w:p>
    <w:p>
      <w:pPr>
        <w:ind w:firstLine="560"/>
      </w:pPr>
      <w:r>
        <w:rPr>
          <w:rFonts w:hint="eastAsia"/>
        </w:rPr>
        <w:t>1、应急管理组织指挥体系与职责发生重大变化的；</w:t>
      </w:r>
    </w:p>
    <w:p>
      <w:pPr>
        <w:ind w:firstLine="560"/>
      </w:pPr>
      <w:r>
        <w:rPr>
          <w:rFonts w:hint="eastAsia"/>
        </w:rPr>
        <w:t>2、面临的环境风险发生重大变化，需要重新进行环境风险评估的；</w:t>
      </w:r>
    </w:p>
    <w:p>
      <w:pPr>
        <w:ind w:firstLine="560"/>
      </w:pPr>
      <w:r>
        <w:rPr>
          <w:rFonts w:hint="eastAsia"/>
        </w:rPr>
        <w:t>3、环境应急监测预警及报告机制、应对流程和措施、应急保障措施发生重大变化的；</w:t>
      </w:r>
    </w:p>
    <w:p>
      <w:pPr>
        <w:ind w:firstLine="560"/>
      </w:pPr>
      <w:r>
        <w:t>4</w:t>
      </w:r>
      <w:r>
        <w:rPr>
          <w:rFonts w:hint="eastAsia"/>
        </w:rPr>
        <w:t>、重要应急资源发生重大变化的；</w:t>
      </w:r>
    </w:p>
    <w:p>
      <w:pPr>
        <w:ind w:firstLine="560"/>
      </w:pPr>
      <w:r>
        <w:rPr>
          <w:rFonts w:hint="eastAsia"/>
        </w:rPr>
        <w:t>5、在突发事件实际应对和应急演练中发现问题，需要对环境应急预案做出重大调整的；</w:t>
      </w:r>
    </w:p>
    <w:p>
      <w:pPr>
        <w:ind w:firstLine="560"/>
      </w:pPr>
      <w:r>
        <w:rPr>
          <w:rFonts w:hint="eastAsia"/>
        </w:rPr>
        <w:t>6、应急预案与企业实际情况不符合的其他需要修订的情况。</w:t>
      </w:r>
    </w:p>
    <w:p>
      <w:pPr>
        <w:pStyle w:val="5"/>
      </w:pPr>
      <w:bookmarkStart w:id="161" w:name="_Toc10430"/>
      <w:r>
        <w:rPr>
          <w:rFonts w:hint="eastAsia"/>
        </w:rPr>
        <w:t>备案</w:t>
      </w:r>
      <w:bookmarkEnd w:id="161"/>
    </w:p>
    <w:p>
      <w:pPr>
        <w:ind w:firstLine="560"/>
      </w:pPr>
      <w:r>
        <w:rPr>
          <w:rFonts w:hint="eastAsia"/>
        </w:rPr>
        <w:t>本公司编制的环境综合应急预案，应当在本单位主要负责人签署发布之日起20个工作日内报属地环境保护主管部门备案。</w:t>
      </w:r>
    </w:p>
    <w:p>
      <w:pPr>
        <w:pStyle w:val="5"/>
      </w:pPr>
      <w:bookmarkStart w:id="162" w:name="_Toc14537"/>
      <w:r>
        <w:rPr>
          <w:rFonts w:hint="eastAsia"/>
        </w:rPr>
        <w:t>签署发布</w:t>
      </w:r>
      <w:bookmarkEnd w:id="162"/>
    </w:p>
    <w:p>
      <w:pPr>
        <w:ind w:firstLine="560"/>
      </w:pPr>
      <w:r>
        <w:rPr>
          <w:rFonts w:hint="eastAsia"/>
        </w:rPr>
        <w:t>企业针对预案真实性及有效性进行审议，并经评估小组评估，通过后由主要负责人签署负责，并发布实施。</w:t>
      </w:r>
    </w:p>
    <w:p>
      <w:pPr>
        <w:pStyle w:val="5"/>
      </w:pPr>
      <w:bookmarkStart w:id="163" w:name="_Toc26784"/>
      <w:r>
        <w:rPr>
          <w:rFonts w:hint="eastAsia"/>
        </w:rPr>
        <w:t>预案实施</w:t>
      </w:r>
      <w:bookmarkEnd w:id="163"/>
    </w:p>
    <w:p>
      <w:pPr>
        <w:ind w:firstLine="560"/>
      </w:pPr>
      <w:r>
        <w:rPr>
          <w:rFonts w:hint="eastAsia"/>
        </w:rPr>
        <w:t>本预案自发布之日起实施。</w:t>
      </w:r>
    </w:p>
    <w:p>
      <w:pPr>
        <w:ind w:firstLine="560"/>
        <w:sectPr>
          <w:pgSz w:w="11906" w:h="16838"/>
          <w:pgMar w:top="1440" w:right="1276" w:bottom="1440" w:left="1134" w:header="851" w:footer="992" w:gutter="0"/>
          <w:pgBorders>
            <w:top w:val="none" w:sz="0" w:space="0"/>
            <w:left w:val="none" w:sz="0" w:space="0"/>
            <w:bottom w:val="none" w:sz="0" w:space="0"/>
            <w:right w:val="none" w:sz="0" w:space="0"/>
          </w:pgBorders>
          <w:pgNumType w:fmt="decimal"/>
          <w:cols w:space="425" w:num="1"/>
          <w:docGrid w:type="linesAndChars" w:linePitch="381" w:charSpace="0"/>
        </w:sectPr>
      </w:pPr>
    </w:p>
    <w:p>
      <w:pPr>
        <w:pStyle w:val="4"/>
      </w:pPr>
      <w:bookmarkStart w:id="164" w:name="_Toc28517"/>
      <w:r>
        <w:rPr>
          <w:rFonts w:hint="eastAsia"/>
        </w:rPr>
        <w:t>附则</w:t>
      </w:r>
      <w:bookmarkEnd w:id="164"/>
    </w:p>
    <w:p>
      <w:pPr>
        <w:pStyle w:val="5"/>
      </w:pPr>
      <w:bookmarkStart w:id="165" w:name="_Toc13739"/>
      <w:r>
        <w:rPr>
          <w:rFonts w:hint="eastAsia"/>
        </w:rPr>
        <w:t>术语、符号和代号</w:t>
      </w:r>
      <w:bookmarkEnd w:id="165"/>
    </w:p>
    <w:p>
      <w:pPr>
        <w:ind w:firstLine="562"/>
        <w:rPr>
          <w:b/>
        </w:rPr>
      </w:pPr>
      <w:r>
        <w:rPr>
          <w:rFonts w:hint="eastAsia"/>
          <w:b/>
        </w:rPr>
        <w:t>1、突发环境事件</w:t>
      </w:r>
    </w:p>
    <w:p>
      <w:pPr>
        <w:ind w:firstLine="560"/>
      </w:pPr>
      <w:r>
        <w:rPr>
          <w:rFonts w:hint="eastAsia"/>
        </w:rPr>
        <w:t xml:space="preserve">突发环境事件是指因事件或意外性事件等因素，致使环境受到污染或破坏，公众的生命健康和财产受到危害或威胁的紧急情况。  </w:t>
      </w:r>
    </w:p>
    <w:p>
      <w:pPr>
        <w:ind w:firstLine="562"/>
      </w:pPr>
      <w:r>
        <w:rPr>
          <w:rFonts w:hint="eastAsia"/>
          <w:b/>
        </w:rPr>
        <w:t>2、突发环境事件应急预案</w:t>
      </w:r>
    </w:p>
    <w:p>
      <w:pPr>
        <w:ind w:firstLine="560"/>
      </w:pPr>
      <w:r>
        <w:rPr>
          <w:rFonts w:hint="eastAsia"/>
        </w:rPr>
        <w:t>突发环境事件应急预案是指针对可能发生的突发环境事件，为确保迅速、有序、高效地开展应急处置，减少人员伤亡和经济损失而预先制定的计划或方案。</w:t>
      </w:r>
    </w:p>
    <w:p>
      <w:pPr>
        <w:ind w:firstLine="560"/>
      </w:pPr>
      <w:r>
        <w:rPr>
          <w:rFonts w:hint="eastAsia"/>
        </w:rPr>
        <w:t xml:space="preserve">环境风险：环境风险是指突发环境事件对环境（或健康）的危险程度。 </w:t>
      </w:r>
    </w:p>
    <w:p>
      <w:pPr>
        <w:ind w:firstLine="560"/>
      </w:pPr>
      <w:r>
        <w:rPr>
          <w:rFonts w:hint="eastAsia"/>
        </w:rPr>
        <w:t xml:space="preserve">危险源：危险源是指可能导致伤害或疾病、财产损失、环境破坏或这些情况组合的根源或状态。  </w:t>
      </w:r>
    </w:p>
    <w:p>
      <w:pPr>
        <w:ind w:firstLine="560"/>
      </w:pPr>
      <w:r>
        <w:rPr>
          <w:rFonts w:hint="eastAsia"/>
        </w:rPr>
        <w:t xml:space="preserve">环境敏感点：环境敏感点，参照《建设项目环境影响评价分类管理名录》中“环境敏感区”定义。  </w:t>
      </w:r>
    </w:p>
    <w:p>
      <w:pPr>
        <w:ind w:firstLine="560"/>
      </w:pPr>
      <w:r>
        <w:rPr>
          <w:rFonts w:hint="eastAsia"/>
        </w:rPr>
        <w:t>应急演练：应急演练，是指为检验应急预案的有效性、应急准备的完善性、应急响应能力的适应性和应急人员的协同性而进行的一种模拟应急响应的实践活动。</w:t>
      </w:r>
    </w:p>
    <w:p>
      <w:pPr>
        <w:ind w:firstLine="560"/>
      </w:pPr>
    </w:p>
    <w:p>
      <w:pPr>
        <w:ind w:firstLine="560"/>
        <w:sectPr>
          <w:pgSz w:w="11906" w:h="16838"/>
          <w:pgMar w:top="1440" w:right="1276" w:bottom="1440" w:left="1134" w:header="851" w:footer="992" w:gutter="0"/>
          <w:pgBorders>
            <w:top w:val="none" w:sz="0" w:space="0"/>
            <w:left w:val="none" w:sz="0" w:space="0"/>
            <w:bottom w:val="none" w:sz="0" w:space="0"/>
            <w:right w:val="none" w:sz="0" w:space="0"/>
          </w:pgBorders>
          <w:pgNumType w:fmt="decimal"/>
          <w:cols w:space="425" w:num="1"/>
          <w:docGrid w:type="linesAndChars" w:linePitch="381" w:charSpace="0"/>
        </w:sectPr>
      </w:pPr>
    </w:p>
    <w:p>
      <w:pPr>
        <w:ind w:firstLine="0" w:firstLineChars="0"/>
        <w:outlineLvl w:val="0"/>
      </w:pPr>
      <w:bookmarkStart w:id="166" w:name="_Toc15047"/>
      <w:r>
        <w:rPr>
          <w:rFonts w:hint="eastAsia"/>
        </w:rPr>
        <w:t>附图1企业地理位置图</w:t>
      </w:r>
      <w:bookmarkEnd w:id="166"/>
    </w:p>
    <w:p>
      <w:pPr>
        <w:ind w:left="0" w:leftChars="0" w:firstLine="0" w:firstLineChars="0"/>
        <w:rPr>
          <w:rFonts w:hint="eastAsia" w:eastAsia="宋体"/>
          <w:lang w:eastAsia="zh-CN"/>
        </w:rPr>
        <w:sectPr>
          <w:pgSz w:w="16838" w:h="11906" w:orient="landscape"/>
          <w:pgMar w:top="1134" w:right="1440" w:bottom="1276" w:left="1440" w:header="851" w:footer="992" w:gutter="0"/>
          <w:pgBorders>
            <w:top w:val="none" w:sz="0" w:space="0"/>
            <w:left w:val="none" w:sz="0" w:space="0"/>
            <w:bottom w:val="none" w:sz="0" w:space="0"/>
            <w:right w:val="none" w:sz="0" w:space="0"/>
          </w:pgBorders>
          <w:pgNumType w:fmt="decimal"/>
          <w:cols w:space="0" w:num="1"/>
          <w:rtlGutter w:val="0"/>
          <w:docGrid w:type="linesAndChars" w:linePitch="395" w:charSpace="1588"/>
        </w:sectPr>
      </w:pPr>
      <w:r>
        <w:drawing>
          <wp:inline distT="0" distB="0" distL="0" distR="0">
            <wp:extent cx="9238615" cy="4898390"/>
            <wp:effectExtent l="9525" t="9525" r="10160" b="1968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7"/>
                    <a:stretch>
                      <a:fillRect/>
                    </a:stretch>
                  </pic:blipFill>
                  <pic:spPr>
                    <a:xfrm>
                      <a:off x="0" y="0"/>
                      <a:ext cx="9271736" cy="4898390"/>
                    </a:xfrm>
                    <a:prstGeom prst="rect">
                      <a:avLst/>
                    </a:prstGeom>
                    <a:ln>
                      <a:solidFill>
                        <a:schemeClr val="tx1"/>
                      </a:solidFill>
                    </a:ln>
                  </pic:spPr>
                </pic:pic>
              </a:graphicData>
            </a:graphic>
          </wp:inline>
        </w:drawing>
      </w:r>
    </w:p>
    <w:p>
      <w:pPr>
        <w:ind w:firstLine="0" w:firstLineChars="0"/>
        <w:outlineLvl w:val="0"/>
      </w:pPr>
      <w:bookmarkStart w:id="167" w:name="_Toc11418"/>
      <w:r>
        <w:rPr>
          <w:rFonts w:hint="eastAsia"/>
        </w:rPr>
        <w:t>附图2</w:t>
      </w:r>
      <w:r>
        <w:t xml:space="preserve"> </w:t>
      </w:r>
      <w:r>
        <w:rPr>
          <w:rFonts w:hint="eastAsia"/>
        </w:rPr>
        <w:t>厂区平面布置图</w:t>
      </w:r>
      <w:bookmarkEnd w:id="167"/>
    </w:p>
    <w:p>
      <w:pPr>
        <w:ind w:firstLine="0" w:firstLineChars="0"/>
        <w:rPr>
          <w:rFonts w:hint="eastAsia" w:eastAsia="宋体"/>
          <w:lang w:eastAsia="zh-CN"/>
        </w:rPr>
        <w:sectPr>
          <w:pgSz w:w="16838" w:h="11905" w:orient="landscape"/>
          <w:pgMar w:top="1134" w:right="1440" w:bottom="1276" w:left="1440" w:header="851" w:footer="992" w:gutter="0"/>
          <w:pgBorders>
            <w:top w:val="none" w:sz="0" w:space="0"/>
            <w:left w:val="none" w:sz="0" w:space="0"/>
            <w:bottom w:val="none" w:sz="0" w:space="0"/>
            <w:right w:val="none" w:sz="0" w:space="0"/>
          </w:pgBorders>
          <w:pgNumType w:fmt="decimal"/>
          <w:cols w:space="0" w:num="1"/>
          <w:rtlGutter w:val="0"/>
          <w:docGrid w:type="linesAndChars" w:linePitch="395" w:charSpace="1582"/>
        </w:sectPr>
      </w:pPr>
      <w:r>
        <w:rPr>
          <w:rFonts w:hint="eastAsia" w:eastAsia="宋体"/>
          <w:lang w:eastAsia="zh-CN"/>
        </w:rPr>
        <w:drawing>
          <wp:inline distT="0" distB="0" distL="114300" distR="114300">
            <wp:extent cx="7856855" cy="4935855"/>
            <wp:effectExtent l="0" t="0" r="4445" b="4445"/>
            <wp:docPr id="30" name="图片 30" descr="b11b1d9e3e29641a417beeab4315e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b11b1d9e3e29641a417beeab4315ed5"/>
                    <pic:cNvPicPr>
                      <a:picLocks noChangeAspect="1"/>
                    </pic:cNvPicPr>
                  </pic:nvPicPr>
                  <pic:blipFill>
                    <a:blip r:embed="rId28"/>
                    <a:stretch>
                      <a:fillRect/>
                    </a:stretch>
                  </pic:blipFill>
                  <pic:spPr>
                    <a:xfrm>
                      <a:off x="0" y="0"/>
                      <a:ext cx="7856855" cy="4935855"/>
                    </a:xfrm>
                    <a:prstGeom prst="rect">
                      <a:avLst/>
                    </a:prstGeom>
                  </pic:spPr>
                </pic:pic>
              </a:graphicData>
            </a:graphic>
          </wp:inline>
        </w:drawing>
      </w:r>
    </w:p>
    <w:p>
      <w:pPr>
        <w:ind w:firstLine="0" w:firstLineChars="0"/>
        <w:outlineLvl w:val="0"/>
      </w:pPr>
      <w:bookmarkStart w:id="168" w:name="_Toc30938"/>
      <w:r>
        <w:rPr>
          <w:rFonts w:hint="eastAsia"/>
        </w:rPr>
        <w:t>附图3</w:t>
      </w:r>
      <w:r>
        <w:t xml:space="preserve"> </w:t>
      </w:r>
      <w:r>
        <w:rPr>
          <w:rFonts w:hint="eastAsia"/>
        </w:rPr>
        <w:t>周边大气环境风险受体分布图</w:t>
      </w:r>
      <w:bookmarkEnd w:id="168"/>
    </w:p>
    <w:p>
      <w:pPr>
        <w:ind w:firstLine="0" w:firstLineChars="0"/>
        <w:jc w:val="center"/>
        <w:rPr>
          <w:rFonts w:hint="eastAsia" w:eastAsia="宋体"/>
          <w:lang w:eastAsia="zh-CN"/>
        </w:rPr>
      </w:pPr>
      <w:r>
        <w:drawing>
          <wp:inline distT="0" distB="0" distL="0" distR="0">
            <wp:extent cx="8095615" cy="5043170"/>
            <wp:effectExtent l="9525" t="9525" r="10160" b="1460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8148009" cy="5043170"/>
                    </a:xfrm>
                    <a:prstGeom prst="rect">
                      <a:avLst/>
                    </a:prstGeom>
                    <a:ln>
                      <a:solidFill>
                        <a:prstClr val="black"/>
                      </a:solidFill>
                    </a:ln>
                  </pic:spPr>
                </pic:pic>
              </a:graphicData>
            </a:graphic>
          </wp:inline>
        </w:drawing>
      </w:r>
    </w:p>
    <w:p>
      <w:pPr>
        <w:ind w:firstLine="0" w:firstLineChars="0"/>
        <w:sectPr>
          <w:pgSz w:w="16838" w:h="11906" w:orient="landscape"/>
          <w:pgMar w:top="1134" w:right="1440" w:bottom="1276" w:left="1440" w:header="851" w:footer="992" w:gutter="0"/>
          <w:pgBorders>
            <w:top w:val="none" w:sz="0" w:space="0"/>
            <w:left w:val="none" w:sz="0" w:space="0"/>
            <w:bottom w:val="none" w:sz="0" w:space="0"/>
            <w:right w:val="none" w:sz="0" w:space="0"/>
          </w:pgBorders>
          <w:pgNumType w:fmt="decimal"/>
          <w:cols w:space="425" w:num="1"/>
          <w:docGrid w:type="linesAndChars" w:linePitch="381" w:charSpace="0"/>
        </w:sectPr>
      </w:pPr>
    </w:p>
    <w:p>
      <w:pPr>
        <w:ind w:firstLine="0" w:firstLineChars="0"/>
        <w:outlineLvl w:val="0"/>
        <w:rPr>
          <w:rFonts w:hint="eastAsia"/>
          <w:lang w:eastAsia="zh-CN"/>
        </w:rPr>
      </w:pPr>
      <w:bookmarkStart w:id="169" w:name="_Toc32605"/>
      <w:r>
        <w:rPr>
          <w:rFonts w:hint="eastAsia"/>
        </w:rPr>
        <w:t>附图4</w:t>
      </w:r>
      <w:r>
        <w:t xml:space="preserve"> </w:t>
      </w:r>
      <w:r>
        <w:rPr>
          <w:rFonts w:hint="eastAsia"/>
          <w:lang w:val="en-US" w:eastAsia="zh-CN"/>
        </w:rPr>
        <w:t>项目所在地</w:t>
      </w:r>
      <w:r>
        <w:rPr>
          <w:rFonts w:hint="eastAsia"/>
        </w:rPr>
        <w:t>地表水功能区划图</w:t>
      </w:r>
      <w:bookmarkEnd w:id="169"/>
    </w:p>
    <w:p>
      <w:pPr>
        <w:ind w:firstLine="0" w:firstLineChars="0"/>
      </w:pPr>
      <w:r>
        <w:rPr>
          <w:rFonts w:ascii="宋体" w:hAnsi="宋体" w:eastAsia="宋体"/>
          <w:b/>
          <w:sz w:val="24"/>
          <w:szCs w:val="24"/>
        </w:rPr>
        <w:drawing>
          <wp:inline distT="0" distB="0" distL="0" distR="0">
            <wp:extent cx="8749665" cy="5035550"/>
            <wp:effectExtent l="9525" t="9525" r="16510" b="952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8797004" cy="5035550"/>
                    </a:xfrm>
                    <a:prstGeom prst="rect">
                      <a:avLst/>
                    </a:prstGeom>
                    <a:noFill/>
                    <a:ln>
                      <a:solidFill>
                        <a:prstClr val="black"/>
                      </a:solidFill>
                    </a:ln>
                  </pic:spPr>
                </pic:pic>
              </a:graphicData>
            </a:graphic>
          </wp:inline>
        </w:drawing>
      </w:r>
    </w:p>
    <w:p>
      <w:pPr>
        <w:ind w:firstLine="0" w:firstLineChars="0"/>
        <w:outlineLvl w:val="0"/>
        <w:rPr>
          <w:rFonts w:hint="eastAsia"/>
        </w:rPr>
      </w:pPr>
      <w:bookmarkStart w:id="170" w:name="_Toc30904"/>
      <w:r>
        <w:rPr>
          <w:rFonts w:hint="eastAsia"/>
        </w:rPr>
        <w:t>附图</w:t>
      </w:r>
      <w:r>
        <w:rPr>
          <w:rFonts w:hint="eastAsia"/>
          <w:lang w:val="en-US" w:eastAsia="zh-CN"/>
        </w:rPr>
        <w:t>5</w:t>
      </w:r>
      <w:r>
        <w:t xml:space="preserve"> </w:t>
      </w:r>
      <w:r>
        <w:rPr>
          <w:rFonts w:hint="eastAsia"/>
        </w:rPr>
        <w:t>企业风险单元分布图</w:t>
      </w:r>
      <w:bookmarkEnd w:id="170"/>
    </w:p>
    <w:p>
      <w:pPr>
        <w:ind w:firstLine="0" w:firstLineChars="0"/>
        <w:jc w:val="center"/>
        <w:rPr>
          <w:rFonts w:hint="eastAsia" w:eastAsia="宋体"/>
          <w:lang w:eastAsia="zh-CN"/>
        </w:rPr>
      </w:pPr>
      <w:r>
        <w:rPr>
          <w:sz w:val="28"/>
        </w:rPr>
        <mc:AlternateContent>
          <mc:Choice Requires="wps">
            <w:drawing>
              <wp:anchor distT="0" distB="0" distL="114300" distR="114300" simplePos="0" relativeHeight="950590464" behindDoc="0" locked="0" layoutInCell="1" allowOverlap="1">
                <wp:simplePos x="0" y="0"/>
                <wp:positionH relativeFrom="column">
                  <wp:posOffset>4359910</wp:posOffset>
                </wp:positionH>
                <wp:positionV relativeFrom="paragraph">
                  <wp:posOffset>2212975</wp:posOffset>
                </wp:positionV>
                <wp:extent cx="375285" cy="138430"/>
                <wp:effectExtent l="11430" t="6350" r="19685" b="7620"/>
                <wp:wrapNone/>
                <wp:docPr id="63" name="六边形 63"/>
                <wp:cNvGraphicFramePr/>
                <a:graphic xmlns:a="http://schemas.openxmlformats.org/drawingml/2006/main">
                  <a:graphicData uri="http://schemas.microsoft.com/office/word/2010/wordprocessingShape">
                    <wps:wsp>
                      <wps:cNvSpPr/>
                      <wps:spPr>
                        <a:xfrm>
                          <a:off x="0" y="0"/>
                          <a:ext cx="375285" cy="138430"/>
                        </a:xfrm>
                        <a:prstGeom prst="hexagon">
                          <a:avLst>
                            <a:gd name="adj" fmla="val 77272"/>
                            <a:gd name="vf" fmla="val 115470"/>
                          </a:avLst>
                        </a:prstGeom>
                        <a:gradFill>
                          <a:gsLst>
                            <a:gs pos="0">
                              <a:srgbClr val="7B32B2"/>
                            </a:gs>
                            <a:gs pos="100000">
                              <a:srgbClr val="401A5D"/>
                            </a:gs>
                          </a:gsLst>
                          <a:lin scaled="0"/>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9" type="#_x0000_t9" style="position:absolute;left:0pt;margin-left:343.3pt;margin-top:174.25pt;height:10.9pt;width:29.55pt;z-index:950590464;v-text-anchor:middle;mso-width-relative:page;mso-height-relative:page;" fillcolor="#7B32B2" filled="t" stroked="t" coordsize="21600,21600" o:gfxdata="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I6Kp7fdAAAACwEAAA8A&#10;AAAAAAAAAQAgAAAAIgAAAGRycy9kb3ducmV2LnhtbFBLAQIUABQAAAAIAIdO4kBPQ0sjvQIAAIkF&#10;AAAOAAAAAAAAAAEAIAAAACwBAABkcnMvZTJvRG9jLnhtbFBLBQYAAAAABgAGAFkBAABbBgAAAAA=&#10;" adj="6157">
                <v:fill type="gradient" on="t" color2="#401A5D" angle="90" focus="100%" focussize="0,0" rotate="t">
                  <o:fill type="gradientUnscaled" v:ext="backwardCompatible"/>
                </v:fill>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748607488" behindDoc="0" locked="0" layoutInCell="1" allowOverlap="1">
                <wp:simplePos x="0" y="0"/>
                <wp:positionH relativeFrom="column">
                  <wp:posOffset>4796155</wp:posOffset>
                </wp:positionH>
                <wp:positionV relativeFrom="paragraph">
                  <wp:posOffset>2233295</wp:posOffset>
                </wp:positionV>
                <wp:extent cx="375285" cy="138430"/>
                <wp:effectExtent l="11430" t="6350" r="19685" b="7620"/>
                <wp:wrapNone/>
                <wp:docPr id="61" name="六边形 61"/>
                <wp:cNvGraphicFramePr/>
                <a:graphic xmlns:a="http://schemas.openxmlformats.org/drawingml/2006/main">
                  <a:graphicData uri="http://schemas.microsoft.com/office/word/2010/wordprocessingShape">
                    <wps:wsp>
                      <wps:cNvSpPr/>
                      <wps:spPr>
                        <a:xfrm>
                          <a:off x="0" y="0"/>
                          <a:ext cx="375285" cy="138430"/>
                        </a:xfrm>
                        <a:prstGeom prst="hexagon">
                          <a:avLst>
                            <a:gd name="adj" fmla="val 77272"/>
                            <a:gd name="vf" fmla="val 115470"/>
                          </a:avLst>
                        </a:prstGeom>
                        <a:gradFill>
                          <a:gsLst>
                            <a:gs pos="0">
                              <a:srgbClr val="7B32B2"/>
                            </a:gs>
                            <a:gs pos="100000">
                              <a:srgbClr val="401A5D"/>
                            </a:gs>
                          </a:gsLst>
                          <a:lin scaled="0"/>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9" type="#_x0000_t9" style="position:absolute;left:0pt;margin-left:377.65pt;margin-top:175.85pt;height:10.9pt;width:29.55pt;z-index:-1546359808;v-text-anchor:middle;mso-width-relative:page;mso-height-relative:page;" fillcolor="#7B32B2" filled="t" stroked="t" coordsize="21600,21600" o:gfxdata="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E57VErcAAAACwEAAA8A&#10;AAAAAAAAAQAgAAAAIgAAAGRycy9kb3ducmV2LnhtbFBLAQIUABQAAAAIAIdO4kB0eHu0vgIAAIkF&#10;AAAOAAAAAAAAAAEAIAAAACsBAABkcnMvZTJvRG9jLnhtbFBLBQYAAAAABgAGAFkBAABbBgAAAAA=&#10;" adj="6157">
                <v:fill type="gradient" on="t" color2="#401A5D" angle="90" focus="100%" focussize="0,0" rotate="t">
                  <o:fill type="gradientUnscaled" v:ext="backwardCompatible"/>
                </v:fill>
                <v:stroke weight="1pt" color="#2F528F [3204]" miterlimit="8" joinstyle="miter"/>
                <v:imagedata o:title=""/>
                <o:lock v:ext="edit" aspectratio="f"/>
              </v:shape>
            </w:pict>
          </mc:Fallback>
        </mc:AlternateContent>
      </w:r>
      <w:r>
        <w:rPr>
          <w:rFonts w:hint="eastAsia" w:eastAsia="宋体"/>
          <w:lang w:eastAsia="zh-CN"/>
        </w:rPr>
        <w:drawing>
          <wp:anchor distT="0" distB="0" distL="114300" distR="114300" simplePos="0" relativeHeight="2749794304" behindDoc="0" locked="0" layoutInCell="1" allowOverlap="1">
            <wp:simplePos x="0" y="0"/>
            <wp:positionH relativeFrom="column">
              <wp:posOffset>4539615</wp:posOffset>
            </wp:positionH>
            <wp:positionV relativeFrom="paragraph">
              <wp:posOffset>7771130</wp:posOffset>
            </wp:positionV>
            <wp:extent cx="1295400" cy="609600"/>
            <wp:effectExtent l="0" t="0" r="0" b="0"/>
            <wp:wrapNone/>
            <wp:docPr id="70" name="图片 70" descr="15890174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1589017442(1)"/>
                    <pic:cNvPicPr>
                      <a:picLocks noChangeAspect="1"/>
                    </pic:cNvPicPr>
                  </pic:nvPicPr>
                  <pic:blipFill>
                    <a:blip r:embed="rId31"/>
                    <a:stretch>
                      <a:fillRect/>
                    </a:stretch>
                  </pic:blipFill>
                  <pic:spPr>
                    <a:xfrm>
                      <a:off x="0" y="0"/>
                      <a:ext cx="1295400" cy="609600"/>
                    </a:xfrm>
                    <a:prstGeom prst="rect">
                      <a:avLst/>
                    </a:prstGeom>
                  </pic:spPr>
                </pic:pic>
              </a:graphicData>
            </a:graphic>
          </wp:anchor>
        </w:drawing>
      </w:r>
      <w:r>
        <w:rPr>
          <w:rFonts w:hint="eastAsia" w:eastAsia="宋体"/>
          <w:lang w:eastAsia="zh-CN"/>
        </w:rPr>
        <w:drawing>
          <wp:anchor distT="0" distB="0" distL="114300" distR="114300" simplePos="0" relativeHeight="2750981120" behindDoc="0" locked="0" layoutInCell="1" allowOverlap="1">
            <wp:simplePos x="0" y="0"/>
            <wp:positionH relativeFrom="column">
              <wp:posOffset>4692015</wp:posOffset>
            </wp:positionH>
            <wp:positionV relativeFrom="paragraph">
              <wp:posOffset>7923530</wp:posOffset>
            </wp:positionV>
            <wp:extent cx="1295400" cy="609600"/>
            <wp:effectExtent l="0" t="0" r="0" b="0"/>
            <wp:wrapNone/>
            <wp:docPr id="71" name="图片 71" descr="15890174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1589017442(1)"/>
                    <pic:cNvPicPr>
                      <a:picLocks noChangeAspect="1"/>
                    </pic:cNvPicPr>
                  </pic:nvPicPr>
                  <pic:blipFill>
                    <a:blip r:embed="rId31"/>
                    <a:stretch>
                      <a:fillRect/>
                    </a:stretch>
                  </pic:blipFill>
                  <pic:spPr>
                    <a:xfrm>
                      <a:off x="0" y="0"/>
                      <a:ext cx="1295400" cy="609600"/>
                    </a:xfrm>
                    <a:prstGeom prst="rect">
                      <a:avLst/>
                    </a:prstGeom>
                  </pic:spPr>
                </pic:pic>
              </a:graphicData>
            </a:graphic>
          </wp:anchor>
        </w:drawing>
      </w:r>
      <w:r>
        <w:rPr>
          <w:rFonts w:hint="eastAsia" w:eastAsia="宋体"/>
          <w:lang w:eastAsia="zh-CN"/>
        </w:rPr>
        <w:drawing>
          <wp:anchor distT="0" distB="0" distL="114300" distR="114300" simplePos="0" relativeHeight="2750982144" behindDoc="1" locked="0" layoutInCell="1" allowOverlap="1">
            <wp:simplePos x="0" y="0"/>
            <wp:positionH relativeFrom="column">
              <wp:posOffset>425450</wp:posOffset>
            </wp:positionH>
            <wp:positionV relativeFrom="paragraph">
              <wp:posOffset>635</wp:posOffset>
            </wp:positionV>
            <wp:extent cx="7856855" cy="5081270"/>
            <wp:effectExtent l="0" t="0" r="4445" b="11430"/>
            <wp:wrapNone/>
            <wp:docPr id="59" name="图片 59" descr="b11b1d9e3e29641a417beeab4315e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b11b1d9e3e29641a417beeab4315ed5"/>
                    <pic:cNvPicPr>
                      <a:picLocks noChangeAspect="1"/>
                    </pic:cNvPicPr>
                  </pic:nvPicPr>
                  <pic:blipFill>
                    <a:blip r:embed="rId28"/>
                    <a:stretch>
                      <a:fillRect/>
                    </a:stretch>
                  </pic:blipFill>
                  <pic:spPr>
                    <a:xfrm>
                      <a:off x="0" y="0"/>
                      <a:ext cx="7856855" cy="5081270"/>
                    </a:xfrm>
                    <a:prstGeom prst="rect">
                      <a:avLst/>
                    </a:prstGeom>
                  </pic:spPr>
                </pic:pic>
              </a:graphicData>
            </a:graphic>
          </wp:anchor>
        </w:drawing>
      </w:r>
    </w:p>
    <w:p>
      <w:pPr>
        <w:ind w:firstLine="0" w:firstLineChars="0"/>
        <w:sectPr>
          <w:pgSz w:w="16838" w:h="11906" w:orient="landscape"/>
          <w:pgMar w:top="1134" w:right="1440" w:bottom="1276" w:left="1440" w:header="851" w:footer="992" w:gutter="0"/>
          <w:pgBorders>
            <w:top w:val="none" w:sz="0" w:space="0"/>
            <w:left w:val="none" w:sz="0" w:space="0"/>
            <w:bottom w:val="none" w:sz="0" w:space="0"/>
            <w:right w:val="none" w:sz="0" w:space="0"/>
          </w:pgBorders>
          <w:pgNumType w:fmt="decimal"/>
          <w:cols w:space="425" w:num="1"/>
          <w:docGrid w:type="linesAndChars" w:linePitch="381" w:charSpace="0"/>
        </w:sectPr>
      </w:pPr>
      <w:r>
        <w:rPr>
          <w:rFonts w:hint="eastAsia" w:eastAsia="宋体"/>
          <w:lang w:eastAsia="zh-CN"/>
        </w:rPr>
        <w:drawing>
          <wp:anchor distT="0" distB="0" distL="114300" distR="114300" simplePos="0" relativeHeight="2752168960" behindDoc="0" locked="0" layoutInCell="1" allowOverlap="1">
            <wp:simplePos x="0" y="0"/>
            <wp:positionH relativeFrom="column">
              <wp:posOffset>4844415</wp:posOffset>
            </wp:positionH>
            <wp:positionV relativeFrom="paragraph">
              <wp:posOffset>7712710</wp:posOffset>
            </wp:positionV>
            <wp:extent cx="1295400" cy="609600"/>
            <wp:effectExtent l="0" t="0" r="0" b="0"/>
            <wp:wrapNone/>
            <wp:docPr id="72" name="图片 72" descr="15890174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1589017442(1)"/>
                    <pic:cNvPicPr>
                      <a:picLocks noChangeAspect="1"/>
                    </pic:cNvPicPr>
                  </pic:nvPicPr>
                  <pic:blipFill>
                    <a:blip r:embed="rId31"/>
                    <a:stretch>
                      <a:fillRect/>
                    </a:stretch>
                  </pic:blipFill>
                  <pic:spPr>
                    <a:xfrm>
                      <a:off x="0" y="0"/>
                      <a:ext cx="1295400" cy="609600"/>
                    </a:xfrm>
                    <a:prstGeom prst="rect">
                      <a:avLst/>
                    </a:prstGeom>
                  </pic:spPr>
                </pic:pic>
              </a:graphicData>
            </a:graphic>
          </wp:anchor>
        </w:drawing>
      </w:r>
    </w:p>
    <w:p>
      <w:pPr>
        <w:ind w:firstLine="0" w:firstLineChars="0"/>
        <w:outlineLvl w:val="0"/>
        <w:rPr>
          <w:rFonts w:hint="eastAsia"/>
        </w:rPr>
      </w:pPr>
      <w:bookmarkStart w:id="171" w:name="_Toc14827"/>
      <w:r>
        <w:rPr>
          <w:rFonts w:hint="eastAsia"/>
        </w:rPr>
        <w:t>附图</w:t>
      </w:r>
      <w:r>
        <w:rPr>
          <w:rFonts w:hint="eastAsia"/>
          <w:lang w:val="en-US" w:eastAsia="zh-CN"/>
        </w:rPr>
        <w:t>6</w:t>
      </w:r>
      <w:r>
        <w:t xml:space="preserve"> </w:t>
      </w:r>
      <w:r>
        <w:rPr>
          <w:rFonts w:hint="eastAsia"/>
        </w:rPr>
        <w:t>企业雨污管网分布图</w:t>
      </w:r>
      <w:bookmarkEnd w:id="171"/>
    </w:p>
    <w:p>
      <w:pPr>
        <w:ind w:left="0" w:leftChars="0" w:firstLine="0" w:firstLineChars="0"/>
        <w:rPr>
          <w:rFonts w:hint="eastAsia" w:eastAsia="宋体"/>
          <w:lang w:eastAsia="zh-CN"/>
        </w:rPr>
      </w:pPr>
      <w:r>
        <w:rPr>
          <w:rFonts w:hint="eastAsia" w:eastAsia="宋体"/>
          <w:lang w:eastAsia="zh-CN"/>
        </w:rPr>
        <w:drawing>
          <wp:inline distT="0" distB="0" distL="114300" distR="114300">
            <wp:extent cx="8373745" cy="4998085"/>
            <wp:effectExtent l="0" t="0" r="8255" b="5715"/>
            <wp:docPr id="73" name="图片 73" descr="25a87d57a0000b3da86c3921491cb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25a87d57a0000b3da86c3921491cb3a"/>
                    <pic:cNvPicPr>
                      <a:picLocks noChangeAspect="1"/>
                    </pic:cNvPicPr>
                  </pic:nvPicPr>
                  <pic:blipFill>
                    <a:blip r:embed="rId32"/>
                    <a:stretch>
                      <a:fillRect/>
                    </a:stretch>
                  </pic:blipFill>
                  <pic:spPr>
                    <a:xfrm>
                      <a:off x="0" y="0"/>
                      <a:ext cx="8373745" cy="4998085"/>
                    </a:xfrm>
                    <a:prstGeom prst="rect">
                      <a:avLst/>
                    </a:prstGeom>
                  </pic:spPr>
                </pic:pic>
              </a:graphicData>
            </a:graphic>
          </wp:inline>
        </w:drawing>
      </w:r>
    </w:p>
    <w:p>
      <w:pPr>
        <w:ind w:firstLine="0" w:firstLineChars="0"/>
        <w:outlineLvl w:val="0"/>
      </w:pPr>
      <w:bookmarkStart w:id="172" w:name="_Toc12986"/>
      <w:r>
        <w:rPr>
          <w:rFonts w:hint="eastAsia"/>
        </w:rPr>
        <w:t>附图</w:t>
      </w:r>
      <w:r>
        <w:rPr>
          <w:rFonts w:hint="eastAsia"/>
          <w:lang w:val="en-US" w:eastAsia="zh-CN"/>
        </w:rPr>
        <w:t>7</w:t>
      </w:r>
      <w:r>
        <w:t xml:space="preserve"> </w:t>
      </w:r>
      <w:r>
        <w:rPr>
          <w:rFonts w:hint="eastAsia"/>
        </w:rPr>
        <w:t>公司应急疏散路线图</w:t>
      </w:r>
      <w:bookmarkEnd w:id="172"/>
    </w:p>
    <w:p>
      <w:pPr>
        <w:ind w:firstLine="0" w:firstLineChars="0"/>
        <w:jc w:val="center"/>
        <w:rPr>
          <w:sz w:val="28"/>
        </w:rPr>
      </w:pPr>
      <w:r>
        <w:rPr>
          <w:sz w:val="28"/>
        </w:rPr>
        <w:drawing>
          <wp:anchor distT="0" distB="0" distL="114300" distR="114300" simplePos="0" relativeHeight="2752261120" behindDoc="0" locked="0" layoutInCell="1" allowOverlap="1">
            <wp:simplePos x="0" y="0"/>
            <wp:positionH relativeFrom="page">
              <wp:posOffset>977265</wp:posOffset>
            </wp:positionH>
            <wp:positionV relativeFrom="paragraph">
              <wp:posOffset>119380</wp:posOffset>
            </wp:positionV>
            <wp:extent cx="7175500" cy="4505325"/>
            <wp:effectExtent l="0" t="0" r="0" b="3175"/>
            <wp:wrapTopAndBottom/>
            <wp:docPr id="7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2.jpeg"/>
                    <pic:cNvPicPr>
                      <a:picLocks noChangeAspect="1"/>
                    </pic:cNvPicPr>
                  </pic:nvPicPr>
                  <pic:blipFill>
                    <a:blip r:embed="rId33"/>
                    <a:stretch>
                      <a:fillRect/>
                    </a:stretch>
                  </pic:blipFill>
                  <pic:spPr>
                    <a:xfrm>
                      <a:off x="0" y="0"/>
                      <a:ext cx="7175500" cy="4505325"/>
                    </a:xfrm>
                    <a:prstGeom prst="rect">
                      <a:avLst/>
                    </a:prstGeom>
                    <a:noFill/>
                    <a:ln>
                      <a:noFill/>
                    </a:ln>
                  </pic:spPr>
                </pic:pic>
              </a:graphicData>
            </a:graphic>
          </wp:anchor>
        </w:drawing>
      </w:r>
    </w:p>
    <w:p>
      <w:pPr>
        <w:ind w:firstLine="0" w:firstLineChars="0"/>
        <w:jc w:val="center"/>
        <w:rPr>
          <w:rFonts w:hint="eastAsia" w:eastAsia="宋体"/>
          <w:lang w:eastAsia="zh-CN"/>
        </w:rPr>
        <w:sectPr>
          <w:pgSz w:w="16838" w:h="11905" w:orient="landscape"/>
          <w:pgMar w:top="1134" w:right="1440" w:bottom="1276" w:left="1440" w:header="851" w:footer="992" w:gutter="0"/>
          <w:pgBorders>
            <w:top w:val="none" w:sz="0" w:space="0"/>
            <w:left w:val="none" w:sz="0" w:space="0"/>
            <w:bottom w:val="none" w:sz="0" w:space="0"/>
            <w:right w:val="none" w:sz="0" w:space="0"/>
          </w:pgBorders>
          <w:pgNumType w:fmt="decimal"/>
          <w:cols w:space="0" w:num="1"/>
          <w:rtlGutter w:val="0"/>
          <w:docGrid w:type="linesAndChars" w:linePitch="395" w:charSpace="1582"/>
        </w:sectPr>
      </w:pPr>
      <w:r>
        <w:rPr>
          <w:rFonts w:hint="eastAsia" w:eastAsia="宋体"/>
          <w:lang w:eastAsia="zh-CN"/>
        </w:rPr>
        <w:drawing>
          <wp:anchor distT="0" distB="0" distL="114300" distR="114300" simplePos="0" relativeHeight="254030848" behindDoc="0" locked="0" layoutInCell="1" allowOverlap="1">
            <wp:simplePos x="0" y="0"/>
            <wp:positionH relativeFrom="column">
              <wp:posOffset>4291330</wp:posOffset>
            </wp:positionH>
            <wp:positionV relativeFrom="paragraph">
              <wp:posOffset>7390765</wp:posOffset>
            </wp:positionV>
            <wp:extent cx="1724025" cy="552450"/>
            <wp:effectExtent l="0" t="0" r="9525" b="0"/>
            <wp:wrapNone/>
            <wp:docPr id="86" name="图片 86" descr="15890179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1589017934(1)"/>
                    <pic:cNvPicPr>
                      <a:picLocks noChangeAspect="1"/>
                    </pic:cNvPicPr>
                  </pic:nvPicPr>
                  <pic:blipFill>
                    <a:blip r:embed="rId34"/>
                    <a:stretch>
                      <a:fillRect/>
                    </a:stretch>
                  </pic:blipFill>
                  <pic:spPr>
                    <a:xfrm>
                      <a:off x="0" y="0"/>
                      <a:ext cx="1724025" cy="552450"/>
                    </a:xfrm>
                    <a:prstGeom prst="rect">
                      <a:avLst/>
                    </a:prstGeom>
                  </pic:spPr>
                </pic:pic>
              </a:graphicData>
            </a:graphic>
          </wp:anchor>
        </w:drawing>
      </w:r>
    </w:p>
    <w:p>
      <w:pPr>
        <w:ind w:firstLine="0" w:firstLineChars="0"/>
        <w:outlineLvl w:val="0"/>
      </w:pPr>
      <w:bookmarkStart w:id="173" w:name="_Toc1674"/>
      <w:r>
        <w:rPr>
          <w:rFonts w:hint="eastAsia"/>
        </w:rPr>
        <w:t>附图</w:t>
      </w:r>
      <w:r>
        <w:rPr>
          <w:rFonts w:hint="eastAsia"/>
          <w:lang w:val="en-US" w:eastAsia="zh-CN"/>
        </w:rPr>
        <w:t>8</w:t>
      </w:r>
      <w:r>
        <w:t xml:space="preserve"> </w:t>
      </w:r>
      <w:r>
        <w:rPr>
          <w:rFonts w:hint="eastAsia"/>
        </w:rPr>
        <w:t>应急演练图片</w:t>
      </w:r>
      <w:bookmarkEnd w:id="173"/>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672"/>
        <w:gridCol w:w="504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672" w:type="dxa"/>
          </w:tcPr>
          <w:p>
            <w:pPr>
              <w:ind w:firstLine="0" w:firstLineChars="0"/>
              <w:jc w:val="center"/>
              <w:rPr>
                <w:rFonts w:hint="eastAsia" w:eastAsia="宋体"/>
                <w:lang w:eastAsia="zh-CN"/>
              </w:rPr>
            </w:pPr>
            <w:r>
              <w:rPr>
                <w:rFonts w:hint="eastAsia" w:eastAsia="宋体"/>
                <w:lang w:eastAsia="zh-CN"/>
              </w:rPr>
              <w:drawing>
                <wp:inline distT="0" distB="0" distL="114300" distR="114300">
                  <wp:extent cx="2617470" cy="3270250"/>
                  <wp:effectExtent l="0" t="0" r="11430" b="6350"/>
                  <wp:docPr id="75" name="图片 75" descr="培训及演练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培训及演练 2"/>
                          <pic:cNvPicPr>
                            <a:picLocks noChangeAspect="1"/>
                          </pic:cNvPicPr>
                        </pic:nvPicPr>
                        <pic:blipFill>
                          <a:blip r:embed="rId35"/>
                          <a:stretch>
                            <a:fillRect/>
                          </a:stretch>
                        </pic:blipFill>
                        <pic:spPr>
                          <a:xfrm>
                            <a:off x="0" y="0"/>
                            <a:ext cx="2617470" cy="3270250"/>
                          </a:xfrm>
                          <a:prstGeom prst="rect">
                            <a:avLst/>
                          </a:prstGeom>
                        </pic:spPr>
                      </pic:pic>
                    </a:graphicData>
                  </a:graphic>
                </wp:inline>
              </w:drawing>
            </w:r>
          </w:p>
        </w:tc>
        <w:tc>
          <w:tcPr>
            <w:tcW w:w="5040" w:type="dxa"/>
          </w:tcPr>
          <w:p>
            <w:pPr>
              <w:ind w:firstLine="0" w:firstLineChars="0"/>
              <w:jc w:val="center"/>
              <w:rPr>
                <w:rFonts w:hint="eastAsia" w:eastAsia="宋体"/>
                <w:lang w:eastAsia="zh-CN"/>
              </w:rPr>
            </w:pPr>
            <w:r>
              <w:rPr>
                <w:rFonts w:hint="eastAsia" w:eastAsia="宋体"/>
                <w:lang w:eastAsia="zh-CN"/>
              </w:rPr>
              <w:drawing>
                <wp:inline distT="0" distB="0" distL="114300" distR="114300">
                  <wp:extent cx="2653665" cy="3292475"/>
                  <wp:effectExtent l="0" t="0" r="635" b="9525"/>
                  <wp:docPr id="76" name="图片 76" descr="培训及演练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培训及演练 4"/>
                          <pic:cNvPicPr>
                            <a:picLocks noChangeAspect="1"/>
                          </pic:cNvPicPr>
                        </pic:nvPicPr>
                        <pic:blipFill>
                          <a:blip r:embed="rId36"/>
                          <a:stretch>
                            <a:fillRect/>
                          </a:stretch>
                        </pic:blipFill>
                        <pic:spPr>
                          <a:xfrm>
                            <a:off x="0" y="0"/>
                            <a:ext cx="2653665" cy="329247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672" w:type="dxa"/>
          </w:tcPr>
          <w:p>
            <w:pPr>
              <w:ind w:firstLine="0" w:firstLineChars="0"/>
              <w:jc w:val="center"/>
              <w:rPr>
                <w:rFonts w:hint="eastAsia" w:eastAsia="宋体"/>
                <w:lang w:eastAsia="zh-CN"/>
              </w:rPr>
            </w:pPr>
            <w:r>
              <w:rPr>
                <w:rFonts w:hint="eastAsia" w:eastAsia="宋体"/>
                <w:lang w:eastAsia="zh-CN"/>
              </w:rPr>
              <w:drawing>
                <wp:inline distT="0" distB="0" distL="114300" distR="114300">
                  <wp:extent cx="3410585" cy="2615565"/>
                  <wp:effectExtent l="0" t="0" r="635" b="5715"/>
                  <wp:docPr id="77" name="图片 77" descr="培训及演练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培训及演练 5"/>
                          <pic:cNvPicPr>
                            <a:picLocks noChangeAspect="1"/>
                          </pic:cNvPicPr>
                        </pic:nvPicPr>
                        <pic:blipFill>
                          <a:blip r:embed="rId37"/>
                          <a:stretch>
                            <a:fillRect/>
                          </a:stretch>
                        </pic:blipFill>
                        <pic:spPr>
                          <a:xfrm rot="5400000">
                            <a:off x="0" y="0"/>
                            <a:ext cx="3410585" cy="2615565"/>
                          </a:xfrm>
                          <a:prstGeom prst="rect">
                            <a:avLst/>
                          </a:prstGeom>
                        </pic:spPr>
                      </pic:pic>
                    </a:graphicData>
                  </a:graphic>
                </wp:inline>
              </w:drawing>
            </w:r>
          </w:p>
        </w:tc>
        <w:tc>
          <w:tcPr>
            <w:tcW w:w="5040" w:type="dxa"/>
          </w:tcPr>
          <w:p>
            <w:pPr>
              <w:ind w:firstLine="0" w:firstLineChars="0"/>
              <w:jc w:val="center"/>
              <w:rPr>
                <w:rFonts w:hint="eastAsia" w:eastAsia="宋体"/>
                <w:lang w:eastAsia="zh-CN"/>
              </w:rPr>
            </w:pPr>
            <w:r>
              <w:rPr>
                <w:rFonts w:hint="eastAsia" w:eastAsia="宋体"/>
                <w:lang w:eastAsia="zh-CN"/>
              </w:rPr>
              <w:drawing>
                <wp:inline distT="0" distB="0" distL="114300" distR="114300">
                  <wp:extent cx="3465830" cy="2652395"/>
                  <wp:effectExtent l="0" t="0" r="1905" b="1270"/>
                  <wp:docPr id="78" name="图片 78" descr="培训及演练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培训及演练 8"/>
                          <pic:cNvPicPr>
                            <a:picLocks noChangeAspect="1"/>
                          </pic:cNvPicPr>
                        </pic:nvPicPr>
                        <pic:blipFill>
                          <a:blip r:embed="rId38"/>
                          <a:stretch>
                            <a:fillRect/>
                          </a:stretch>
                        </pic:blipFill>
                        <pic:spPr>
                          <a:xfrm rot="5400000">
                            <a:off x="0" y="0"/>
                            <a:ext cx="3465830" cy="2652395"/>
                          </a:xfrm>
                          <a:prstGeom prst="rect">
                            <a:avLst/>
                          </a:prstGeom>
                        </pic:spPr>
                      </pic:pic>
                    </a:graphicData>
                  </a:graphic>
                </wp:inline>
              </w:drawing>
            </w:r>
          </w:p>
        </w:tc>
      </w:tr>
    </w:tbl>
    <w:p>
      <w:pPr>
        <w:ind w:firstLine="0" w:firstLineChars="0"/>
        <w:sectPr>
          <w:pgSz w:w="11906" w:h="16838"/>
          <w:pgMar w:top="1440" w:right="1276" w:bottom="1440" w:left="1134" w:header="851" w:footer="992" w:gutter="0"/>
          <w:pgBorders>
            <w:top w:val="none" w:sz="0" w:space="0"/>
            <w:left w:val="none" w:sz="0" w:space="0"/>
            <w:bottom w:val="none" w:sz="0" w:space="0"/>
            <w:right w:val="none" w:sz="0" w:space="0"/>
          </w:pgBorders>
          <w:pgNumType w:fmt="decimal"/>
          <w:cols w:space="0" w:num="1"/>
          <w:rtlGutter w:val="0"/>
          <w:docGrid w:type="linesAndChars" w:linePitch="381" w:charSpace="1588"/>
        </w:sectPr>
      </w:pPr>
    </w:p>
    <w:p>
      <w:pPr>
        <w:ind w:firstLine="0" w:firstLineChars="0"/>
        <w:outlineLvl w:val="0"/>
      </w:pPr>
      <w:bookmarkStart w:id="174" w:name="_Toc13841"/>
      <w:r>
        <w:rPr>
          <w:rFonts w:hint="eastAsia"/>
        </w:rPr>
        <w:t>附件1</w:t>
      </w:r>
      <w:r>
        <w:t xml:space="preserve"> </w:t>
      </w:r>
      <w:r>
        <w:rPr>
          <w:rFonts w:hint="eastAsia"/>
          <w:lang w:eastAsia="zh-CN"/>
        </w:rPr>
        <w:t>南昌</w:t>
      </w:r>
      <w:r>
        <w:rPr>
          <w:rFonts w:hint="eastAsia"/>
          <w:lang w:val="en-US" w:eastAsia="zh-CN"/>
        </w:rPr>
        <w:t>双港供水有限公司</w:t>
      </w:r>
      <w:r>
        <w:rPr>
          <w:rFonts w:hint="eastAsia"/>
          <w:lang w:eastAsia="zh-CN"/>
        </w:rPr>
        <w:t>环评</w:t>
      </w:r>
      <w:r>
        <w:rPr>
          <w:rFonts w:hint="eastAsia"/>
        </w:rPr>
        <w:t>批复</w:t>
      </w:r>
      <w:bookmarkEnd w:id="174"/>
    </w:p>
    <w:p>
      <w:pPr>
        <w:widowControl/>
        <w:spacing w:line="240" w:lineRule="auto"/>
        <w:ind w:firstLine="0" w:firstLineChars="0"/>
        <w:jc w:val="left"/>
        <w:rPr>
          <w:rFonts w:hint="eastAsia" w:eastAsia="宋体"/>
          <w:lang w:eastAsia="zh-CN"/>
        </w:rPr>
      </w:pPr>
      <w:r>
        <w:drawing>
          <wp:inline distT="0" distB="0" distL="114300" distR="114300">
            <wp:extent cx="5689600" cy="7924800"/>
            <wp:effectExtent l="0" t="0" r="0" b="0"/>
            <wp:docPr id="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
                    <pic:cNvPicPr>
                      <a:picLocks noChangeAspect="1"/>
                    </pic:cNvPicPr>
                  </pic:nvPicPr>
                  <pic:blipFill>
                    <a:blip r:embed="rId39"/>
                    <a:stretch>
                      <a:fillRect/>
                    </a:stretch>
                  </pic:blipFill>
                  <pic:spPr>
                    <a:xfrm>
                      <a:off x="0" y="0"/>
                      <a:ext cx="5689600" cy="7924800"/>
                    </a:xfrm>
                    <a:prstGeom prst="rect">
                      <a:avLst/>
                    </a:prstGeom>
                    <a:noFill/>
                    <a:ln>
                      <a:noFill/>
                    </a:ln>
                  </pic:spPr>
                </pic:pic>
              </a:graphicData>
            </a:graphic>
          </wp:inline>
        </w:drawing>
      </w:r>
    </w:p>
    <w:p>
      <w:pPr>
        <w:ind w:firstLine="0" w:firstLineChars="0"/>
        <w:sectPr>
          <w:pgSz w:w="11906" w:h="16838"/>
          <w:pgMar w:top="1440" w:right="1276" w:bottom="1440" w:left="1134" w:header="851" w:footer="992" w:gutter="0"/>
          <w:pgBorders>
            <w:top w:val="none" w:sz="0" w:space="0"/>
            <w:left w:val="none" w:sz="0" w:space="0"/>
            <w:bottom w:val="none" w:sz="0" w:space="0"/>
            <w:right w:val="none" w:sz="0" w:space="0"/>
          </w:pgBorders>
          <w:pgNumType w:fmt="decimal"/>
          <w:cols w:space="425" w:num="1"/>
          <w:docGrid w:type="linesAndChars" w:linePitch="381" w:charSpace="0"/>
        </w:sectPr>
      </w:pPr>
    </w:p>
    <w:p>
      <w:pPr>
        <w:ind w:firstLine="0" w:firstLineChars="0"/>
        <w:rPr>
          <w:rFonts w:hint="eastAsia" w:eastAsia="宋体"/>
          <w:lang w:eastAsia="zh-CN"/>
        </w:rPr>
      </w:pPr>
      <w:r>
        <w:drawing>
          <wp:inline distT="0" distB="0" distL="114300" distR="114300">
            <wp:extent cx="6028690" cy="7878445"/>
            <wp:effectExtent l="0" t="0" r="3810" b="8255"/>
            <wp:docPr id="8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5"/>
                    <pic:cNvPicPr>
                      <a:picLocks noChangeAspect="1"/>
                    </pic:cNvPicPr>
                  </pic:nvPicPr>
                  <pic:blipFill>
                    <a:blip r:embed="rId40"/>
                    <a:stretch>
                      <a:fillRect/>
                    </a:stretch>
                  </pic:blipFill>
                  <pic:spPr>
                    <a:xfrm>
                      <a:off x="0" y="0"/>
                      <a:ext cx="6028690" cy="7878445"/>
                    </a:xfrm>
                    <a:prstGeom prst="rect">
                      <a:avLst/>
                    </a:prstGeom>
                    <a:noFill/>
                    <a:ln>
                      <a:noFill/>
                    </a:ln>
                  </pic:spPr>
                </pic:pic>
              </a:graphicData>
            </a:graphic>
          </wp:inline>
        </w:drawing>
      </w:r>
    </w:p>
    <w:p>
      <w:pPr>
        <w:ind w:firstLine="0" w:firstLineChars="0"/>
        <w:rPr>
          <w:rFonts w:hint="eastAsia" w:eastAsia="宋体"/>
          <w:lang w:eastAsia="zh-CN"/>
        </w:rPr>
        <w:sectPr>
          <w:pgSz w:w="11906" w:h="16838"/>
          <w:pgMar w:top="1440" w:right="1276" w:bottom="1440" w:left="1134" w:header="851" w:footer="992" w:gutter="0"/>
          <w:pgBorders>
            <w:top w:val="none" w:sz="0" w:space="0"/>
            <w:left w:val="none" w:sz="0" w:space="0"/>
            <w:bottom w:val="none" w:sz="0" w:space="0"/>
            <w:right w:val="none" w:sz="0" w:space="0"/>
          </w:pgBorders>
          <w:pgNumType w:fmt="decimal"/>
          <w:cols w:space="425" w:num="1"/>
          <w:docGrid w:type="linesAndChars" w:linePitch="381" w:charSpace="0"/>
        </w:sectPr>
      </w:pPr>
    </w:p>
    <w:p>
      <w:pPr>
        <w:ind w:firstLine="0" w:firstLineChars="0"/>
        <w:rPr>
          <w:rFonts w:hint="eastAsia" w:eastAsia="宋体"/>
          <w:lang w:eastAsia="zh-CN"/>
        </w:rPr>
        <w:sectPr>
          <w:pgSz w:w="11906" w:h="16838"/>
          <w:pgMar w:top="1440" w:right="1276" w:bottom="1440" w:left="1134" w:header="851" w:footer="992" w:gutter="0"/>
          <w:pgBorders>
            <w:top w:val="none" w:sz="0" w:space="0"/>
            <w:left w:val="none" w:sz="0" w:space="0"/>
            <w:bottom w:val="none" w:sz="0" w:space="0"/>
            <w:right w:val="none" w:sz="0" w:space="0"/>
          </w:pgBorders>
          <w:pgNumType w:fmt="decimal"/>
          <w:cols w:space="425" w:num="1"/>
          <w:docGrid w:type="linesAndChars" w:linePitch="381" w:charSpace="0"/>
        </w:sectPr>
      </w:pPr>
      <w:r>
        <w:drawing>
          <wp:inline distT="0" distB="0" distL="114300" distR="114300">
            <wp:extent cx="6028055" cy="8556625"/>
            <wp:effectExtent l="0" t="0" r="4445" b="3175"/>
            <wp:docPr id="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6"/>
                    <pic:cNvPicPr>
                      <a:picLocks noChangeAspect="1"/>
                    </pic:cNvPicPr>
                  </pic:nvPicPr>
                  <pic:blipFill>
                    <a:blip r:embed="rId41"/>
                    <a:stretch>
                      <a:fillRect/>
                    </a:stretch>
                  </pic:blipFill>
                  <pic:spPr>
                    <a:xfrm>
                      <a:off x="0" y="0"/>
                      <a:ext cx="6028055" cy="8556625"/>
                    </a:xfrm>
                    <a:prstGeom prst="rect">
                      <a:avLst/>
                    </a:prstGeom>
                    <a:noFill/>
                    <a:ln>
                      <a:noFill/>
                    </a:ln>
                  </pic:spPr>
                </pic:pic>
              </a:graphicData>
            </a:graphic>
          </wp:inline>
        </w:drawing>
      </w:r>
    </w:p>
    <w:p>
      <w:pPr>
        <w:ind w:firstLine="0" w:firstLineChars="0"/>
        <w:rPr>
          <w:rFonts w:hint="eastAsia" w:eastAsia="宋体"/>
          <w:lang w:eastAsia="zh-CN"/>
        </w:rPr>
        <w:sectPr>
          <w:pgSz w:w="11906" w:h="16838"/>
          <w:pgMar w:top="1440" w:right="1276" w:bottom="1440" w:left="1134" w:header="851" w:footer="992" w:gutter="0"/>
          <w:pgBorders>
            <w:top w:val="none" w:sz="0" w:space="0"/>
            <w:left w:val="none" w:sz="0" w:space="0"/>
            <w:bottom w:val="none" w:sz="0" w:space="0"/>
            <w:right w:val="none" w:sz="0" w:space="0"/>
          </w:pgBorders>
          <w:pgNumType w:fmt="decimal"/>
          <w:cols w:space="425" w:num="1"/>
          <w:docGrid w:type="linesAndChars" w:linePitch="381" w:charSpace="0"/>
        </w:sectPr>
      </w:pPr>
      <w:r>
        <w:drawing>
          <wp:inline distT="0" distB="0" distL="114300" distR="114300">
            <wp:extent cx="6028055" cy="8556625"/>
            <wp:effectExtent l="0" t="0" r="4445" b="3175"/>
            <wp:docPr id="8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7"/>
                    <pic:cNvPicPr>
                      <a:picLocks noChangeAspect="1"/>
                    </pic:cNvPicPr>
                  </pic:nvPicPr>
                  <pic:blipFill>
                    <a:blip r:embed="rId42"/>
                    <a:stretch>
                      <a:fillRect/>
                    </a:stretch>
                  </pic:blipFill>
                  <pic:spPr>
                    <a:xfrm>
                      <a:off x="0" y="0"/>
                      <a:ext cx="6028055" cy="8556625"/>
                    </a:xfrm>
                    <a:prstGeom prst="rect">
                      <a:avLst/>
                    </a:prstGeom>
                    <a:noFill/>
                    <a:ln>
                      <a:noFill/>
                    </a:ln>
                  </pic:spPr>
                </pic:pic>
              </a:graphicData>
            </a:graphic>
          </wp:inline>
        </w:drawing>
      </w:r>
    </w:p>
    <w:p>
      <w:pPr>
        <w:ind w:firstLine="0" w:firstLineChars="0"/>
        <w:rPr>
          <w:rFonts w:hint="eastAsia" w:eastAsia="宋体"/>
          <w:lang w:eastAsia="zh-CN"/>
        </w:rPr>
        <w:sectPr>
          <w:pgSz w:w="11906" w:h="16838"/>
          <w:pgMar w:top="1440" w:right="1276" w:bottom="1440" w:left="1134" w:header="851" w:footer="992" w:gutter="0"/>
          <w:pgBorders>
            <w:top w:val="none" w:sz="0" w:space="0"/>
            <w:left w:val="none" w:sz="0" w:space="0"/>
            <w:bottom w:val="none" w:sz="0" w:space="0"/>
            <w:right w:val="none" w:sz="0" w:space="0"/>
          </w:pgBorders>
          <w:pgNumType w:fmt="decimal"/>
          <w:cols w:space="425" w:num="1"/>
          <w:docGrid w:type="linesAndChars" w:linePitch="381" w:charSpace="0"/>
        </w:sectPr>
      </w:pPr>
      <w:r>
        <w:drawing>
          <wp:inline distT="0" distB="0" distL="114300" distR="114300">
            <wp:extent cx="6027420" cy="8288020"/>
            <wp:effectExtent l="0" t="0" r="5080" b="5080"/>
            <wp:docPr id="8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
                    <pic:cNvPicPr>
                      <a:picLocks noChangeAspect="1"/>
                    </pic:cNvPicPr>
                  </pic:nvPicPr>
                  <pic:blipFill>
                    <a:blip r:embed="rId43"/>
                    <a:stretch>
                      <a:fillRect/>
                    </a:stretch>
                  </pic:blipFill>
                  <pic:spPr>
                    <a:xfrm>
                      <a:off x="0" y="0"/>
                      <a:ext cx="6027420" cy="8288020"/>
                    </a:xfrm>
                    <a:prstGeom prst="rect">
                      <a:avLst/>
                    </a:prstGeom>
                    <a:noFill/>
                    <a:ln>
                      <a:noFill/>
                    </a:ln>
                  </pic:spPr>
                </pic:pic>
              </a:graphicData>
            </a:graphic>
          </wp:inline>
        </w:drawing>
      </w:r>
    </w:p>
    <w:p>
      <w:pPr>
        <w:ind w:firstLine="0" w:firstLineChars="0"/>
        <w:rPr>
          <w:rFonts w:hint="eastAsia" w:eastAsia="宋体"/>
          <w:lang w:eastAsia="zh-CN"/>
        </w:rPr>
      </w:pPr>
      <w:r>
        <w:drawing>
          <wp:inline distT="0" distB="0" distL="114300" distR="114300">
            <wp:extent cx="6017895" cy="8512810"/>
            <wp:effectExtent l="0" t="0" r="1905" b="8890"/>
            <wp:docPr id="8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9"/>
                    <pic:cNvPicPr>
                      <a:picLocks noChangeAspect="1"/>
                    </pic:cNvPicPr>
                  </pic:nvPicPr>
                  <pic:blipFill>
                    <a:blip r:embed="rId44"/>
                    <a:stretch>
                      <a:fillRect/>
                    </a:stretch>
                  </pic:blipFill>
                  <pic:spPr>
                    <a:xfrm>
                      <a:off x="0" y="0"/>
                      <a:ext cx="6017895" cy="8512810"/>
                    </a:xfrm>
                    <a:prstGeom prst="rect">
                      <a:avLst/>
                    </a:prstGeom>
                    <a:noFill/>
                    <a:ln>
                      <a:noFill/>
                    </a:ln>
                  </pic:spPr>
                </pic:pic>
              </a:graphicData>
            </a:graphic>
          </wp:inline>
        </w:drawing>
      </w:r>
    </w:p>
    <w:p>
      <w:pPr>
        <w:ind w:firstLine="0" w:firstLineChars="0"/>
        <w:rPr>
          <w:rFonts w:hint="eastAsia" w:eastAsia="宋体"/>
          <w:lang w:eastAsia="zh-CN"/>
        </w:rPr>
      </w:pPr>
      <w:r>
        <w:drawing>
          <wp:inline distT="0" distB="0" distL="114300" distR="114300">
            <wp:extent cx="6017895" cy="8512810"/>
            <wp:effectExtent l="0" t="0" r="1905" b="8890"/>
            <wp:docPr id="8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0"/>
                    <pic:cNvPicPr>
                      <a:picLocks noChangeAspect="1"/>
                    </pic:cNvPicPr>
                  </pic:nvPicPr>
                  <pic:blipFill>
                    <a:blip r:embed="rId45"/>
                    <a:stretch>
                      <a:fillRect/>
                    </a:stretch>
                  </pic:blipFill>
                  <pic:spPr>
                    <a:xfrm>
                      <a:off x="0" y="0"/>
                      <a:ext cx="6017895" cy="8512810"/>
                    </a:xfrm>
                    <a:prstGeom prst="rect">
                      <a:avLst/>
                    </a:prstGeom>
                    <a:noFill/>
                    <a:ln>
                      <a:noFill/>
                    </a:ln>
                  </pic:spPr>
                </pic:pic>
              </a:graphicData>
            </a:graphic>
          </wp:inline>
        </w:drawing>
      </w:r>
    </w:p>
    <w:p>
      <w:pPr>
        <w:ind w:firstLine="0" w:firstLineChars="0"/>
        <w:rPr>
          <w:rFonts w:hint="eastAsia" w:eastAsia="宋体"/>
          <w:lang w:eastAsia="zh-CN"/>
        </w:rPr>
      </w:pPr>
      <w:r>
        <w:drawing>
          <wp:inline distT="0" distB="0" distL="114300" distR="114300">
            <wp:extent cx="6017895" cy="8512810"/>
            <wp:effectExtent l="0" t="0" r="1905" b="8890"/>
            <wp:docPr id="8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1"/>
                    <pic:cNvPicPr>
                      <a:picLocks noChangeAspect="1"/>
                    </pic:cNvPicPr>
                  </pic:nvPicPr>
                  <pic:blipFill>
                    <a:blip r:embed="rId46"/>
                    <a:stretch>
                      <a:fillRect/>
                    </a:stretch>
                  </pic:blipFill>
                  <pic:spPr>
                    <a:xfrm>
                      <a:off x="0" y="0"/>
                      <a:ext cx="6017895" cy="8512810"/>
                    </a:xfrm>
                    <a:prstGeom prst="rect">
                      <a:avLst/>
                    </a:prstGeom>
                    <a:noFill/>
                    <a:ln>
                      <a:noFill/>
                    </a:ln>
                  </pic:spPr>
                </pic:pic>
              </a:graphicData>
            </a:graphic>
          </wp:inline>
        </w:drawing>
      </w:r>
    </w:p>
    <w:p>
      <w:pPr>
        <w:ind w:firstLine="0" w:firstLineChars="0"/>
      </w:pPr>
      <w:r>
        <w:drawing>
          <wp:inline distT="0" distB="0" distL="114300" distR="114300">
            <wp:extent cx="6017895" cy="8512810"/>
            <wp:effectExtent l="0" t="0" r="1905" b="8890"/>
            <wp:docPr id="9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2"/>
                    <pic:cNvPicPr>
                      <a:picLocks noChangeAspect="1"/>
                    </pic:cNvPicPr>
                  </pic:nvPicPr>
                  <pic:blipFill>
                    <a:blip r:embed="rId47"/>
                    <a:stretch>
                      <a:fillRect/>
                    </a:stretch>
                  </pic:blipFill>
                  <pic:spPr>
                    <a:xfrm>
                      <a:off x="0" y="0"/>
                      <a:ext cx="6017895" cy="8512810"/>
                    </a:xfrm>
                    <a:prstGeom prst="rect">
                      <a:avLst/>
                    </a:prstGeom>
                    <a:noFill/>
                    <a:ln>
                      <a:noFill/>
                    </a:ln>
                  </pic:spPr>
                </pic:pic>
              </a:graphicData>
            </a:graphic>
          </wp:inline>
        </w:drawing>
      </w:r>
    </w:p>
    <w:p>
      <w:pPr>
        <w:ind w:firstLine="0" w:firstLineChars="0"/>
        <w:sectPr>
          <w:pgSz w:w="11906" w:h="16838"/>
          <w:pgMar w:top="1440" w:right="1276" w:bottom="1440" w:left="1134" w:header="851" w:footer="992" w:gutter="0"/>
          <w:pgBorders>
            <w:top w:val="none" w:sz="0" w:space="0"/>
            <w:left w:val="none" w:sz="0" w:space="0"/>
            <w:bottom w:val="none" w:sz="0" w:space="0"/>
            <w:right w:val="none" w:sz="0" w:space="0"/>
          </w:pgBorders>
          <w:pgNumType w:fmt="decimal"/>
          <w:cols w:space="425" w:num="1"/>
          <w:docGrid w:type="linesAndChars" w:linePitch="381" w:charSpace="0"/>
        </w:sectPr>
      </w:pPr>
    </w:p>
    <w:p>
      <w:pPr>
        <w:spacing w:after="1143" w:afterLines="300"/>
        <w:ind w:firstLine="0" w:firstLineChars="0"/>
        <w:outlineLvl w:val="0"/>
      </w:pPr>
      <w:bookmarkStart w:id="175" w:name="_Toc13703"/>
      <w:r>
        <w:rPr>
          <w:rFonts w:hint="eastAsia"/>
        </w:rPr>
        <w:t>附件</w:t>
      </w:r>
      <w:r>
        <w:rPr>
          <w:rFonts w:hint="eastAsia"/>
          <w:lang w:val="en-US" w:eastAsia="zh-CN"/>
        </w:rPr>
        <w:t>2</w:t>
      </w:r>
      <w:r>
        <w:t xml:space="preserve"> </w:t>
      </w:r>
      <w:r>
        <w:rPr>
          <w:rFonts w:hint="eastAsia"/>
        </w:rPr>
        <w:t>公司内部应急处置人员联系电话</w:t>
      </w:r>
      <w:bookmarkEnd w:id="175"/>
    </w:p>
    <w:tbl>
      <w:tblPr>
        <w:tblStyle w:val="15"/>
        <w:tblpPr w:leftFromText="180" w:rightFromText="180" w:vertAnchor="text" w:horzAnchor="margin" w:tblpY="15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1"/>
        <w:gridCol w:w="2412"/>
        <w:gridCol w:w="1960"/>
        <w:gridCol w:w="2245"/>
        <w:gridCol w:w="19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60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序号</w:t>
            </w:r>
          </w:p>
        </w:tc>
        <w:tc>
          <w:tcPr>
            <w:tcW w:w="124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姓  名</w:t>
            </w:r>
          </w:p>
        </w:tc>
        <w:tc>
          <w:tcPr>
            <w:tcW w:w="1009"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岗位</w:t>
            </w:r>
          </w:p>
        </w:tc>
        <w:tc>
          <w:tcPr>
            <w:tcW w:w="1156"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联系方式</w:t>
            </w:r>
          </w:p>
        </w:tc>
        <w:tc>
          <w:tcPr>
            <w:tcW w:w="98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60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w:t>
            </w:r>
          </w:p>
        </w:tc>
        <w:tc>
          <w:tcPr>
            <w:tcW w:w="124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唐</w:t>
            </w:r>
            <w:r>
              <w:rPr>
                <w:rFonts w:hint="eastAsia" w:cs="Times New Roman"/>
                <w:color w:val="000000"/>
                <w:kern w:val="0"/>
                <w:sz w:val="21"/>
                <w:szCs w:val="21"/>
                <w:lang w:val="en-US" w:eastAsia="zh-CN"/>
              </w:rPr>
              <w:tab/>
            </w:r>
            <w:r>
              <w:rPr>
                <w:rFonts w:hint="eastAsia" w:cs="Times New Roman"/>
                <w:color w:val="000000"/>
                <w:kern w:val="0"/>
                <w:sz w:val="21"/>
                <w:szCs w:val="21"/>
                <w:lang w:val="en-US" w:eastAsia="zh-CN"/>
              </w:rPr>
              <w:t xml:space="preserve"> 辉</w:t>
            </w:r>
          </w:p>
        </w:tc>
        <w:tc>
          <w:tcPr>
            <w:tcW w:w="1009"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组长</w:t>
            </w:r>
          </w:p>
        </w:tc>
        <w:tc>
          <w:tcPr>
            <w:tcW w:w="1156"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18720077818</w:t>
            </w:r>
          </w:p>
        </w:tc>
        <w:tc>
          <w:tcPr>
            <w:tcW w:w="98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60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2</w:t>
            </w:r>
          </w:p>
        </w:tc>
        <w:tc>
          <w:tcPr>
            <w:tcW w:w="124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邓江莉</w:t>
            </w:r>
          </w:p>
        </w:tc>
        <w:tc>
          <w:tcPr>
            <w:tcW w:w="1009"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组员</w:t>
            </w:r>
          </w:p>
        </w:tc>
        <w:tc>
          <w:tcPr>
            <w:tcW w:w="1156"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13970027701</w:t>
            </w:r>
          </w:p>
        </w:tc>
        <w:tc>
          <w:tcPr>
            <w:tcW w:w="98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60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3</w:t>
            </w:r>
          </w:p>
        </w:tc>
        <w:tc>
          <w:tcPr>
            <w:tcW w:w="124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李国平</w:t>
            </w:r>
          </w:p>
        </w:tc>
        <w:tc>
          <w:tcPr>
            <w:tcW w:w="1009"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组员</w:t>
            </w:r>
          </w:p>
        </w:tc>
        <w:tc>
          <w:tcPr>
            <w:tcW w:w="1156"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13870971365</w:t>
            </w:r>
          </w:p>
        </w:tc>
        <w:tc>
          <w:tcPr>
            <w:tcW w:w="98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60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4</w:t>
            </w:r>
          </w:p>
        </w:tc>
        <w:tc>
          <w:tcPr>
            <w:tcW w:w="124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吴华敏</w:t>
            </w:r>
          </w:p>
        </w:tc>
        <w:tc>
          <w:tcPr>
            <w:tcW w:w="1009"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组员</w:t>
            </w:r>
          </w:p>
        </w:tc>
        <w:tc>
          <w:tcPr>
            <w:tcW w:w="1156"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13330098266</w:t>
            </w:r>
          </w:p>
        </w:tc>
        <w:tc>
          <w:tcPr>
            <w:tcW w:w="98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60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5</w:t>
            </w:r>
          </w:p>
        </w:tc>
        <w:tc>
          <w:tcPr>
            <w:tcW w:w="124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李银保</w:t>
            </w:r>
          </w:p>
        </w:tc>
        <w:tc>
          <w:tcPr>
            <w:tcW w:w="1009"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组员</w:t>
            </w:r>
          </w:p>
        </w:tc>
        <w:tc>
          <w:tcPr>
            <w:tcW w:w="1156"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15879101929</w:t>
            </w:r>
          </w:p>
        </w:tc>
        <w:tc>
          <w:tcPr>
            <w:tcW w:w="98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60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6</w:t>
            </w:r>
          </w:p>
        </w:tc>
        <w:tc>
          <w:tcPr>
            <w:tcW w:w="124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范延辉</w:t>
            </w:r>
          </w:p>
        </w:tc>
        <w:tc>
          <w:tcPr>
            <w:tcW w:w="1009"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组员</w:t>
            </w:r>
          </w:p>
        </w:tc>
        <w:tc>
          <w:tcPr>
            <w:tcW w:w="1156"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13970997355</w:t>
            </w:r>
          </w:p>
        </w:tc>
        <w:tc>
          <w:tcPr>
            <w:tcW w:w="98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60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7</w:t>
            </w:r>
          </w:p>
        </w:tc>
        <w:tc>
          <w:tcPr>
            <w:tcW w:w="124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魏道钲</w:t>
            </w:r>
          </w:p>
        </w:tc>
        <w:tc>
          <w:tcPr>
            <w:tcW w:w="1009"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组员</w:t>
            </w:r>
          </w:p>
        </w:tc>
        <w:tc>
          <w:tcPr>
            <w:tcW w:w="1156"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18579068807</w:t>
            </w:r>
          </w:p>
        </w:tc>
        <w:tc>
          <w:tcPr>
            <w:tcW w:w="98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p>
        </w:tc>
      </w:tr>
    </w:tbl>
    <w:p>
      <w:pPr>
        <w:ind w:firstLine="0" w:firstLineChars="0"/>
        <w:sectPr>
          <w:pgSz w:w="11906" w:h="16838"/>
          <w:pgMar w:top="1440" w:right="1276" w:bottom="1440" w:left="1134" w:header="851" w:footer="992" w:gutter="0"/>
          <w:pgBorders>
            <w:top w:val="none" w:sz="0" w:space="0"/>
            <w:left w:val="none" w:sz="0" w:space="0"/>
            <w:bottom w:val="none" w:sz="0" w:space="0"/>
            <w:right w:val="none" w:sz="0" w:space="0"/>
          </w:pgBorders>
          <w:pgNumType w:fmt="decimal"/>
          <w:cols w:space="425" w:num="1"/>
          <w:docGrid w:type="linesAndChars" w:linePitch="381" w:charSpace="0"/>
        </w:sectPr>
      </w:pPr>
    </w:p>
    <w:p>
      <w:pPr>
        <w:spacing w:after="1143" w:afterLines="300"/>
        <w:ind w:firstLine="0" w:firstLineChars="0"/>
        <w:outlineLvl w:val="0"/>
        <w:rPr>
          <w:rFonts w:hint="eastAsia"/>
        </w:rPr>
      </w:pPr>
      <w:bookmarkStart w:id="176" w:name="_Toc8244"/>
      <w:r>
        <w:rPr>
          <w:rFonts w:hint="eastAsia"/>
        </w:rPr>
        <w:t>附件</w:t>
      </w:r>
      <w:r>
        <w:rPr>
          <w:rFonts w:hint="eastAsia"/>
          <w:lang w:val="en-US" w:eastAsia="zh-CN"/>
        </w:rPr>
        <w:t>3</w:t>
      </w:r>
      <w:r>
        <w:t xml:space="preserve"> </w:t>
      </w:r>
      <w:bookmarkStart w:id="177" w:name="_Toc21721"/>
      <w:r>
        <w:rPr>
          <w:rFonts w:hint="eastAsia"/>
        </w:rPr>
        <w:t>应急各组成员联系方式</w:t>
      </w:r>
      <w:bookmarkEnd w:id="176"/>
      <w:bookmarkEnd w:id="177"/>
    </w:p>
    <w:tbl>
      <w:tblPr>
        <w:tblStyle w:val="15"/>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6"/>
        <w:gridCol w:w="800"/>
        <w:gridCol w:w="3908"/>
        <w:gridCol w:w="2118"/>
        <w:gridCol w:w="18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51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eastAsia" w:ascii="宋体" w:hAnsi="宋体" w:cs="宋体"/>
                <w:spacing w:val="4"/>
                <w:sz w:val="24"/>
              </w:rPr>
            </w:pPr>
            <w:r>
              <w:rPr>
                <w:rFonts w:hint="eastAsia" w:ascii="宋体" w:hAnsi="宋体" w:cs="宋体"/>
                <w:spacing w:val="4"/>
                <w:sz w:val="24"/>
              </w:rPr>
              <w:t>序号</w:t>
            </w:r>
          </w:p>
        </w:tc>
        <w:tc>
          <w:tcPr>
            <w:tcW w:w="41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eastAsia" w:ascii="宋体" w:hAnsi="宋体" w:cs="宋体"/>
                <w:spacing w:val="4"/>
                <w:sz w:val="24"/>
              </w:rPr>
            </w:pPr>
            <w:r>
              <w:rPr>
                <w:rFonts w:hint="eastAsia" w:ascii="宋体" w:hAnsi="宋体" w:cs="宋体"/>
                <w:spacing w:val="4"/>
                <w:sz w:val="24"/>
              </w:rPr>
              <w:t>组名</w:t>
            </w:r>
          </w:p>
        </w:tc>
        <w:tc>
          <w:tcPr>
            <w:tcW w:w="201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eastAsia" w:ascii="宋体" w:hAnsi="宋体" w:cs="宋体"/>
                <w:spacing w:val="4"/>
                <w:sz w:val="24"/>
              </w:rPr>
            </w:pPr>
            <w:r>
              <w:rPr>
                <w:rFonts w:hint="eastAsia" w:ascii="宋体" w:hAnsi="宋体" w:cs="宋体"/>
                <w:spacing w:val="4"/>
                <w:sz w:val="24"/>
              </w:rPr>
              <w:t>成员</w:t>
            </w:r>
          </w:p>
        </w:tc>
        <w:tc>
          <w:tcPr>
            <w:tcW w:w="109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eastAsia" w:ascii="宋体" w:hAnsi="宋体" w:cs="宋体"/>
                <w:spacing w:val="4"/>
                <w:sz w:val="24"/>
              </w:rPr>
            </w:pPr>
            <w:r>
              <w:rPr>
                <w:rFonts w:hint="eastAsia" w:ascii="宋体" w:hAnsi="宋体" w:cs="宋体"/>
                <w:spacing w:val="4"/>
                <w:sz w:val="24"/>
              </w:rPr>
              <w:t>手机号码</w:t>
            </w:r>
          </w:p>
        </w:tc>
        <w:tc>
          <w:tcPr>
            <w:tcW w:w="9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eastAsia" w:ascii="宋体" w:hAnsi="宋体" w:cs="宋体"/>
                <w:spacing w:val="4"/>
                <w:sz w:val="24"/>
              </w:rPr>
            </w:pPr>
            <w:r>
              <w:rPr>
                <w:rFonts w:hint="eastAsia" w:ascii="宋体" w:hAnsi="宋体" w:cs="宋体"/>
                <w:spacing w:val="4"/>
                <w:sz w:val="24"/>
              </w:rPr>
              <w:t>职 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eastAsia" w:ascii="宋体" w:hAnsi="宋体" w:cs="宋体"/>
                <w:spacing w:val="4"/>
                <w:sz w:val="24"/>
              </w:rPr>
            </w:pPr>
            <w:r>
              <w:rPr>
                <w:rFonts w:hint="eastAsia" w:ascii="宋体" w:hAnsi="宋体" w:cs="宋体"/>
                <w:spacing w:val="4"/>
                <w:sz w:val="24"/>
              </w:rPr>
              <w:t>1</w:t>
            </w:r>
          </w:p>
        </w:tc>
        <w:tc>
          <w:tcPr>
            <w:tcW w:w="412" w:type="pct"/>
            <w:vMerge w:val="restart"/>
            <w:noWrap w:val="0"/>
            <w:textDirection w:val="tbRlV"/>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eastAsia" w:ascii="宋体" w:hAnsi="宋体" w:cs="宋体"/>
                <w:spacing w:val="4"/>
                <w:sz w:val="24"/>
              </w:rPr>
            </w:pPr>
            <w:r>
              <w:rPr>
                <w:rFonts w:hint="eastAsia" w:ascii="宋体" w:hAnsi="宋体" w:cs="宋体"/>
                <w:spacing w:val="4"/>
                <w:sz w:val="24"/>
              </w:rPr>
              <w:t>抢险救援组</w:t>
            </w:r>
          </w:p>
        </w:tc>
        <w:tc>
          <w:tcPr>
            <w:tcW w:w="201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eastAsia" w:ascii="宋体" w:hAnsi="宋体" w:cs="宋体"/>
                <w:color w:val="auto"/>
                <w:spacing w:val="4"/>
                <w:sz w:val="24"/>
                <w:lang w:val="en-US" w:eastAsia="zh-CN"/>
              </w:rPr>
            </w:pPr>
            <w:r>
              <w:rPr>
                <w:rFonts w:hint="eastAsia" w:ascii="宋体" w:hAnsi="宋体" w:cs="宋体"/>
                <w:color w:val="auto"/>
                <w:spacing w:val="4"/>
                <w:sz w:val="24"/>
                <w:lang w:eastAsia="zh-CN"/>
              </w:rPr>
              <w:t>李国平</w:t>
            </w:r>
          </w:p>
        </w:tc>
        <w:tc>
          <w:tcPr>
            <w:tcW w:w="109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eastAsia" w:ascii="宋体" w:hAnsi="宋体" w:cs="宋体"/>
                <w:color w:val="auto"/>
                <w:spacing w:val="4"/>
                <w:sz w:val="24"/>
                <w:lang w:val="en-US" w:eastAsia="zh-CN"/>
              </w:rPr>
            </w:pPr>
            <w:r>
              <w:rPr>
                <w:rFonts w:hint="eastAsia" w:ascii="宋体" w:hAnsi="宋体" w:cs="宋体"/>
                <w:color w:val="auto"/>
                <w:spacing w:val="4"/>
                <w:sz w:val="24"/>
                <w:lang w:eastAsia="zh-CN"/>
              </w:rPr>
              <w:t>13870971365</w:t>
            </w:r>
          </w:p>
        </w:tc>
        <w:tc>
          <w:tcPr>
            <w:tcW w:w="9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eastAsia" w:ascii="宋体" w:hAnsi="宋体" w:cs="宋体"/>
                <w:color w:val="auto"/>
                <w:sz w:val="24"/>
              </w:rPr>
            </w:pPr>
            <w:r>
              <w:rPr>
                <w:rFonts w:hint="eastAsia" w:ascii="宋体" w:hAnsi="宋体" w:cs="宋体"/>
                <w:color w:val="auto"/>
                <w:sz w:val="24"/>
              </w:rPr>
              <w:t>组长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eastAsia" w:ascii="宋体" w:hAnsi="宋体" w:cs="宋体"/>
                <w:spacing w:val="4"/>
                <w:sz w:val="24"/>
              </w:rPr>
            </w:pPr>
            <w:r>
              <w:rPr>
                <w:rFonts w:hint="eastAsia" w:ascii="宋体" w:hAnsi="宋体" w:cs="宋体"/>
                <w:spacing w:val="4"/>
                <w:sz w:val="24"/>
              </w:rPr>
              <w:t>2</w:t>
            </w:r>
          </w:p>
        </w:tc>
        <w:tc>
          <w:tcPr>
            <w:tcW w:w="412"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eastAsia" w:ascii="宋体" w:hAnsi="宋体" w:cs="宋体"/>
                <w:spacing w:val="4"/>
                <w:sz w:val="24"/>
              </w:rPr>
            </w:pPr>
          </w:p>
        </w:tc>
        <w:tc>
          <w:tcPr>
            <w:tcW w:w="201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default" w:ascii="宋体" w:hAnsi="宋体" w:cs="宋体"/>
                <w:color w:val="auto"/>
                <w:spacing w:val="4"/>
                <w:sz w:val="24"/>
                <w:lang w:val="en-US" w:eastAsia="zh-CN"/>
              </w:rPr>
            </w:pPr>
            <w:r>
              <w:rPr>
                <w:rFonts w:hint="eastAsia" w:ascii="宋体" w:hAnsi="宋体" w:cs="宋体"/>
                <w:color w:val="auto"/>
                <w:spacing w:val="4"/>
                <w:sz w:val="24"/>
                <w:lang w:eastAsia="zh-CN"/>
              </w:rPr>
              <w:t>李</w:t>
            </w:r>
            <w:r>
              <w:rPr>
                <w:rFonts w:hint="eastAsia" w:ascii="宋体" w:hAnsi="宋体" w:cs="宋体"/>
                <w:color w:val="auto"/>
                <w:spacing w:val="4"/>
                <w:sz w:val="24"/>
                <w:lang w:val="en-US" w:eastAsia="zh-CN"/>
              </w:rPr>
              <w:t>银保</w:t>
            </w:r>
          </w:p>
        </w:tc>
        <w:tc>
          <w:tcPr>
            <w:tcW w:w="109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eastAsia" w:ascii="宋体" w:hAnsi="宋体" w:cs="宋体"/>
                <w:color w:val="auto"/>
                <w:spacing w:val="4"/>
                <w:sz w:val="24"/>
                <w:lang w:val="en-US" w:eastAsia="zh-CN"/>
              </w:rPr>
            </w:pPr>
            <w:r>
              <w:rPr>
                <w:rFonts w:hint="eastAsia" w:ascii="宋体" w:hAnsi="宋体" w:cs="宋体"/>
                <w:color w:val="auto"/>
                <w:spacing w:val="4"/>
                <w:sz w:val="24"/>
                <w:lang w:eastAsia="zh-CN"/>
              </w:rPr>
              <w:t>15879101929</w:t>
            </w:r>
          </w:p>
        </w:tc>
        <w:tc>
          <w:tcPr>
            <w:tcW w:w="9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eastAsia" w:ascii="宋体" w:hAnsi="宋体" w:cs="宋体"/>
                <w:color w:val="auto"/>
                <w:spacing w:val="4"/>
                <w:sz w:val="24"/>
              </w:rPr>
            </w:pPr>
            <w:r>
              <w:rPr>
                <w:rFonts w:hint="eastAsia" w:ascii="宋体" w:hAnsi="宋体" w:cs="宋体"/>
                <w:color w:val="auto"/>
                <w:spacing w:val="4"/>
                <w:sz w:val="24"/>
              </w:rPr>
              <w:t>副组长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eastAsia" w:ascii="宋体" w:hAnsi="宋体" w:cs="宋体"/>
                <w:spacing w:val="4"/>
                <w:sz w:val="24"/>
              </w:rPr>
            </w:pPr>
            <w:r>
              <w:rPr>
                <w:rFonts w:hint="eastAsia" w:ascii="宋体" w:hAnsi="宋体" w:cs="宋体"/>
                <w:spacing w:val="4"/>
                <w:sz w:val="24"/>
              </w:rPr>
              <w:t>3</w:t>
            </w:r>
          </w:p>
        </w:tc>
        <w:tc>
          <w:tcPr>
            <w:tcW w:w="412"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eastAsia" w:ascii="宋体" w:hAnsi="宋体" w:cs="宋体"/>
                <w:spacing w:val="4"/>
                <w:sz w:val="24"/>
              </w:rPr>
            </w:pPr>
          </w:p>
        </w:tc>
        <w:tc>
          <w:tcPr>
            <w:tcW w:w="201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eastAsia" w:ascii="宋体" w:hAnsi="宋体" w:cs="宋体"/>
                <w:color w:val="auto"/>
                <w:spacing w:val="4"/>
                <w:sz w:val="24"/>
                <w:lang w:val="en-US" w:eastAsia="zh-CN"/>
              </w:rPr>
            </w:pPr>
            <w:r>
              <w:rPr>
                <w:rFonts w:hint="eastAsia" w:ascii="宋体" w:hAnsi="宋体" w:cs="宋体"/>
                <w:color w:val="auto"/>
                <w:spacing w:val="4"/>
                <w:sz w:val="24"/>
                <w:lang w:val="en-US" w:eastAsia="zh-CN"/>
              </w:rPr>
              <w:t>龚敏</w:t>
            </w:r>
          </w:p>
        </w:tc>
        <w:tc>
          <w:tcPr>
            <w:tcW w:w="109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default" w:ascii="宋体" w:hAnsi="宋体" w:cs="宋体"/>
                <w:color w:val="auto"/>
                <w:spacing w:val="4"/>
                <w:sz w:val="24"/>
                <w:lang w:val="en-US" w:eastAsia="zh-CN"/>
              </w:rPr>
            </w:pPr>
            <w:r>
              <w:rPr>
                <w:rFonts w:hint="eastAsia" w:ascii="宋体" w:hAnsi="宋体" w:cs="宋体"/>
                <w:color w:val="auto"/>
                <w:spacing w:val="4"/>
                <w:sz w:val="24"/>
                <w:lang w:val="en-US" w:eastAsia="zh-CN"/>
              </w:rPr>
              <w:t>13607042934</w:t>
            </w:r>
          </w:p>
        </w:tc>
        <w:tc>
          <w:tcPr>
            <w:tcW w:w="9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eastAsia" w:ascii="宋体" w:hAnsi="宋体" w:cs="宋体"/>
                <w:color w:val="auto"/>
                <w:spacing w:val="4"/>
                <w:sz w:val="24"/>
              </w:rPr>
            </w:pPr>
            <w:r>
              <w:rPr>
                <w:rFonts w:hint="eastAsia" w:ascii="宋体" w:hAnsi="宋体" w:cs="宋体"/>
                <w:color w:val="auto"/>
                <w:spacing w:val="4"/>
                <w:sz w:val="24"/>
              </w:rPr>
              <w:t>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eastAsia" w:ascii="宋体" w:hAnsi="宋体" w:cs="宋体"/>
                <w:spacing w:val="4"/>
                <w:sz w:val="24"/>
              </w:rPr>
            </w:pPr>
            <w:r>
              <w:rPr>
                <w:rFonts w:hint="eastAsia" w:ascii="宋体" w:hAnsi="宋体" w:cs="宋体"/>
                <w:spacing w:val="4"/>
                <w:sz w:val="24"/>
              </w:rPr>
              <w:t>4</w:t>
            </w:r>
          </w:p>
        </w:tc>
        <w:tc>
          <w:tcPr>
            <w:tcW w:w="412"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eastAsia" w:ascii="宋体" w:hAnsi="宋体" w:cs="宋体"/>
                <w:spacing w:val="4"/>
                <w:sz w:val="24"/>
              </w:rPr>
            </w:pPr>
          </w:p>
        </w:tc>
        <w:tc>
          <w:tcPr>
            <w:tcW w:w="201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eastAsia" w:ascii="宋体" w:hAnsi="宋体" w:cs="宋体"/>
                <w:color w:val="auto"/>
                <w:spacing w:val="4"/>
                <w:sz w:val="24"/>
                <w:lang w:val="en-US" w:eastAsia="zh-CN"/>
              </w:rPr>
            </w:pPr>
            <w:r>
              <w:rPr>
                <w:rFonts w:hint="eastAsia" w:ascii="宋体" w:hAnsi="宋体" w:cs="宋体"/>
                <w:color w:val="auto"/>
                <w:spacing w:val="4"/>
                <w:sz w:val="24"/>
                <w:lang w:val="en-US" w:eastAsia="zh-CN"/>
              </w:rPr>
              <w:t>郭耀</w:t>
            </w:r>
          </w:p>
        </w:tc>
        <w:tc>
          <w:tcPr>
            <w:tcW w:w="109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default" w:ascii="宋体" w:hAnsi="宋体" w:cs="宋体"/>
                <w:color w:val="auto"/>
                <w:spacing w:val="4"/>
                <w:sz w:val="24"/>
                <w:lang w:val="en-US" w:eastAsia="zh-CN"/>
              </w:rPr>
            </w:pPr>
            <w:r>
              <w:rPr>
                <w:rFonts w:hint="eastAsia" w:ascii="宋体" w:hAnsi="宋体" w:cs="宋体"/>
                <w:color w:val="auto"/>
                <w:spacing w:val="4"/>
                <w:sz w:val="24"/>
                <w:lang w:val="en-US" w:eastAsia="zh-CN"/>
              </w:rPr>
              <w:t>13607912991</w:t>
            </w:r>
          </w:p>
        </w:tc>
        <w:tc>
          <w:tcPr>
            <w:tcW w:w="9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eastAsia" w:ascii="宋体" w:hAnsi="宋体" w:cs="宋体"/>
                <w:color w:val="auto"/>
                <w:spacing w:val="4"/>
                <w:sz w:val="24"/>
              </w:rPr>
            </w:pPr>
            <w:r>
              <w:rPr>
                <w:rFonts w:hint="eastAsia" w:ascii="宋体" w:hAnsi="宋体" w:cs="宋体"/>
                <w:color w:val="auto"/>
                <w:spacing w:val="4"/>
                <w:sz w:val="24"/>
              </w:rPr>
              <w:t>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eastAsia" w:ascii="宋体" w:hAnsi="宋体" w:cs="宋体"/>
                <w:spacing w:val="4"/>
                <w:sz w:val="24"/>
              </w:rPr>
            </w:pPr>
            <w:r>
              <w:rPr>
                <w:rFonts w:hint="eastAsia" w:ascii="宋体" w:hAnsi="宋体" w:cs="宋体"/>
                <w:spacing w:val="4"/>
                <w:sz w:val="24"/>
              </w:rPr>
              <w:t>5</w:t>
            </w:r>
          </w:p>
        </w:tc>
        <w:tc>
          <w:tcPr>
            <w:tcW w:w="412"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eastAsia" w:ascii="宋体" w:hAnsi="宋体" w:cs="宋体"/>
                <w:spacing w:val="4"/>
                <w:sz w:val="24"/>
              </w:rPr>
            </w:pPr>
          </w:p>
        </w:tc>
        <w:tc>
          <w:tcPr>
            <w:tcW w:w="201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default" w:ascii="宋体" w:hAnsi="宋体" w:cs="宋体"/>
                <w:color w:val="auto"/>
                <w:spacing w:val="4"/>
                <w:sz w:val="24"/>
                <w:lang w:val="en-US" w:eastAsia="zh-CN"/>
              </w:rPr>
            </w:pPr>
            <w:r>
              <w:rPr>
                <w:rFonts w:hint="eastAsia" w:ascii="宋体" w:hAnsi="宋体" w:cs="宋体"/>
                <w:color w:val="auto"/>
                <w:spacing w:val="4"/>
                <w:sz w:val="24"/>
                <w:lang w:val="en-US" w:eastAsia="zh-CN"/>
              </w:rPr>
              <w:t>范延辉</w:t>
            </w:r>
          </w:p>
        </w:tc>
        <w:tc>
          <w:tcPr>
            <w:tcW w:w="109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default" w:ascii="宋体" w:hAnsi="宋体" w:cs="宋体"/>
                <w:color w:val="auto"/>
                <w:spacing w:val="4"/>
                <w:sz w:val="24"/>
                <w:lang w:val="en-US" w:eastAsia="zh-CN"/>
              </w:rPr>
            </w:pPr>
            <w:r>
              <w:rPr>
                <w:rFonts w:hint="eastAsia" w:ascii="宋体" w:hAnsi="宋体" w:cs="宋体"/>
                <w:color w:val="auto"/>
                <w:spacing w:val="4"/>
                <w:sz w:val="24"/>
                <w:lang w:val="en-US" w:eastAsia="zh-CN"/>
              </w:rPr>
              <w:t>13970997355</w:t>
            </w:r>
          </w:p>
        </w:tc>
        <w:tc>
          <w:tcPr>
            <w:tcW w:w="9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宋体" w:hAnsi="宋体" w:cs="宋体"/>
                <w:color w:val="auto"/>
                <w:spacing w:val="4"/>
                <w:sz w:val="24"/>
              </w:rPr>
            </w:pPr>
            <w:r>
              <w:rPr>
                <w:rFonts w:hint="eastAsia" w:ascii="宋体" w:hAnsi="宋体" w:cs="宋体"/>
                <w:color w:val="auto"/>
                <w:spacing w:val="4"/>
                <w:sz w:val="24"/>
              </w:rPr>
              <w:t>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eastAsia" w:ascii="宋体" w:hAnsi="宋体" w:cs="宋体"/>
                <w:spacing w:val="4"/>
                <w:sz w:val="24"/>
              </w:rPr>
            </w:pPr>
            <w:r>
              <w:rPr>
                <w:rFonts w:hint="eastAsia" w:ascii="宋体" w:hAnsi="宋体" w:cs="宋体"/>
                <w:spacing w:val="4"/>
                <w:sz w:val="24"/>
              </w:rPr>
              <w:t>6</w:t>
            </w:r>
          </w:p>
        </w:tc>
        <w:tc>
          <w:tcPr>
            <w:tcW w:w="412"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eastAsia" w:ascii="宋体" w:hAnsi="宋体" w:cs="宋体"/>
                <w:spacing w:val="4"/>
                <w:sz w:val="24"/>
              </w:rPr>
            </w:pPr>
            <w:r>
              <w:rPr>
                <w:rFonts w:hint="eastAsia" w:ascii="宋体" w:hAnsi="宋体" w:cs="宋体"/>
                <w:spacing w:val="4"/>
                <w:sz w:val="24"/>
                <w:lang w:eastAsia="zh-CN"/>
              </w:rPr>
              <w:t>通讯联络</w:t>
            </w:r>
            <w:r>
              <w:rPr>
                <w:rFonts w:hint="eastAsia" w:ascii="宋体" w:hAnsi="宋体" w:cs="宋体"/>
                <w:spacing w:val="4"/>
                <w:sz w:val="24"/>
              </w:rPr>
              <w:t>组</w:t>
            </w:r>
          </w:p>
        </w:tc>
        <w:tc>
          <w:tcPr>
            <w:tcW w:w="2013" w:type="pct"/>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eastAsia" w:ascii="宋体" w:hAnsi="宋体" w:eastAsia="宋体" w:cs="宋体"/>
                <w:color w:val="auto"/>
                <w:spacing w:val="4"/>
                <w:sz w:val="24"/>
                <w:lang w:eastAsia="zh-CN"/>
              </w:rPr>
            </w:pPr>
            <w:r>
              <w:rPr>
                <w:rFonts w:hint="eastAsia" w:ascii="宋体" w:hAnsi="宋体" w:cs="宋体"/>
                <w:color w:val="auto"/>
                <w:spacing w:val="4"/>
                <w:sz w:val="24"/>
                <w:lang w:eastAsia="zh-CN"/>
              </w:rPr>
              <w:t>魏道钲</w:t>
            </w:r>
          </w:p>
        </w:tc>
        <w:tc>
          <w:tcPr>
            <w:tcW w:w="1091" w:type="pct"/>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default" w:ascii="宋体" w:hAnsi="宋体" w:cs="宋体"/>
                <w:color w:val="auto"/>
                <w:sz w:val="24"/>
                <w:lang w:val="en-US"/>
              </w:rPr>
            </w:pPr>
            <w:r>
              <w:rPr>
                <w:rFonts w:hint="eastAsia" w:ascii="宋体" w:hAnsi="宋体" w:cs="宋体"/>
                <w:color w:val="auto"/>
                <w:sz w:val="24"/>
                <w:lang w:val="en-US" w:eastAsia="zh-CN"/>
              </w:rPr>
              <w:t>18579068807</w:t>
            </w:r>
          </w:p>
        </w:tc>
        <w:tc>
          <w:tcPr>
            <w:tcW w:w="9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eastAsia" w:ascii="宋体" w:hAnsi="宋体" w:cs="宋体"/>
                <w:color w:val="auto"/>
                <w:sz w:val="24"/>
              </w:rPr>
            </w:pPr>
            <w:r>
              <w:rPr>
                <w:rFonts w:hint="eastAsia" w:ascii="宋体" w:hAnsi="宋体" w:cs="宋体"/>
                <w:color w:val="auto"/>
                <w:sz w:val="24"/>
              </w:rPr>
              <w:t>组长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eastAsia" w:ascii="宋体" w:hAnsi="宋体" w:cs="宋体"/>
                <w:spacing w:val="4"/>
                <w:sz w:val="24"/>
              </w:rPr>
            </w:pPr>
            <w:r>
              <w:rPr>
                <w:rFonts w:hint="eastAsia" w:ascii="宋体" w:hAnsi="宋体" w:cs="宋体"/>
                <w:spacing w:val="4"/>
                <w:sz w:val="24"/>
              </w:rPr>
              <w:t>7</w:t>
            </w:r>
          </w:p>
        </w:tc>
        <w:tc>
          <w:tcPr>
            <w:tcW w:w="412"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eastAsia" w:ascii="宋体" w:hAnsi="宋体" w:cs="宋体"/>
                <w:spacing w:val="4"/>
                <w:sz w:val="24"/>
              </w:rPr>
            </w:pPr>
          </w:p>
        </w:tc>
        <w:tc>
          <w:tcPr>
            <w:tcW w:w="2013" w:type="pct"/>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eastAsia" w:ascii="宋体" w:hAnsi="宋体" w:eastAsia="宋体" w:cs="宋体"/>
                <w:color w:val="auto"/>
                <w:spacing w:val="4"/>
                <w:sz w:val="24"/>
                <w:lang w:val="en-US" w:eastAsia="zh-CN"/>
              </w:rPr>
            </w:pPr>
            <w:r>
              <w:rPr>
                <w:rFonts w:hint="eastAsia" w:ascii="宋体" w:hAnsi="宋体" w:cs="宋体"/>
                <w:color w:val="auto"/>
                <w:spacing w:val="4"/>
                <w:sz w:val="24"/>
                <w:lang w:val="en-US" w:eastAsia="zh-CN"/>
              </w:rPr>
              <w:t>胡慧琴</w:t>
            </w:r>
          </w:p>
        </w:tc>
        <w:tc>
          <w:tcPr>
            <w:tcW w:w="1091" w:type="pct"/>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default" w:ascii="宋体" w:hAnsi="宋体" w:eastAsia="宋体" w:cs="宋体"/>
                <w:color w:val="auto"/>
                <w:spacing w:val="4"/>
                <w:sz w:val="24"/>
                <w:lang w:val="en-US" w:eastAsia="zh-CN"/>
              </w:rPr>
            </w:pPr>
            <w:r>
              <w:rPr>
                <w:rFonts w:hint="eastAsia" w:ascii="宋体" w:hAnsi="宋体" w:cs="宋体"/>
                <w:color w:val="auto"/>
                <w:sz w:val="24"/>
                <w:lang w:val="en-US" w:eastAsia="zh-CN"/>
              </w:rPr>
              <w:t>13007209503</w:t>
            </w:r>
          </w:p>
        </w:tc>
        <w:tc>
          <w:tcPr>
            <w:tcW w:w="9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eastAsia" w:ascii="宋体" w:hAnsi="宋体" w:cs="宋体"/>
                <w:color w:val="auto"/>
                <w:spacing w:val="4"/>
                <w:sz w:val="24"/>
              </w:rPr>
            </w:pPr>
            <w:r>
              <w:rPr>
                <w:rFonts w:hint="eastAsia" w:ascii="宋体" w:hAnsi="宋体" w:cs="宋体"/>
                <w:color w:val="auto"/>
                <w:spacing w:val="4"/>
                <w:sz w:val="24"/>
              </w:rPr>
              <w:t>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eastAsia" w:ascii="宋体" w:hAnsi="宋体" w:cs="宋体"/>
                <w:spacing w:val="4"/>
                <w:sz w:val="24"/>
              </w:rPr>
            </w:pPr>
            <w:r>
              <w:rPr>
                <w:rFonts w:hint="eastAsia" w:ascii="宋体" w:hAnsi="宋体" w:cs="宋体"/>
                <w:spacing w:val="4"/>
                <w:sz w:val="24"/>
              </w:rPr>
              <w:t>8</w:t>
            </w:r>
          </w:p>
        </w:tc>
        <w:tc>
          <w:tcPr>
            <w:tcW w:w="412"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eastAsia" w:ascii="宋体" w:hAnsi="宋体" w:cs="宋体"/>
                <w:spacing w:val="4"/>
                <w:sz w:val="24"/>
              </w:rPr>
            </w:pPr>
          </w:p>
        </w:tc>
        <w:tc>
          <w:tcPr>
            <w:tcW w:w="2013" w:type="pct"/>
            <w:noWrap w:val="0"/>
            <w:vAlign w:val="bottom"/>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eastAsia" w:ascii="宋体" w:hAnsi="宋体" w:eastAsia="宋体" w:cs="宋体"/>
                <w:color w:val="auto"/>
                <w:spacing w:val="4"/>
                <w:sz w:val="24"/>
                <w:lang w:val="en-US" w:eastAsia="zh-CN"/>
              </w:rPr>
            </w:pPr>
            <w:r>
              <w:rPr>
                <w:rFonts w:hint="eastAsia" w:ascii="宋体" w:hAnsi="宋体" w:cs="宋体"/>
                <w:color w:val="auto"/>
                <w:spacing w:val="4"/>
                <w:sz w:val="24"/>
                <w:lang w:val="en-US" w:eastAsia="zh-CN"/>
              </w:rPr>
              <w:t>邓翔</w:t>
            </w:r>
          </w:p>
        </w:tc>
        <w:tc>
          <w:tcPr>
            <w:tcW w:w="1091" w:type="pct"/>
            <w:noWrap w:val="0"/>
            <w:vAlign w:val="bottom"/>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default" w:ascii="宋体" w:hAnsi="宋体" w:eastAsia="宋体" w:cs="宋体"/>
                <w:color w:val="auto"/>
                <w:spacing w:val="4"/>
                <w:sz w:val="24"/>
                <w:lang w:val="en-US" w:eastAsia="zh-CN"/>
              </w:rPr>
            </w:pPr>
            <w:r>
              <w:rPr>
                <w:rFonts w:hint="eastAsia" w:ascii="宋体" w:hAnsi="宋体" w:cs="宋体"/>
                <w:color w:val="auto"/>
                <w:spacing w:val="4"/>
                <w:sz w:val="24"/>
                <w:lang w:val="en-US" w:eastAsia="zh-CN"/>
              </w:rPr>
              <w:t>18070138608</w:t>
            </w:r>
          </w:p>
        </w:tc>
        <w:tc>
          <w:tcPr>
            <w:tcW w:w="9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eastAsia" w:ascii="宋体" w:hAnsi="宋体" w:cs="宋体"/>
                <w:color w:val="auto"/>
                <w:spacing w:val="4"/>
                <w:sz w:val="24"/>
              </w:rPr>
            </w:pPr>
            <w:r>
              <w:rPr>
                <w:rFonts w:hint="eastAsia" w:ascii="宋体" w:hAnsi="宋体" w:cs="宋体"/>
                <w:color w:val="auto"/>
                <w:spacing w:val="4"/>
                <w:sz w:val="24"/>
              </w:rPr>
              <w:t>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eastAsia" w:ascii="宋体" w:hAnsi="宋体" w:eastAsia="宋体" w:cs="宋体"/>
                <w:spacing w:val="4"/>
                <w:sz w:val="24"/>
                <w:lang w:eastAsia="zh-CN"/>
              </w:rPr>
            </w:pPr>
            <w:r>
              <w:rPr>
                <w:rFonts w:hint="eastAsia" w:ascii="宋体" w:hAnsi="宋体" w:cs="宋体"/>
                <w:spacing w:val="4"/>
                <w:sz w:val="24"/>
                <w:lang w:val="en-US" w:eastAsia="zh-CN"/>
              </w:rPr>
              <w:t>9</w:t>
            </w:r>
          </w:p>
        </w:tc>
        <w:tc>
          <w:tcPr>
            <w:tcW w:w="412"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eastAsia" w:ascii="宋体" w:hAnsi="宋体" w:eastAsia="宋体" w:cs="宋体"/>
                <w:spacing w:val="4"/>
                <w:sz w:val="24"/>
                <w:lang w:eastAsia="zh-CN"/>
              </w:rPr>
            </w:pPr>
            <w:r>
              <w:rPr>
                <w:rFonts w:hint="eastAsia" w:ascii="宋体" w:hAnsi="宋体" w:cs="宋体"/>
                <w:spacing w:val="4"/>
                <w:sz w:val="24"/>
                <w:lang w:eastAsia="zh-CN"/>
              </w:rPr>
              <w:t>警戒疏散</w:t>
            </w:r>
          </w:p>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eastAsia" w:ascii="宋体" w:hAnsi="宋体" w:cs="宋体"/>
                <w:spacing w:val="4"/>
                <w:sz w:val="24"/>
              </w:rPr>
            </w:pPr>
            <w:r>
              <w:rPr>
                <w:rFonts w:hint="eastAsia" w:ascii="宋体" w:hAnsi="宋体" w:cs="宋体"/>
                <w:spacing w:val="4"/>
                <w:sz w:val="24"/>
              </w:rPr>
              <w:t>组</w:t>
            </w:r>
          </w:p>
        </w:tc>
        <w:tc>
          <w:tcPr>
            <w:tcW w:w="2013" w:type="pct"/>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eastAsia" w:ascii="宋体" w:hAnsi="宋体" w:cs="宋体"/>
                <w:color w:val="auto"/>
                <w:spacing w:val="4"/>
                <w:sz w:val="24"/>
              </w:rPr>
            </w:pPr>
            <w:r>
              <w:rPr>
                <w:rFonts w:hint="eastAsia" w:ascii="宋体" w:hAnsi="宋体" w:cs="宋体"/>
                <w:color w:val="auto"/>
                <w:spacing w:val="4"/>
                <w:sz w:val="24"/>
                <w:lang w:eastAsia="zh-CN"/>
              </w:rPr>
              <w:t>邓江莉</w:t>
            </w:r>
          </w:p>
        </w:tc>
        <w:tc>
          <w:tcPr>
            <w:tcW w:w="1091" w:type="pct"/>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eastAsia" w:ascii="宋体" w:hAnsi="宋体" w:cs="宋体"/>
                <w:color w:val="auto"/>
                <w:sz w:val="24"/>
              </w:rPr>
            </w:pPr>
            <w:r>
              <w:rPr>
                <w:rFonts w:hint="eastAsia" w:ascii="宋体" w:hAnsi="宋体" w:cs="宋体"/>
                <w:color w:val="auto"/>
                <w:sz w:val="24"/>
              </w:rPr>
              <w:t>13970027701</w:t>
            </w:r>
          </w:p>
        </w:tc>
        <w:tc>
          <w:tcPr>
            <w:tcW w:w="9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eastAsia" w:ascii="宋体" w:hAnsi="宋体" w:cs="宋体"/>
                <w:color w:val="auto"/>
                <w:sz w:val="24"/>
              </w:rPr>
            </w:pPr>
            <w:r>
              <w:rPr>
                <w:rFonts w:hint="eastAsia" w:ascii="宋体" w:hAnsi="宋体" w:cs="宋体"/>
                <w:color w:val="auto"/>
                <w:sz w:val="24"/>
              </w:rPr>
              <w:t>组长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default" w:ascii="宋体" w:hAnsi="宋体" w:eastAsia="宋体" w:cs="宋体"/>
                <w:spacing w:val="4"/>
                <w:sz w:val="24"/>
                <w:lang w:val="en-US" w:eastAsia="zh-CN"/>
              </w:rPr>
            </w:pPr>
            <w:r>
              <w:rPr>
                <w:rFonts w:hint="eastAsia" w:ascii="宋体" w:hAnsi="宋体" w:cs="宋体"/>
                <w:spacing w:val="4"/>
                <w:sz w:val="24"/>
                <w:lang w:val="en-US" w:eastAsia="zh-CN"/>
              </w:rPr>
              <w:t>10</w:t>
            </w:r>
          </w:p>
        </w:tc>
        <w:tc>
          <w:tcPr>
            <w:tcW w:w="412"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eastAsia" w:ascii="宋体" w:hAnsi="宋体" w:cs="宋体"/>
                <w:spacing w:val="4"/>
                <w:sz w:val="24"/>
              </w:rPr>
            </w:pPr>
          </w:p>
        </w:tc>
        <w:tc>
          <w:tcPr>
            <w:tcW w:w="2013" w:type="pct"/>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eastAsia" w:ascii="宋体" w:hAnsi="宋体" w:eastAsia="宋体" w:cs="宋体"/>
                <w:color w:val="auto"/>
                <w:spacing w:val="4"/>
                <w:sz w:val="24"/>
                <w:lang w:eastAsia="zh-CN"/>
              </w:rPr>
            </w:pPr>
            <w:r>
              <w:rPr>
                <w:rFonts w:hint="eastAsia" w:ascii="宋体" w:hAnsi="宋体" w:cs="宋体"/>
                <w:color w:val="auto"/>
                <w:spacing w:val="4"/>
                <w:sz w:val="24"/>
                <w:lang w:eastAsia="zh-CN"/>
              </w:rPr>
              <w:t>万志辉</w:t>
            </w:r>
          </w:p>
        </w:tc>
        <w:tc>
          <w:tcPr>
            <w:tcW w:w="1091" w:type="pct"/>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default" w:ascii="宋体" w:hAnsi="宋体" w:eastAsia="宋体" w:cs="宋体"/>
                <w:color w:val="auto"/>
                <w:spacing w:val="4"/>
                <w:sz w:val="24"/>
                <w:lang w:val="en-US" w:eastAsia="zh-CN"/>
              </w:rPr>
            </w:pPr>
            <w:r>
              <w:rPr>
                <w:rFonts w:hint="eastAsia" w:ascii="宋体" w:hAnsi="宋体" w:cs="宋体"/>
                <w:color w:val="auto"/>
                <w:spacing w:val="4"/>
                <w:sz w:val="24"/>
                <w:lang w:val="en-US" w:eastAsia="zh-CN"/>
              </w:rPr>
              <w:t>13970027710</w:t>
            </w:r>
          </w:p>
        </w:tc>
        <w:tc>
          <w:tcPr>
            <w:tcW w:w="9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eastAsia" w:ascii="宋体" w:hAnsi="宋体" w:cs="宋体"/>
                <w:color w:val="auto"/>
                <w:spacing w:val="4"/>
                <w:sz w:val="24"/>
              </w:rPr>
            </w:pPr>
            <w:r>
              <w:rPr>
                <w:rFonts w:hint="eastAsia" w:ascii="宋体" w:hAnsi="宋体" w:cs="宋体"/>
                <w:color w:val="auto"/>
                <w:spacing w:val="4"/>
                <w:sz w:val="24"/>
              </w:rPr>
              <w:t>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default" w:ascii="宋体" w:hAnsi="宋体" w:eastAsia="宋体" w:cs="宋体"/>
                <w:spacing w:val="4"/>
                <w:sz w:val="24"/>
                <w:lang w:val="en-US" w:eastAsia="zh-CN"/>
              </w:rPr>
            </w:pPr>
            <w:r>
              <w:rPr>
                <w:rFonts w:hint="eastAsia" w:ascii="宋体" w:hAnsi="宋体" w:cs="宋体"/>
                <w:spacing w:val="4"/>
                <w:sz w:val="24"/>
                <w:lang w:val="en-US" w:eastAsia="zh-CN"/>
              </w:rPr>
              <w:t>11</w:t>
            </w:r>
          </w:p>
        </w:tc>
        <w:tc>
          <w:tcPr>
            <w:tcW w:w="412" w:type="pct"/>
            <w:vMerge w:val="restart"/>
            <w:noWrap w:val="0"/>
            <w:textDirection w:val="tbRlV"/>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eastAsia" w:ascii="宋体" w:hAnsi="宋体" w:cs="宋体"/>
                <w:spacing w:val="4"/>
                <w:sz w:val="24"/>
              </w:rPr>
            </w:pPr>
            <w:r>
              <w:rPr>
                <w:rFonts w:hint="eastAsia" w:ascii="宋体" w:hAnsi="宋体" w:cs="宋体"/>
                <w:spacing w:val="4"/>
                <w:sz w:val="24"/>
                <w:lang w:eastAsia="zh-CN"/>
              </w:rPr>
              <w:t>后勤</w:t>
            </w:r>
            <w:r>
              <w:rPr>
                <w:rFonts w:hint="eastAsia" w:ascii="宋体" w:hAnsi="宋体" w:cs="宋体"/>
                <w:spacing w:val="4"/>
                <w:sz w:val="24"/>
              </w:rPr>
              <w:t>保障组</w:t>
            </w:r>
          </w:p>
        </w:tc>
        <w:tc>
          <w:tcPr>
            <w:tcW w:w="2013" w:type="pct"/>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eastAsia" w:ascii="宋体" w:hAnsi="宋体" w:eastAsia="宋体" w:cs="宋体"/>
                <w:color w:val="auto"/>
                <w:spacing w:val="4"/>
                <w:sz w:val="24"/>
                <w:lang w:eastAsia="zh-CN"/>
              </w:rPr>
            </w:pPr>
            <w:r>
              <w:rPr>
                <w:rFonts w:hint="eastAsia" w:ascii="宋体" w:hAnsi="宋体" w:cs="宋体"/>
                <w:color w:val="auto"/>
                <w:spacing w:val="4"/>
                <w:sz w:val="24"/>
                <w:lang w:eastAsia="zh-CN"/>
              </w:rPr>
              <w:t>吴华敏</w:t>
            </w:r>
          </w:p>
        </w:tc>
        <w:tc>
          <w:tcPr>
            <w:tcW w:w="1091" w:type="pct"/>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eastAsia" w:ascii="宋体" w:hAnsi="宋体" w:cs="宋体"/>
                <w:color w:val="auto"/>
                <w:spacing w:val="4"/>
                <w:sz w:val="24"/>
              </w:rPr>
            </w:pPr>
            <w:r>
              <w:rPr>
                <w:rFonts w:hint="eastAsia" w:ascii="宋体" w:hAnsi="宋体" w:cs="宋体"/>
                <w:color w:val="auto"/>
                <w:spacing w:val="4"/>
                <w:sz w:val="24"/>
              </w:rPr>
              <w:t>13330098266</w:t>
            </w:r>
          </w:p>
        </w:tc>
        <w:tc>
          <w:tcPr>
            <w:tcW w:w="9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eastAsia" w:ascii="宋体" w:hAnsi="宋体" w:cs="宋体"/>
                <w:color w:val="auto"/>
                <w:spacing w:val="4"/>
                <w:sz w:val="24"/>
              </w:rPr>
            </w:pPr>
            <w:r>
              <w:rPr>
                <w:rFonts w:hint="eastAsia" w:ascii="宋体" w:hAnsi="宋体" w:cs="宋体"/>
                <w:color w:val="auto"/>
                <w:spacing w:val="4"/>
                <w:sz w:val="24"/>
              </w:rPr>
              <w:t>组长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default" w:ascii="宋体" w:hAnsi="宋体" w:eastAsia="宋体" w:cs="宋体"/>
                <w:spacing w:val="4"/>
                <w:sz w:val="24"/>
                <w:lang w:val="en-US" w:eastAsia="zh-CN"/>
              </w:rPr>
            </w:pPr>
            <w:r>
              <w:rPr>
                <w:rFonts w:hint="eastAsia" w:ascii="宋体" w:hAnsi="宋体" w:cs="宋体"/>
                <w:spacing w:val="4"/>
                <w:sz w:val="24"/>
                <w:lang w:val="en-US" w:eastAsia="zh-CN"/>
              </w:rPr>
              <w:t>12</w:t>
            </w:r>
          </w:p>
        </w:tc>
        <w:tc>
          <w:tcPr>
            <w:tcW w:w="412" w:type="pct"/>
            <w:vMerge w:val="continue"/>
            <w:noWrap w:val="0"/>
            <w:textDirection w:val="tbRlV"/>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eastAsia" w:ascii="宋体" w:hAnsi="宋体" w:cs="宋体"/>
                <w:spacing w:val="4"/>
                <w:sz w:val="24"/>
              </w:rPr>
            </w:pPr>
          </w:p>
        </w:tc>
        <w:tc>
          <w:tcPr>
            <w:tcW w:w="2013" w:type="pct"/>
            <w:noWrap w:val="0"/>
            <w:vAlign w:val="bottom"/>
          </w:tcPr>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default" w:ascii="宋体" w:hAnsi="宋体" w:eastAsia="宋体" w:cs="宋体"/>
                <w:color w:val="auto"/>
                <w:spacing w:val="4"/>
                <w:kern w:val="2"/>
                <w:sz w:val="24"/>
                <w:szCs w:val="24"/>
                <w:lang w:val="en-US" w:eastAsia="zh-CN" w:bidi="ar-SA"/>
              </w:rPr>
            </w:pPr>
            <w:r>
              <w:rPr>
                <w:rFonts w:hint="eastAsia" w:ascii="宋体" w:hAnsi="宋体" w:eastAsia="宋体" w:cs="宋体"/>
                <w:color w:val="auto"/>
                <w:spacing w:val="4"/>
                <w:kern w:val="2"/>
                <w:sz w:val="24"/>
                <w:szCs w:val="24"/>
                <w:lang w:val="en-US" w:eastAsia="zh-CN" w:bidi="ar-SA"/>
              </w:rPr>
              <w:t>余翠华</w:t>
            </w:r>
          </w:p>
        </w:tc>
        <w:tc>
          <w:tcPr>
            <w:tcW w:w="1091" w:type="pct"/>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default" w:ascii="宋体" w:hAnsi="宋体" w:eastAsia="宋体" w:cs="宋体"/>
                <w:color w:val="auto"/>
                <w:spacing w:val="4"/>
                <w:kern w:val="2"/>
                <w:sz w:val="24"/>
                <w:szCs w:val="24"/>
                <w:lang w:val="en-US" w:eastAsia="zh-CN" w:bidi="ar-SA"/>
              </w:rPr>
            </w:pPr>
            <w:r>
              <w:rPr>
                <w:rFonts w:hint="eastAsia" w:ascii="宋体" w:hAnsi="宋体" w:cs="宋体"/>
                <w:color w:val="auto"/>
                <w:spacing w:val="4"/>
                <w:sz w:val="24"/>
                <w:lang w:val="en-US" w:eastAsia="zh-CN"/>
              </w:rPr>
              <w:t>13970043128</w:t>
            </w:r>
          </w:p>
        </w:tc>
        <w:tc>
          <w:tcPr>
            <w:tcW w:w="9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宋体" w:hAnsi="宋体" w:cs="宋体"/>
                <w:color w:val="auto"/>
                <w:spacing w:val="4"/>
                <w:kern w:val="2"/>
                <w:sz w:val="24"/>
                <w:szCs w:val="24"/>
                <w:lang w:val="en-US" w:eastAsia="zh-CN" w:bidi="ar-SA"/>
              </w:rPr>
            </w:pPr>
            <w:r>
              <w:rPr>
                <w:rFonts w:hint="eastAsia" w:ascii="宋体" w:hAnsi="宋体" w:cs="宋体"/>
                <w:color w:val="auto"/>
                <w:spacing w:val="4"/>
                <w:sz w:val="24"/>
              </w:rPr>
              <w:t>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51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default" w:ascii="宋体" w:hAnsi="宋体" w:eastAsia="宋体" w:cs="宋体"/>
                <w:spacing w:val="4"/>
                <w:sz w:val="24"/>
                <w:lang w:val="en-US" w:eastAsia="zh-CN"/>
              </w:rPr>
            </w:pPr>
            <w:r>
              <w:rPr>
                <w:rFonts w:hint="eastAsia" w:ascii="宋体" w:hAnsi="宋体" w:cs="宋体"/>
                <w:spacing w:val="4"/>
                <w:sz w:val="24"/>
                <w:lang w:val="en-US" w:eastAsia="zh-CN"/>
              </w:rPr>
              <w:t>13</w:t>
            </w:r>
          </w:p>
        </w:tc>
        <w:tc>
          <w:tcPr>
            <w:tcW w:w="412" w:type="pct"/>
            <w:vMerge w:val="continue"/>
            <w:noWrap w:val="0"/>
            <w:textDirection w:val="tbRlV"/>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eastAsia" w:ascii="宋体" w:hAnsi="宋体" w:cs="宋体"/>
                <w:spacing w:val="4"/>
                <w:sz w:val="24"/>
              </w:rPr>
            </w:pPr>
          </w:p>
        </w:tc>
        <w:tc>
          <w:tcPr>
            <w:tcW w:w="2013" w:type="pct"/>
            <w:noWrap w:val="0"/>
            <w:vAlign w:val="bottom"/>
          </w:tcPr>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宋体" w:hAnsi="宋体" w:eastAsia="宋体" w:cs="宋体"/>
                <w:color w:val="auto"/>
                <w:spacing w:val="4"/>
                <w:kern w:val="2"/>
                <w:sz w:val="24"/>
                <w:szCs w:val="24"/>
                <w:lang w:val="en-US" w:eastAsia="zh-CN" w:bidi="ar-SA"/>
              </w:rPr>
            </w:pPr>
            <w:r>
              <w:rPr>
                <w:rFonts w:hint="eastAsia" w:ascii="宋体" w:hAnsi="宋体" w:cs="宋体"/>
                <w:color w:val="auto"/>
                <w:spacing w:val="4"/>
                <w:sz w:val="24"/>
                <w:lang w:eastAsia="zh-CN"/>
              </w:rPr>
              <w:t>魏少杰</w:t>
            </w:r>
          </w:p>
        </w:tc>
        <w:tc>
          <w:tcPr>
            <w:tcW w:w="1091" w:type="pct"/>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default" w:ascii="宋体" w:hAnsi="宋体" w:eastAsia="宋体" w:cs="宋体"/>
                <w:color w:val="auto"/>
                <w:spacing w:val="4"/>
                <w:kern w:val="2"/>
                <w:sz w:val="24"/>
                <w:szCs w:val="24"/>
                <w:lang w:val="en-US" w:eastAsia="zh-CN" w:bidi="ar-SA"/>
              </w:rPr>
            </w:pPr>
            <w:r>
              <w:rPr>
                <w:rFonts w:hint="eastAsia" w:ascii="宋体" w:hAnsi="宋体" w:cs="宋体"/>
                <w:color w:val="auto"/>
                <w:spacing w:val="4"/>
                <w:kern w:val="2"/>
                <w:sz w:val="24"/>
                <w:szCs w:val="24"/>
                <w:lang w:val="en-US" w:eastAsia="zh-CN" w:bidi="ar-SA"/>
              </w:rPr>
              <w:t>13970065544</w:t>
            </w:r>
          </w:p>
        </w:tc>
        <w:tc>
          <w:tcPr>
            <w:tcW w:w="9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宋体" w:hAnsi="宋体" w:cs="宋体"/>
                <w:color w:val="auto"/>
                <w:spacing w:val="4"/>
                <w:kern w:val="2"/>
                <w:sz w:val="24"/>
                <w:szCs w:val="24"/>
                <w:lang w:val="en-US" w:eastAsia="zh-CN" w:bidi="ar-SA"/>
              </w:rPr>
            </w:pPr>
            <w:r>
              <w:rPr>
                <w:rFonts w:hint="eastAsia" w:ascii="宋体" w:hAnsi="宋体" w:cs="宋体"/>
                <w:color w:val="auto"/>
                <w:spacing w:val="4"/>
                <w:sz w:val="24"/>
              </w:rPr>
              <w:t>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51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default" w:ascii="宋体" w:hAnsi="宋体" w:eastAsia="宋体" w:cs="宋体"/>
                <w:spacing w:val="4"/>
                <w:sz w:val="24"/>
                <w:lang w:val="en-US" w:eastAsia="zh-CN"/>
              </w:rPr>
            </w:pPr>
            <w:r>
              <w:rPr>
                <w:rFonts w:hint="eastAsia" w:ascii="宋体" w:hAnsi="宋体" w:cs="宋体"/>
                <w:spacing w:val="4"/>
                <w:sz w:val="24"/>
                <w:lang w:val="en-US" w:eastAsia="zh-CN"/>
              </w:rPr>
              <w:t>14</w:t>
            </w:r>
          </w:p>
        </w:tc>
        <w:tc>
          <w:tcPr>
            <w:tcW w:w="412" w:type="pct"/>
            <w:vMerge w:val="continue"/>
            <w:noWrap w:val="0"/>
            <w:textDirection w:val="tbRlV"/>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eastAsia" w:ascii="宋体" w:hAnsi="宋体" w:cs="宋体"/>
                <w:spacing w:val="4"/>
                <w:sz w:val="24"/>
              </w:rPr>
            </w:pPr>
          </w:p>
        </w:tc>
        <w:tc>
          <w:tcPr>
            <w:tcW w:w="2013" w:type="pct"/>
            <w:noWrap w:val="0"/>
            <w:vAlign w:val="bottom"/>
          </w:tcPr>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default" w:ascii="宋体" w:hAnsi="宋体" w:cs="宋体"/>
                <w:color w:val="auto"/>
                <w:spacing w:val="4"/>
                <w:kern w:val="2"/>
                <w:sz w:val="24"/>
                <w:szCs w:val="24"/>
                <w:lang w:val="en-US" w:eastAsia="zh-CN" w:bidi="ar-SA"/>
              </w:rPr>
            </w:pPr>
            <w:r>
              <w:rPr>
                <w:rFonts w:hint="eastAsia" w:ascii="宋体" w:hAnsi="宋体" w:cs="宋体"/>
                <w:color w:val="auto"/>
                <w:spacing w:val="4"/>
                <w:sz w:val="24"/>
                <w:lang w:val="en-US" w:eastAsia="zh-CN"/>
              </w:rPr>
              <w:t>熊海克</w:t>
            </w:r>
          </w:p>
        </w:tc>
        <w:tc>
          <w:tcPr>
            <w:tcW w:w="1091" w:type="pct"/>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default" w:ascii="宋体" w:hAnsi="宋体" w:eastAsia="宋体" w:cs="宋体"/>
                <w:color w:val="auto"/>
                <w:spacing w:val="4"/>
                <w:kern w:val="2"/>
                <w:sz w:val="24"/>
                <w:szCs w:val="24"/>
                <w:lang w:val="en-US" w:eastAsia="zh-CN" w:bidi="ar-SA"/>
              </w:rPr>
            </w:pPr>
            <w:r>
              <w:rPr>
                <w:rFonts w:hint="eastAsia" w:ascii="宋体" w:hAnsi="宋体" w:cs="宋体"/>
                <w:color w:val="auto"/>
                <w:spacing w:val="4"/>
                <w:sz w:val="24"/>
                <w:lang w:val="en-US" w:eastAsia="zh-CN"/>
              </w:rPr>
              <w:t>13879101015</w:t>
            </w:r>
          </w:p>
        </w:tc>
        <w:tc>
          <w:tcPr>
            <w:tcW w:w="9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宋体" w:hAnsi="宋体" w:cs="宋体"/>
                <w:color w:val="auto"/>
                <w:spacing w:val="4"/>
                <w:kern w:val="2"/>
                <w:sz w:val="24"/>
                <w:szCs w:val="24"/>
                <w:lang w:val="en-US" w:eastAsia="zh-CN" w:bidi="ar-SA"/>
              </w:rPr>
            </w:pPr>
            <w:r>
              <w:rPr>
                <w:rFonts w:hint="eastAsia" w:ascii="宋体" w:hAnsi="宋体" w:cs="宋体"/>
                <w:color w:val="auto"/>
                <w:spacing w:val="4"/>
                <w:sz w:val="24"/>
              </w:rPr>
              <w:t>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51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default" w:ascii="宋体" w:hAnsi="宋体" w:eastAsia="宋体" w:cs="宋体"/>
                <w:spacing w:val="4"/>
                <w:sz w:val="24"/>
                <w:lang w:val="en-US" w:eastAsia="zh-CN"/>
              </w:rPr>
            </w:pPr>
            <w:r>
              <w:rPr>
                <w:rFonts w:hint="eastAsia" w:ascii="宋体" w:hAnsi="宋体" w:cs="宋体"/>
                <w:spacing w:val="4"/>
                <w:sz w:val="24"/>
                <w:lang w:val="en-US" w:eastAsia="zh-CN"/>
              </w:rPr>
              <w:t>15</w:t>
            </w:r>
          </w:p>
        </w:tc>
        <w:tc>
          <w:tcPr>
            <w:tcW w:w="412" w:type="pct"/>
            <w:vMerge w:val="continue"/>
            <w:noWrap w:val="0"/>
            <w:textDirection w:val="tbRlV"/>
            <w:vAlign w:val="center"/>
          </w:tcPr>
          <w:p>
            <w:pPr>
              <w:keepNext w:val="0"/>
              <w:keepLines w:val="0"/>
              <w:pageBreakBefore w:val="0"/>
              <w:widowControl w:val="0"/>
              <w:kinsoku/>
              <w:wordWrap/>
              <w:overflowPunct/>
              <w:topLinePunct w:val="0"/>
              <w:autoSpaceDE/>
              <w:autoSpaceDN/>
              <w:bidi w:val="0"/>
              <w:adjustRightInd w:val="0"/>
              <w:snapToGrid w:val="0"/>
              <w:spacing w:line="20" w:lineRule="atLeast"/>
              <w:ind w:left="0" w:right="0" w:firstLine="0" w:firstLineChars="0"/>
              <w:jc w:val="center"/>
              <w:textAlignment w:val="auto"/>
              <w:rPr>
                <w:rFonts w:hint="eastAsia" w:ascii="宋体" w:hAnsi="宋体" w:cs="宋体"/>
                <w:spacing w:val="4"/>
                <w:sz w:val="24"/>
              </w:rPr>
            </w:pPr>
          </w:p>
        </w:tc>
        <w:tc>
          <w:tcPr>
            <w:tcW w:w="2013" w:type="pct"/>
            <w:noWrap w:val="0"/>
            <w:vAlign w:val="bottom"/>
          </w:tcPr>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default" w:ascii="宋体" w:hAnsi="宋体" w:cs="宋体"/>
                <w:color w:val="auto"/>
                <w:spacing w:val="4"/>
                <w:kern w:val="2"/>
                <w:sz w:val="24"/>
                <w:szCs w:val="24"/>
                <w:lang w:val="en-US" w:eastAsia="zh-CN" w:bidi="ar-SA"/>
              </w:rPr>
            </w:pPr>
            <w:r>
              <w:rPr>
                <w:rFonts w:hint="eastAsia" w:ascii="宋体" w:hAnsi="宋体" w:cs="宋体"/>
                <w:color w:val="auto"/>
                <w:spacing w:val="4"/>
                <w:kern w:val="2"/>
                <w:sz w:val="24"/>
                <w:szCs w:val="24"/>
                <w:lang w:val="en-US" w:eastAsia="zh-CN" w:bidi="ar-SA"/>
              </w:rPr>
              <w:t>殷文婷</w:t>
            </w:r>
          </w:p>
        </w:tc>
        <w:tc>
          <w:tcPr>
            <w:tcW w:w="1091" w:type="pct"/>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rPr>
                <w:rFonts w:hint="default" w:ascii="宋体" w:hAnsi="宋体" w:eastAsia="宋体" w:cs="宋体"/>
                <w:color w:val="auto"/>
                <w:spacing w:val="4"/>
                <w:kern w:val="2"/>
                <w:sz w:val="24"/>
                <w:szCs w:val="24"/>
                <w:lang w:val="en-US" w:eastAsia="zh-CN" w:bidi="ar-SA"/>
              </w:rPr>
            </w:pPr>
            <w:r>
              <w:rPr>
                <w:rFonts w:hint="eastAsia" w:ascii="宋体" w:hAnsi="宋体" w:cs="宋体"/>
                <w:color w:val="auto"/>
                <w:spacing w:val="4"/>
                <w:sz w:val="24"/>
                <w:lang w:val="en-US" w:eastAsia="zh-CN"/>
              </w:rPr>
              <w:t>13767081816</w:t>
            </w:r>
          </w:p>
        </w:tc>
        <w:tc>
          <w:tcPr>
            <w:tcW w:w="9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宋体" w:hAnsi="宋体" w:cs="宋体"/>
                <w:color w:val="auto"/>
                <w:spacing w:val="4"/>
                <w:kern w:val="2"/>
                <w:sz w:val="24"/>
                <w:szCs w:val="24"/>
                <w:lang w:val="en-US" w:eastAsia="zh-CN" w:bidi="ar-SA"/>
              </w:rPr>
            </w:pPr>
            <w:r>
              <w:rPr>
                <w:rFonts w:hint="eastAsia" w:ascii="宋体" w:hAnsi="宋体" w:cs="宋体"/>
                <w:color w:val="auto"/>
                <w:spacing w:val="4"/>
                <w:sz w:val="24"/>
              </w:rPr>
              <w:t>成员</w:t>
            </w:r>
          </w:p>
        </w:tc>
      </w:tr>
    </w:tbl>
    <w:p>
      <w:pPr>
        <w:rPr>
          <w:rFonts w:hint="eastAsia"/>
        </w:rPr>
      </w:pPr>
      <w:r>
        <w:rPr>
          <w:rFonts w:hint="eastAsia"/>
        </w:rPr>
        <w:br w:type="page"/>
      </w:r>
    </w:p>
    <w:p>
      <w:pPr>
        <w:spacing w:after="1143" w:afterLines="300"/>
        <w:ind w:firstLine="0" w:firstLineChars="0"/>
        <w:outlineLvl w:val="0"/>
      </w:pPr>
      <w:bookmarkStart w:id="178" w:name="_Toc11120"/>
      <w:r>
        <w:rPr>
          <w:rFonts w:hint="eastAsia"/>
        </w:rPr>
        <w:t>附件</w:t>
      </w:r>
      <w:r>
        <w:rPr>
          <w:rFonts w:hint="eastAsia"/>
          <w:lang w:val="en-US" w:eastAsia="zh-CN"/>
        </w:rPr>
        <w:t>4</w:t>
      </w:r>
      <w:r>
        <w:t xml:space="preserve"> </w:t>
      </w:r>
      <w:r>
        <w:rPr>
          <w:rFonts w:hint="eastAsia"/>
        </w:rPr>
        <w:t>公司外部应急处置人员联系电话</w:t>
      </w:r>
      <w:bookmarkEnd w:id="178"/>
    </w:p>
    <w:tbl>
      <w:tblPr>
        <w:tblStyle w:val="15"/>
        <w:tblW w:w="481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44"/>
        <w:gridCol w:w="3185"/>
        <w:gridCol w:w="31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shd w:val="clear" w:color="auto" w:fill="auto"/>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单位</w:t>
            </w:r>
          </w:p>
        </w:tc>
        <w:tc>
          <w:tcPr>
            <w:tcW w:w="1704" w:type="pct"/>
            <w:shd w:val="clear" w:color="auto" w:fill="auto"/>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科室名称</w:t>
            </w:r>
          </w:p>
        </w:tc>
        <w:tc>
          <w:tcPr>
            <w:tcW w:w="1666" w:type="pct"/>
            <w:shd w:val="clear" w:color="auto" w:fill="auto"/>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办公电话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Merge w:val="restart"/>
            <w:vAlign w:val="center"/>
          </w:tcPr>
          <w:p>
            <w:pPr>
              <w:widowControl/>
              <w:snapToGrid w:val="0"/>
              <w:spacing w:line="240" w:lineRule="auto"/>
              <w:ind w:firstLine="0" w:firstLineChars="0"/>
              <w:contextualSpacing/>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南昌市生态环境局</w:t>
            </w:r>
          </w:p>
        </w:tc>
        <w:tc>
          <w:tcPr>
            <w:tcW w:w="1704"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办公室</w:t>
            </w:r>
          </w:p>
        </w:tc>
        <w:tc>
          <w:tcPr>
            <w:tcW w:w="1666"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0791-86356015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Merge w:val="continue"/>
            <w:vAlign w:val="center"/>
          </w:tcPr>
          <w:p>
            <w:pPr>
              <w:widowControl/>
              <w:snapToGrid w:val="0"/>
              <w:spacing w:line="240" w:lineRule="auto"/>
              <w:ind w:firstLine="0" w:firstLineChars="0"/>
              <w:contextualSpacing/>
              <w:jc w:val="center"/>
              <w:rPr>
                <w:rFonts w:cs="Times New Roman"/>
                <w:color w:val="000000"/>
                <w:kern w:val="0"/>
                <w:sz w:val="21"/>
                <w:szCs w:val="21"/>
              </w:rPr>
            </w:pPr>
          </w:p>
        </w:tc>
        <w:tc>
          <w:tcPr>
            <w:tcW w:w="1704"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hint="eastAsia" w:cs="Times New Roman"/>
                <w:color w:val="000000"/>
                <w:kern w:val="0"/>
                <w:sz w:val="21"/>
                <w:szCs w:val="21"/>
              </w:rPr>
              <w:t>污染防治处</w:t>
            </w:r>
          </w:p>
        </w:tc>
        <w:tc>
          <w:tcPr>
            <w:tcW w:w="1666"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0791-86356022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Merge w:val="continue"/>
            <w:vAlign w:val="center"/>
          </w:tcPr>
          <w:p>
            <w:pPr>
              <w:widowControl/>
              <w:snapToGrid w:val="0"/>
              <w:spacing w:line="240" w:lineRule="auto"/>
              <w:ind w:firstLine="0" w:firstLineChars="0"/>
              <w:contextualSpacing/>
              <w:jc w:val="center"/>
              <w:rPr>
                <w:rFonts w:cs="Times New Roman"/>
                <w:color w:val="000000"/>
                <w:kern w:val="0"/>
                <w:sz w:val="21"/>
                <w:szCs w:val="21"/>
              </w:rPr>
            </w:pPr>
          </w:p>
        </w:tc>
        <w:tc>
          <w:tcPr>
            <w:tcW w:w="1704" w:type="pct"/>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rPr>
            </w:pPr>
            <w:r>
              <w:rPr>
                <w:rFonts w:hint="eastAsia" w:cs="Times New Roman"/>
                <w:color w:val="000000"/>
                <w:kern w:val="0"/>
                <w:sz w:val="21"/>
                <w:szCs w:val="21"/>
                <w:lang w:val="en-US" w:eastAsia="zh-CN"/>
              </w:rPr>
              <w:t>昌北生态环境局</w:t>
            </w:r>
          </w:p>
        </w:tc>
        <w:tc>
          <w:tcPr>
            <w:tcW w:w="1666" w:type="pct"/>
            <w:vAlign w:val="center"/>
          </w:tcPr>
          <w:p>
            <w:pPr>
              <w:widowControl/>
              <w:snapToGrid w:val="0"/>
              <w:spacing w:line="240" w:lineRule="auto"/>
              <w:ind w:firstLine="0" w:firstLineChars="0"/>
              <w:contextualSpacing/>
              <w:jc w:val="center"/>
              <w:rPr>
                <w:rFonts w:hint="default" w:eastAsia="宋体" w:cs="Times New Roman"/>
                <w:color w:val="000000"/>
                <w:kern w:val="0"/>
                <w:sz w:val="21"/>
                <w:szCs w:val="21"/>
                <w:lang w:val="en-US" w:eastAsia="zh-CN"/>
              </w:rPr>
            </w:pPr>
            <w:r>
              <w:rPr>
                <w:rFonts w:cs="Times New Roman"/>
                <w:color w:val="000000"/>
                <w:kern w:val="0"/>
                <w:sz w:val="21"/>
                <w:szCs w:val="21"/>
                <w:highlight w:val="none"/>
              </w:rPr>
              <w:t>0791-8</w:t>
            </w:r>
            <w:r>
              <w:rPr>
                <w:rFonts w:hint="eastAsia" w:cs="Times New Roman"/>
                <w:color w:val="000000"/>
                <w:kern w:val="0"/>
                <w:sz w:val="21"/>
                <w:szCs w:val="21"/>
                <w:highlight w:val="none"/>
                <w:lang w:val="en-US" w:eastAsia="zh-CN"/>
              </w:rPr>
              <w:t>7121025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hint="eastAsia" w:cs="Times New Roman"/>
                <w:color w:val="000000"/>
                <w:kern w:val="0"/>
                <w:sz w:val="21"/>
                <w:szCs w:val="21"/>
                <w:lang w:val="en-US" w:eastAsia="zh-CN"/>
              </w:rPr>
              <w:t>南昌昌北经开</w:t>
            </w:r>
            <w:r>
              <w:rPr>
                <w:rFonts w:cs="Times New Roman"/>
                <w:color w:val="000000"/>
                <w:kern w:val="0"/>
                <w:sz w:val="21"/>
                <w:szCs w:val="21"/>
              </w:rPr>
              <w:t>区</w:t>
            </w:r>
            <w:r>
              <w:rPr>
                <w:rFonts w:hint="eastAsia" w:cs="Times New Roman"/>
                <w:color w:val="000000"/>
                <w:kern w:val="0"/>
                <w:sz w:val="21"/>
                <w:szCs w:val="21"/>
              </w:rPr>
              <w:t>管委会</w:t>
            </w:r>
          </w:p>
        </w:tc>
        <w:tc>
          <w:tcPr>
            <w:tcW w:w="1704"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办公室</w:t>
            </w:r>
          </w:p>
        </w:tc>
        <w:tc>
          <w:tcPr>
            <w:tcW w:w="1666" w:type="pct"/>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rPr>
            </w:pPr>
            <w:r>
              <w:rPr>
                <w:rFonts w:hint="eastAsia" w:cs="Times New Roman"/>
                <w:color w:val="000000"/>
                <w:kern w:val="0"/>
                <w:sz w:val="21"/>
                <w:szCs w:val="21"/>
                <w:lang w:eastAsia="zh-CN"/>
              </w:rPr>
              <w:t>0791-</w:t>
            </w:r>
            <w:r>
              <w:rPr>
                <w:rFonts w:hint="eastAsia" w:cs="Times New Roman"/>
                <w:color w:val="000000"/>
                <w:kern w:val="0"/>
                <w:sz w:val="21"/>
                <w:szCs w:val="21"/>
                <w:lang w:val="en-US" w:eastAsia="zh-CN"/>
              </w:rPr>
              <w:t>83805600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Merge w:val="restar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hint="eastAsia" w:cs="Times New Roman"/>
                <w:color w:val="000000"/>
                <w:kern w:val="0"/>
                <w:sz w:val="21"/>
                <w:szCs w:val="21"/>
              </w:rPr>
              <w:t>安全</w:t>
            </w:r>
          </w:p>
        </w:tc>
        <w:tc>
          <w:tcPr>
            <w:tcW w:w="1704" w:type="pct"/>
            <w:vAlign w:val="center"/>
          </w:tcPr>
          <w:p>
            <w:pPr>
              <w:widowControl/>
              <w:snapToGrid w:val="0"/>
              <w:spacing w:line="240" w:lineRule="auto"/>
              <w:ind w:firstLine="0" w:firstLineChars="0"/>
              <w:contextualSpacing/>
              <w:jc w:val="center"/>
              <w:rPr>
                <w:rFonts w:hint="eastAsia" w:eastAsia="宋体" w:cs="Times New Roman"/>
                <w:color w:val="000000"/>
                <w:kern w:val="0"/>
                <w:sz w:val="21"/>
                <w:szCs w:val="21"/>
                <w:lang w:eastAsia="zh-CN"/>
              </w:rPr>
            </w:pPr>
            <w:r>
              <w:rPr>
                <w:rFonts w:hint="eastAsia" w:cs="Times New Roman"/>
                <w:color w:val="000000"/>
                <w:kern w:val="0"/>
                <w:sz w:val="21"/>
                <w:szCs w:val="21"/>
              </w:rPr>
              <w:t>南昌市</w:t>
            </w:r>
            <w:r>
              <w:rPr>
                <w:rFonts w:hint="eastAsia" w:cs="Times New Roman"/>
                <w:color w:val="000000"/>
                <w:kern w:val="0"/>
                <w:sz w:val="21"/>
                <w:szCs w:val="21"/>
                <w:lang w:eastAsia="zh-CN"/>
              </w:rPr>
              <w:t>应急管理局</w:t>
            </w:r>
          </w:p>
        </w:tc>
        <w:tc>
          <w:tcPr>
            <w:tcW w:w="1666"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0791-83986158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Merge w:val="continue"/>
            <w:vAlign w:val="center"/>
          </w:tcPr>
          <w:p>
            <w:pPr>
              <w:widowControl/>
              <w:snapToGrid w:val="0"/>
              <w:spacing w:line="240" w:lineRule="auto"/>
              <w:ind w:firstLine="0" w:firstLineChars="0"/>
              <w:contextualSpacing/>
              <w:jc w:val="center"/>
              <w:rPr>
                <w:rFonts w:cs="Times New Roman"/>
                <w:color w:val="000000"/>
                <w:kern w:val="0"/>
                <w:sz w:val="21"/>
                <w:szCs w:val="21"/>
              </w:rPr>
            </w:pPr>
          </w:p>
        </w:tc>
        <w:tc>
          <w:tcPr>
            <w:tcW w:w="1704" w:type="pct"/>
            <w:vAlign w:val="center"/>
          </w:tcPr>
          <w:p>
            <w:pPr>
              <w:widowControl/>
              <w:snapToGrid w:val="0"/>
              <w:spacing w:line="240" w:lineRule="auto"/>
              <w:ind w:firstLine="0" w:firstLineChars="0"/>
              <w:contextualSpacing/>
              <w:jc w:val="center"/>
              <w:rPr>
                <w:rFonts w:hint="eastAsia" w:eastAsia="宋体" w:cs="Times New Roman"/>
                <w:color w:val="000000"/>
                <w:kern w:val="0"/>
                <w:sz w:val="21"/>
                <w:szCs w:val="21"/>
                <w:lang w:eastAsia="zh-CN"/>
              </w:rPr>
            </w:pPr>
            <w:r>
              <w:rPr>
                <w:rFonts w:hint="eastAsia" w:cs="Times New Roman"/>
                <w:color w:val="000000"/>
                <w:kern w:val="0"/>
                <w:sz w:val="21"/>
                <w:szCs w:val="21"/>
                <w:lang w:val="en-US" w:eastAsia="zh-CN"/>
              </w:rPr>
              <w:t>区</w:t>
            </w:r>
            <w:r>
              <w:rPr>
                <w:rFonts w:hint="eastAsia" w:cs="Times New Roman"/>
                <w:color w:val="000000"/>
                <w:kern w:val="0"/>
                <w:sz w:val="21"/>
                <w:szCs w:val="21"/>
                <w:lang w:eastAsia="zh-CN"/>
              </w:rPr>
              <w:t>应急管理局</w:t>
            </w:r>
          </w:p>
        </w:tc>
        <w:tc>
          <w:tcPr>
            <w:tcW w:w="1666" w:type="pct"/>
            <w:vAlign w:val="center"/>
          </w:tcPr>
          <w:p>
            <w:pPr>
              <w:widowControl/>
              <w:snapToGrid w:val="0"/>
              <w:spacing w:line="240" w:lineRule="auto"/>
              <w:ind w:firstLine="0" w:firstLineChars="0"/>
              <w:contextualSpacing/>
              <w:jc w:val="center"/>
              <w:rPr>
                <w:rFonts w:hint="default" w:eastAsia="宋体" w:cs="Times New Roman"/>
                <w:color w:val="000000"/>
                <w:kern w:val="0"/>
                <w:sz w:val="21"/>
                <w:szCs w:val="21"/>
                <w:lang w:val="en-US" w:eastAsia="zh-CN"/>
              </w:rPr>
            </w:pPr>
            <w:r>
              <w:rPr>
                <w:rFonts w:cs="Times New Roman"/>
                <w:color w:val="000000"/>
                <w:kern w:val="0"/>
                <w:sz w:val="21"/>
                <w:szCs w:val="21"/>
                <w:highlight w:val="none"/>
              </w:rPr>
              <w:t>0791-</w:t>
            </w:r>
            <w:r>
              <w:rPr>
                <w:rFonts w:hint="eastAsia" w:cs="Times New Roman"/>
                <w:color w:val="000000"/>
                <w:kern w:val="0"/>
                <w:sz w:val="21"/>
                <w:szCs w:val="21"/>
                <w:highlight w:val="none"/>
                <w:lang w:val="en-US" w:eastAsia="zh-CN"/>
              </w:rPr>
              <w:t>87951656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Merge w:val="restar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公安</w:t>
            </w:r>
          </w:p>
        </w:tc>
        <w:tc>
          <w:tcPr>
            <w:tcW w:w="1704"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hint="eastAsia" w:cs="Times New Roman"/>
                <w:color w:val="000000"/>
                <w:kern w:val="0"/>
                <w:sz w:val="21"/>
                <w:szCs w:val="21"/>
                <w:lang w:val="en-US" w:eastAsia="zh-CN"/>
              </w:rPr>
              <w:t>经开区</w:t>
            </w:r>
            <w:r>
              <w:rPr>
                <w:rFonts w:cs="Times New Roman"/>
                <w:color w:val="000000"/>
                <w:kern w:val="0"/>
                <w:sz w:val="21"/>
                <w:szCs w:val="21"/>
              </w:rPr>
              <w:t>分局</w:t>
            </w:r>
          </w:p>
        </w:tc>
        <w:tc>
          <w:tcPr>
            <w:tcW w:w="1666" w:type="pct"/>
            <w:vAlign w:val="center"/>
          </w:tcPr>
          <w:p>
            <w:pPr>
              <w:widowControl/>
              <w:snapToGrid w:val="0"/>
              <w:spacing w:line="240" w:lineRule="auto"/>
              <w:ind w:firstLine="0" w:firstLineChars="0"/>
              <w:contextualSpacing/>
              <w:jc w:val="center"/>
              <w:rPr>
                <w:rFonts w:hint="default" w:eastAsia="宋体" w:cs="Times New Roman"/>
                <w:color w:val="000000"/>
                <w:kern w:val="0"/>
                <w:sz w:val="21"/>
                <w:szCs w:val="21"/>
                <w:lang w:val="en-US" w:eastAsia="zh-CN"/>
              </w:rPr>
            </w:pPr>
            <w:r>
              <w:rPr>
                <w:rFonts w:cs="Times New Roman"/>
                <w:color w:val="000000"/>
                <w:kern w:val="0"/>
                <w:sz w:val="21"/>
                <w:szCs w:val="21"/>
                <w:highlight w:val="none"/>
              </w:rPr>
              <w:t>0791-8</w:t>
            </w:r>
            <w:r>
              <w:rPr>
                <w:rFonts w:hint="eastAsia" w:cs="Times New Roman"/>
                <w:color w:val="000000"/>
                <w:kern w:val="0"/>
                <w:sz w:val="21"/>
                <w:szCs w:val="21"/>
                <w:highlight w:val="none"/>
                <w:lang w:val="en-US" w:eastAsia="zh-CN"/>
              </w:rPr>
              <w:t>3851110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Merge w:val="continue"/>
            <w:vAlign w:val="center"/>
          </w:tcPr>
          <w:p>
            <w:pPr>
              <w:widowControl/>
              <w:snapToGrid w:val="0"/>
              <w:spacing w:line="240" w:lineRule="auto"/>
              <w:ind w:firstLine="0" w:firstLineChars="0"/>
              <w:contextualSpacing/>
              <w:jc w:val="center"/>
              <w:rPr>
                <w:rFonts w:cs="Times New Roman"/>
                <w:color w:val="000000"/>
                <w:kern w:val="0"/>
                <w:sz w:val="21"/>
                <w:szCs w:val="21"/>
              </w:rPr>
            </w:pPr>
          </w:p>
        </w:tc>
        <w:tc>
          <w:tcPr>
            <w:tcW w:w="1704"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110指挥中心</w:t>
            </w:r>
          </w:p>
        </w:tc>
        <w:tc>
          <w:tcPr>
            <w:tcW w:w="1666"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hint="eastAsia" w:cs="Times New Roman"/>
                <w:color w:val="000000"/>
                <w:kern w:val="0"/>
                <w:sz w:val="21"/>
                <w:szCs w:val="21"/>
              </w:rPr>
              <w:t>1</w:t>
            </w:r>
            <w:r>
              <w:rPr>
                <w:rFonts w:cs="Times New Roman"/>
                <w:color w:val="000000"/>
                <w:kern w:val="0"/>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消防</w:t>
            </w:r>
          </w:p>
        </w:tc>
        <w:tc>
          <w:tcPr>
            <w:tcW w:w="1704"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hint="eastAsia" w:cs="Times New Roman"/>
                <w:color w:val="000000"/>
                <w:kern w:val="0"/>
                <w:sz w:val="21"/>
                <w:szCs w:val="21"/>
              </w:rPr>
              <w:t>南昌</w:t>
            </w:r>
            <w:r>
              <w:rPr>
                <w:rFonts w:cs="Times New Roman"/>
                <w:color w:val="000000"/>
                <w:kern w:val="0"/>
                <w:sz w:val="21"/>
                <w:szCs w:val="21"/>
              </w:rPr>
              <w:t>市消防队</w:t>
            </w:r>
          </w:p>
        </w:tc>
        <w:tc>
          <w:tcPr>
            <w:tcW w:w="1666"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hint="eastAsia" w:cs="Times New Roman"/>
                <w:color w:val="000000"/>
                <w:kern w:val="0"/>
                <w:sz w:val="21"/>
                <w:szCs w:val="21"/>
              </w:rPr>
              <w:t>1</w:t>
            </w:r>
            <w:r>
              <w:rPr>
                <w:rFonts w:cs="Times New Roman"/>
                <w:color w:val="000000"/>
                <w:kern w:val="0"/>
                <w:sz w:val="21"/>
                <w:szCs w:val="21"/>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市政府</w:t>
            </w:r>
          </w:p>
        </w:tc>
        <w:tc>
          <w:tcPr>
            <w:tcW w:w="1704"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办公室</w:t>
            </w:r>
          </w:p>
        </w:tc>
        <w:tc>
          <w:tcPr>
            <w:tcW w:w="1666"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07491-88132075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医疗部门</w:t>
            </w:r>
          </w:p>
        </w:tc>
        <w:tc>
          <w:tcPr>
            <w:tcW w:w="1704"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市人民医院</w:t>
            </w:r>
          </w:p>
        </w:tc>
        <w:tc>
          <w:tcPr>
            <w:tcW w:w="1666"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hint="eastAsia" w:cs="Times New Roman"/>
                <w:color w:val="000000"/>
                <w:kern w:val="0"/>
                <w:sz w:val="21"/>
                <w:szCs w:val="21"/>
              </w:rPr>
              <w:t>1</w:t>
            </w:r>
            <w:r>
              <w:rPr>
                <w:rFonts w:cs="Times New Roman"/>
                <w:color w:val="000000"/>
                <w:kern w:val="0"/>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环境监测</w:t>
            </w:r>
          </w:p>
        </w:tc>
        <w:tc>
          <w:tcPr>
            <w:tcW w:w="1704" w:type="pct"/>
            <w:vAlign w:val="center"/>
          </w:tcPr>
          <w:p>
            <w:pPr>
              <w:widowControl/>
              <w:snapToGrid w:val="0"/>
              <w:spacing w:line="240" w:lineRule="auto"/>
              <w:ind w:firstLine="0" w:firstLineChars="0"/>
              <w:contextualSpacing/>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江西省南昌生态环境监测中心</w:t>
            </w:r>
          </w:p>
        </w:tc>
        <w:tc>
          <w:tcPr>
            <w:tcW w:w="1666"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0791-86356077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333" w:type="pct"/>
            <w:gridSpan w:val="2"/>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cs="Times New Roman"/>
                <w:color w:val="000000"/>
                <w:kern w:val="0"/>
                <w:sz w:val="21"/>
                <w:szCs w:val="21"/>
              </w:rPr>
              <w:t>洪城水业</w:t>
            </w:r>
          </w:p>
        </w:tc>
        <w:tc>
          <w:tcPr>
            <w:tcW w:w="1666" w:type="pct"/>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rPr>
              <w:t>0791-</w:t>
            </w:r>
            <w:r>
              <w:rPr>
                <w:rFonts w:cs="Times New Roman"/>
                <w:color w:val="000000"/>
                <w:kern w:val="0"/>
                <w:sz w:val="21"/>
                <w:szCs w:val="21"/>
              </w:rPr>
              <w:t>85218115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333" w:type="pct"/>
            <w:gridSpan w:val="2"/>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rPr>
              <w:t>水务运营管理体系部</w:t>
            </w:r>
            <w:r>
              <w:rPr>
                <w:rFonts w:hint="eastAsia" w:cs="Times New Roman"/>
                <w:color w:val="000000"/>
                <w:kern w:val="0"/>
                <w:sz w:val="21"/>
                <w:szCs w:val="21"/>
                <w:lang w:eastAsia="zh-CN"/>
              </w:rPr>
              <w:t>（</w:t>
            </w:r>
            <w:r>
              <w:rPr>
                <w:rFonts w:hint="eastAsia" w:cs="Times New Roman"/>
                <w:color w:val="000000"/>
                <w:kern w:val="0"/>
                <w:sz w:val="21"/>
                <w:szCs w:val="21"/>
                <w:lang w:val="en-US" w:eastAsia="zh-CN"/>
              </w:rPr>
              <w:t>陈燕婷</w:t>
            </w:r>
            <w:r>
              <w:rPr>
                <w:rFonts w:hint="eastAsia" w:cs="Times New Roman"/>
                <w:color w:val="000000"/>
                <w:kern w:val="0"/>
                <w:sz w:val="21"/>
                <w:szCs w:val="21"/>
                <w:lang w:eastAsia="zh-CN"/>
              </w:rPr>
              <w:t>）</w:t>
            </w:r>
          </w:p>
        </w:tc>
        <w:tc>
          <w:tcPr>
            <w:tcW w:w="1666" w:type="pct"/>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13701615924</w:t>
            </w:r>
          </w:p>
        </w:tc>
      </w:tr>
    </w:tbl>
    <w:p>
      <w:pPr>
        <w:ind w:firstLine="0" w:firstLineChars="0"/>
        <w:sectPr>
          <w:pgSz w:w="11906" w:h="16838"/>
          <w:pgMar w:top="1440" w:right="1276" w:bottom="1440" w:left="1134" w:header="851" w:footer="992" w:gutter="0"/>
          <w:pgBorders>
            <w:top w:val="none" w:sz="0" w:space="0"/>
            <w:left w:val="none" w:sz="0" w:space="0"/>
            <w:bottom w:val="none" w:sz="0" w:space="0"/>
            <w:right w:val="none" w:sz="0" w:space="0"/>
          </w:pgBorders>
          <w:pgNumType w:fmt="decimal"/>
          <w:cols w:space="425" w:num="1"/>
          <w:docGrid w:type="linesAndChars" w:linePitch="381" w:charSpace="0"/>
        </w:sectPr>
      </w:pPr>
    </w:p>
    <w:p>
      <w:pPr>
        <w:ind w:firstLine="0" w:firstLineChars="0"/>
        <w:outlineLvl w:val="0"/>
      </w:pPr>
      <w:bookmarkStart w:id="179" w:name="_Toc21667"/>
      <w:r>
        <w:rPr>
          <w:rFonts w:hint="eastAsia"/>
        </w:rPr>
        <w:t>附件</w:t>
      </w:r>
      <w:r>
        <w:rPr>
          <w:rFonts w:hint="eastAsia" w:cs="Times New Roman"/>
          <w:lang w:val="en-US" w:eastAsia="zh-CN"/>
        </w:rPr>
        <w:t>5</w:t>
      </w:r>
      <w:r>
        <w:rPr>
          <w:rFonts w:cs="Times New Roman"/>
        </w:rPr>
        <w:t xml:space="preserve"> </w:t>
      </w:r>
      <w:r>
        <w:rPr>
          <w:rFonts w:hint="eastAsia"/>
        </w:rPr>
        <w:t>公司突发环境事件信息通告表</w:t>
      </w:r>
      <w:bookmarkEnd w:id="179"/>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8"/>
        <w:gridCol w:w="1432"/>
        <w:gridCol w:w="1934"/>
        <w:gridCol w:w="1159"/>
        <w:gridCol w:w="1484"/>
        <w:gridCol w:w="16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662" w:type="dxa"/>
            <w:gridSpan w:val="6"/>
            <w:tcBorders>
              <w:top w:val="single" w:color="auto" w:sz="4" w:space="0"/>
              <w:left w:val="single" w:color="auto" w:sz="4" w:space="0"/>
              <w:bottom w:val="single" w:color="auto" w:sz="4" w:space="0"/>
              <w:right w:val="single" w:color="auto" w:sz="4" w:space="0"/>
            </w:tcBorders>
            <w:vAlign w:val="center"/>
          </w:tcPr>
          <w:p>
            <w:pPr>
              <w:ind w:firstLine="480"/>
              <w:jc w:val="center"/>
              <w:rPr>
                <w:sz w:val="24"/>
              </w:rPr>
            </w:pPr>
            <w:r>
              <w:rPr>
                <w:rFonts w:hint="eastAsia"/>
                <w:sz w:val="24"/>
                <w:lang w:eastAsia="zh-CN"/>
              </w:rPr>
              <w:t>南昌双港供水有限公司</w:t>
            </w:r>
            <w:r>
              <w:rPr>
                <w:rFonts w:hint="eastAsia"/>
                <w:sz w:val="24"/>
              </w:rPr>
              <w:t>突发环境事件信息通告表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5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4"/>
              </w:rPr>
            </w:pPr>
            <w:r>
              <w:rPr>
                <w:rFonts w:hint="eastAsia"/>
                <w:sz w:val="24"/>
              </w:rPr>
              <w:t>时间</w:t>
            </w:r>
          </w:p>
        </w:tc>
        <w:tc>
          <w:tcPr>
            <w:tcW w:w="1432"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4"/>
              </w:rPr>
            </w:pPr>
          </w:p>
        </w:tc>
        <w:tc>
          <w:tcPr>
            <w:tcW w:w="1934"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4"/>
              </w:rPr>
            </w:pPr>
            <w:r>
              <w:rPr>
                <w:rFonts w:hint="eastAsia"/>
                <w:sz w:val="24"/>
              </w:rPr>
              <w:t>污染物名称</w:t>
            </w:r>
          </w:p>
        </w:tc>
        <w:tc>
          <w:tcPr>
            <w:tcW w:w="115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4"/>
              </w:rPr>
            </w:pPr>
          </w:p>
        </w:tc>
        <w:tc>
          <w:tcPr>
            <w:tcW w:w="1484"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4"/>
              </w:rPr>
            </w:pPr>
            <w:r>
              <w:rPr>
                <w:rFonts w:hint="eastAsia"/>
                <w:sz w:val="24"/>
              </w:rPr>
              <w:t>污染类型</w:t>
            </w:r>
          </w:p>
        </w:tc>
        <w:tc>
          <w:tcPr>
            <w:tcW w:w="1695"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5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4"/>
              </w:rPr>
            </w:pPr>
            <w:r>
              <w:rPr>
                <w:rFonts w:hint="eastAsia"/>
                <w:sz w:val="24"/>
              </w:rPr>
              <w:t>危险等级</w:t>
            </w:r>
          </w:p>
        </w:tc>
        <w:tc>
          <w:tcPr>
            <w:tcW w:w="1432"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4"/>
              </w:rPr>
            </w:pPr>
          </w:p>
        </w:tc>
        <w:tc>
          <w:tcPr>
            <w:tcW w:w="1934"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4"/>
              </w:rPr>
            </w:pPr>
            <w:r>
              <w:rPr>
                <w:rFonts w:hint="eastAsia"/>
                <w:sz w:val="24"/>
              </w:rPr>
              <w:t>人员伤亡情况</w:t>
            </w:r>
          </w:p>
        </w:tc>
        <w:tc>
          <w:tcPr>
            <w:tcW w:w="4338" w:type="dxa"/>
            <w:gridSpan w:val="3"/>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5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4"/>
              </w:rPr>
            </w:pPr>
            <w:r>
              <w:rPr>
                <w:rFonts w:hint="eastAsia"/>
                <w:sz w:val="24"/>
              </w:rPr>
              <w:t>受影响范围</w:t>
            </w:r>
          </w:p>
        </w:tc>
        <w:tc>
          <w:tcPr>
            <w:tcW w:w="7704" w:type="dxa"/>
            <w:gridSpan w:val="5"/>
            <w:tcBorders>
              <w:top w:val="single" w:color="auto" w:sz="4" w:space="0"/>
              <w:left w:val="single" w:color="auto" w:sz="4" w:space="0"/>
              <w:bottom w:val="single" w:color="auto" w:sz="4" w:space="0"/>
              <w:right w:val="single" w:color="auto" w:sz="4" w:space="0"/>
            </w:tcBorders>
            <w:vAlign w:val="center"/>
          </w:tcPr>
          <w:p>
            <w:pPr>
              <w:ind w:firstLine="480"/>
              <w:jc w:val="cente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662" w:type="dxa"/>
            <w:gridSpan w:val="6"/>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left"/>
              <w:rPr>
                <w:sz w:val="24"/>
              </w:rPr>
            </w:pPr>
            <w:r>
              <w:rPr>
                <w:rFonts w:hint="eastAsia"/>
                <w:sz w:val="24"/>
              </w:rPr>
              <w:t>事件过程及善后措施</w:t>
            </w:r>
          </w:p>
          <w:p>
            <w:pPr>
              <w:ind w:firstLine="480"/>
              <w:jc w:val="center"/>
              <w:rPr>
                <w:sz w:val="24"/>
              </w:rPr>
            </w:pPr>
          </w:p>
          <w:p>
            <w:pPr>
              <w:ind w:firstLine="480"/>
              <w:jc w:val="center"/>
              <w:rPr>
                <w:sz w:val="24"/>
              </w:rPr>
            </w:pPr>
          </w:p>
          <w:p>
            <w:pPr>
              <w:ind w:firstLine="480"/>
              <w:jc w:val="center"/>
              <w:rPr>
                <w:sz w:val="24"/>
              </w:rPr>
            </w:pPr>
          </w:p>
          <w:p>
            <w:pPr>
              <w:ind w:firstLine="480"/>
              <w:jc w:val="center"/>
              <w:rPr>
                <w:sz w:val="24"/>
              </w:rPr>
            </w:pPr>
          </w:p>
          <w:p>
            <w:pPr>
              <w:ind w:firstLine="480"/>
              <w:jc w:val="center"/>
              <w:rPr>
                <w:sz w:val="24"/>
              </w:rPr>
            </w:pPr>
          </w:p>
          <w:p>
            <w:pPr>
              <w:ind w:firstLine="480"/>
              <w:jc w:val="center"/>
              <w:rPr>
                <w:sz w:val="24"/>
              </w:rPr>
            </w:pPr>
          </w:p>
          <w:p>
            <w:pPr>
              <w:ind w:firstLine="480"/>
              <w:jc w:val="center"/>
              <w:rPr>
                <w:sz w:val="24"/>
              </w:rPr>
            </w:pPr>
          </w:p>
          <w:p>
            <w:pPr>
              <w:ind w:firstLine="480"/>
              <w:jc w:val="center"/>
              <w:rPr>
                <w:sz w:val="24"/>
              </w:rPr>
            </w:pPr>
          </w:p>
          <w:p>
            <w:pPr>
              <w:ind w:firstLine="5292" w:firstLineChars="2205"/>
              <w:jc w:val="center"/>
              <w:rPr>
                <w:sz w:val="24"/>
              </w:rPr>
            </w:pPr>
          </w:p>
          <w:p>
            <w:pPr>
              <w:ind w:firstLine="5292" w:firstLineChars="2205"/>
              <w:jc w:val="center"/>
              <w:rPr>
                <w:sz w:val="24"/>
              </w:rPr>
            </w:pPr>
          </w:p>
          <w:p>
            <w:pPr>
              <w:ind w:firstLine="5292" w:firstLineChars="2205"/>
              <w:jc w:val="center"/>
              <w:rPr>
                <w:sz w:val="24"/>
              </w:rPr>
            </w:pPr>
          </w:p>
          <w:p>
            <w:pPr>
              <w:ind w:firstLine="5292" w:firstLineChars="2205"/>
              <w:jc w:val="center"/>
              <w:rPr>
                <w:sz w:val="24"/>
              </w:rPr>
            </w:pPr>
          </w:p>
          <w:p>
            <w:pPr>
              <w:ind w:firstLine="5292" w:firstLineChars="2205"/>
              <w:jc w:val="center"/>
              <w:rPr>
                <w:sz w:val="24"/>
              </w:rPr>
            </w:pPr>
          </w:p>
          <w:p>
            <w:pPr>
              <w:ind w:firstLine="5292" w:firstLineChars="2205"/>
              <w:jc w:val="center"/>
              <w:rPr>
                <w:sz w:val="24"/>
              </w:rPr>
            </w:pPr>
          </w:p>
          <w:p>
            <w:pPr>
              <w:ind w:firstLine="5292" w:firstLineChars="2205"/>
              <w:jc w:val="center"/>
              <w:rPr>
                <w:sz w:val="24"/>
              </w:rPr>
            </w:pPr>
          </w:p>
          <w:p>
            <w:pPr>
              <w:ind w:firstLine="5292" w:firstLineChars="2205"/>
              <w:jc w:val="center"/>
              <w:rPr>
                <w:sz w:val="24"/>
              </w:rPr>
            </w:pPr>
            <w:r>
              <w:rPr>
                <w:rFonts w:hint="eastAsia"/>
                <w:sz w:val="24"/>
              </w:rPr>
              <w:t>单位签章</w:t>
            </w:r>
          </w:p>
          <w:p>
            <w:pPr>
              <w:ind w:firstLine="5292" w:firstLineChars="2205"/>
              <w:jc w:val="center"/>
              <w:rPr>
                <w:sz w:val="24"/>
              </w:rPr>
            </w:pPr>
            <w:r>
              <w:rPr>
                <w:rFonts w:hint="eastAsia"/>
                <w:sz w:val="24"/>
              </w:rPr>
              <w:t>年</w:t>
            </w:r>
            <w:r>
              <w:rPr>
                <w:sz w:val="24"/>
              </w:rPr>
              <w:t xml:space="preserve"> </w:t>
            </w:r>
            <w:r>
              <w:rPr>
                <w:rFonts w:hint="eastAsia"/>
                <w:sz w:val="24"/>
              </w:rPr>
              <w:t>月</w:t>
            </w:r>
            <w:r>
              <w:rPr>
                <w:sz w:val="24"/>
              </w:rPr>
              <w:t xml:space="preserve"> </w:t>
            </w:r>
            <w:r>
              <w:rPr>
                <w:rFonts w:hint="eastAsia"/>
                <w:sz w:val="24"/>
              </w:rPr>
              <w:t>日</w:t>
            </w:r>
          </w:p>
        </w:tc>
      </w:tr>
    </w:tbl>
    <w:p>
      <w:pPr>
        <w:ind w:firstLine="0" w:firstLineChars="0"/>
        <w:sectPr>
          <w:pgSz w:w="11906" w:h="16838"/>
          <w:pgMar w:top="1440" w:right="1276" w:bottom="1440" w:left="1134" w:header="851" w:footer="992" w:gutter="0"/>
          <w:pgBorders>
            <w:top w:val="none" w:sz="0" w:space="0"/>
            <w:left w:val="none" w:sz="0" w:space="0"/>
            <w:bottom w:val="none" w:sz="0" w:space="0"/>
            <w:right w:val="none" w:sz="0" w:space="0"/>
          </w:pgBorders>
          <w:pgNumType w:fmt="decimal"/>
          <w:cols w:space="425" w:num="1"/>
          <w:docGrid w:type="linesAndChars" w:linePitch="381" w:charSpace="0"/>
        </w:sectPr>
      </w:pPr>
    </w:p>
    <w:p>
      <w:pPr>
        <w:ind w:firstLine="0" w:firstLineChars="0"/>
        <w:outlineLvl w:val="0"/>
        <w:rPr>
          <w:rFonts w:ascii="宋体" w:hAnsi="宋体" w:cs="宋体"/>
        </w:rPr>
      </w:pPr>
      <w:bookmarkStart w:id="180" w:name="_Toc501126922"/>
      <w:bookmarkStart w:id="181" w:name="_Toc11989"/>
      <w:bookmarkStart w:id="182" w:name="_Toc15498"/>
      <w:bookmarkStart w:id="183" w:name="_Toc32112"/>
      <w:bookmarkStart w:id="184" w:name="_Toc12873"/>
      <w:bookmarkStart w:id="185" w:name="_Toc413"/>
      <w:bookmarkStart w:id="186" w:name="_Toc2288"/>
      <w:r>
        <w:rPr>
          <w:rFonts w:hint="eastAsia" w:ascii="宋体" w:hAnsi="宋体" w:cs="宋体"/>
        </w:rPr>
        <w:t>附件</w:t>
      </w:r>
      <w:r>
        <w:rPr>
          <w:rFonts w:hint="eastAsia" w:cs="Times New Roman"/>
          <w:lang w:val="en-US" w:eastAsia="zh-CN"/>
        </w:rPr>
        <w:t>6</w:t>
      </w:r>
      <w:r>
        <w:rPr>
          <w:rFonts w:cs="Times New Roman"/>
        </w:rPr>
        <w:t xml:space="preserve"> </w:t>
      </w:r>
      <w:r>
        <w:rPr>
          <w:rFonts w:hint="eastAsia"/>
        </w:rPr>
        <w:t>应急预案培训考核表</w:t>
      </w:r>
      <w:bookmarkEnd w:id="180"/>
      <w:bookmarkEnd w:id="181"/>
      <w:bookmarkEnd w:id="182"/>
      <w:bookmarkEnd w:id="183"/>
      <w:bookmarkEnd w:id="184"/>
      <w:bookmarkEnd w:id="185"/>
      <w:bookmarkEnd w:id="186"/>
    </w:p>
    <w:p>
      <w:pPr>
        <w:ind w:firstLine="0" w:firstLineChars="0"/>
        <w:jc w:val="left"/>
        <w:rPr>
          <w:b/>
          <w:szCs w:val="28"/>
        </w:rPr>
      </w:pPr>
      <w:r>
        <w:rPr>
          <w:rFonts w:hint="eastAsia"/>
          <w:b/>
          <w:szCs w:val="28"/>
        </w:rPr>
        <w:t>填表日期：</w:t>
      </w:r>
      <w:r>
        <w:rPr>
          <w:b/>
          <w:szCs w:val="28"/>
        </w:rPr>
        <w:t xml:space="preserve">   </w:t>
      </w:r>
      <w:r>
        <w:rPr>
          <w:rFonts w:hint="eastAsia"/>
          <w:b/>
          <w:szCs w:val="28"/>
        </w:rPr>
        <w:t>年</w:t>
      </w:r>
      <w:r>
        <w:rPr>
          <w:b/>
          <w:szCs w:val="28"/>
        </w:rPr>
        <w:t xml:space="preserve">   </w:t>
      </w:r>
      <w:r>
        <w:rPr>
          <w:rFonts w:hint="eastAsia"/>
          <w:b/>
          <w:szCs w:val="28"/>
        </w:rPr>
        <w:t>月</w:t>
      </w:r>
      <w:r>
        <w:rPr>
          <w:b/>
          <w:szCs w:val="28"/>
        </w:rPr>
        <w:t xml:space="preserve">   </w:t>
      </w:r>
      <w:r>
        <w:rPr>
          <w:rFonts w:hint="eastAsia"/>
          <w:b/>
          <w:szCs w:val="28"/>
        </w:rPr>
        <w:t>日</w:t>
      </w:r>
      <w:r>
        <w:rPr>
          <w:b/>
          <w:szCs w:val="28"/>
        </w:rPr>
        <w:t xml:space="preserve">                 </w:t>
      </w:r>
      <w:r>
        <w:rPr>
          <w:szCs w:val="28"/>
        </w:rPr>
        <w:t xml:space="preserve">  </w:t>
      </w:r>
      <w:r>
        <w:rPr>
          <w:rFonts w:hint="eastAsia"/>
          <w:b/>
          <w:szCs w:val="28"/>
        </w:rPr>
        <w:t>编号：</w:t>
      </w:r>
    </w:p>
    <w:tbl>
      <w:tblPr>
        <w:tblStyle w:val="15"/>
        <w:tblW w:w="96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7"/>
        <w:gridCol w:w="1207"/>
        <w:gridCol w:w="1409"/>
        <w:gridCol w:w="1007"/>
        <w:gridCol w:w="1208"/>
        <w:gridCol w:w="1208"/>
        <w:gridCol w:w="1208"/>
        <w:gridCol w:w="12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61" w:hRule="atLeast"/>
          <w:jc w:val="center"/>
        </w:trPr>
        <w:tc>
          <w:tcPr>
            <w:tcW w:w="120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r>
              <w:rPr>
                <w:rFonts w:hint="eastAsia"/>
                <w:szCs w:val="21"/>
              </w:rPr>
              <w:t>姓名</w:t>
            </w:r>
          </w:p>
        </w:tc>
        <w:tc>
          <w:tcPr>
            <w:tcW w:w="120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p>
        </w:tc>
        <w:tc>
          <w:tcPr>
            <w:tcW w:w="140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r>
              <w:rPr>
                <w:rFonts w:hint="eastAsia"/>
                <w:szCs w:val="21"/>
              </w:rPr>
              <w:t>所属部门</w:t>
            </w:r>
          </w:p>
        </w:tc>
        <w:tc>
          <w:tcPr>
            <w:tcW w:w="100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p>
        </w:tc>
        <w:tc>
          <w:tcPr>
            <w:tcW w:w="120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r>
              <w:rPr>
                <w:rFonts w:hint="eastAsia"/>
                <w:szCs w:val="21"/>
              </w:rPr>
              <w:t>职务</w:t>
            </w:r>
          </w:p>
        </w:tc>
        <w:tc>
          <w:tcPr>
            <w:tcW w:w="120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p>
        </w:tc>
        <w:tc>
          <w:tcPr>
            <w:tcW w:w="120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r>
              <w:rPr>
                <w:rFonts w:hint="eastAsia"/>
                <w:szCs w:val="21"/>
              </w:rPr>
              <w:t>工作</w:t>
            </w:r>
          </w:p>
          <w:p>
            <w:pPr>
              <w:spacing w:line="240" w:lineRule="auto"/>
              <w:ind w:firstLine="0" w:firstLineChars="0"/>
              <w:jc w:val="center"/>
              <w:rPr>
                <w:szCs w:val="21"/>
              </w:rPr>
            </w:pPr>
            <w:r>
              <w:rPr>
                <w:rFonts w:hint="eastAsia"/>
                <w:szCs w:val="21"/>
              </w:rPr>
              <w:t>时间</w:t>
            </w:r>
          </w:p>
        </w:tc>
        <w:tc>
          <w:tcPr>
            <w:tcW w:w="120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120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r>
              <w:rPr>
                <w:rFonts w:hint="eastAsia"/>
                <w:szCs w:val="21"/>
              </w:rPr>
              <w:t>培训</w:t>
            </w:r>
          </w:p>
          <w:p>
            <w:pPr>
              <w:spacing w:line="240" w:lineRule="auto"/>
              <w:ind w:firstLine="0" w:firstLineChars="0"/>
              <w:jc w:val="center"/>
              <w:rPr>
                <w:szCs w:val="21"/>
              </w:rPr>
            </w:pPr>
            <w:r>
              <w:rPr>
                <w:rFonts w:hint="eastAsia"/>
                <w:szCs w:val="21"/>
              </w:rPr>
              <w:t>时间</w:t>
            </w:r>
          </w:p>
        </w:tc>
        <w:tc>
          <w:tcPr>
            <w:tcW w:w="120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p>
        </w:tc>
        <w:tc>
          <w:tcPr>
            <w:tcW w:w="140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r>
              <w:rPr>
                <w:rFonts w:hint="eastAsia"/>
                <w:szCs w:val="21"/>
              </w:rPr>
              <w:t>培训项目</w:t>
            </w:r>
          </w:p>
        </w:tc>
        <w:tc>
          <w:tcPr>
            <w:tcW w:w="2215" w:type="dxa"/>
            <w:gridSpan w:val="2"/>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p>
        </w:tc>
        <w:tc>
          <w:tcPr>
            <w:tcW w:w="2416" w:type="dxa"/>
            <w:gridSpan w:val="2"/>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r>
              <w:rPr>
                <w:rFonts w:hint="eastAsia"/>
                <w:szCs w:val="21"/>
              </w:rPr>
              <w:t>所属应急</w:t>
            </w:r>
          </w:p>
          <w:p>
            <w:pPr>
              <w:spacing w:line="240" w:lineRule="auto"/>
              <w:ind w:firstLine="0" w:firstLineChars="0"/>
              <w:jc w:val="center"/>
              <w:rPr>
                <w:szCs w:val="21"/>
              </w:rPr>
            </w:pPr>
            <w:r>
              <w:rPr>
                <w:rFonts w:hint="eastAsia"/>
                <w:szCs w:val="21"/>
              </w:rPr>
              <w:t>救援组织</w:t>
            </w:r>
          </w:p>
        </w:tc>
        <w:tc>
          <w:tcPr>
            <w:tcW w:w="120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6038" w:type="dxa"/>
            <w:gridSpan w:val="5"/>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r>
              <w:rPr>
                <w:rFonts w:hint="eastAsia"/>
                <w:szCs w:val="21"/>
              </w:rPr>
              <w:t>考核内容</w:t>
            </w:r>
          </w:p>
        </w:tc>
        <w:tc>
          <w:tcPr>
            <w:tcW w:w="120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p>
        </w:tc>
        <w:tc>
          <w:tcPr>
            <w:tcW w:w="120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p>
        </w:tc>
        <w:tc>
          <w:tcPr>
            <w:tcW w:w="120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6038" w:type="dxa"/>
            <w:gridSpan w:val="5"/>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r>
              <w:rPr>
                <w:rFonts w:hint="eastAsia"/>
                <w:szCs w:val="21"/>
              </w:rPr>
              <w:t>口述：</w:t>
            </w:r>
          </w:p>
        </w:tc>
        <w:tc>
          <w:tcPr>
            <w:tcW w:w="120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p>
        </w:tc>
        <w:tc>
          <w:tcPr>
            <w:tcW w:w="120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p>
        </w:tc>
        <w:tc>
          <w:tcPr>
            <w:tcW w:w="120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6038" w:type="dxa"/>
            <w:gridSpan w:val="5"/>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r>
              <w:rPr>
                <w:rFonts w:hint="eastAsia"/>
                <w:szCs w:val="21"/>
              </w:rPr>
              <w:t>笔试：</w:t>
            </w:r>
          </w:p>
        </w:tc>
        <w:tc>
          <w:tcPr>
            <w:tcW w:w="120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p>
        </w:tc>
        <w:tc>
          <w:tcPr>
            <w:tcW w:w="120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p>
        </w:tc>
        <w:tc>
          <w:tcPr>
            <w:tcW w:w="120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6038" w:type="dxa"/>
            <w:gridSpan w:val="5"/>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r>
              <w:rPr>
                <w:rFonts w:hint="eastAsia"/>
                <w:szCs w:val="21"/>
              </w:rPr>
              <w:t>实操：</w:t>
            </w:r>
          </w:p>
        </w:tc>
        <w:tc>
          <w:tcPr>
            <w:tcW w:w="120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p>
        </w:tc>
        <w:tc>
          <w:tcPr>
            <w:tcW w:w="120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p>
        </w:tc>
        <w:tc>
          <w:tcPr>
            <w:tcW w:w="120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6038" w:type="dxa"/>
            <w:gridSpan w:val="5"/>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r>
              <w:rPr>
                <w:rFonts w:hint="eastAsia"/>
                <w:szCs w:val="21"/>
              </w:rPr>
              <w:t>综合得分（口述占</w:t>
            </w:r>
            <w:r>
              <w:rPr>
                <w:szCs w:val="21"/>
              </w:rPr>
              <w:t>30</w:t>
            </w:r>
            <w:r>
              <w:rPr>
                <w:rFonts w:hint="eastAsia"/>
                <w:szCs w:val="21"/>
              </w:rPr>
              <w:t>％，笔试占</w:t>
            </w:r>
            <w:r>
              <w:rPr>
                <w:szCs w:val="21"/>
              </w:rPr>
              <w:t>30</w:t>
            </w:r>
            <w:r>
              <w:rPr>
                <w:rFonts w:hint="eastAsia"/>
                <w:szCs w:val="21"/>
              </w:rPr>
              <w:t>％，实操占</w:t>
            </w:r>
            <w:r>
              <w:rPr>
                <w:szCs w:val="21"/>
              </w:rPr>
              <w:t>40</w:t>
            </w:r>
            <w:r>
              <w:rPr>
                <w:rFonts w:hint="eastAsia"/>
                <w:szCs w:val="21"/>
              </w:rPr>
              <w:t>％，）</w:t>
            </w:r>
          </w:p>
        </w:tc>
        <w:tc>
          <w:tcPr>
            <w:tcW w:w="120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p>
        </w:tc>
        <w:tc>
          <w:tcPr>
            <w:tcW w:w="120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p>
        </w:tc>
        <w:tc>
          <w:tcPr>
            <w:tcW w:w="120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9662" w:type="dxa"/>
            <w:gridSpan w:val="8"/>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r>
              <w:rPr>
                <w:rFonts w:hint="eastAsia"/>
                <w:szCs w:val="21"/>
              </w:rPr>
              <w:t>主考部门综合评价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4830" w:type="dxa"/>
            <w:gridSpan w:val="4"/>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r>
              <w:rPr>
                <w:rFonts w:hint="eastAsia"/>
                <w:szCs w:val="21"/>
              </w:rPr>
              <w:t>应急救援指挥办公室</w:t>
            </w:r>
          </w:p>
        </w:tc>
        <w:tc>
          <w:tcPr>
            <w:tcW w:w="4832" w:type="dxa"/>
            <w:gridSpan w:val="4"/>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r>
              <w:rPr>
                <w:rFonts w:hint="eastAsia"/>
                <w:szCs w:val="21"/>
              </w:rPr>
              <w:t>应急救援指挥中心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13" w:hRule="atLeast"/>
          <w:jc w:val="center"/>
        </w:trPr>
        <w:tc>
          <w:tcPr>
            <w:tcW w:w="4830" w:type="dxa"/>
            <w:gridSpan w:val="4"/>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p>
          <w:p>
            <w:pPr>
              <w:spacing w:line="240" w:lineRule="auto"/>
              <w:ind w:firstLine="0" w:firstLineChars="0"/>
              <w:jc w:val="center"/>
              <w:rPr>
                <w:szCs w:val="21"/>
              </w:rPr>
            </w:pPr>
          </w:p>
          <w:p>
            <w:pPr>
              <w:spacing w:line="240" w:lineRule="auto"/>
              <w:ind w:firstLine="0" w:firstLineChars="0"/>
              <w:jc w:val="center"/>
              <w:rPr>
                <w:szCs w:val="21"/>
              </w:rPr>
            </w:pPr>
          </w:p>
          <w:p>
            <w:pPr>
              <w:spacing w:line="240" w:lineRule="auto"/>
              <w:ind w:firstLine="0" w:firstLineChars="0"/>
              <w:jc w:val="center"/>
              <w:rPr>
                <w:szCs w:val="21"/>
              </w:rPr>
            </w:pPr>
          </w:p>
          <w:p>
            <w:pPr>
              <w:spacing w:line="240" w:lineRule="auto"/>
              <w:ind w:firstLine="0" w:firstLineChars="0"/>
              <w:jc w:val="center"/>
              <w:rPr>
                <w:szCs w:val="21"/>
              </w:rPr>
            </w:pPr>
          </w:p>
          <w:p>
            <w:pPr>
              <w:spacing w:line="240" w:lineRule="auto"/>
              <w:ind w:firstLine="0" w:firstLineChars="0"/>
              <w:jc w:val="center"/>
              <w:rPr>
                <w:szCs w:val="21"/>
              </w:rPr>
            </w:pPr>
          </w:p>
          <w:p>
            <w:pPr>
              <w:spacing w:line="240" w:lineRule="auto"/>
              <w:ind w:firstLine="0" w:firstLineChars="0"/>
              <w:jc w:val="center"/>
              <w:rPr>
                <w:szCs w:val="21"/>
              </w:rPr>
            </w:pPr>
          </w:p>
          <w:p>
            <w:pPr>
              <w:spacing w:line="240" w:lineRule="auto"/>
              <w:ind w:firstLine="0" w:firstLineChars="0"/>
              <w:rPr>
                <w:szCs w:val="21"/>
              </w:rPr>
            </w:pPr>
            <w:r>
              <w:rPr>
                <w:szCs w:val="21"/>
              </w:rPr>
              <w:t xml:space="preserve">      </w:t>
            </w:r>
          </w:p>
          <w:p>
            <w:pPr>
              <w:spacing w:line="240" w:lineRule="auto"/>
              <w:ind w:firstLine="0" w:firstLineChars="0"/>
              <w:jc w:val="center"/>
              <w:rPr>
                <w:szCs w:val="21"/>
              </w:rPr>
            </w:pPr>
            <w:r>
              <w:rPr>
                <w:szCs w:val="21"/>
              </w:rPr>
              <w:t xml:space="preserve">      </w:t>
            </w:r>
            <w:r>
              <w:rPr>
                <w:rFonts w:hint="eastAsia"/>
                <w:szCs w:val="21"/>
              </w:rPr>
              <w:t>主任（签字）：</w:t>
            </w:r>
          </w:p>
          <w:p>
            <w:pPr>
              <w:spacing w:line="240" w:lineRule="auto"/>
              <w:ind w:firstLine="0" w:firstLineChars="0"/>
              <w:jc w:val="center"/>
              <w:rPr>
                <w:szCs w:val="21"/>
              </w:rPr>
            </w:pPr>
          </w:p>
        </w:tc>
        <w:tc>
          <w:tcPr>
            <w:tcW w:w="4832" w:type="dxa"/>
            <w:gridSpan w:val="4"/>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Cs w:val="21"/>
              </w:rPr>
            </w:pPr>
          </w:p>
          <w:p>
            <w:pPr>
              <w:spacing w:line="240" w:lineRule="auto"/>
              <w:ind w:firstLine="0" w:firstLineChars="0"/>
              <w:jc w:val="center"/>
              <w:rPr>
                <w:szCs w:val="21"/>
              </w:rPr>
            </w:pPr>
          </w:p>
          <w:p>
            <w:pPr>
              <w:spacing w:line="240" w:lineRule="auto"/>
              <w:ind w:firstLine="0" w:firstLineChars="0"/>
              <w:jc w:val="center"/>
              <w:rPr>
                <w:szCs w:val="21"/>
              </w:rPr>
            </w:pPr>
          </w:p>
          <w:p>
            <w:pPr>
              <w:spacing w:line="240" w:lineRule="auto"/>
              <w:ind w:firstLine="0" w:firstLineChars="0"/>
              <w:jc w:val="center"/>
              <w:rPr>
                <w:szCs w:val="21"/>
              </w:rPr>
            </w:pPr>
          </w:p>
          <w:p>
            <w:pPr>
              <w:spacing w:line="240" w:lineRule="auto"/>
              <w:ind w:firstLine="0" w:firstLineChars="0"/>
              <w:jc w:val="center"/>
              <w:rPr>
                <w:szCs w:val="21"/>
              </w:rPr>
            </w:pPr>
          </w:p>
          <w:p>
            <w:pPr>
              <w:spacing w:line="240" w:lineRule="auto"/>
              <w:ind w:firstLine="0" w:firstLineChars="0"/>
              <w:jc w:val="center"/>
              <w:rPr>
                <w:szCs w:val="21"/>
              </w:rPr>
            </w:pPr>
          </w:p>
          <w:p>
            <w:pPr>
              <w:spacing w:line="240" w:lineRule="auto"/>
              <w:ind w:firstLine="0" w:firstLineChars="0"/>
              <w:jc w:val="center"/>
              <w:rPr>
                <w:szCs w:val="21"/>
              </w:rPr>
            </w:pPr>
          </w:p>
          <w:p>
            <w:pPr>
              <w:spacing w:line="240" w:lineRule="auto"/>
              <w:ind w:firstLine="0" w:firstLineChars="0"/>
              <w:jc w:val="center"/>
              <w:rPr>
                <w:szCs w:val="21"/>
              </w:rPr>
            </w:pPr>
          </w:p>
          <w:p>
            <w:pPr>
              <w:spacing w:line="240" w:lineRule="auto"/>
              <w:ind w:firstLine="0" w:firstLineChars="0"/>
              <w:jc w:val="center"/>
              <w:rPr>
                <w:szCs w:val="21"/>
              </w:rPr>
            </w:pPr>
            <w:r>
              <w:rPr>
                <w:szCs w:val="21"/>
              </w:rPr>
              <w:t xml:space="preserve">             </w:t>
            </w:r>
            <w:r>
              <w:rPr>
                <w:rFonts w:hint="eastAsia"/>
                <w:szCs w:val="21"/>
              </w:rPr>
              <w:t>总指挥（签字）：</w:t>
            </w:r>
          </w:p>
          <w:p>
            <w:pPr>
              <w:spacing w:line="240" w:lineRule="auto"/>
              <w:ind w:firstLine="0" w:firstLineChars="0"/>
              <w:jc w:val="center"/>
              <w:rPr>
                <w:szCs w:val="21"/>
              </w:rPr>
            </w:pPr>
          </w:p>
        </w:tc>
      </w:tr>
    </w:tbl>
    <w:p>
      <w:pPr>
        <w:ind w:firstLine="0" w:firstLineChars="0"/>
        <w:sectPr>
          <w:pgSz w:w="11906" w:h="16838"/>
          <w:pgMar w:top="1440" w:right="1276" w:bottom="1440" w:left="1134" w:header="851" w:footer="992" w:gutter="0"/>
          <w:pgBorders>
            <w:top w:val="none" w:sz="0" w:space="0"/>
            <w:left w:val="none" w:sz="0" w:space="0"/>
            <w:bottom w:val="none" w:sz="0" w:space="0"/>
            <w:right w:val="none" w:sz="0" w:space="0"/>
          </w:pgBorders>
          <w:pgNumType w:fmt="decimal"/>
          <w:cols w:space="425" w:num="1"/>
          <w:docGrid w:type="linesAndChars" w:linePitch="381" w:charSpace="0"/>
        </w:sectPr>
      </w:pPr>
    </w:p>
    <w:p>
      <w:pPr>
        <w:ind w:firstLine="0" w:firstLineChars="0"/>
        <w:outlineLvl w:val="0"/>
        <w:rPr>
          <w:rFonts w:ascii="宋体" w:hAnsi="宋体" w:cs="宋体"/>
        </w:rPr>
      </w:pPr>
      <w:bookmarkStart w:id="187" w:name="_Toc8137"/>
      <w:r>
        <w:rPr>
          <w:rFonts w:hint="eastAsia" w:ascii="宋体" w:hAnsi="宋体" w:cs="宋体"/>
        </w:rPr>
        <w:t>附件</w:t>
      </w:r>
      <w:r>
        <w:rPr>
          <w:rFonts w:hint="eastAsia" w:cs="Times New Roman"/>
          <w:lang w:val="en-US" w:eastAsia="zh-CN"/>
        </w:rPr>
        <w:t>7</w:t>
      </w:r>
      <w:r>
        <w:rPr>
          <w:rFonts w:ascii="宋体" w:hAnsi="宋体" w:cs="宋体"/>
        </w:rPr>
        <w:t xml:space="preserve"> </w:t>
      </w:r>
      <w:r>
        <w:rPr>
          <w:rFonts w:hint="eastAsia"/>
        </w:rPr>
        <w:t>应急预案修改说明表</w:t>
      </w:r>
      <w:bookmarkEnd w:id="187"/>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1"/>
        <w:gridCol w:w="5175"/>
        <w:gridCol w:w="836"/>
        <w:gridCol w:w="1717"/>
        <w:gridCol w:w="11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31" w:type="dxa"/>
            <w:vAlign w:val="center"/>
          </w:tcPr>
          <w:p>
            <w:pPr>
              <w:adjustRightInd w:val="0"/>
              <w:snapToGrid w:val="0"/>
              <w:spacing w:line="240" w:lineRule="auto"/>
              <w:ind w:firstLine="0" w:firstLineChars="0"/>
              <w:jc w:val="center"/>
              <w:rPr>
                <w:sz w:val="21"/>
                <w:szCs w:val="21"/>
              </w:rPr>
            </w:pPr>
            <w:r>
              <w:rPr>
                <w:rFonts w:hint="eastAsia"/>
                <w:sz w:val="21"/>
                <w:szCs w:val="21"/>
              </w:rPr>
              <w:t>序号</w:t>
            </w:r>
          </w:p>
        </w:tc>
        <w:tc>
          <w:tcPr>
            <w:tcW w:w="5175" w:type="dxa"/>
            <w:vAlign w:val="center"/>
          </w:tcPr>
          <w:p>
            <w:pPr>
              <w:adjustRightInd w:val="0"/>
              <w:snapToGrid w:val="0"/>
              <w:spacing w:line="240" w:lineRule="auto"/>
              <w:ind w:firstLine="0" w:firstLineChars="0"/>
              <w:jc w:val="center"/>
              <w:rPr>
                <w:sz w:val="21"/>
                <w:szCs w:val="21"/>
              </w:rPr>
            </w:pPr>
            <w:r>
              <w:rPr>
                <w:rFonts w:hint="eastAsia"/>
                <w:sz w:val="21"/>
                <w:szCs w:val="21"/>
              </w:rPr>
              <w:t>评审意见</w:t>
            </w:r>
          </w:p>
        </w:tc>
        <w:tc>
          <w:tcPr>
            <w:tcW w:w="836" w:type="dxa"/>
            <w:vAlign w:val="center"/>
          </w:tcPr>
          <w:p>
            <w:pPr>
              <w:adjustRightInd w:val="0"/>
              <w:snapToGrid w:val="0"/>
              <w:spacing w:line="240" w:lineRule="auto"/>
              <w:ind w:firstLine="0" w:firstLineChars="0"/>
              <w:jc w:val="center"/>
              <w:rPr>
                <w:sz w:val="21"/>
                <w:szCs w:val="21"/>
              </w:rPr>
            </w:pPr>
            <w:r>
              <w:rPr>
                <w:rFonts w:hint="eastAsia"/>
                <w:sz w:val="21"/>
                <w:szCs w:val="21"/>
              </w:rPr>
              <w:t>采纳情况</w:t>
            </w:r>
          </w:p>
        </w:tc>
        <w:tc>
          <w:tcPr>
            <w:tcW w:w="1717" w:type="dxa"/>
            <w:vAlign w:val="center"/>
          </w:tcPr>
          <w:p>
            <w:pPr>
              <w:adjustRightInd w:val="0"/>
              <w:snapToGrid w:val="0"/>
              <w:spacing w:line="240" w:lineRule="auto"/>
              <w:ind w:firstLine="0" w:firstLineChars="0"/>
              <w:jc w:val="center"/>
              <w:rPr>
                <w:sz w:val="21"/>
                <w:szCs w:val="21"/>
              </w:rPr>
            </w:pPr>
            <w:r>
              <w:rPr>
                <w:rFonts w:hint="eastAsia"/>
                <w:sz w:val="21"/>
                <w:szCs w:val="21"/>
              </w:rPr>
              <w:t>说明</w:t>
            </w:r>
          </w:p>
        </w:tc>
        <w:tc>
          <w:tcPr>
            <w:tcW w:w="1127" w:type="dxa"/>
            <w:vAlign w:val="center"/>
          </w:tcPr>
          <w:p>
            <w:pPr>
              <w:adjustRightInd w:val="0"/>
              <w:snapToGrid w:val="0"/>
              <w:spacing w:line="240" w:lineRule="auto"/>
              <w:ind w:firstLine="0" w:firstLineChars="0"/>
              <w:jc w:val="center"/>
              <w:rPr>
                <w:sz w:val="21"/>
                <w:szCs w:val="21"/>
              </w:rPr>
            </w:pPr>
            <w:r>
              <w:rPr>
                <w:rFonts w:hint="eastAsia"/>
                <w:sz w:val="21"/>
                <w:szCs w:val="21"/>
              </w:rPr>
              <w:t>索引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31" w:type="dxa"/>
            <w:vAlign w:val="center"/>
          </w:tcPr>
          <w:p>
            <w:pPr>
              <w:pStyle w:val="23"/>
              <w:numPr>
                <w:ilvl w:val="0"/>
                <w:numId w:val="3"/>
              </w:numPr>
              <w:spacing w:line="240" w:lineRule="auto"/>
              <w:ind w:left="140" w:leftChars="50" w:firstLine="0" w:firstLineChars="0"/>
              <w:jc w:val="center"/>
              <w:rPr>
                <w:sz w:val="21"/>
                <w:szCs w:val="21"/>
              </w:rPr>
            </w:pPr>
          </w:p>
        </w:tc>
        <w:tc>
          <w:tcPr>
            <w:tcW w:w="5175" w:type="dxa"/>
            <w:vAlign w:val="center"/>
          </w:tcPr>
          <w:p>
            <w:pPr>
              <w:spacing w:line="240" w:lineRule="auto"/>
              <w:ind w:firstLine="0" w:firstLineChars="0"/>
              <w:jc w:val="left"/>
              <w:rPr>
                <w:sz w:val="21"/>
                <w:szCs w:val="21"/>
              </w:rPr>
            </w:pPr>
          </w:p>
        </w:tc>
        <w:tc>
          <w:tcPr>
            <w:tcW w:w="836" w:type="dxa"/>
            <w:vAlign w:val="center"/>
          </w:tcPr>
          <w:p>
            <w:pPr>
              <w:spacing w:line="240" w:lineRule="auto"/>
              <w:ind w:firstLine="0" w:firstLineChars="0"/>
              <w:jc w:val="center"/>
              <w:rPr>
                <w:rFonts w:ascii="Times New Roman" w:hAnsi="Times New Roman" w:eastAsia="宋体" w:cstheme="minorBidi"/>
                <w:kern w:val="2"/>
                <w:sz w:val="21"/>
                <w:szCs w:val="21"/>
                <w:lang w:val="en-US" w:eastAsia="zh-CN" w:bidi="ar-SA"/>
              </w:rPr>
            </w:pPr>
          </w:p>
        </w:tc>
        <w:tc>
          <w:tcPr>
            <w:tcW w:w="1717" w:type="dxa"/>
            <w:vAlign w:val="center"/>
          </w:tcPr>
          <w:p>
            <w:pPr>
              <w:spacing w:line="240" w:lineRule="auto"/>
              <w:ind w:firstLine="0" w:firstLineChars="0"/>
              <w:jc w:val="center"/>
              <w:rPr>
                <w:rFonts w:hint="eastAsia" w:ascii="Times New Roman" w:hAnsi="Times New Roman" w:eastAsia="宋体" w:cstheme="minorBidi"/>
                <w:kern w:val="2"/>
                <w:sz w:val="21"/>
                <w:szCs w:val="21"/>
                <w:lang w:val="en-US" w:eastAsia="zh-CN" w:bidi="ar-SA"/>
              </w:rPr>
            </w:pPr>
          </w:p>
        </w:tc>
        <w:tc>
          <w:tcPr>
            <w:tcW w:w="1127" w:type="dxa"/>
            <w:vAlign w:val="center"/>
          </w:tcPr>
          <w:p>
            <w:pPr>
              <w:spacing w:line="240" w:lineRule="auto"/>
              <w:ind w:firstLine="0" w:firstLineChars="0"/>
              <w:jc w:val="center"/>
              <w:rPr>
                <w:rFonts w:hint="eastAsia" w:ascii="Times New Roman" w:hAnsi="Times New Roman" w:eastAsia="宋体" w:cstheme="minorBidi"/>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31" w:type="dxa"/>
            <w:vAlign w:val="center"/>
          </w:tcPr>
          <w:p>
            <w:pPr>
              <w:pStyle w:val="23"/>
              <w:numPr>
                <w:ilvl w:val="0"/>
                <w:numId w:val="3"/>
              </w:numPr>
              <w:spacing w:line="240" w:lineRule="auto"/>
              <w:ind w:left="140" w:leftChars="50" w:firstLine="0" w:firstLineChars="0"/>
              <w:jc w:val="center"/>
              <w:rPr>
                <w:sz w:val="21"/>
                <w:szCs w:val="21"/>
              </w:rPr>
            </w:pPr>
          </w:p>
        </w:tc>
        <w:tc>
          <w:tcPr>
            <w:tcW w:w="5175" w:type="dxa"/>
            <w:vAlign w:val="center"/>
          </w:tcPr>
          <w:p>
            <w:pPr>
              <w:spacing w:line="240" w:lineRule="auto"/>
              <w:ind w:firstLine="0" w:firstLineChars="0"/>
              <w:jc w:val="left"/>
              <w:rPr>
                <w:sz w:val="21"/>
                <w:szCs w:val="21"/>
              </w:rPr>
            </w:pPr>
          </w:p>
        </w:tc>
        <w:tc>
          <w:tcPr>
            <w:tcW w:w="836" w:type="dxa"/>
            <w:vAlign w:val="center"/>
          </w:tcPr>
          <w:p>
            <w:pPr>
              <w:spacing w:line="240" w:lineRule="auto"/>
              <w:ind w:firstLine="0" w:firstLineChars="0"/>
              <w:jc w:val="center"/>
              <w:rPr>
                <w:rFonts w:ascii="Times New Roman" w:hAnsi="Times New Roman" w:eastAsia="宋体" w:cstheme="minorBidi"/>
                <w:kern w:val="2"/>
                <w:sz w:val="21"/>
                <w:szCs w:val="21"/>
                <w:lang w:val="en-US" w:eastAsia="zh-CN" w:bidi="ar-SA"/>
              </w:rPr>
            </w:pPr>
          </w:p>
        </w:tc>
        <w:tc>
          <w:tcPr>
            <w:tcW w:w="1717" w:type="dxa"/>
            <w:vAlign w:val="center"/>
          </w:tcPr>
          <w:p>
            <w:pPr>
              <w:spacing w:line="240" w:lineRule="auto"/>
              <w:ind w:firstLine="0" w:firstLineChars="0"/>
              <w:jc w:val="center"/>
              <w:rPr>
                <w:rFonts w:ascii="Times New Roman" w:hAnsi="Times New Roman" w:eastAsia="宋体" w:cstheme="minorBidi"/>
                <w:kern w:val="2"/>
                <w:sz w:val="21"/>
                <w:szCs w:val="21"/>
                <w:lang w:val="en-US" w:eastAsia="zh-CN" w:bidi="ar-SA"/>
              </w:rPr>
            </w:pPr>
          </w:p>
        </w:tc>
        <w:tc>
          <w:tcPr>
            <w:tcW w:w="1127" w:type="dxa"/>
            <w:vAlign w:val="center"/>
          </w:tcPr>
          <w:p>
            <w:pPr>
              <w:spacing w:line="240" w:lineRule="auto"/>
              <w:ind w:firstLine="0" w:firstLineChars="0"/>
              <w:jc w:val="center"/>
              <w:rPr>
                <w:rFonts w:hint="eastAsia" w:ascii="Times New Roman" w:hAnsi="Times New Roman" w:eastAsia="宋体" w:cstheme="minorBidi"/>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31" w:type="dxa"/>
            <w:vAlign w:val="center"/>
          </w:tcPr>
          <w:p>
            <w:pPr>
              <w:pStyle w:val="23"/>
              <w:numPr>
                <w:ilvl w:val="0"/>
                <w:numId w:val="3"/>
              </w:numPr>
              <w:spacing w:line="240" w:lineRule="auto"/>
              <w:ind w:left="140" w:leftChars="50" w:firstLine="0" w:firstLineChars="0"/>
              <w:jc w:val="center"/>
              <w:rPr>
                <w:sz w:val="21"/>
                <w:szCs w:val="21"/>
              </w:rPr>
            </w:pPr>
          </w:p>
        </w:tc>
        <w:tc>
          <w:tcPr>
            <w:tcW w:w="5175" w:type="dxa"/>
            <w:vAlign w:val="center"/>
          </w:tcPr>
          <w:p>
            <w:pPr>
              <w:spacing w:line="240" w:lineRule="auto"/>
              <w:ind w:firstLine="0" w:firstLineChars="0"/>
              <w:jc w:val="left"/>
              <w:rPr>
                <w:sz w:val="21"/>
                <w:szCs w:val="21"/>
              </w:rPr>
            </w:pPr>
          </w:p>
        </w:tc>
        <w:tc>
          <w:tcPr>
            <w:tcW w:w="836" w:type="dxa"/>
            <w:vAlign w:val="center"/>
          </w:tcPr>
          <w:p>
            <w:pPr>
              <w:spacing w:line="240" w:lineRule="auto"/>
              <w:ind w:firstLine="0" w:firstLineChars="0"/>
              <w:jc w:val="center"/>
              <w:rPr>
                <w:rFonts w:ascii="Times New Roman" w:hAnsi="Times New Roman" w:eastAsia="宋体" w:cstheme="minorBidi"/>
                <w:kern w:val="2"/>
                <w:sz w:val="21"/>
                <w:szCs w:val="21"/>
                <w:lang w:val="en-US" w:eastAsia="zh-CN" w:bidi="ar-SA"/>
              </w:rPr>
            </w:pPr>
          </w:p>
        </w:tc>
        <w:tc>
          <w:tcPr>
            <w:tcW w:w="1717" w:type="dxa"/>
            <w:vAlign w:val="center"/>
          </w:tcPr>
          <w:p>
            <w:pPr>
              <w:spacing w:line="240" w:lineRule="auto"/>
              <w:ind w:firstLine="0" w:firstLineChars="0"/>
              <w:jc w:val="center"/>
              <w:rPr>
                <w:rFonts w:ascii="Times New Roman" w:hAnsi="Times New Roman" w:eastAsia="宋体" w:cstheme="minorBidi"/>
                <w:kern w:val="2"/>
                <w:sz w:val="21"/>
                <w:szCs w:val="21"/>
                <w:lang w:val="en-US" w:eastAsia="zh-CN" w:bidi="ar-SA"/>
              </w:rPr>
            </w:pPr>
          </w:p>
        </w:tc>
        <w:tc>
          <w:tcPr>
            <w:tcW w:w="1127" w:type="dxa"/>
            <w:vAlign w:val="center"/>
          </w:tcPr>
          <w:p>
            <w:pPr>
              <w:spacing w:line="240" w:lineRule="auto"/>
              <w:ind w:firstLine="0" w:firstLineChars="0"/>
              <w:jc w:val="center"/>
              <w:rPr>
                <w:rFonts w:hint="default" w:ascii="Times New Roman" w:hAnsi="Times New Roman" w:eastAsia="宋体" w:cstheme="minorBidi"/>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31" w:type="dxa"/>
            <w:vAlign w:val="center"/>
          </w:tcPr>
          <w:p>
            <w:pPr>
              <w:pStyle w:val="23"/>
              <w:numPr>
                <w:ilvl w:val="0"/>
                <w:numId w:val="3"/>
              </w:numPr>
              <w:spacing w:line="240" w:lineRule="auto"/>
              <w:ind w:left="140" w:leftChars="50" w:firstLine="0" w:firstLineChars="0"/>
              <w:jc w:val="center"/>
              <w:rPr>
                <w:sz w:val="21"/>
                <w:szCs w:val="21"/>
              </w:rPr>
            </w:pPr>
          </w:p>
        </w:tc>
        <w:tc>
          <w:tcPr>
            <w:tcW w:w="5175" w:type="dxa"/>
            <w:vAlign w:val="center"/>
          </w:tcPr>
          <w:p>
            <w:pPr>
              <w:spacing w:line="240" w:lineRule="auto"/>
              <w:ind w:firstLine="0" w:firstLineChars="0"/>
              <w:jc w:val="left"/>
              <w:rPr>
                <w:sz w:val="21"/>
                <w:szCs w:val="21"/>
              </w:rPr>
            </w:pPr>
          </w:p>
        </w:tc>
        <w:tc>
          <w:tcPr>
            <w:tcW w:w="836" w:type="dxa"/>
            <w:vAlign w:val="center"/>
          </w:tcPr>
          <w:p>
            <w:pPr>
              <w:spacing w:line="240" w:lineRule="auto"/>
              <w:ind w:firstLine="0" w:firstLineChars="0"/>
              <w:jc w:val="center"/>
              <w:rPr>
                <w:rFonts w:ascii="Times New Roman" w:hAnsi="Times New Roman" w:eastAsia="宋体" w:cstheme="minorBidi"/>
                <w:kern w:val="2"/>
                <w:sz w:val="21"/>
                <w:szCs w:val="21"/>
                <w:lang w:val="en-US" w:eastAsia="zh-CN" w:bidi="ar-SA"/>
              </w:rPr>
            </w:pPr>
          </w:p>
        </w:tc>
        <w:tc>
          <w:tcPr>
            <w:tcW w:w="1717" w:type="dxa"/>
            <w:vAlign w:val="center"/>
          </w:tcPr>
          <w:p>
            <w:pPr>
              <w:spacing w:line="240" w:lineRule="auto"/>
              <w:ind w:firstLine="0" w:firstLineChars="0"/>
              <w:jc w:val="center"/>
              <w:rPr>
                <w:rFonts w:hint="eastAsia" w:ascii="Times New Roman" w:hAnsi="Times New Roman" w:eastAsia="宋体" w:cstheme="minorBidi"/>
                <w:kern w:val="2"/>
                <w:sz w:val="21"/>
                <w:szCs w:val="21"/>
                <w:lang w:val="en-US" w:eastAsia="zh-CN" w:bidi="ar-SA"/>
              </w:rPr>
            </w:pPr>
          </w:p>
        </w:tc>
        <w:tc>
          <w:tcPr>
            <w:tcW w:w="1127" w:type="dxa"/>
            <w:vAlign w:val="center"/>
          </w:tcPr>
          <w:p>
            <w:pPr>
              <w:spacing w:line="240" w:lineRule="auto"/>
              <w:ind w:firstLine="0" w:firstLineChars="0"/>
              <w:jc w:val="center"/>
              <w:rPr>
                <w:rFonts w:hint="default" w:ascii="Times New Roman" w:hAnsi="Times New Roman" w:eastAsia="宋体" w:cstheme="minorBidi"/>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31" w:type="dxa"/>
            <w:vAlign w:val="center"/>
          </w:tcPr>
          <w:p>
            <w:pPr>
              <w:pStyle w:val="23"/>
              <w:numPr>
                <w:ilvl w:val="0"/>
                <w:numId w:val="3"/>
              </w:numPr>
              <w:spacing w:line="240" w:lineRule="auto"/>
              <w:ind w:left="140" w:leftChars="50" w:firstLine="0" w:firstLineChars="0"/>
              <w:jc w:val="center"/>
              <w:rPr>
                <w:sz w:val="21"/>
                <w:szCs w:val="21"/>
              </w:rPr>
            </w:pPr>
          </w:p>
        </w:tc>
        <w:tc>
          <w:tcPr>
            <w:tcW w:w="5175" w:type="dxa"/>
            <w:vAlign w:val="center"/>
          </w:tcPr>
          <w:p>
            <w:pPr>
              <w:spacing w:line="240" w:lineRule="auto"/>
              <w:ind w:firstLine="0" w:firstLineChars="0"/>
              <w:jc w:val="left"/>
              <w:rPr>
                <w:sz w:val="21"/>
                <w:szCs w:val="21"/>
              </w:rPr>
            </w:pPr>
          </w:p>
        </w:tc>
        <w:tc>
          <w:tcPr>
            <w:tcW w:w="836" w:type="dxa"/>
            <w:vAlign w:val="center"/>
          </w:tcPr>
          <w:p>
            <w:pPr>
              <w:spacing w:line="240" w:lineRule="auto"/>
              <w:ind w:firstLine="0" w:firstLineChars="0"/>
              <w:jc w:val="center"/>
              <w:rPr>
                <w:rFonts w:ascii="Times New Roman" w:hAnsi="Times New Roman" w:eastAsia="宋体" w:cstheme="minorBidi"/>
                <w:kern w:val="2"/>
                <w:sz w:val="21"/>
                <w:szCs w:val="21"/>
                <w:lang w:val="en-US" w:eastAsia="zh-CN" w:bidi="ar-SA"/>
              </w:rPr>
            </w:pPr>
          </w:p>
        </w:tc>
        <w:tc>
          <w:tcPr>
            <w:tcW w:w="1717" w:type="dxa"/>
            <w:vAlign w:val="center"/>
          </w:tcPr>
          <w:p>
            <w:pPr>
              <w:spacing w:line="240" w:lineRule="auto"/>
              <w:ind w:firstLine="0" w:firstLineChars="0"/>
              <w:jc w:val="center"/>
              <w:rPr>
                <w:rFonts w:hint="eastAsia" w:ascii="Times New Roman" w:hAnsi="Times New Roman" w:eastAsia="宋体" w:cstheme="minorBidi"/>
                <w:kern w:val="2"/>
                <w:sz w:val="21"/>
                <w:szCs w:val="21"/>
                <w:lang w:val="en-US" w:eastAsia="zh-CN" w:bidi="ar-SA"/>
              </w:rPr>
            </w:pPr>
          </w:p>
        </w:tc>
        <w:tc>
          <w:tcPr>
            <w:tcW w:w="1127" w:type="dxa"/>
            <w:vAlign w:val="center"/>
          </w:tcPr>
          <w:p>
            <w:pPr>
              <w:spacing w:line="240" w:lineRule="auto"/>
              <w:ind w:firstLine="0" w:firstLineChars="0"/>
              <w:jc w:val="center"/>
              <w:rPr>
                <w:rFonts w:hint="default" w:ascii="Times New Roman" w:hAnsi="Times New Roman" w:eastAsia="宋体" w:cstheme="minorBidi"/>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31" w:type="dxa"/>
            <w:vAlign w:val="center"/>
          </w:tcPr>
          <w:p>
            <w:pPr>
              <w:pStyle w:val="23"/>
              <w:numPr>
                <w:ilvl w:val="0"/>
                <w:numId w:val="3"/>
              </w:numPr>
              <w:spacing w:line="240" w:lineRule="auto"/>
              <w:ind w:left="140" w:leftChars="50" w:firstLine="0" w:firstLineChars="0"/>
              <w:jc w:val="center"/>
              <w:rPr>
                <w:sz w:val="21"/>
                <w:szCs w:val="21"/>
              </w:rPr>
            </w:pPr>
          </w:p>
        </w:tc>
        <w:tc>
          <w:tcPr>
            <w:tcW w:w="5175" w:type="dxa"/>
            <w:vAlign w:val="center"/>
          </w:tcPr>
          <w:p>
            <w:pPr>
              <w:spacing w:line="240" w:lineRule="auto"/>
              <w:ind w:firstLine="0" w:firstLineChars="0"/>
              <w:jc w:val="left"/>
              <w:rPr>
                <w:sz w:val="21"/>
                <w:szCs w:val="21"/>
              </w:rPr>
            </w:pPr>
          </w:p>
        </w:tc>
        <w:tc>
          <w:tcPr>
            <w:tcW w:w="836" w:type="dxa"/>
            <w:vAlign w:val="center"/>
          </w:tcPr>
          <w:p>
            <w:pPr>
              <w:spacing w:line="240" w:lineRule="auto"/>
              <w:ind w:firstLine="0" w:firstLineChars="0"/>
              <w:jc w:val="center"/>
              <w:rPr>
                <w:rFonts w:ascii="Times New Roman" w:hAnsi="Times New Roman" w:eastAsia="宋体" w:cstheme="minorBidi"/>
                <w:kern w:val="2"/>
                <w:sz w:val="21"/>
                <w:szCs w:val="21"/>
                <w:lang w:val="en-US" w:eastAsia="zh-CN" w:bidi="ar-SA"/>
              </w:rPr>
            </w:pPr>
          </w:p>
        </w:tc>
        <w:tc>
          <w:tcPr>
            <w:tcW w:w="1717" w:type="dxa"/>
            <w:vAlign w:val="center"/>
          </w:tcPr>
          <w:p>
            <w:pPr>
              <w:spacing w:line="240" w:lineRule="auto"/>
              <w:ind w:firstLine="0" w:firstLineChars="0"/>
              <w:jc w:val="center"/>
              <w:rPr>
                <w:rFonts w:hint="eastAsia" w:ascii="Times New Roman" w:hAnsi="Times New Roman" w:eastAsia="宋体" w:cstheme="minorBidi"/>
                <w:kern w:val="2"/>
                <w:sz w:val="21"/>
                <w:szCs w:val="21"/>
                <w:lang w:val="en-US" w:eastAsia="zh-CN" w:bidi="ar-SA"/>
              </w:rPr>
            </w:pPr>
          </w:p>
        </w:tc>
        <w:tc>
          <w:tcPr>
            <w:tcW w:w="1127" w:type="dxa"/>
            <w:vAlign w:val="center"/>
          </w:tcPr>
          <w:p>
            <w:pPr>
              <w:spacing w:line="240" w:lineRule="auto"/>
              <w:ind w:firstLine="0" w:firstLineChars="0"/>
              <w:jc w:val="center"/>
              <w:rPr>
                <w:rFonts w:hint="default" w:ascii="Times New Roman" w:hAnsi="Times New Roman" w:eastAsia="宋体" w:cstheme="minorBidi"/>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31" w:type="dxa"/>
            <w:vAlign w:val="center"/>
          </w:tcPr>
          <w:p>
            <w:pPr>
              <w:pStyle w:val="23"/>
              <w:numPr>
                <w:ilvl w:val="0"/>
                <w:numId w:val="3"/>
              </w:numPr>
              <w:spacing w:line="240" w:lineRule="auto"/>
              <w:ind w:left="140" w:leftChars="50" w:firstLine="0" w:firstLineChars="0"/>
              <w:jc w:val="center"/>
              <w:rPr>
                <w:sz w:val="21"/>
                <w:szCs w:val="21"/>
              </w:rPr>
            </w:pPr>
          </w:p>
        </w:tc>
        <w:tc>
          <w:tcPr>
            <w:tcW w:w="5175" w:type="dxa"/>
            <w:vAlign w:val="center"/>
          </w:tcPr>
          <w:p>
            <w:pPr>
              <w:spacing w:line="240" w:lineRule="auto"/>
              <w:ind w:firstLine="0" w:firstLineChars="0"/>
              <w:jc w:val="left"/>
              <w:rPr>
                <w:sz w:val="21"/>
                <w:szCs w:val="21"/>
              </w:rPr>
            </w:pPr>
          </w:p>
        </w:tc>
        <w:tc>
          <w:tcPr>
            <w:tcW w:w="836" w:type="dxa"/>
            <w:vAlign w:val="center"/>
          </w:tcPr>
          <w:p>
            <w:pPr>
              <w:spacing w:line="240" w:lineRule="auto"/>
              <w:ind w:firstLine="0" w:firstLineChars="0"/>
              <w:jc w:val="center"/>
              <w:rPr>
                <w:rFonts w:ascii="Times New Roman" w:hAnsi="Times New Roman" w:eastAsia="宋体" w:cstheme="minorBidi"/>
                <w:kern w:val="2"/>
                <w:sz w:val="21"/>
                <w:szCs w:val="21"/>
                <w:lang w:val="en-US" w:eastAsia="zh-CN" w:bidi="ar-SA"/>
              </w:rPr>
            </w:pPr>
          </w:p>
        </w:tc>
        <w:tc>
          <w:tcPr>
            <w:tcW w:w="1717" w:type="dxa"/>
            <w:vAlign w:val="center"/>
          </w:tcPr>
          <w:p>
            <w:pPr>
              <w:spacing w:line="240" w:lineRule="auto"/>
              <w:ind w:firstLine="0" w:firstLineChars="0"/>
              <w:jc w:val="left"/>
              <w:rPr>
                <w:rFonts w:ascii="Times New Roman" w:hAnsi="Times New Roman" w:eastAsia="宋体" w:cstheme="minorBidi"/>
                <w:kern w:val="2"/>
                <w:sz w:val="21"/>
                <w:szCs w:val="21"/>
                <w:lang w:val="en-US" w:eastAsia="zh-CN" w:bidi="ar-SA"/>
              </w:rPr>
            </w:pPr>
          </w:p>
        </w:tc>
        <w:tc>
          <w:tcPr>
            <w:tcW w:w="1127" w:type="dxa"/>
            <w:vAlign w:val="center"/>
          </w:tcPr>
          <w:p>
            <w:pPr>
              <w:spacing w:line="240" w:lineRule="auto"/>
              <w:ind w:firstLine="0" w:firstLineChars="0"/>
              <w:jc w:val="center"/>
              <w:rPr>
                <w:rFonts w:hint="eastAsia" w:ascii="Times New Roman" w:hAnsi="Times New Roman" w:eastAsia="宋体" w:cstheme="minorBidi"/>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31" w:type="dxa"/>
            <w:vAlign w:val="center"/>
          </w:tcPr>
          <w:p>
            <w:pPr>
              <w:pStyle w:val="23"/>
              <w:numPr>
                <w:ilvl w:val="0"/>
                <w:numId w:val="3"/>
              </w:numPr>
              <w:spacing w:line="240" w:lineRule="auto"/>
              <w:ind w:left="140" w:leftChars="50" w:firstLine="0" w:firstLineChars="0"/>
              <w:jc w:val="center"/>
              <w:rPr>
                <w:sz w:val="21"/>
                <w:szCs w:val="21"/>
              </w:rPr>
            </w:pPr>
          </w:p>
        </w:tc>
        <w:tc>
          <w:tcPr>
            <w:tcW w:w="5175" w:type="dxa"/>
            <w:vAlign w:val="center"/>
          </w:tcPr>
          <w:p>
            <w:pPr>
              <w:spacing w:line="240" w:lineRule="auto"/>
              <w:ind w:firstLine="0" w:firstLineChars="0"/>
              <w:jc w:val="left"/>
              <w:rPr>
                <w:sz w:val="21"/>
                <w:szCs w:val="21"/>
              </w:rPr>
            </w:pPr>
          </w:p>
        </w:tc>
        <w:tc>
          <w:tcPr>
            <w:tcW w:w="836" w:type="dxa"/>
            <w:vAlign w:val="center"/>
          </w:tcPr>
          <w:p>
            <w:pPr>
              <w:spacing w:line="240" w:lineRule="auto"/>
              <w:ind w:firstLine="0" w:firstLineChars="0"/>
              <w:jc w:val="center"/>
              <w:rPr>
                <w:rFonts w:ascii="Times New Roman" w:hAnsi="Times New Roman" w:eastAsia="宋体" w:cstheme="minorBidi"/>
                <w:kern w:val="2"/>
                <w:sz w:val="21"/>
                <w:szCs w:val="21"/>
                <w:lang w:val="en-US" w:eastAsia="zh-CN" w:bidi="ar-SA"/>
              </w:rPr>
            </w:pPr>
          </w:p>
        </w:tc>
        <w:tc>
          <w:tcPr>
            <w:tcW w:w="1717" w:type="dxa"/>
            <w:vAlign w:val="center"/>
          </w:tcPr>
          <w:p>
            <w:pPr>
              <w:spacing w:line="240" w:lineRule="auto"/>
              <w:ind w:firstLine="0" w:firstLineChars="0"/>
              <w:jc w:val="center"/>
              <w:rPr>
                <w:rFonts w:ascii="Times New Roman" w:hAnsi="Times New Roman" w:eastAsia="宋体" w:cstheme="minorBidi"/>
                <w:kern w:val="2"/>
                <w:sz w:val="21"/>
                <w:szCs w:val="21"/>
                <w:lang w:val="en-US" w:eastAsia="zh-CN" w:bidi="ar-SA"/>
              </w:rPr>
            </w:pPr>
          </w:p>
        </w:tc>
        <w:tc>
          <w:tcPr>
            <w:tcW w:w="1127" w:type="dxa"/>
            <w:vAlign w:val="center"/>
          </w:tcPr>
          <w:p>
            <w:pPr>
              <w:spacing w:line="240" w:lineRule="auto"/>
              <w:ind w:firstLine="0" w:firstLineChars="0"/>
              <w:jc w:val="center"/>
              <w:rPr>
                <w:rFonts w:hint="default" w:ascii="Times New Roman" w:hAnsi="Times New Roman" w:eastAsia="宋体" w:cstheme="minorBidi"/>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31" w:type="dxa"/>
            <w:vAlign w:val="center"/>
          </w:tcPr>
          <w:p>
            <w:pPr>
              <w:pStyle w:val="23"/>
              <w:numPr>
                <w:ilvl w:val="0"/>
                <w:numId w:val="3"/>
              </w:numPr>
              <w:spacing w:line="240" w:lineRule="auto"/>
              <w:ind w:left="140" w:leftChars="50" w:firstLine="0" w:firstLineChars="0"/>
              <w:jc w:val="center"/>
              <w:rPr>
                <w:sz w:val="21"/>
                <w:szCs w:val="21"/>
              </w:rPr>
            </w:pPr>
          </w:p>
        </w:tc>
        <w:tc>
          <w:tcPr>
            <w:tcW w:w="5175" w:type="dxa"/>
            <w:vAlign w:val="center"/>
          </w:tcPr>
          <w:p>
            <w:pPr>
              <w:spacing w:line="240" w:lineRule="auto"/>
              <w:ind w:firstLine="0" w:firstLineChars="0"/>
              <w:jc w:val="left"/>
              <w:rPr>
                <w:rFonts w:hint="eastAsia"/>
                <w:sz w:val="21"/>
                <w:szCs w:val="21"/>
              </w:rPr>
            </w:pPr>
          </w:p>
        </w:tc>
        <w:tc>
          <w:tcPr>
            <w:tcW w:w="836" w:type="dxa"/>
            <w:vAlign w:val="center"/>
          </w:tcPr>
          <w:p>
            <w:pPr>
              <w:spacing w:line="240" w:lineRule="auto"/>
              <w:ind w:firstLine="0" w:firstLineChars="0"/>
              <w:jc w:val="center"/>
              <w:rPr>
                <w:rFonts w:hint="eastAsia" w:ascii="Times New Roman" w:hAnsi="Times New Roman" w:eastAsia="宋体" w:cstheme="minorBidi"/>
                <w:kern w:val="2"/>
                <w:sz w:val="21"/>
                <w:szCs w:val="21"/>
                <w:lang w:val="en-US" w:eastAsia="zh-CN" w:bidi="ar-SA"/>
              </w:rPr>
            </w:pPr>
          </w:p>
        </w:tc>
        <w:tc>
          <w:tcPr>
            <w:tcW w:w="1717" w:type="dxa"/>
            <w:vAlign w:val="center"/>
          </w:tcPr>
          <w:p>
            <w:pPr>
              <w:spacing w:line="240" w:lineRule="auto"/>
              <w:ind w:firstLine="0" w:firstLineChars="0"/>
              <w:jc w:val="center"/>
              <w:rPr>
                <w:rFonts w:hint="eastAsia" w:ascii="Times New Roman" w:hAnsi="Times New Roman" w:eastAsia="宋体" w:cstheme="minorBidi"/>
                <w:kern w:val="2"/>
                <w:sz w:val="21"/>
                <w:szCs w:val="21"/>
                <w:lang w:val="en-US" w:eastAsia="zh-CN" w:bidi="ar-SA"/>
              </w:rPr>
            </w:pPr>
          </w:p>
        </w:tc>
        <w:tc>
          <w:tcPr>
            <w:tcW w:w="1127" w:type="dxa"/>
            <w:vAlign w:val="center"/>
          </w:tcPr>
          <w:p>
            <w:pPr>
              <w:spacing w:line="240" w:lineRule="auto"/>
              <w:ind w:firstLine="0" w:firstLineChars="0"/>
              <w:jc w:val="center"/>
              <w:rPr>
                <w:rFonts w:hint="eastAsia" w:ascii="Times New Roman" w:hAnsi="Times New Roman" w:eastAsia="宋体" w:cstheme="minorBidi"/>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31" w:type="dxa"/>
            <w:vAlign w:val="center"/>
          </w:tcPr>
          <w:p>
            <w:pPr>
              <w:pStyle w:val="23"/>
              <w:numPr>
                <w:ilvl w:val="0"/>
                <w:numId w:val="3"/>
              </w:numPr>
              <w:spacing w:line="240" w:lineRule="auto"/>
              <w:ind w:left="140" w:leftChars="50" w:firstLine="0" w:firstLineChars="0"/>
              <w:jc w:val="center"/>
              <w:rPr>
                <w:sz w:val="21"/>
                <w:szCs w:val="21"/>
              </w:rPr>
            </w:pPr>
          </w:p>
        </w:tc>
        <w:tc>
          <w:tcPr>
            <w:tcW w:w="5175" w:type="dxa"/>
            <w:vAlign w:val="center"/>
          </w:tcPr>
          <w:p>
            <w:pPr>
              <w:spacing w:line="240" w:lineRule="auto"/>
              <w:ind w:firstLine="0" w:firstLineChars="0"/>
              <w:jc w:val="left"/>
              <w:rPr>
                <w:rFonts w:hint="eastAsia"/>
                <w:sz w:val="21"/>
                <w:szCs w:val="21"/>
              </w:rPr>
            </w:pPr>
          </w:p>
        </w:tc>
        <w:tc>
          <w:tcPr>
            <w:tcW w:w="836" w:type="dxa"/>
            <w:vAlign w:val="center"/>
          </w:tcPr>
          <w:p>
            <w:pPr>
              <w:spacing w:line="240" w:lineRule="auto"/>
              <w:ind w:firstLine="0" w:firstLineChars="0"/>
              <w:jc w:val="center"/>
              <w:rPr>
                <w:rFonts w:hint="eastAsia" w:ascii="Times New Roman" w:hAnsi="Times New Roman" w:eastAsia="宋体" w:cstheme="minorBidi"/>
                <w:kern w:val="2"/>
                <w:sz w:val="21"/>
                <w:szCs w:val="21"/>
                <w:lang w:val="en-US" w:eastAsia="zh-CN" w:bidi="ar-SA"/>
              </w:rPr>
            </w:pPr>
          </w:p>
        </w:tc>
        <w:tc>
          <w:tcPr>
            <w:tcW w:w="1717" w:type="dxa"/>
            <w:vAlign w:val="center"/>
          </w:tcPr>
          <w:p>
            <w:pPr>
              <w:spacing w:line="240" w:lineRule="auto"/>
              <w:ind w:firstLine="0" w:firstLineChars="0"/>
              <w:jc w:val="center"/>
              <w:rPr>
                <w:rFonts w:hint="eastAsia" w:ascii="Times New Roman" w:hAnsi="Times New Roman" w:eastAsia="宋体" w:cstheme="minorBidi"/>
                <w:kern w:val="2"/>
                <w:sz w:val="21"/>
                <w:szCs w:val="21"/>
                <w:lang w:val="en-US" w:eastAsia="zh-CN" w:bidi="ar-SA"/>
              </w:rPr>
            </w:pPr>
          </w:p>
        </w:tc>
        <w:tc>
          <w:tcPr>
            <w:tcW w:w="1127" w:type="dxa"/>
            <w:vAlign w:val="center"/>
          </w:tcPr>
          <w:p>
            <w:pPr>
              <w:spacing w:line="240" w:lineRule="auto"/>
              <w:ind w:firstLine="0" w:firstLineChars="0"/>
              <w:jc w:val="center"/>
              <w:rPr>
                <w:rFonts w:hint="eastAsia" w:ascii="Times New Roman" w:hAnsi="Times New Roman" w:eastAsia="宋体" w:cstheme="minorBidi"/>
                <w:kern w:val="2"/>
                <w:sz w:val="21"/>
                <w:szCs w:val="21"/>
                <w:lang w:val="en-US" w:eastAsia="zh-CN" w:bidi="ar-SA"/>
              </w:rPr>
            </w:pPr>
          </w:p>
        </w:tc>
      </w:tr>
    </w:tbl>
    <w:p>
      <w:pPr>
        <w:ind w:firstLine="0" w:firstLineChars="0"/>
        <w:sectPr>
          <w:pgSz w:w="11906" w:h="16838"/>
          <w:pgMar w:top="1440" w:right="1276" w:bottom="1440" w:left="1134" w:header="851" w:footer="992" w:gutter="0"/>
          <w:pgBorders>
            <w:top w:val="none" w:sz="0" w:space="0"/>
            <w:left w:val="none" w:sz="0" w:space="0"/>
            <w:bottom w:val="none" w:sz="0" w:space="0"/>
            <w:right w:val="none" w:sz="0" w:space="0"/>
          </w:pgBorders>
          <w:pgNumType w:fmt="decimal"/>
          <w:cols w:space="425" w:num="1"/>
          <w:docGrid w:type="linesAndChars" w:linePitch="381" w:charSpace="0"/>
        </w:sectPr>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center"/>
        <w:outlineLvl w:val="0"/>
        <w:rPr>
          <w:b/>
        </w:rPr>
      </w:pPr>
      <w:bookmarkStart w:id="188" w:name="_Toc19806"/>
      <w:r>
        <w:rPr>
          <w:b/>
          <w:sz w:val="40"/>
        </w:rPr>
        <w:t>第</w:t>
      </w:r>
      <w:r>
        <w:rPr>
          <w:rFonts w:hint="eastAsia"/>
          <w:b/>
          <w:sz w:val="40"/>
          <w:lang w:eastAsia="zh-CN"/>
        </w:rPr>
        <w:t>二</w:t>
      </w:r>
      <w:r>
        <w:rPr>
          <w:b/>
          <w:sz w:val="40"/>
        </w:rPr>
        <w:t>部分：突发环境事件应急预案</w:t>
      </w:r>
      <w:r>
        <w:rPr>
          <w:rFonts w:hint="eastAsia"/>
          <w:b/>
          <w:sz w:val="40"/>
          <w:lang w:eastAsia="zh-CN"/>
        </w:rPr>
        <w:t>编制说明</w:t>
      </w:r>
      <w:bookmarkEnd w:id="188"/>
    </w:p>
    <w:p>
      <w:pPr>
        <w:rPr>
          <w:rFonts w:hint="eastAsia"/>
          <w:b/>
          <w:sz w:val="40"/>
          <w:lang w:eastAsia="zh-CN"/>
        </w:rPr>
      </w:pPr>
      <w:r>
        <w:rPr>
          <w:rFonts w:hint="eastAsia"/>
          <w:b/>
          <w:sz w:val="40"/>
          <w:lang w:eastAsia="zh-CN"/>
        </w:rPr>
        <w:br w:type="page"/>
      </w:r>
    </w:p>
    <w:p>
      <w:pPr>
        <w:pStyle w:val="4"/>
        <w:numPr>
          <w:ilvl w:val="0"/>
          <w:numId w:val="0"/>
        </w:numPr>
        <w:ind w:leftChars="0"/>
      </w:pPr>
      <w:bookmarkStart w:id="189" w:name="_Toc1553"/>
      <w:r>
        <w:rPr>
          <w:rFonts w:hint="eastAsia"/>
          <w:lang w:val="en-US" w:eastAsia="zh-CN"/>
        </w:rPr>
        <w:t>1</w:t>
      </w:r>
      <w:r>
        <w:rPr>
          <w:rFonts w:hint="eastAsia"/>
        </w:rPr>
        <w:t>编制目的</w:t>
      </w:r>
      <w:bookmarkEnd w:id="189"/>
    </w:p>
    <w:p>
      <w:pPr>
        <w:ind w:firstLine="560"/>
      </w:pPr>
      <w:r>
        <w:rPr>
          <w:rFonts w:hint="eastAsia"/>
        </w:rPr>
        <w:t>为规范和加强公司对突发环境污染事故的综合处置能力，贯彻落实“安全第一、预防为主、综合治理”方针，促进公司应急预案体系建设，充分发挥应急预案在事故预防和应急处置中的作用，切实提高公司的应急处置能力，明确公司各个部门的应急工作职能，及时、科学、有效地指挥、协调应急救援工作，提高应急救援反应速度，确保迅速有效地处理各类环境污染事故，实现应急救援“快速、有序、有效”，将事故对人员、财产和环境造成的损失降至最小程度，最大限度地减少对环境的影响，达到防止和控制对空气、土壤、地表水及地下水的污染，制定本预案。</w:t>
      </w:r>
    </w:p>
    <w:p>
      <w:pPr>
        <w:pStyle w:val="4"/>
        <w:numPr>
          <w:ilvl w:val="0"/>
          <w:numId w:val="0"/>
        </w:numPr>
        <w:ind w:leftChars="0"/>
      </w:pPr>
      <w:bookmarkStart w:id="190" w:name="_Toc27797"/>
      <w:r>
        <w:rPr>
          <w:rFonts w:hint="eastAsia"/>
          <w:lang w:val="en-US" w:eastAsia="zh-CN"/>
        </w:rPr>
        <w:t>2</w:t>
      </w:r>
      <w:r>
        <w:rPr>
          <w:rFonts w:hint="eastAsia"/>
        </w:rPr>
        <w:t>编制原则</w:t>
      </w:r>
      <w:bookmarkEnd w:id="190"/>
    </w:p>
    <w:p>
      <w:pPr>
        <w:ind w:firstLine="560"/>
      </w:pPr>
      <w:r>
        <w:rPr>
          <w:rFonts w:hint="eastAsia"/>
        </w:rPr>
        <w:t>本应急预案严格参照《突发环境事件应急管理办法》（2015年6月5日）、《企业事业单位突发环境事件应急预案备案管理办法（试行）》（环发［2015］4号）、《江西省突发环境事件应急预案管理办法的通知》（赣府厅发［2013］30号）等相关文件规定进行。</w:t>
      </w:r>
    </w:p>
    <w:p>
      <w:pPr>
        <w:ind w:firstLine="560"/>
      </w:pPr>
      <w:r>
        <w:rPr>
          <w:rFonts w:hint="eastAsia"/>
        </w:rPr>
        <w:t>以国家环境保护和污染防治相关法律、法规、规章、技术政策和规划为依据，预案编制主要遵循以人为本、预防为主，统一领导、分级负责，企业自救、快速上报，整合资源、联动处理的原则。力求有较强的针对性、实用性和可操作性。</w:t>
      </w:r>
    </w:p>
    <w:p>
      <w:pPr>
        <w:pStyle w:val="4"/>
        <w:numPr>
          <w:ilvl w:val="0"/>
          <w:numId w:val="0"/>
        </w:numPr>
        <w:ind w:leftChars="0"/>
      </w:pPr>
      <w:bookmarkStart w:id="191" w:name="_Toc18526"/>
      <w:r>
        <w:rPr>
          <w:rFonts w:hint="eastAsia"/>
          <w:lang w:val="en-US" w:eastAsia="zh-CN"/>
        </w:rPr>
        <w:t>3</w:t>
      </w:r>
      <w:r>
        <w:rPr>
          <w:rFonts w:hint="eastAsia"/>
        </w:rPr>
        <w:t>编制过程概述</w:t>
      </w:r>
      <w:bookmarkEnd w:id="191"/>
    </w:p>
    <w:p>
      <w:pPr>
        <w:ind w:firstLine="560"/>
      </w:pPr>
      <w:r>
        <w:rPr>
          <w:rFonts w:hint="eastAsia"/>
        </w:rPr>
        <w:t>为确保公司应急预案编制工作顺利</w:t>
      </w:r>
      <w:r>
        <w:rPr>
          <w:rFonts w:hint="eastAsia"/>
          <w:color w:val="000000" w:themeColor="text1"/>
          <w14:textFill>
            <w14:solidFill>
              <w14:schemeClr w14:val="tx1"/>
            </w14:solidFill>
          </w14:textFill>
        </w:rPr>
        <w:t>实施，特成立了以</w:t>
      </w:r>
      <w:r>
        <w:rPr>
          <w:rFonts w:hint="eastAsia"/>
          <w:color w:val="000000" w:themeColor="text1"/>
          <w:lang w:val="en-US" w:eastAsia="zh-CN"/>
          <w14:textFill>
            <w14:solidFill>
              <w14:schemeClr w14:val="tx1"/>
            </w14:solidFill>
          </w14:textFill>
        </w:rPr>
        <w:t>总经理</w:t>
      </w:r>
      <w:r>
        <w:rPr>
          <w:rFonts w:hint="eastAsia"/>
          <w:color w:val="000000" w:themeColor="text1"/>
          <w14:textFill>
            <w14:solidFill>
              <w14:schemeClr w14:val="tx1"/>
            </w14:solidFill>
          </w14:textFill>
        </w:rPr>
        <w:t>担任总指挥，</w:t>
      </w:r>
      <w:r>
        <w:rPr>
          <w:rFonts w:hint="eastAsia"/>
          <w:lang w:val="en-US" w:eastAsia="zh-CN"/>
        </w:rPr>
        <w:t>安环管理负责人</w:t>
      </w:r>
      <w:r>
        <w:rPr>
          <w:rFonts w:hint="eastAsia"/>
        </w:rPr>
        <w:t>担任副总指挥，成员由各职能部门和各</w:t>
      </w:r>
      <w:r>
        <w:rPr>
          <w:rFonts w:hint="eastAsia"/>
          <w:lang w:val="en-US" w:eastAsia="zh-CN"/>
        </w:rPr>
        <w:t>应急小组</w:t>
      </w:r>
      <w:r>
        <w:rPr>
          <w:rFonts w:hint="eastAsia"/>
        </w:rPr>
        <w:t>组成</w:t>
      </w:r>
      <w:r>
        <w:rPr>
          <w:rFonts w:hint="eastAsia"/>
          <w:color w:val="000000" w:themeColor="text1"/>
          <w14:textFill>
            <w14:solidFill>
              <w14:schemeClr w14:val="tx1"/>
            </w14:solidFill>
          </w14:textFill>
        </w:rPr>
        <w:t>的应急预案编制小组，并对编制小组成员制定了明确的职责和工</w:t>
      </w:r>
      <w:r>
        <w:rPr>
          <w:rFonts w:hint="eastAsia"/>
        </w:rPr>
        <w:t>作计划。</w:t>
      </w:r>
    </w:p>
    <w:p>
      <w:pPr>
        <w:ind w:firstLine="560"/>
      </w:pPr>
      <w:r>
        <w:rPr>
          <w:rFonts w:hint="eastAsia"/>
        </w:rPr>
        <w:t>编制小组为确保编制内容的真实、有效，首先对公司存在的环境风险源、周边环境状况及环境保护目标的基本情况进行了全面的调查，具体的内容包括：公司的主要产品及公司原材物料的年消耗量；公司的生产工艺流程及各节点污染物排放种类、目前的控制措施；主要生产设备，雨、清、污水收集、排放管网，应急设施（备）平面布置；公司主要排放污染物及污染治理设施处理后废物产量；公司周边5公里范围内人口集中居住区名称、联系方式、人数；周边企业、重要基础设施、道路等基本情况；周边环境敏感点与公司的距离和方位图；公司产生污水排放去向，接纳水体情况及执行的环境标准，区域地下水执行的环境标准；公司下游水体河流及饮用水源保护区情况，区域空气执行的环境标准等内容。</w:t>
      </w:r>
    </w:p>
    <w:p>
      <w:pPr>
        <w:ind w:firstLine="560"/>
      </w:pPr>
      <w:r>
        <w:rPr>
          <w:rFonts w:hint="eastAsia"/>
        </w:rPr>
        <w:t>通过对公司及周边情况调查，确定了公司的环境风险源有以下几个方面，公司在生产及原材物料的储存过程中，将产生废气、废水、固废、噪声以及突发环境事件造成污染物排放等。对公司及附近的生态环境与人群生活有一定影响，根据公司生产工艺流程，生产过程中主要有水污染，火灾、中毒和泄漏等污染事故。</w:t>
      </w:r>
    </w:p>
    <w:p>
      <w:pPr>
        <w:ind w:firstLine="560"/>
      </w:pPr>
      <w:r>
        <w:rPr>
          <w:rFonts w:hint="eastAsia"/>
        </w:rPr>
        <w:t>根据环境风险源辨识结果，和目前公司现有应急能力的评估结果，公司成立了突发环境事件应急救援指挥机构和应急救援小组。明确了应急指挥机构和各救援小组的应急职责，建立了预警机制，并根据突发环境事故的严重性、紧急程度和可能涉及的范围，将突发环境事故的预警级别分为三级，预警级别由高到低，依次为公司级、车间级、班组级。根据事态的发展情况和采取措施的效果，预警级别可以升级、降级或解除。</w:t>
      </w:r>
    </w:p>
    <w:p>
      <w:pPr>
        <w:ind w:firstLine="560"/>
      </w:pPr>
      <w:r>
        <w:rPr>
          <w:rFonts w:hint="eastAsia"/>
        </w:rPr>
        <w:t>预案编制小组在建立了预警机制后，根据可能发生的环境突发事故的严重程度和紧急程度，将突发环境事件分为三级。并根据事件的等级制定了相应的应急响应流程、应急处置措施、危险区域的隔离与安全区的设定。关于事故的报告，编制组根据事故的影响范围，确定了等级上报程序及在什么情况下需要向公司周边环境风险受体进行通报。</w:t>
      </w:r>
    </w:p>
    <w:p>
      <w:pPr>
        <w:ind w:firstLine="560"/>
      </w:pPr>
      <w:r>
        <w:rPr>
          <w:rFonts w:hint="eastAsia"/>
        </w:rPr>
        <w:t>为确保整个事故救援过程顺利、有效的开展，编制组在预案中明确了公司的整个保障体系，具体包括：通讯与信息保障、应急队伍保障、应急物资装备保障、交通运输保障、救援医疗保障、治安保障等。预案的主要内容编制完成后，编制组为确保预案达到编制目的，降低事故损失，对预案的培训和演练做了详细的规定。</w:t>
      </w:r>
    </w:p>
    <w:p>
      <w:pPr>
        <w:ind w:firstLine="560"/>
      </w:pPr>
      <w:r>
        <w:rPr>
          <w:rFonts w:hint="eastAsia"/>
        </w:rPr>
        <w:t>预案编制完成后以</w:t>
      </w:r>
      <w:r>
        <w:rPr>
          <w:rFonts w:hint="eastAsia"/>
          <w:lang w:eastAsia="zh-CN"/>
        </w:rPr>
        <w:t>生产厂长</w:t>
      </w:r>
      <w:r>
        <w:rPr>
          <w:rFonts w:hint="eastAsia"/>
        </w:rPr>
        <w:t>为组长的应急预案编制小组对预案的主要内容进行了内部审核，对审核中提出的问题，预案编制组对其进行了完善。同时邀请外部专家对预案进行评审，并对意见及采纳情况进行记录。编制组在完善各项修改意见的基础上编制完成该预案。</w:t>
      </w:r>
    </w:p>
    <w:p>
      <w:pPr>
        <w:pStyle w:val="4"/>
        <w:numPr>
          <w:ilvl w:val="0"/>
          <w:numId w:val="0"/>
        </w:numPr>
        <w:ind w:leftChars="0"/>
      </w:pPr>
      <w:bookmarkStart w:id="192" w:name="_Toc885"/>
      <w:r>
        <w:rPr>
          <w:rFonts w:hint="eastAsia"/>
          <w:lang w:val="en-US" w:eastAsia="zh-CN"/>
        </w:rPr>
        <w:t>4</w:t>
      </w:r>
      <w:r>
        <w:rPr>
          <w:rFonts w:hint="eastAsia"/>
        </w:rPr>
        <w:t>重点内容说明</w:t>
      </w:r>
      <w:bookmarkEnd w:id="192"/>
    </w:p>
    <w:p>
      <w:pPr>
        <w:ind w:firstLine="560"/>
      </w:pPr>
      <w:r>
        <w:rPr>
          <w:rFonts w:hint="eastAsia"/>
        </w:rPr>
        <w:t>本预案在企业环境风险评估和应急物资调查的基础上形成。环境风险评估过程中对企业周边的环境风险受体进行了调查，对企业涉及的环境风险物质进行了筛选，</w:t>
      </w:r>
      <w:r>
        <w:rPr>
          <w:rFonts w:hint="eastAsia"/>
          <w:color w:val="000000" w:themeColor="text1"/>
          <w14:textFill>
            <w14:solidFill>
              <w14:schemeClr w14:val="tx1"/>
            </w14:solidFill>
          </w14:textFill>
        </w:rPr>
        <w:t>根据环境风险物质数量与临界量比值（Q）的计算结果判定企业为一般环境风险等级。针对本企业可能发生的火灾爆炸等突发环境事故，明确了相应的应急措施，查找了现有环</w:t>
      </w:r>
      <w:r>
        <w:rPr>
          <w:rFonts w:hint="eastAsia"/>
        </w:rPr>
        <w:t>境风险防控和应急措施的差距，给出了完善环境风险防控和应急措施的实施计划。调查了企业应急物质的配备情况，明确了应急组织机构的设置情况及职责。</w:t>
      </w:r>
    </w:p>
    <w:p>
      <w:pPr>
        <w:pStyle w:val="4"/>
        <w:numPr>
          <w:ilvl w:val="0"/>
          <w:numId w:val="0"/>
        </w:numPr>
        <w:ind w:leftChars="0"/>
        <w:rPr>
          <w:color w:val="000000" w:themeColor="text1"/>
          <w14:textFill>
            <w14:solidFill>
              <w14:schemeClr w14:val="tx1"/>
            </w14:solidFill>
          </w14:textFill>
        </w:rPr>
      </w:pPr>
      <w:bookmarkStart w:id="193" w:name="_Toc12679"/>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征求意见及采纳情况说明</w:t>
      </w:r>
      <w:bookmarkEnd w:id="193"/>
    </w:p>
    <w:p>
      <w:pPr>
        <w:ind w:firstLine="560"/>
        <w:rPr>
          <w:color w:val="000000" w:themeColor="text1"/>
          <w14:textFill>
            <w14:solidFill>
              <w14:schemeClr w14:val="tx1"/>
            </w14:solidFill>
          </w14:textFill>
        </w:rPr>
      </w:pPr>
      <w:r>
        <w:rPr>
          <w:rFonts w:hint="eastAsia"/>
          <w:color w:val="000000" w:themeColor="text1"/>
          <w14:textFill>
            <w14:solidFill>
              <w14:schemeClr w14:val="tx1"/>
            </w14:solidFill>
          </w14:textFill>
        </w:rPr>
        <w:t>为确保《预案》的编制更加全面、具体，在进行预案编制和内部审核时，邀请了员工代表和当地居民参与到编制和审核的工作中，并征求了他们的意见和建议。编制小组对提出的建议进行了汇总，主要集中在以下几点：</w:t>
      </w:r>
    </w:p>
    <w:p>
      <w:pPr>
        <w:ind w:firstLine="560"/>
        <w:rPr>
          <w:color w:val="000000" w:themeColor="text1"/>
          <w14:textFill>
            <w14:solidFill>
              <w14:schemeClr w14:val="tx1"/>
            </w14:solidFill>
          </w14:textFill>
        </w:rPr>
      </w:pPr>
      <w:r>
        <w:rPr>
          <w:rFonts w:hint="eastAsia"/>
          <w:color w:val="000000" w:themeColor="text1"/>
          <w14:textFill>
            <w14:solidFill>
              <w14:schemeClr w14:val="tx1"/>
            </w14:solidFill>
          </w14:textFill>
        </w:rPr>
        <w:t>（1）预案中对事故发生时的应急处置措施制定的不够具体。</w:t>
      </w:r>
    </w:p>
    <w:p>
      <w:pPr>
        <w:ind w:firstLine="560"/>
        <w:rPr>
          <w:color w:val="000000" w:themeColor="text1"/>
          <w14:textFill>
            <w14:solidFill>
              <w14:schemeClr w14:val="tx1"/>
            </w14:solidFill>
          </w14:textFill>
        </w:rPr>
      </w:pPr>
      <w:r>
        <w:rPr>
          <w:rFonts w:hint="eastAsia"/>
          <w:color w:val="000000" w:themeColor="text1"/>
          <w14:textFill>
            <w14:solidFill>
              <w14:schemeClr w14:val="tx1"/>
            </w14:solidFill>
          </w14:textFill>
        </w:rPr>
        <w:t>（2）预案对周边环境风险分析不够全面。</w:t>
      </w:r>
    </w:p>
    <w:p>
      <w:pPr>
        <w:ind w:firstLine="560"/>
        <w:rPr>
          <w:color w:val="000000" w:themeColor="text1"/>
          <w14:textFill>
            <w14:solidFill>
              <w14:schemeClr w14:val="tx1"/>
            </w14:solidFill>
          </w14:textFill>
        </w:rPr>
      </w:pPr>
      <w:r>
        <w:rPr>
          <w:rFonts w:hint="eastAsia"/>
          <w:color w:val="000000" w:themeColor="text1"/>
          <w14:textFill>
            <w14:solidFill>
              <w14:schemeClr w14:val="tx1"/>
            </w14:solidFill>
          </w14:textFill>
        </w:rPr>
        <w:t>（3）应急救援物资配备不足。</w:t>
      </w:r>
    </w:p>
    <w:p>
      <w:pPr>
        <w:ind w:firstLine="560"/>
        <w:rPr>
          <w:color w:val="000000" w:themeColor="text1"/>
          <w14:textFill>
            <w14:solidFill>
              <w14:schemeClr w14:val="tx1"/>
            </w14:solidFill>
          </w14:textFill>
        </w:rPr>
      </w:pPr>
      <w:r>
        <w:rPr>
          <w:rFonts w:hint="eastAsia"/>
          <w:color w:val="000000" w:themeColor="text1"/>
          <w14:textFill>
            <w14:solidFill>
              <w14:schemeClr w14:val="tx1"/>
            </w14:solidFill>
          </w14:textFill>
        </w:rPr>
        <w:t>编制小组对以上建议进行了认真的梳理和反复的研究，决定对所有建议予以采纳并编制到预案中。</w:t>
      </w:r>
    </w:p>
    <w:p>
      <w:pPr>
        <w:pStyle w:val="4"/>
        <w:numPr>
          <w:ilvl w:val="0"/>
          <w:numId w:val="0"/>
        </w:numPr>
        <w:ind w:leftChars="0"/>
        <w:rPr>
          <w:color w:val="000000" w:themeColor="text1"/>
          <w14:textFill>
            <w14:solidFill>
              <w14:schemeClr w14:val="tx1"/>
            </w14:solidFill>
          </w14:textFill>
        </w:rPr>
      </w:pPr>
      <w:bookmarkStart w:id="194" w:name="_Toc26940"/>
      <w:r>
        <w:rPr>
          <w:rFonts w:hint="eastAsia"/>
          <w:color w:val="000000" w:themeColor="text1"/>
          <w:lang w:val="en-US" w:eastAsia="zh-CN"/>
          <w14:textFill>
            <w14:solidFill>
              <w14:schemeClr w14:val="tx1"/>
            </w14:solidFill>
          </w14:textFill>
        </w:rPr>
        <w:t>6</w:t>
      </w:r>
      <w:r>
        <w:rPr>
          <w:rFonts w:hint="eastAsia"/>
          <w:color w:val="000000" w:themeColor="text1"/>
          <w14:textFill>
            <w14:solidFill>
              <w14:schemeClr w14:val="tx1"/>
            </w14:solidFill>
          </w14:textFill>
        </w:rPr>
        <w:t>评审情况说明</w:t>
      </w:r>
      <w:bookmarkEnd w:id="194"/>
    </w:p>
    <w:p>
      <w:pPr>
        <w:ind w:firstLine="560"/>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南昌双港供水有限公司</w:t>
      </w:r>
      <w:r>
        <w:rPr>
          <w:rFonts w:hint="eastAsia"/>
          <w:color w:val="000000" w:themeColor="text1"/>
          <w14:textFill>
            <w14:solidFill>
              <w14:schemeClr w14:val="tx1"/>
            </w14:solidFill>
          </w14:textFill>
        </w:rPr>
        <w:t>于20</w:t>
      </w:r>
      <w:r>
        <w:rPr>
          <w:rFonts w:hint="eastAsia"/>
          <w:color w:val="000000" w:themeColor="text1"/>
          <w:lang w:val="en-US" w:eastAsia="zh-CN"/>
          <w14:textFill>
            <w14:solidFill>
              <w14:schemeClr w14:val="tx1"/>
            </w14:solidFill>
          </w14:textFill>
        </w:rPr>
        <w:t>20</w:t>
      </w:r>
      <w:r>
        <w:rPr>
          <w:rFonts w:hint="eastAsia"/>
          <w:color w:val="000000" w:themeColor="text1"/>
          <w14:textFill>
            <w14:solidFill>
              <w14:schemeClr w14:val="tx1"/>
            </w14:solidFill>
          </w14:textFill>
        </w:rPr>
        <w:t>年</w:t>
      </w:r>
      <w:r>
        <w:rPr>
          <w:rFonts w:hint="eastAsia"/>
          <w:color w:val="000000" w:themeColor="text1"/>
          <w:highlight w:val="none"/>
          <w:lang w:val="en-US" w:eastAsia="zh-CN"/>
          <w14:textFill>
            <w14:solidFill>
              <w14:schemeClr w14:val="tx1"/>
            </w14:solidFill>
          </w14:textFill>
        </w:rPr>
        <w:t>7</w:t>
      </w:r>
      <w:r>
        <w:rPr>
          <w:rFonts w:hint="eastAsia"/>
          <w:color w:val="000000" w:themeColor="text1"/>
          <w:highlight w:val="none"/>
          <w14:textFill>
            <w14:solidFill>
              <w14:schemeClr w14:val="tx1"/>
            </w14:solidFill>
          </w14:textFill>
        </w:rPr>
        <w:t>月</w:t>
      </w:r>
      <w:r>
        <w:rPr>
          <w:color w:val="000000" w:themeColor="text1"/>
          <w:highlight w:val="none"/>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5</w:t>
      </w:r>
      <w:r>
        <w:rPr>
          <w:rFonts w:hint="eastAsia"/>
          <w:color w:val="000000" w:themeColor="text1"/>
          <w:highlight w:val="none"/>
          <w14:textFill>
            <w14:solidFill>
              <w14:schemeClr w14:val="tx1"/>
            </w14:solidFill>
          </w14:textFill>
        </w:rPr>
        <w:t>日</w:t>
      </w:r>
      <w:r>
        <w:rPr>
          <w:rFonts w:hint="eastAsia"/>
          <w:color w:val="000000" w:themeColor="text1"/>
          <w14:textFill>
            <w14:solidFill>
              <w14:schemeClr w14:val="tx1"/>
            </w14:solidFill>
          </w14:textFill>
        </w:rPr>
        <w:t>邀请了有关专家代表对应急预案进行函审。专家代表认真审阅了应急预案等相关材料，经认真讨论与评议，出具了评估意见，专家组一致同意该应急预案经修改完善后可上报备案。</w:t>
      </w:r>
    </w:p>
    <w:p>
      <w:pPr>
        <w:ind w:firstLine="560"/>
        <w:sectPr>
          <w:headerReference r:id="rId11" w:type="default"/>
          <w:pgSz w:w="11906" w:h="16838"/>
          <w:pgMar w:top="1304" w:right="1247" w:bottom="1304" w:left="1531" w:header="851" w:footer="992" w:gutter="0"/>
          <w:pgBorders>
            <w:top w:val="none" w:sz="0" w:space="0"/>
            <w:left w:val="none" w:sz="0" w:space="0"/>
            <w:bottom w:val="none" w:sz="0" w:space="0"/>
            <w:right w:val="none" w:sz="0" w:space="0"/>
          </w:pgBorders>
          <w:pgNumType w:fmt="decimal"/>
          <w:cols w:space="0" w:num="1"/>
          <w:rtlGutter w:val="0"/>
          <w:docGrid w:type="linesAndChars" w:linePitch="384" w:charSpace="1075"/>
        </w:sectPr>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center"/>
        <w:outlineLvl w:val="0"/>
        <w:rPr>
          <w:rFonts w:hint="eastAsia" w:eastAsia="宋体"/>
          <w:b/>
          <w:lang w:eastAsia="zh-CN"/>
        </w:rPr>
      </w:pPr>
      <w:bookmarkStart w:id="195" w:name="_Toc7312"/>
      <w:r>
        <w:rPr>
          <w:b/>
          <w:sz w:val="40"/>
        </w:rPr>
        <w:t>第</w:t>
      </w:r>
      <w:r>
        <w:rPr>
          <w:rFonts w:hint="eastAsia"/>
          <w:b/>
          <w:sz w:val="40"/>
          <w:lang w:eastAsia="zh-CN"/>
        </w:rPr>
        <w:t>三</w:t>
      </w:r>
      <w:r>
        <w:rPr>
          <w:b/>
          <w:sz w:val="40"/>
        </w:rPr>
        <w:t>部分：突发环境事件</w:t>
      </w:r>
      <w:r>
        <w:rPr>
          <w:rFonts w:hint="eastAsia"/>
          <w:b/>
          <w:sz w:val="40"/>
          <w:lang w:eastAsia="zh-CN"/>
        </w:rPr>
        <w:t>风险评估报告</w:t>
      </w:r>
      <w:bookmarkEnd w:id="195"/>
    </w:p>
    <w:p>
      <w:r>
        <w:br w:type="page"/>
      </w:r>
    </w:p>
    <w:p>
      <w:pPr>
        <w:pStyle w:val="4"/>
        <w:numPr>
          <w:ilvl w:val="0"/>
          <w:numId w:val="0"/>
        </w:numPr>
        <w:ind w:leftChars="0"/>
      </w:pPr>
      <w:bookmarkStart w:id="196" w:name="_Toc21168"/>
      <w:bookmarkStart w:id="197" w:name="_Toc527104501"/>
      <w:r>
        <w:rPr>
          <w:rFonts w:hint="eastAsia"/>
          <w:lang w:val="en-US" w:eastAsia="zh-CN"/>
        </w:rPr>
        <w:t>1</w:t>
      </w:r>
      <w:r>
        <w:rPr>
          <w:rFonts w:hint="eastAsia"/>
        </w:rPr>
        <w:t>前言</w:t>
      </w:r>
      <w:bookmarkEnd w:id="196"/>
      <w:bookmarkEnd w:id="197"/>
    </w:p>
    <w:p>
      <w:pPr>
        <w:pStyle w:val="5"/>
        <w:numPr>
          <w:ilvl w:val="1"/>
          <w:numId w:val="0"/>
        </w:numPr>
        <w:ind w:leftChars="0"/>
      </w:pPr>
      <w:bookmarkStart w:id="198" w:name="_Toc25001"/>
      <w:bookmarkStart w:id="199" w:name="_Toc527104502"/>
      <w:r>
        <w:rPr>
          <w:rFonts w:hint="eastAsia"/>
          <w:lang w:val="en-US" w:eastAsia="zh-CN"/>
        </w:rPr>
        <w:t>1.1</w:t>
      </w:r>
      <w:r>
        <w:rPr>
          <w:rFonts w:hint="eastAsia"/>
        </w:rPr>
        <w:t>工作由来</w:t>
      </w:r>
      <w:bookmarkEnd w:id="198"/>
      <w:bookmarkEnd w:id="199"/>
    </w:p>
    <w:p>
      <w:pPr>
        <w:ind w:firstLine="560"/>
      </w:pPr>
      <w:r>
        <w:rPr>
          <w:rFonts w:hint="eastAsia"/>
        </w:rPr>
        <w:t>为贯彻落实“十二五”环境风险防控任务，保障人民群众的身体健康和环境安全，规范企业突发环境事件风险评估行为，为企业提高环境风险防控能力提供切实指导，为环保部门根据企业环境风险等级实施分级差别化管理提供技术支持，有必要实施环境风险评估。</w:t>
      </w:r>
    </w:p>
    <w:p>
      <w:pPr>
        <w:ind w:firstLine="560"/>
      </w:pPr>
      <w:r>
        <w:rPr>
          <w:rFonts w:hint="eastAsia"/>
        </w:rPr>
        <w:t>环境风险评估的指标，大致分为产品、工艺、污染防治设施等硬件以及管理、人员、制度等软件两方面；主要检查企业的关键生产装置、危险化学品储罐区和仓库是否配备事故状态下防止污染事件的围堰、防火堤等设施及其维护情况；在建、新建化工企业设计方案中有关环境风险的内容及应对措施；分析各企业的生产工艺，并结合厂区附近环境敏感目标进行考察，对可能产生的环境后果进行预测；在评估报告中提出整改建议等。实践证明，组织进行环境风险评估，能够及时发现隐患，有效避免环境突发事故的发生。</w:t>
      </w:r>
    </w:p>
    <w:p>
      <w:pPr>
        <w:ind w:firstLine="560"/>
      </w:pPr>
      <w:r>
        <w:rPr>
          <w:rFonts w:hint="eastAsia"/>
        </w:rPr>
        <w:t>为贯彻落实“十二五”环境风险防控任务，保障人民群众的身体健康和环境安全，规范企业突发环境事件风险评估行为，为企业提高环境风险防控能力提供切实指导，为环保部门根据企业环境风险等级实施分级差别化管理提供技术支持，环保部于2014年4月3日出台了《关于印发&lt;企业突发环境事件风险评估指南（试行）&gt;的通知》（环办〔2014〕34号），2018年2月5日发布了《企业突发环境事件风险分级方法》（H</w:t>
      </w:r>
      <w:r>
        <w:t>J 941-2018</w:t>
      </w:r>
      <w:r>
        <w:rPr>
          <w:rFonts w:hint="eastAsia"/>
        </w:rPr>
        <w:t>）。</w:t>
      </w:r>
    </w:p>
    <w:p>
      <w:pPr>
        <w:ind w:firstLine="560"/>
      </w:pPr>
      <w:r>
        <w:rPr>
          <w:rFonts w:hint="eastAsia"/>
        </w:rPr>
        <w:t>江西省人民政府于2016年1月25日转发环保部办公厅《关于印发&lt;企业突发环境事件风险评估指南（试行）&gt;的通知》（赣府厅字〔2016〕14号），要求各级环保部门督促重大及较大环境风险企业编制企业突发环境事件风险评估报告。</w:t>
      </w:r>
    </w:p>
    <w:p>
      <w:pPr>
        <w:ind w:firstLine="560"/>
      </w:pPr>
      <w:r>
        <w:rPr>
          <w:rFonts w:hint="eastAsia"/>
        </w:rPr>
        <w:t>我公司为认真落实省、市环保部门的相关要求，组成编制领导小组，对公司的生产、储存、运输等全过程进行排查，找出可能突发环境事件的风险源，提出环境风险防控措施及应急措施，找出现有环境风险防控措施及应急资源的不足，提出整改措施等，并按照《企业突发环境事件风险评估指南（试行）》的技术要求编制《</w:t>
      </w:r>
      <w:r>
        <w:rPr>
          <w:rFonts w:hint="eastAsia"/>
          <w:lang w:eastAsia="zh-CN"/>
        </w:rPr>
        <w:t>南昌双港供水有限公司</w:t>
      </w:r>
      <w:r>
        <w:rPr>
          <w:rFonts w:hint="eastAsia"/>
        </w:rPr>
        <w:t>突发环境事件风险评估报告》。</w:t>
      </w:r>
    </w:p>
    <w:p>
      <w:pPr>
        <w:ind w:firstLine="560"/>
      </w:pPr>
      <w:r>
        <w:rPr>
          <w:rFonts w:hint="eastAsia"/>
        </w:rPr>
        <w:t>通过开展突发环境事件风险评估，编制《</w:t>
      </w:r>
      <w:r>
        <w:rPr>
          <w:rFonts w:hint="eastAsia"/>
          <w:lang w:eastAsia="zh-CN"/>
        </w:rPr>
        <w:t>南昌双港供水有限公司</w:t>
      </w:r>
      <w:r>
        <w:rPr>
          <w:rFonts w:hint="eastAsia"/>
        </w:rPr>
        <w:t>突发环境事件风险评估报告》可以掌握自身环境风险状况，明确环境风险防控措施及应急措施，为企业编制《突发环境事件应急预案》、环境风险管理奠定基础，最终达到大幅度降低突发环境事件、减少对周围环境的污染，保护人民生命财产安全。同时有利于各级环保部门对重点环境风险企业的针对性监督管理，提高管理效率，降低管理成本。</w:t>
      </w:r>
    </w:p>
    <w:p>
      <w:pPr>
        <w:pStyle w:val="5"/>
        <w:numPr>
          <w:ilvl w:val="1"/>
          <w:numId w:val="0"/>
        </w:numPr>
        <w:ind w:leftChars="0"/>
      </w:pPr>
      <w:bookmarkStart w:id="200" w:name="_Toc31647"/>
      <w:bookmarkStart w:id="201" w:name="_Toc527104503"/>
      <w:r>
        <w:rPr>
          <w:rFonts w:hint="eastAsia"/>
          <w:lang w:val="en-US" w:eastAsia="zh-CN"/>
        </w:rPr>
        <w:t>1.2</w:t>
      </w:r>
      <w:r>
        <w:rPr>
          <w:rFonts w:hint="eastAsia"/>
        </w:rPr>
        <w:t>评估程序</w:t>
      </w:r>
      <w:bookmarkEnd w:id="200"/>
      <w:bookmarkEnd w:id="201"/>
    </w:p>
    <w:p>
      <w:pPr>
        <w:ind w:firstLine="560"/>
      </w:pPr>
      <w:r>
        <w:rPr>
          <w:rFonts w:hint="eastAsia"/>
        </w:rPr>
        <w:t>企业环境风险评估，按照资料准备与环境风险识别、可能发生突发环境事件及其后果分析、现有环境风险防控和环境应急管理差距分析、制定完善环境风险防控和应急措施的实施计划、划定突发环境事件风险等级五个步骤实施。</w:t>
      </w:r>
    </w:p>
    <w:p>
      <w:pPr>
        <w:keepNext/>
        <w:ind w:firstLine="0" w:firstLineChars="0"/>
        <w:jc w:val="center"/>
      </w:pPr>
      <w:r>
        <w:object>
          <v:shape id="_x0000_i1025" o:spt="75" type="#_x0000_t75" style="height:390.7pt;width:222.9pt;" o:ole="t" filled="f" o:preferrelative="t" stroked="f" coordsize="21600,21600">
            <v:path/>
            <v:fill on="f" focussize="0,0"/>
            <v:stroke on="f" joinstyle="miter"/>
            <v:imagedata r:id="rId49" o:title=""/>
            <o:lock v:ext="edit" aspectratio="t"/>
            <w10:wrap type="none"/>
            <w10:anchorlock/>
          </v:shape>
          <o:OLEObject Type="Embed" ProgID="Visio.Drawing.15" ShapeID="_x0000_i1025" DrawAspect="Content" ObjectID="_1468075725" r:id="rId48">
            <o:LockedField>false</o:LockedField>
          </o:OLEObject>
        </w:object>
      </w:r>
    </w:p>
    <w:p>
      <w:pPr>
        <w:pStyle w:val="8"/>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1</w:t>
      </w:r>
      <w:r>
        <w:fldChar w:fldCharType="end"/>
      </w:r>
      <w:r>
        <w:rPr>
          <w:rFonts w:hint="eastAsia"/>
        </w:rPr>
        <w:t>突发环境事件风险评估程序</w:t>
      </w:r>
    </w:p>
    <w:p>
      <w:pPr>
        <w:pStyle w:val="5"/>
        <w:numPr>
          <w:ilvl w:val="1"/>
          <w:numId w:val="0"/>
        </w:numPr>
        <w:ind w:leftChars="0"/>
      </w:pPr>
      <w:bookmarkStart w:id="202" w:name="_Toc2119"/>
      <w:bookmarkStart w:id="203" w:name="_Toc527104504"/>
      <w:r>
        <w:rPr>
          <w:rFonts w:hint="eastAsia"/>
          <w:lang w:val="en-US" w:eastAsia="zh-CN"/>
        </w:rPr>
        <w:t>1.3</w:t>
      </w:r>
      <w:r>
        <w:rPr>
          <w:rFonts w:hint="eastAsia"/>
        </w:rPr>
        <w:t>环境风险评估的一般要求</w:t>
      </w:r>
      <w:bookmarkEnd w:id="202"/>
      <w:bookmarkEnd w:id="203"/>
    </w:p>
    <w:p>
      <w:pPr>
        <w:ind w:firstLine="560"/>
      </w:pPr>
      <w:r>
        <w:rPr>
          <w:rFonts w:hint="eastAsia"/>
        </w:rPr>
        <w:t>有下列情况之一时，我公司将及时重新划定环境风险等级，编制或修订本企业的环境风险评估报告：</w:t>
      </w:r>
    </w:p>
    <w:p>
      <w:pPr>
        <w:ind w:firstLine="560"/>
      </w:pPr>
      <w:r>
        <w:rPr>
          <w:rFonts w:hint="eastAsia"/>
        </w:rPr>
        <w:t>1、未划定环境风险等级或划定环境风险等级已满三年的；</w:t>
      </w:r>
    </w:p>
    <w:p>
      <w:pPr>
        <w:ind w:firstLine="560"/>
      </w:pPr>
      <w:r>
        <w:rPr>
          <w:rFonts w:hint="eastAsia"/>
        </w:rPr>
        <w:t>2、涉及环境风险物质的种类或数量、生产工艺过程与环境风险防范措施或周边可能受影响的环境风险受体发生变化，导致企业环境风险等级变化的；</w:t>
      </w:r>
    </w:p>
    <w:p>
      <w:pPr>
        <w:ind w:firstLine="560"/>
      </w:pPr>
      <w:r>
        <w:rPr>
          <w:rFonts w:hint="eastAsia"/>
        </w:rPr>
        <w:t>3、发生突发环境事件并造成环境污染的；</w:t>
      </w:r>
    </w:p>
    <w:p>
      <w:pPr>
        <w:ind w:firstLine="560"/>
      </w:pPr>
      <w:r>
        <w:rPr>
          <w:rFonts w:hint="eastAsia"/>
        </w:rPr>
        <w:t>4、有关企业环境风险评估标准或规范性文件发生变化的。</w:t>
      </w:r>
    </w:p>
    <w:p>
      <w:pPr>
        <w:pStyle w:val="5"/>
        <w:numPr>
          <w:ilvl w:val="1"/>
          <w:numId w:val="0"/>
        </w:numPr>
        <w:ind w:leftChars="0"/>
      </w:pPr>
      <w:bookmarkStart w:id="204" w:name="_Toc527104505"/>
      <w:bookmarkStart w:id="205" w:name="_Toc1314"/>
      <w:r>
        <w:rPr>
          <w:rFonts w:hint="eastAsia"/>
          <w:lang w:val="en-US" w:eastAsia="zh-CN"/>
        </w:rPr>
        <w:t>1.4</w:t>
      </w:r>
      <w:r>
        <w:rPr>
          <w:rFonts w:hint="eastAsia"/>
        </w:rPr>
        <w:t>术语与定义</w:t>
      </w:r>
      <w:bookmarkEnd w:id="204"/>
      <w:bookmarkEnd w:id="205"/>
    </w:p>
    <w:p>
      <w:pPr>
        <w:ind w:firstLine="562"/>
      </w:pPr>
      <w:r>
        <w:rPr>
          <w:rFonts w:hint="eastAsia"/>
          <w:b/>
        </w:rPr>
        <w:t>1、突发环境事件：</w:t>
      </w:r>
      <w:r>
        <w:rPr>
          <w:rFonts w:hint="eastAsia"/>
        </w:rPr>
        <w:t>指由于污染物排放或者自然灾害、生产安全事故等因素，导致污染物或者放射性物质等有毒有害物质进入大气、水体、土壤等环境介质，突然造成或者可能造成环境质量下降，危及公众身体健康和财产安全，或者造成生态环境破坏，或者造成重大社会影响，需要采取紧急措施予以应对的事件。</w:t>
      </w:r>
    </w:p>
    <w:p>
      <w:pPr>
        <w:ind w:firstLine="562"/>
      </w:pPr>
      <w:r>
        <w:rPr>
          <w:rFonts w:hint="eastAsia"/>
          <w:b/>
        </w:rPr>
        <w:t>2、突发环境事件风险：</w:t>
      </w:r>
      <w:r>
        <w:rPr>
          <w:rFonts w:hint="eastAsia"/>
        </w:rPr>
        <w:t>指企业发生突发环境事件的可能性及可能造成的危害程度。</w:t>
      </w:r>
    </w:p>
    <w:p>
      <w:pPr>
        <w:ind w:firstLine="562"/>
      </w:pPr>
      <w:r>
        <w:rPr>
          <w:rFonts w:hint="eastAsia"/>
          <w:b/>
        </w:rPr>
        <w:t>3、突发环境事件风险物质：</w:t>
      </w:r>
      <w:r>
        <w:rPr>
          <w:rFonts w:hint="eastAsia"/>
        </w:rPr>
        <w:t>指具有有毒、有害、易燃易爆、易扩散等特性，在意外释放条件下可能对企业外部人群和环境造成伤害、污染的化学物质。简称“风险物质”。</w:t>
      </w:r>
    </w:p>
    <w:p>
      <w:pPr>
        <w:ind w:firstLine="562"/>
      </w:pPr>
      <w:r>
        <w:rPr>
          <w:rFonts w:hint="eastAsia"/>
          <w:b/>
        </w:rPr>
        <w:t>4、风险物质的临界量：</w:t>
      </w:r>
      <w:r>
        <w:rPr>
          <w:rFonts w:hint="eastAsia"/>
        </w:rPr>
        <w:t>指根据物质毒性、环境危害性以及扩散特性，对某种或某类突发环境事件风险物质规定的数量。</w:t>
      </w:r>
    </w:p>
    <w:p>
      <w:pPr>
        <w:ind w:firstLine="562"/>
      </w:pPr>
      <w:r>
        <w:rPr>
          <w:b/>
        </w:rPr>
        <w:t>5</w:t>
      </w:r>
      <w:r>
        <w:rPr>
          <w:rFonts w:hint="eastAsia"/>
          <w:b/>
        </w:rPr>
        <w:t>、环境风险单元：</w:t>
      </w:r>
      <w:r>
        <w:rPr>
          <w:rFonts w:hint="eastAsia"/>
        </w:rPr>
        <w:t>指长期地或临时地生产、加工、使用或储存风险物质的一个（套）装置、设施或场所，或同属一个企业的且边缘距离小于500米的几个（套）装置、设施或场所。</w:t>
      </w:r>
    </w:p>
    <w:p>
      <w:pPr>
        <w:ind w:firstLine="562"/>
      </w:pPr>
      <w:r>
        <w:rPr>
          <w:b/>
        </w:rPr>
        <w:t>6</w:t>
      </w:r>
      <w:r>
        <w:rPr>
          <w:rFonts w:hint="eastAsia"/>
          <w:b/>
        </w:rPr>
        <w:t>、环境风险受体：</w:t>
      </w:r>
      <w:r>
        <w:rPr>
          <w:rFonts w:hint="eastAsia"/>
        </w:rPr>
        <w:t>指在突发环境事件中可能受到危害的企业外部人群、具有一定社会价值或生态功能的单位或区域等。</w:t>
      </w:r>
    </w:p>
    <w:p>
      <w:pPr>
        <w:ind w:firstLine="562"/>
      </w:pPr>
      <w:r>
        <w:rPr>
          <w:b/>
        </w:rPr>
        <w:t>7</w:t>
      </w:r>
      <w:r>
        <w:rPr>
          <w:rFonts w:hint="eastAsia"/>
          <w:b/>
        </w:rPr>
        <w:t>、清净废水：</w:t>
      </w:r>
      <w:r>
        <w:rPr>
          <w:rFonts w:hint="eastAsia"/>
        </w:rPr>
        <w:t>指未受污染或受较轻微污染以及水温稍有升高，不经处理即符合排放标准的废水。</w:t>
      </w:r>
    </w:p>
    <w:p>
      <w:pPr>
        <w:ind w:firstLine="562"/>
      </w:pPr>
      <w:r>
        <w:rPr>
          <w:b/>
        </w:rPr>
        <w:t>8</w:t>
      </w:r>
      <w:r>
        <w:rPr>
          <w:rFonts w:hint="eastAsia"/>
          <w:b/>
        </w:rPr>
        <w:t>、事故排水：</w:t>
      </w:r>
      <w:r>
        <w:rPr>
          <w:rFonts w:hint="eastAsia"/>
        </w:rPr>
        <w:t>指事故状态下排出的含有泄漏物，以及施救过程中产生其他物质的生产废水、清净下水、雨水或消防水等。</w:t>
      </w:r>
    </w:p>
    <w:p>
      <w:pPr>
        <w:ind w:firstLine="560"/>
      </w:pPr>
    </w:p>
    <w:p>
      <w:pPr>
        <w:ind w:firstLine="0" w:firstLineChars="0"/>
        <w:sectPr>
          <w:headerReference r:id="rId12" w:type="default"/>
          <w:footerReference r:id="rId13" w:type="default"/>
          <w:pgSz w:w="11906" w:h="16838"/>
          <w:pgMar w:top="1304" w:right="1247" w:bottom="1304" w:left="1531" w:header="851" w:footer="851" w:gutter="0"/>
          <w:pgBorders>
            <w:top w:val="none" w:sz="0" w:space="0"/>
            <w:left w:val="none" w:sz="0" w:space="0"/>
            <w:bottom w:val="none" w:sz="0" w:space="0"/>
            <w:right w:val="none" w:sz="0" w:space="0"/>
          </w:pgBorders>
          <w:pgNumType w:fmt="decimal"/>
          <w:cols w:space="425" w:num="1"/>
          <w:docGrid w:type="lines" w:linePitch="312" w:charSpace="0"/>
        </w:sectPr>
      </w:pPr>
    </w:p>
    <w:p>
      <w:pPr>
        <w:pStyle w:val="4"/>
        <w:numPr>
          <w:ilvl w:val="0"/>
          <w:numId w:val="0"/>
        </w:numPr>
        <w:ind w:leftChars="0"/>
      </w:pPr>
      <w:bookmarkStart w:id="206" w:name="_Toc527104506"/>
      <w:bookmarkStart w:id="207" w:name="_Toc20170"/>
      <w:r>
        <w:rPr>
          <w:rFonts w:hint="eastAsia"/>
          <w:lang w:val="en-US" w:eastAsia="zh-CN"/>
        </w:rPr>
        <w:t>2</w:t>
      </w:r>
      <w:r>
        <w:rPr>
          <w:rFonts w:hint="eastAsia"/>
        </w:rPr>
        <w:t>总则</w:t>
      </w:r>
      <w:bookmarkEnd w:id="206"/>
      <w:bookmarkEnd w:id="207"/>
    </w:p>
    <w:p>
      <w:pPr>
        <w:pStyle w:val="5"/>
        <w:numPr>
          <w:ilvl w:val="1"/>
          <w:numId w:val="0"/>
        </w:numPr>
        <w:ind w:leftChars="0"/>
      </w:pPr>
      <w:bookmarkStart w:id="208" w:name="_Toc30488"/>
      <w:bookmarkStart w:id="209" w:name="_Toc527104507"/>
      <w:r>
        <w:rPr>
          <w:rFonts w:hint="eastAsia"/>
          <w:lang w:val="en-US" w:eastAsia="zh-CN"/>
        </w:rPr>
        <w:t>2.1</w:t>
      </w:r>
      <w:r>
        <w:rPr>
          <w:rFonts w:hint="eastAsia"/>
        </w:rPr>
        <w:t>编制原则</w:t>
      </w:r>
      <w:bookmarkEnd w:id="208"/>
      <w:bookmarkEnd w:id="209"/>
    </w:p>
    <w:p>
      <w:pPr>
        <w:ind w:firstLine="560"/>
      </w:pPr>
      <w:r>
        <w:t>本报告按照“以人为本”的宗旨，预防和减少突发环境事件的发生、提高突发环境事件控制水平，控制和消除突发环境事件引起的危害，规范突发环境事件应急处置、管理工作合理保障人民群众的身体健康、公众生命安全和环境安全，严格规范企业突发环境事件风险评估行为，提高突发环境事件防控能力，全面落实企业环境风险防控主体，并遵循以下原则开展环境风险评估工作：</w:t>
      </w:r>
    </w:p>
    <w:p>
      <w:pPr>
        <w:ind w:firstLine="560"/>
      </w:pPr>
      <w:r>
        <w:rPr>
          <w:rFonts w:hint="eastAsia"/>
        </w:rPr>
        <w:t>（1）环境风险评估编制应体现科学性、规范性、客观性和真实性的原则。</w:t>
      </w:r>
    </w:p>
    <w:p>
      <w:pPr>
        <w:ind w:firstLine="560"/>
      </w:pPr>
      <w:r>
        <w:rPr>
          <w:rFonts w:hint="eastAsia"/>
        </w:rPr>
        <w:t>（2）环境风险评估过程中应贯彻执行我国环保相关的法律法规、标准、政策，分析企业自身环境风险状况，明确环境风险防控措施。</w:t>
      </w:r>
    </w:p>
    <w:p>
      <w:pPr>
        <w:ind w:firstLine="560"/>
      </w:pPr>
      <w:r>
        <w:rPr>
          <w:rFonts w:hint="eastAsia"/>
        </w:rPr>
        <w:t>（3）认真排查企业的环境风险，严格按照《企业突发环境事件风险评估指南（试行）》制定整改方案；</w:t>
      </w:r>
    </w:p>
    <w:p>
      <w:pPr>
        <w:ind w:firstLine="560"/>
      </w:pPr>
      <w:r>
        <w:rPr>
          <w:rFonts w:hint="eastAsia"/>
        </w:rPr>
        <w:t>（4）评估报告的内容和形式必须符合《企业突发环境事件风险评估指南（试行）》的要求。</w:t>
      </w:r>
    </w:p>
    <w:p>
      <w:pPr>
        <w:pStyle w:val="5"/>
        <w:numPr>
          <w:ilvl w:val="1"/>
          <w:numId w:val="0"/>
        </w:numPr>
        <w:ind w:leftChars="0"/>
      </w:pPr>
      <w:bookmarkStart w:id="210" w:name="_Toc23694"/>
      <w:bookmarkStart w:id="211" w:name="_Toc527104508"/>
      <w:r>
        <w:rPr>
          <w:rFonts w:hint="eastAsia"/>
          <w:lang w:val="en-US" w:eastAsia="zh-CN"/>
        </w:rPr>
        <w:t>2.2</w:t>
      </w:r>
      <w:r>
        <w:rPr>
          <w:rFonts w:hint="eastAsia"/>
        </w:rPr>
        <w:t>编制依据</w:t>
      </w:r>
      <w:bookmarkEnd w:id="210"/>
      <w:bookmarkEnd w:id="211"/>
    </w:p>
    <w:p>
      <w:pPr>
        <w:pStyle w:val="6"/>
        <w:numPr>
          <w:ilvl w:val="2"/>
          <w:numId w:val="0"/>
        </w:numPr>
        <w:ind w:leftChars="0"/>
      </w:pPr>
      <w:r>
        <w:rPr>
          <w:rFonts w:hint="eastAsia"/>
          <w:lang w:val="en-US" w:eastAsia="zh-CN"/>
        </w:rPr>
        <w:t>2.2.1</w:t>
      </w:r>
      <w:r>
        <w:rPr>
          <w:rFonts w:hint="eastAsia"/>
        </w:rPr>
        <w:t>法律法规、规章、指导性文件</w:t>
      </w:r>
    </w:p>
    <w:p>
      <w:pPr>
        <w:ind w:firstLine="560"/>
      </w:pPr>
      <w:r>
        <w:rPr>
          <w:rFonts w:hint="eastAsia"/>
        </w:rPr>
        <w:t>（1）《中华人民共和国环境保护法》（2015年1月1日施行）；</w:t>
      </w:r>
    </w:p>
    <w:p>
      <w:pPr>
        <w:ind w:firstLine="560"/>
      </w:pPr>
      <w:r>
        <w:rPr>
          <w:rFonts w:hint="eastAsia"/>
        </w:rPr>
        <w:t>（2）《中华人民共和国大气污染防治法》（2016年1月1日实施）；</w:t>
      </w:r>
    </w:p>
    <w:p>
      <w:pPr>
        <w:ind w:firstLine="560"/>
      </w:pPr>
      <w:r>
        <w:rPr>
          <w:rFonts w:hint="eastAsia"/>
        </w:rPr>
        <w:t>（3）《中华人民共和国水污染防治法》（2018年1月1日实施）；</w:t>
      </w:r>
    </w:p>
    <w:p>
      <w:pPr>
        <w:ind w:firstLine="560"/>
      </w:pPr>
      <w:r>
        <w:rPr>
          <w:rFonts w:hint="eastAsia"/>
        </w:rPr>
        <w:t>（4）《中华人民共和国固体废物污染环境防治法》（20</w:t>
      </w:r>
      <w:r>
        <w:rPr>
          <w:rFonts w:hint="eastAsia"/>
          <w:lang w:val="en-US" w:eastAsia="zh-CN"/>
        </w:rPr>
        <w:t>20</w:t>
      </w:r>
      <w:r>
        <w:rPr>
          <w:rFonts w:hint="eastAsia"/>
        </w:rPr>
        <w:t>年</w:t>
      </w:r>
      <w:r>
        <w:rPr>
          <w:rFonts w:hint="eastAsia"/>
          <w:lang w:val="en-US" w:eastAsia="zh-CN"/>
        </w:rPr>
        <w:t>04</w:t>
      </w:r>
      <w:r>
        <w:rPr>
          <w:rFonts w:hint="eastAsia"/>
        </w:rPr>
        <w:t>月</w:t>
      </w:r>
      <w:r>
        <w:rPr>
          <w:rFonts w:hint="eastAsia"/>
          <w:lang w:val="en-US" w:eastAsia="zh-CN"/>
        </w:rPr>
        <w:t>29</w:t>
      </w:r>
      <w:r>
        <w:rPr>
          <w:rFonts w:hint="eastAsia"/>
        </w:rPr>
        <w:t>日修订）；</w:t>
      </w:r>
    </w:p>
    <w:p>
      <w:pPr>
        <w:ind w:firstLine="560"/>
      </w:pPr>
      <w:r>
        <w:rPr>
          <w:rFonts w:hint="eastAsia"/>
        </w:rPr>
        <w:t>（</w:t>
      </w:r>
      <w:r>
        <w:t>5</w:t>
      </w:r>
      <w:r>
        <w:rPr>
          <w:rFonts w:hint="eastAsia"/>
        </w:rPr>
        <w:t>）《中华人民共和国环境影响评价法》（2016年</w:t>
      </w:r>
      <w:r>
        <w:t>9</w:t>
      </w:r>
      <w:r>
        <w:rPr>
          <w:rFonts w:hint="eastAsia"/>
        </w:rPr>
        <w:t>月1日实施）；</w:t>
      </w:r>
    </w:p>
    <w:p>
      <w:pPr>
        <w:ind w:firstLine="560"/>
      </w:pPr>
      <w:r>
        <w:rPr>
          <w:rFonts w:hint="eastAsia"/>
        </w:rPr>
        <w:t>（</w:t>
      </w:r>
      <w:r>
        <w:t>6</w:t>
      </w:r>
      <w:r>
        <w:rPr>
          <w:rFonts w:hint="eastAsia"/>
        </w:rPr>
        <w:t>）《中华人民共和国突发事件应对法》（2007年11月1日实施）；</w:t>
      </w:r>
    </w:p>
    <w:p>
      <w:pPr>
        <w:ind w:firstLine="560"/>
      </w:pPr>
      <w:r>
        <w:rPr>
          <w:rFonts w:hint="eastAsia"/>
        </w:rPr>
        <w:t>（</w:t>
      </w:r>
      <w:r>
        <w:t>7</w:t>
      </w:r>
      <w:r>
        <w:rPr>
          <w:rFonts w:hint="eastAsia"/>
        </w:rPr>
        <w:t>）《关于进一步加强环境影响评价管理防范环境风险的通知》（环发[2012]77号，2012年7月3日发布）；</w:t>
      </w:r>
    </w:p>
    <w:p>
      <w:pPr>
        <w:ind w:firstLine="560"/>
      </w:pPr>
      <w:r>
        <w:rPr>
          <w:rFonts w:hint="eastAsia"/>
        </w:rPr>
        <w:t>（</w:t>
      </w:r>
      <w:r>
        <w:t>8</w:t>
      </w:r>
      <w:r>
        <w:rPr>
          <w:rFonts w:hint="eastAsia"/>
        </w:rPr>
        <w:t>）《突发环境事件应急预案管理暂行办法》（环发〔2010〕113号，2</w:t>
      </w:r>
      <w:r>
        <w:t>010</w:t>
      </w:r>
      <w:r>
        <w:rPr>
          <w:rFonts w:hint="eastAsia"/>
        </w:rPr>
        <w:t>年9月2</w:t>
      </w:r>
      <w:r>
        <w:t>8</w:t>
      </w:r>
      <w:r>
        <w:rPr>
          <w:rFonts w:hint="eastAsia"/>
        </w:rPr>
        <w:t>日）；</w:t>
      </w:r>
    </w:p>
    <w:p>
      <w:pPr>
        <w:ind w:firstLine="560"/>
      </w:pPr>
      <w:r>
        <w:rPr>
          <w:rFonts w:hint="eastAsia"/>
        </w:rPr>
        <w:t>（</w:t>
      </w:r>
      <w:r>
        <w:t>9</w:t>
      </w:r>
      <w:r>
        <w:rPr>
          <w:rFonts w:hint="eastAsia"/>
        </w:rPr>
        <w:t>）《中华人民共和国安全生产法》（2014年12月1日实施）；</w:t>
      </w:r>
    </w:p>
    <w:p>
      <w:pPr>
        <w:ind w:firstLine="560"/>
      </w:pPr>
      <w:r>
        <w:rPr>
          <w:rFonts w:hint="eastAsia"/>
        </w:rPr>
        <w:t>（</w:t>
      </w:r>
      <w:r>
        <w:t>10</w:t>
      </w:r>
      <w:r>
        <w:rPr>
          <w:rFonts w:hint="eastAsia"/>
        </w:rPr>
        <w:t>）《中华人民共和国消防法》（2009年5月1日实施）；</w:t>
      </w:r>
    </w:p>
    <w:p>
      <w:pPr>
        <w:ind w:firstLine="560"/>
      </w:pPr>
      <w:r>
        <w:rPr>
          <w:rFonts w:hint="eastAsia"/>
        </w:rPr>
        <w:t>（1</w:t>
      </w:r>
      <w:r>
        <w:t>1</w:t>
      </w:r>
      <w:r>
        <w:rPr>
          <w:rFonts w:hint="eastAsia"/>
        </w:rPr>
        <w:t>）《危险化学品安全管理条例》（2013年12月7日实施）；</w:t>
      </w:r>
    </w:p>
    <w:p>
      <w:pPr>
        <w:ind w:firstLine="560"/>
      </w:pPr>
      <w:r>
        <w:rPr>
          <w:rFonts w:hint="eastAsia"/>
        </w:rPr>
        <w:t>（1</w:t>
      </w:r>
      <w:r>
        <w:t>2</w:t>
      </w:r>
      <w:r>
        <w:rPr>
          <w:rFonts w:hint="eastAsia"/>
        </w:rPr>
        <w:t>）《国务院关于加强环境保护重点工作的意见》（国发[2011]35号，2011年10月17日发布）；</w:t>
      </w:r>
    </w:p>
    <w:p>
      <w:pPr>
        <w:ind w:firstLine="560"/>
      </w:pPr>
      <w:r>
        <w:rPr>
          <w:rFonts w:hint="eastAsia"/>
        </w:rPr>
        <w:t>（1</w:t>
      </w:r>
      <w:r>
        <w:t>3</w:t>
      </w:r>
      <w:r>
        <w:rPr>
          <w:rFonts w:hint="eastAsia"/>
        </w:rPr>
        <w:t>）《突发环境事件应急管理办法》（环境保护部令第</w:t>
      </w:r>
      <w:r>
        <w:t>34</w:t>
      </w:r>
      <w:r>
        <w:rPr>
          <w:rFonts w:hint="eastAsia"/>
        </w:rPr>
        <w:t>号，2015年6月5日实施）；</w:t>
      </w:r>
    </w:p>
    <w:p>
      <w:pPr>
        <w:ind w:firstLine="560"/>
      </w:pPr>
      <w:r>
        <w:rPr>
          <w:rFonts w:hint="eastAsia"/>
        </w:rPr>
        <w:t>（1</w:t>
      </w:r>
      <w:r>
        <w:t>4</w:t>
      </w:r>
      <w:r>
        <w:rPr>
          <w:rFonts w:hint="eastAsia"/>
        </w:rPr>
        <w:t>）《突发环境事件信息报告办法》（环境保护部令第17号，2011年5月1日实施）；</w:t>
      </w:r>
    </w:p>
    <w:p>
      <w:pPr>
        <w:ind w:firstLine="560"/>
      </w:pPr>
      <w:r>
        <w:rPr>
          <w:rFonts w:hint="eastAsia"/>
        </w:rPr>
        <w:t>（1</w:t>
      </w:r>
      <w:r>
        <w:t>5</w:t>
      </w:r>
      <w:r>
        <w:rPr>
          <w:rFonts w:hint="eastAsia"/>
        </w:rPr>
        <w:t>）《企业事业单位突发环境事件应急预案备案管理办法（试行）》（环发[2015]4号，2015年1月8日实施）；</w:t>
      </w:r>
    </w:p>
    <w:p>
      <w:pPr>
        <w:ind w:firstLine="560"/>
      </w:pPr>
      <w:r>
        <w:rPr>
          <w:rFonts w:hint="eastAsia"/>
        </w:rPr>
        <w:t>（16）《国务院办公厅关于印发国家突发环境事件应急预案的通知》（国办函[2014]119号，2014年12月29日发文）；</w:t>
      </w:r>
    </w:p>
    <w:p>
      <w:pPr>
        <w:ind w:firstLine="560"/>
      </w:pPr>
      <w:r>
        <w:rPr>
          <w:rFonts w:hint="eastAsia"/>
        </w:rPr>
        <w:t>（1</w:t>
      </w:r>
      <w:r>
        <w:t>7</w:t>
      </w:r>
      <w:r>
        <w:rPr>
          <w:rFonts w:hint="eastAsia"/>
        </w:rPr>
        <w:t>）《危险化学品重大危险源监督管理暂行规定》（国家安监总局令第79号修订，2</w:t>
      </w:r>
      <w:r>
        <w:t>015</w:t>
      </w:r>
      <w:r>
        <w:rPr>
          <w:rFonts w:hint="eastAsia"/>
        </w:rPr>
        <w:t>年7月1日实施）；</w:t>
      </w:r>
    </w:p>
    <w:p>
      <w:pPr>
        <w:ind w:firstLine="560"/>
      </w:pPr>
      <w:r>
        <w:rPr>
          <w:rFonts w:hint="eastAsia"/>
        </w:rPr>
        <w:t>（1</w:t>
      </w:r>
      <w:r>
        <w:t>8</w:t>
      </w:r>
      <w:r>
        <w:rPr>
          <w:rFonts w:hint="eastAsia"/>
        </w:rPr>
        <w:t>）《危险化学品生产企业安全生产许可证实施办法》（国家安全生产监督管理总局令第8</w:t>
      </w:r>
      <w:r>
        <w:t>9</w:t>
      </w:r>
      <w:r>
        <w:rPr>
          <w:rFonts w:hint="eastAsia"/>
        </w:rPr>
        <w:t>号修订，2017年3月6日）；</w:t>
      </w:r>
    </w:p>
    <w:p>
      <w:pPr>
        <w:ind w:firstLine="560"/>
      </w:pPr>
      <w:r>
        <w:rPr>
          <w:rFonts w:hint="eastAsia"/>
        </w:rPr>
        <w:t>（1</w:t>
      </w:r>
      <w:r>
        <w:t>9</w:t>
      </w:r>
      <w:r>
        <w:rPr>
          <w:rFonts w:hint="eastAsia"/>
        </w:rPr>
        <w:t>）《危险化学品建设项目安全监督管理办法》（2015年7月1日实施）；</w:t>
      </w:r>
    </w:p>
    <w:p>
      <w:pPr>
        <w:pStyle w:val="6"/>
        <w:numPr>
          <w:ilvl w:val="2"/>
          <w:numId w:val="0"/>
        </w:numPr>
        <w:ind w:leftChars="0"/>
      </w:pPr>
      <w:r>
        <w:rPr>
          <w:rFonts w:hint="eastAsia"/>
          <w:lang w:val="en-US" w:eastAsia="zh-CN"/>
        </w:rPr>
        <w:t>2.2.2</w:t>
      </w:r>
      <w:r>
        <w:rPr>
          <w:rFonts w:hint="eastAsia"/>
        </w:rPr>
        <w:t>技术指南</w:t>
      </w:r>
    </w:p>
    <w:p>
      <w:pPr>
        <w:ind w:firstLine="560"/>
      </w:pPr>
      <w:r>
        <w:rPr>
          <w:rFonts w:hint="eastAsia"/>
        </w:rPr>
        <w:t>（</w:t>
      </w:r>
      <w:r>
        <w:t>1</w:t>
      </w:r>
      <w:r>
        <w:rPr>
          <w:rFonts w:hint="eastAsia"/>
        </w:rPr>
        <w:t>）《企业突发环境事件风险评估指南（试行）》（</w:t>
      </w:r>
      <w:r>
        <w:t>2014</w:t>
      </w:r>
      <w:r>
        <w:rPr>
          <w:rFonts w:hint="eastAsia"/>
        </w:rPr>
        <w:t>，环境保护部）；</w:t>
      </w:r>
    </w:p>
    <w:p>
      <w:pPr>
        <w:ind w:firstLine="560"/>
      </w:pPr>
      <w:r>
        <w:rPr>
          <w:rFonts w:hint="eastAsia"/>
        </w:rPr>
        <w:t>（2）《企业突发环境事件风险分级方法》（H</w:t>
      </w:r>
      <w:r>
        <w:t>J 941-2018</w:t>
      </w:r>
      <w:r>
        <w:rPr>
          <w:rFonts w:hint="eastAsia"/>
        </w:rPr>
        <w:t>）；</w:t>
      </w:r>
    </w:p>
    <w:p>
      <w:pPr>
        <w:ind w:firstLine="560"/>
      </w:pPr>
      <w:r>
        <w:rPr>
          <w:rFonts w:hint="eastAsia"/>
        </w:rPr>
        <w:t>（</w:t>
      </w:r>
      <w:r>
        <w:t>3</w:t>
      </w:r>
      <w:r>
        <w:rPr>
          <w:rFonts w:hint="eastAsia"/>
        </w:rPr>
        <w:t>）《建设项目环境风险评价技术导则》（HJ/T</w:t>
      </w:r>
      <w:r>
        <w:t xml:space="preserve"> </w:t>
      </w:r>
      <w:r>
        <w:rPr>
          <w:rFonts w:hint="eastAsia"/>
        </w:rPr>
        <w:t>169-2004）；</w:t>
      </w:r>
    </w:p>
    <w:p>
      <w:pPr>
        <w:ind w:firstLine="560"/>
      </w:pPr>
      <w:r>
        <w:rPr>
          <w:rFonts w:hint="eastAsia"/>
        </w:rPr>
        <w:t>（</w:t>
      </w:r>
      <w:r>
        <w:t>4</w:t>
      </w:r>
      <w:r>
        <w:rPr>
          <w:rFonts w:hint="eastAsia"/>
        </w:rPr>
        <w:t>）《环境影响评价技术导则 地下水环境》（HJ</w:t>
      </w:r>
      <w:r>
        <w:t xml:space="preserve"> </w:t>
      </w:r>
      <w:r>
        <w:rPr>
          <w:rFonts w:hint="eastAsia"/>
        </w:rPr>
        <w:t>610-201</w:t>
      </w:r>
      <w:r>
        <w:t>6</w:t>
      </w:r>
      <w:r>
        <w:rPr>
          <w:rFonts w:hint="eastAsia"/>
        </w:rPr>
        <w:t>）；</w:t>
      </w:r>
    </w:p>
    <w:p>
      <w:pPr>
        <w:ind w:firstLine="560"/>
      </w:pPr>
      <w:r>
        <w:rPr>
          <w:rFonts w:hint="eastAsia"/>
        </w:rPr>
        <w:t>（</w:t>
      </w:r>
      <w:r>
        <w:t>5</w:t>
      </w:r>
      <w:r>
        <w:rPr>
          <w:rFonts w:hint="eastAsia"/>
        </w:rPr>
        <w:t>）《环境影响评价技术导则 地面水环境》（HJ/T 2.3-93）；</w:t>
      </w:r>
    </w:p>
    <w:p>
      <w:pPr>
        <w:ind w:firstLine="560"/>
      </w:pPr>
      <w:r>
        <w:rPr>
          <w:rFonts w:hint="eastAsia"/>
        </w:rPr>
        <w:t>（6）《环境影响评价技术导则 大气环境》（HJ 2.2-2008）</w:t>
      </w:r>
    </w:p>
    <w:p>
      <w:pPr>
        <w:pStyle w:val="6"/>
        <w:numPr>
          <w:ilvl w:val="2"/>
          <w:numId w:val="0"/>
        </w:numPr>
        <w:ind w:leftChars="0"/>
      </w:pPr>
      <w:r>
        <w:rPr>
          <w:rFonts w:hint="eastAsia"/>
          <w:lang w:val="en-US" w:eastAsia="zh-CN"/>
        </w:rPr>
        <w:t>2.2.3</w:t>
      </w:r>
      <w:r>
        <w:rPr>
          <w:rFonts w:hint="eastAsia"/>
        </w:rPr>
        <w:t>标准规范</w:t>
      </w:r>
    </w:p>
    <w:p>
      <w:pPr>
        <w:ind w:firstLine="560"/>
      </w:pPr>
      <w:r>
        <w:rPr>
          <w:rFonts w:hint="eastAsia"/>
        </w:rPr>
        <w:t>（1）《危险化学品重大危险源辨识》（GB</w:t>
      </w:r>
      <w:r>
        <w:t xml:space="preserve"> </w:t>
      </w:r>
      <w:r>
        <w:rPr>
          <w:rFonts w:hint="eastAsia"/>
        </w:rPr>
        <w:t>18218-2009）；</w:t>
      </w:r>
    </w:p>
    <w:p>
      <w:pPr>
        <w:ind w:firstLine="560"/>
      </w:pPr>
      <w:r>
        <w:rPr>
          <w:rFonts w:hint="eastAsia"/>
        </w:rPr>
        <w:t>（2）《危险货物品名表》（GB</w:t>
      </w:r>
      <w:r>
        <w:t xml:space="preserve"> </w:t>
      </w:r>
      <w:r>
        <w:rPr>
          <w:rFonts w:hint="eastAsia"/>
        </w:rPr>
        <w:t>12268-2012）；</w:t>
      </w:r>
    </w:p>
    <w:p>
      <w:pPr>
        <w:ind w:firstLine="560"/>
      </w:pPr>
      <w:r>
        <w:rPr>
          <w:rFonts w:hint="eastAsia"/>
        </w:rPr>
        <w:t>（3）《建筑设计防火规范》（GB</w:t>
      </w:r>
      <w:r>
        <w:t xml:space="preserve"> </w:t>
      </w:r>
      <w:r>
        <w:rPr>
          <w:rFonts w:hint="eastAsia"/>
        </w:rPr>
        <w:t>50016-2014）；</w:t>
      </w:r>
    </w:p>
    <w:p>
      <w:pPr>
        <w:ind w:firstLine="560"/>
      </w:pPr>
      <w:r>
        <w:rPr>
          <w:rFonts w:hint="eastAsia"/>
        </w:rPr>
        <w:t>（4）《储罐区防火堤设计规范》（GB</w:t>
      </w:r>
      <w:r>
        <w:t xml:space="preserve"> </w:t>
      </w:r>
      <w:r>
        <w:rPr>
          <w:rFonts w:hint="eastAsia"/>
        </w:rPr>
        <w:t>50351-2014）；</w:t>
      </w:r>
    </w:p>
    <w:p>
      <w:pPr>
        <w:ind w:firstLine="560"/>
      </w:pPr>
      <w:r>
        <w:rPr>
          <w:rFonts w:hint="eastAsia"/>
        </w:rPr>
        <w:t>（5）《国家危险废物名录》（2016年）</w:t>
      </w:r>
    </w:p>
    <w:p>
      <w:pPr>
        <w:ind w:firstLine="560"/>
      </w:pPr>
      <w:r>
        <w:rPr>
          <w:rFonts w:hint="eastAsia"/>
        </w:rPr>
        <w:t>（6）《化学品分类、警示标签和警示性说明安全规程》（GB</w:t>
      </w:r>
      <w:r>
        <w:t xml:space="preserve"> </w:t>
      </w:r>
      <w:r>
        <w:rPr>
          <w:rFonts w:hint="eastAsia"/>
        </w:rPr>
        <w:t>20576-GB</w:t>
      </w:r>
      <w:r>
        <w:t xml:space="preserve"> </w:t>
      </w:r>
      <w:r>
        <w:rPr>
          <w:rFonts w:hint="eastAsia"/>
        </w:rPr>
        <w:t>20602）；</w:t>
      </w:r>
    </w:p>
    <w:p>
      <w:pPr>
        <w:ind w:firstLine="560"/>
      </w:pPr>
      <w:r>
        <w:rPr>
          <w:rFonts w:hint="eastAsia"/>
        </w:rPr>
        <w:t>（</w:t>
      </w:r>
      <w:r>
        <w:t>7</w:t>
      </w:r>
      <w:r>
        <w:rPr>
          <w:rFonts w:hint="eastAsia"/>
        </w:rPr>
        <w:t>）《废水排放去向代码》（HJ 523-2009）；</w:t>
      </w:r>
    </w:p>
    <w:p>
      <w:pPr>
        <w:ind w:firstLine="560"/>
      </w:pPr>
      <w:r>
        <w:rPr>
          <w:rFonts w:hint="eastAsia"/>
        </w:rPr>
        <w:t>（</w:t>
      </w:r>
      <w:r>
        <w:t>8</w:t>
      </w:r>
      <w:r>
        <w:rPr>
          <w:rFonts w:hint="eastAsia"/>
        </w:rPr>
        <w:t>）《固定式压力容器安全技术监察规程》（TSG</w:t>
      </w:r>
      <w:r>
        <w:t>-21</w:t>
      </w:r>
      <w:r>
        <w:rPr>
          <w:rFonts w:hint="eastAsia"/>
        </w:rPr>
        <w:t>-20</w:t>
      </w:r>
      <w:r>
        <w:t>16</w:t>
      </w:r>
      <w:r>
        <w:rPr>
          <w:rFonts w:hint="eastAsia"/>
        </w:rPr>
        <w:t>）；</w:t>
      </w:r>
    </w:p>
    <w:p>
      <w:pPr>
        <w:ind w:firstLine="560"/>
      </w:pPr>
      <w:r>
        <w:rPr>
          <w:rFonts w:hint="eastAsia"/>
        </w:rPr>
        <w:t>（</w:t>
      </w:r>
      <w:r>
        <w:t>9</w:t>
      </w:r>
      <w:r>
        <w:rPr>
          <w:rFonts w:hint="eastAsia"/>
        </w:rPr>
        <w:t>）《化学品毒性鉴定技术规范》（卫监督发[2005]272号，2005年10月1日）；</w:t>
      </w:r>
    </w:p>
    <w:p>
      <w:pPr>
        <w:ind w:firstLine="560"/>
      </w:pPr>
      <w:r>
        <w:rPr>
          <w:rFonts w:hint="eastAsia"/>
        </w:rPr>
        <w:t>（</w:t>
      </w:r>
      <w:r>
        <w:t>10</w:t>
      </w:r>
      <w:r>
        <w:rPr>
          <w:rFonts w:hint="eastAsia"/>
        </w:rPr>
        <w:t>）《事故状态下水体污染的预防与控制技术要求》（中国石油企业标准，Q/SY1190-2013）；</w:t>
      </w:r>
    </w:p>
    <w:p>
      <w:pPr>
        <w:ind w:firstLine="560"/>
      </w:pPr>
      <w:r>
        <w:rPr>
          <w:rFonts w:hint="eastAsia"/>
        </w:rPr>
        <w:t>（1</w:t>
      </w:r>
      <w:r>
        <w:t>1</w:t>
      </w:r>
      <w:r>
        <w:rPr>
          <w:rFonts w:hint="eastAsia"/>
        </w:rPr>
        <w:t>）《水体污染事故风险预防与控制措施运行管理要求》（中国石油企业标准，Q/SY1310-2010）；</w:t>
      </w:r>
    </w:p>
    <w:p>
      <w:pPr>
        <w:ind w:firstLine="560"/>
      </w:pPr>
      <w:r>
        <w:rPr>
          <w:rFonts w:hint="eastAsia"/>
        </w:rPr>
        <w:t>（1</w:t>
      </w:r>
      <w:r>
        <w:t>2</w:t>
      </w:r>
      <w:r>
        <w:rPr>
          <w:rFonts w:hint="eastAsia"/>
        </w:rPr>
        <w:t>）《环境空气质量标准》（GB</w:t>
      </w:r>
      <w:r>
        <w:t xml:space="preserve"> </w:t>
      </w:r>
      <w:r>
        <w:rPr>
          <w:rFonts w:hint="eastAsia"/>
        </w:rPr>
        <w:t>3095-2012）；</w:t>
      </w:r>
    </w:p>
    <w:p>
      <w:pPr>
        <w:ind w:firstLine="560"/>
      </w:pPr>
      <w:r>
        <w:rPr>
          <w:rFonts w:hint="eastAsia"/>
        </w:rPr>
        <w:t>（1</w:t>
      </w:r>
      <w:r>
        <w:t>3</w:t>
      </w:r>
      <w:r>
        <w:rPr>
          <w:rFonts w:hint="eastAsia"/>
        </w:rPr>
        <w:t>）《地表水环境质量标准》（GB</w:t>
      </w:r>
      <w:r>
        <w:t xml:space="preserve"> </w:t>
      </w:r>
      <w:r>
        <w:rPr>
          <w:rFonts w:hint="eastAsia"/>
        </w:rPr>
        <w:t>3838-2002）；</w:t>
      </w:r>
    </w:p>
    <w:p>
      <w:pPr>
        <w:ind w:firstLine="560"/>
      </w:pPr>
      <w:r>
        <w:rPr>
          <w:rFonts w:hint="eastAsia"/>
        </w:rPr>
        <w:t>（1</w:t>
      </w:r>
      <w:r>
        <w:t>4</w:t>
      </w:r>
      <w:r>
        <w:rPr>
          <w:rFonts w:hint="eastAsia"/>
        </w:rPr>
        <w:t>）《地下水质量标准》(GB/T</w:t>
      </w:r>
      <w:r>
        <w:t xml:space="preserve"> </w:t>
      </w:r>
      <w:r>
        <w:rPr>
          <w:rFonts w:hint="eastAsia"/>
        </w:rPr>
        <w:t>14848-2018)；</w:t>
      </w:r>
    </w:p>
    <w:p>
      <w:pPr>
        <w:ind w:firstLine="560"/>
      </w:pPr>
      <w:r>
        <w:rPr>
          <w:rFonts w:hint="eastAsia"/>
        </w:rPr>
        <w:t>（1</w:t>
      </w:r>
      <w:r>
        <w:t>5</w:t>
      </w:r>
      <w:r>
        <w:rPr>
          <w:rFonts w:hint="eastAsia"/>
        </w:rPr>
        <w:t>）《声环境质量标准》（GB</w:t>
      </w:r>
      <w:r>
        <w:t xml:space="preserve"> </w:t>
      </w:r>
      <w:r>
        <w:rPr>
          <w:rFonts w:hint="eastAsia"/>
        </w:rPr>
        <w:t>3096-2008）；</w:t>
      </w:r>
    </w:p>
    <w:p>
      <w:pPr>
        <w:ind w:firstLine="560"/>
      </w:pPr>
      <w:r>
        <w:rPr>
          <w:rFonts w:hint="eastAsia"/>
        </w:rPr>
        <w:t>（1</w:t>
      </w:r>
      <w:r>
        <w:t>6</w:t>
      </w:r>
      <w:r>
        <w:rPr>
          <w:rFonts w:hint="eastAsia"/>
        </w:rPr>
        <w:t>）《工业企业设计卫生标准》（GBZ</w:t>
      </w:r>
      <w:r>
        <w:t xml:space="preserve"> </w:t>
      </w:r>
      <w:r>
        <w:rPr>
          <w:rFonts w:hint="eastAsia"/>
        </w:rPr>
        <w:t>1-2010）；</w:t>
      </w:r>
    </w:p>
    <w:p>
      <w:pPr>
        <w:ind w:firstLine="560"/>
      </w:pPr>
      <w:r>
        <w:rPr>
          <w:rFonts w:hint="eastAsia"/>
        </w:rPr>
        <w:t>（1</w:t>
      </w:r>
      <w:r>
        <w:t>7</w:t>
      </w:r>
      <w:r>
        <w:rPr>
          <w:rFonts w:hint="eastAsia"/>
        </w:rPr>
        <w:t>）《工作场所有害因素职业接触限值》（GBZ</w:t>
      </w:r>
      <w:r>
        <w:t xml:space="preserve"> </w:t>
      </w:r>
      <w:r>
        <w:rPr>
          <w:rFonts w:hint="eastAsia"/>
        </w:rPr>
        <w:t>2.2-2007）；</w:t>
      </w:r>
    </w:p>
    <w:p>
      <w:pPr>
        <w:ind w:firstLine="560"/>
      </w:pPr>
      <w:r>
        <w:rPr>
          <w:rFonts w:hint="eastAsia"/>
        </w:rPr>
        <w:t>（</w:t>
      </w:r>
      <w:r>
        <w:t>18</w:t>
      </w:r>
      <w:r>
        <w:rPr>
          <w:rFonts w:hint="eastAsia"/>
        </w:rPr>
        <w:t>）《大气污染物综合排放标准》(GB</w:t>
      </w:r>
      <w:r>
        <w:t xml:space="preserve"> </w:t>
      </w:r>
      <w:r>
        <w:rPr>
          <w:rFonts w:hint="eastAsia"/>
        </w:rPr>
        <w:t>16297-1996)；</w:t>
      </w:r>
    </w:p>
    <w:p>
      <w:pPr>
        <w:ind w:firstLine="560"/>
      </w:pPr>
      <w:r>
        <w:rPr>
          <w:rFonts w:hint="eastAsia"/>
        </w:rPr>
        <w:t>（</w:t>
      </w:r>
      <w:r>
        <w:t>19</w:t>
      </w:r>
      <w:r>
        <w:rPr>
          <w:rFonts w:hint="eastAsia"/>
        </w:rPr>
        <w:t>）《工业企业厂界环境噪声排放标准》（GB</w:t>
      </w:r>
      <w:r>
        <w:t xml:space="preserve"> </w:t>
      </w:r>
      <w:r>
        <w:rPr>
          <w:rFonts w:hint="eastAsia"/>
        </w:rPr>
        <w:t>12348-2008）；</w:t>
      </w:r>
    </w:p>
    <w:p>
      <w:pPr>
        <w:ind w:firstLine="560"/>
      </w:pPr>
      <w:r>
        <w:rPr>
          <w:rFonts w:hint="eastAsia"/>
        </w:rPr>
        <w:t>（2</w:t>
      </w:r>
      <w:r>
        <w:t>0</w:t>
      </w:r>
      <w:r>
        <w:rPr>
          <w:rFonts w:hint="eastAsia"/>
        </w:rPr>
        <w:t>）《一般工业固体废物贮存、处置场污染控制标准》（GB</w:t>
      </w:r>
      <w:r>
        <w:t xml:space="preserve"> </w:t>
      </w:r>
      <w:r>
        <w:rPr>
          <w:rFonts w:hint="eastAsia"/>
        </w:rPr>
        <w:t>18599-2001）及修改单要求；</w:t>
      </w:r>
    </w:p>
    <w:p>
      <w:pPr>
        <w:ind w:firstLine="560"/>
      </w:pPr>
      <w:r>
        <w:rPr>
          <w:rFonts w:hint="eastAsia"/>
        </w:rPr>
        <w:t>（2</w:t>
      </w:r>
      <w:r>
        <w:t>1</w:t>
      </w:r>
      <w:r>
        <w:rPr>
          <w:rFonts w:hint="eastAsia"/>
        </w:rPr>
        <w:t>）《危险废物贮存污染控制标准》（GB</w:t>
      </w:r>
      <w:r>
        <w:t xml:space="preserve"> </w:t>
      </w:r>
      <w:r>
        <w:rPr>
          <w:rFonts w:hint="eastAsia"/>
        </w:rPr>
        <w:t>18597-2001）及修改单要求。</w:t>
      </w:r>
    </w:p>
    <w:p>
      <w:pPr>
        <w:ind w:firstLine="560"/>
      </w:pPr>
      <w:r>
        <w:rPr>
          <w:rFonts w:hint="eastAsia"/>
        </w:rPr>
        <w:t>（2</w:t>
      </w:r>
      <w:r>
        <w:t>2</w:t>
      </w:r>
      <w:r>
        <w:rPr>
          <w:rFonts w:hint="eastAsia"/>
        </w:rPr>
        <w:t>）《呼吸防护用品的选择、使用与维护》（GB</w:t>
      </w:r>
      <w:r>
        <w:t>/</w:t>
      </w:r>
      <w:r>
        <w:rPr>
          <w:rFonts w:hint="eastAsia"/>
        </w:rPr>
        <w:t>T</w:t>
      </w:r>
      <w:r>
        <w:t xml:space="preserve"> </w:t>
      </w:r>
      <w:r>
        <w:rPr>
          <w:rFonts w:hint="eastAsia"/>
        </w:rPr>
        <w:t>18664-2002）；</w:t>
      </w:r>
    </w:p>
    <w:p>
      <w:pPr>
        <w:ind w:firstLine="560"/>
      </w:pPr>
      <w:r>
        <w:rPr>
          <w:rFonts w:hint="eastAsia"/>
        </w:rPr>
        <w:t>（2</w:t>
      </w:r>
      <w:r>
        <w:t>3</w:t>
      </w:r>
      <w:r>
        <w:rPr>
          <w:rFonts w:hint="eastAsia"/>
        </w:rPr>
        <w:t>）《危险化学品名录（2015版）》（2015年5月1日实施）；</w:t>
      </w:r>
    </w:p>
    <w:p>
      <w:pPr>
        <w:ind w:firstLine="560"/>
      </w:pPr>
      <w:r>
        <w:rPr>
          <w:rFonts w:hint="eastAsia"/>
        </w:rPr>
        <w:t>（2</w:t>
      </w:r>
      <w:r>
        <w:t>4</w:t>
      </w:r>
      <w:r>
        <w:rPr>
          <w:rFonts w:hint="eastAsia"/>
        </w:rPr>
        <w:t>）《高毒物品目录》（卫法监发[2003]142号）。</w:t>
      </w:r>
    </w:p>
    <w:p>
      <w:pPr>
        <w:pStyle w:val="6"/>
        <w:numPr>
          <w:ilvl w:val="2"/>
          <w:numId w:val="0"/>
        </w:numPr>
        <w:ind w:leftChars="0"/>
      </w:pPr>
      <w:r>
        <w:rPr>
          <w:rFonts w:hint="eastAsia"/>
          <w:lang w:val="en-US" w:eastAsia="zh-CN"/>
        </w:rPr>
        <w:t>2.2.4</w:t>
      </w:r>
      <w:r>
        <w:rPr>
          <w:rFonts w:hint="eastAsia"/>
        </w:rPr>
        <w:t>其他文件</w:t>
      </w:r>
    </w:p>
    <w:p>
      <w:pPr>
        <w:keepNext w:val="0"/>
        <w:keepLines w:val="0"/>
        <w:pageBreakBefore w:val="0"/>
        <w:widowControl w:val="0"/>
        <w:numPr>
          <w:ilvl w:val="0"/>
          <w:numId w:val="0"/>
        </w:numPr>
        <w:kinsoku/>
        <w:wordWrap/>
        <w:overflowPunct/>
        <w:topLinePunct w:val="0"/>
        <w:autoSpaceDE/>
        <w:autoSpaceDN/>
        <w:bidi w:val="0"/>
        <w:adjustRightInd/>
        <w:snapToGrid/>
        <w:ind w:firstLine="560" w:firstLineChars="200"/>
        <w:textAlignment w:val="auto"/>
        <w:rPr>
          <w:rFonts w:hint="eastAsia"/>
        </w:rPr>
      </w:pPr>
      <w:r>
        <w:rPr>
          <w:rFonts w:hint="eastAsia"/>
          <w:lang w:eastAsia="zh-CN"/>
        </w:rPr>
        <w:t>（</w:t>
      </w:r>
      <w:r>
        <w:rPr>
          <w:rFonts w:hint="eastAsia"/>
          <w:lang w:val="en-US" w:eastAsia="zh-CN"/>
        </w:rPr>
        <w:t>1</w:t>
      </w:r>
      <w:r>
        <w:rPr>
          <w:rFonts w:hint="eastAsia"/>
          <w:lang w:eastAsia="zh-CN"/>
        </w:rPr>
        <w:t>）</w:t>
      </w:r>
      <w:r>
        <w:rPr>
          <w:rFonts w:hint="eastAsia"/>
        </w:rPr>
        <w:t>《关于</w:t>
      </w:r>
      <w:r>
        <w:rPr>
          <w:rFonts w:hint="eastAsia"/>
          <w:lang w:eastAsia="zh-CN"/>
        </w:rPr>
        <w:t>南昌双港供水有限公司南昌双港水厂扩建工程</w:t>
      </w:r>
      <w:r>
        <w:rPr>
          <w:rFonts w:hint="eastAsia"/>
        </w:rPr>
        <w:t>环境影响报告表</w:t>
      </w:r>
      <w:r>
        <w:rPr>
          <w:rFonts w:hint="eastAsia"/>
          <w:lang w:eastAsia="zh-CN"/>
        </w:rPr>
        <w:t>审查意见的函》（南昌市环境保护局，洪环审批【</w:t>
      </w:r>
      <w:r>
        <w:rPr>
          <w:rFonts w:hint="eastAsia"/>
          <w:lang w:val="en-US" w:eastAsia="zh-CN"/>
        </w:rPr>
        <w:t>2011</w:t>
      </w:r>
      <w:r>
        <w:rPr>
          <w:rFonts w:hint="eastAsia"/>
          <w:lang w:eastAsia="zh-CN"/>
        </w:rPr>
        <w:t>】</w:t>
      </w:r>
      <w:r>
        <w:rPr>
          <w:rFonts w:hint="eastAsia"/>
          <w:lang w:val="en-US" w:eastAsia="zh-CN"/>
        </w:rPr>
        <w:t>160号，2011年6月17日</w:t>
      </w:r>
      <w:r>
        <w:rPr>
          <w:rFonts w:hint="eastAsia"/>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ind w:firstLine="560" w:firstLineChars="200"/>
        <w:textAlignment w:val="auto"/>
        <w:rPr>
          <w:rFonts w:hint="eastAsia"/>
        </w:rPr>
      </w:pPr>
      <w:r>
        <w:rPr>
          <w:rFonts w:hint="eastAsia"/>
          <w:lang w:eastAsia="zh-CN"/>
        </w:rPr>
        <w:t>（</w:t>
      </w:r>
      <w:r>
        <w:rPr>
          <w:rFonts w:hint="eastAsia"/>
          <w:lang w:val="en-US" w:eastAsia="zh-CN"/>
        </w:rPr>
        <w:t>2</w:t>
      </w:r>
      <w:r>
        <w:rPr>
          <w:rFonts w:hint="eastAsia"/>
          <w:lang w:eastAsia="zh-CN"/>
        </w:rPr>
        <w:t>）</w:t>
      </w:r>
      <w:r>
        <w:rPr>
          <w:rFonts w:hint="eastAsia"/>
        </w:rPr>
        <w:t>《</w:t>
      </w:r>
      <w:r>
        <w:rPr>
          <w:rFonts w:hint="eastAsia"/>
          <w:lang w:eastAsia="zh-CN"/>
        </w:rPr>
        <w:t>南昌双港供水有限公司南昌双港水厂污泥处理系统工程</w:t>
      </w:r>
      <w:r>
        <w:rPr>
          <w:rFonts w:hint="eastAsia"/>
        </w:rPr>
        <w:t>环境影响报告表</w:t>
      </w:r>
      <w:r>
        <w:rPr>
          <w:rFonts w:hint="eastAsia"/>
          <w:lang w:eastAsia="zh-CN"/>
        </w:rPr>
        <w:t>》（公司，</w:t>
      </w:r>
      <w:r>
        <w:rPr>
          <w:rFonts w:hint="eastAsia"/>
          <w:highlight w:val="none"/>
          <w:lang w:val="en-US" w:eastAsia="zh-CN"/>
        </w:rPr>
        <w:t>2019年</w:t>
      </w:r>
      <w:r>
        <w:rPr>
          <w:rFonts w:hint="eastAsia"/>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ind w:firstLine="560" w:firstLineChars="200"/>
        <w:textAlignment w:val="auto"/>
        <w:rPr>
          <w:rFonts w:hint="eastAsia"/>
        </w:rPr>
      </w:pPr>
      <w:r>
        <w:rPr>
          <w:rFonts w:hint="eastAsia"/>
          <w:lang w:eastAsia="zh-CN"/>
        </w:rPr>
        <w:t>（</w:t>
      </w:r>
      <w:r>
        <w:rPr>
          <w:rFonts w:hint="eastAsia"/>
          <w:lang w:val="en-US" w:eastAsia="zh-CN"/>
        </w:rPr>
        <w:t>3</w:t>
      </w:r>
      <w:r>
        <w:rPr>
          <w:rFonts w:hint="eastAsia"/>
          <w:lang w:eastAsia="zh-CN"/>
        </w:rPr>
        <w:t>）</w:t>
      </w:r>
      <w:r>
        <w:rPr>
          <w:rFonts w:hint="eastAsia"/>
        </w:rPr>
        <w:t>《关于</w:t>
      </w:r>
      <w:r>
        <w:rPr>
          <w:rFonts w:hint="eastAsia"/>
          <w:lang w:eastAsia="zh-CN"/>
        </w:rPr>
        <w:t>南昌双港供水有限公司南昌双港水厂污泥处理系统工程</w:t>
      </w:r>
      <w:r>
        <w:rPr>
          <w:rFonts w:hint="eastAsia"/>
        </w:rPr>
        <w:t>环境影响报告表的批复》（</w:t>
      </w:r>
      <w:r>
        <w:rPr>
          <w:rFonts w:hint="eastAsia"/>
          <w:lang w:eastAsia="zh-CN"/>
        </w:rPr>
        <w:t>南昌经济技术开发区城市管理和环境保护局，洪经城环审字【</w:t>
      </w:r>
      <w:r>
        <w:rPr>
          <w:rFonts w:hint="eastAsia"/>
          <w:lang w:val="en-US" w:eastAsia="zh-CN"/>
        </w:rPr>
        <w:t>2019</w:t>
      </w:r>
      <w:r>
        <w:rPr>
          <w:rFonts w:hint="eastAsia"/>
          <w:lang w:eastAsia="zh-CN"/>
        </w:rPr>
        <w:t>】</w:t>
      </w:r>
      <w:r>
        <w:rPr>
          <w:rFonts w:hint="eastAsia"/>
          <w:lang w:val="en-US" w:eastAsia="zh-CN"/>
        </w:rPr>
        <w:t>5号</w:t>
      </w:r>
      <w:r>
        <w:rPr>
          <w:rFonts w:hint="eastAsia"/>
        </w:rPr>
        <w:t>，2</w:t>
      </w:r>
      <w:r>
        <w:t>0</w:t>
      </w:r>
      <w:r>
        <w:rPr>
          <w:rFonts w:hint="eastAsia"/>
          <w:lang w:val="en-US" w:eastAsia="zh-CN"/>
        </w:rPr>
        <w:t>19</w:t>
      </w:r>
      <w:r>
        <w:rPr>
          <w:rFonts w:hint="eastAsia"/>
        </w:rPr>
        <w:t>年1</w:t>
      </w:r>
      <w:r>
        <w:rPr>
          <w:rFonts w:hint="eastAsia"/>
          <w:lang w:val="en-US" w:eastAsia="zh-CN"/>
        </w:rPr>
        <w:t>2</w:t>
      </w:r>
      <w:r>
        <w:rPr>
          <w:rFonts w:hint="eastAsia"/>
        </w:rPr>
        <w:t>月</w:t>
      </w:r>
      <w:r>
        <w:rPr>
          <w:rFonts w:hint="eastAsia"/>
          <w:lang w:val="en-US" w:eastAsia="zh-CN"/>
        </w:rPr>
        <w:t>27</w:t>
      </w:r>
      <w:r>
        <w:rPr>
          <w:rFonts w:hint="eastAsia"/>
        </w:rPr>
        <w:t>日）；</w:t>
      </w:r>
    </w:p>
    <w:p>
      <w:pPr>
        <w:keepNext w:val="0"/>
        <w:keepLines w:val="0"/>
        <w:pageBreakBefore w:val="0"/>
        <w:widowControl w:val="0"/>
        <w:numPr>
          <w:ilvl w:val="0"/>
          <w:numId w:val="0"/>
        </w:numPr>
        <w:kinsoku/>
        <w:wordWrap/>
        <w:overflowPunct/>
        <w:topLinePunct w:val="0"/>
        <w:autoSpaceDE/>
        <w:autoSpaceDN/>
        <w:bidi w:val="0"/>
        <w:adjustRightInd/>
        <w:snapToGrid/>
        <w:ind w:firstLine="560" w:firstLineChars="200"/>
        <w:textAlignment w:val="auto"/>
        <w:rPr>
          <w:rFonts w:hint="eastAsia"/>
        </w:rPr>
      </w:pPr>
      <w:r>
        <w:rPr>
          <w:rFonts w:hint="eastAsia"/>
          <w:lang w:eastAsia="zh-CN"/>
        </w:rPr>
        <w:t>（</w:t>
      </w:r>
      <w:r>
        <w:rPr>
          <w:rFonts w:hint="eastAsia"/>
          <w:lang w:val="en-US" w:eastAsia="zh-CN"/>
        </w:rPr>
        <w:t>4</w:t>
      </w:r>
      <w:r>
        <w:rPr>
          <w:rFonts w:hint="eastAsia"/>
          <w:lang w:eastAsia="zh-CN"/>
        </w:rPr>
        <w:t>）</w:t>
      </w:r>
      <w:r>
        <w:rPr>
          <w:rFonts w:hint="eastAsia"/>
        </w:rPr>
        <w:t>《</w:t>
      </w:r>
      <w:r>
        <w:rPr>
          <w:rFonts w:hint="eastAsia"/>
          <w:lang w:eastAsia="zh-CN"/>
        </w:rPr>
        <w:t>南昌双港供水有限公司使用危险化学品专项安全评价报告》（江西赣昌安全生产科技服务有限公司，</w:t>
      </w:r>
      <w:r>
        <w:rPr>
          <w:rFonts w:hint="eastAsia"/>
          <w:lang w:val="en-US" w:eastAsia="zh-CN"/>
        </w:rPr>
        <w:t>2019年5月20日</w:t>
      </w:r>
      <w:r>
        <w:rPr>
          <w:rFonts w:hint="eastAsia"/>
          <w:lang w:eastAsia="zh-CN"/>
        </w:rPr>
        <w:t>）；</w:t>
      </w:r>
    </w:p>
    <w:p>
      <w:pPr>
        <w:ind w:firstLine="560"/>
      </w:pPr>
      <w:r>
        <w:rPr>
          <w:rFonts w:hint="eastAsia"/>
          <w:lang w:eastAsia="zh-CN"/>
        </w:rPr>
        <w:t>（</w:t>
      </w:r>
      <w:r>
        <w:rPr>
          <w:rFonts w:hint="eastAsia"/>
          <w:lang w:val="en-US" w:eastAsia="zh-CN"/>
        </w:rPr>
        <w:t>5</w:t>
      </w:r>
      <w:r>
        <w:rPr>
          <w:rFonts w:hint="eastAsia"/>
          <w:lang w:eastAsia="zh-CN"/>
        </w:rPr>
        <w:t>）</w:t>
      </w:r>
      <w:r>
        <w:rPr>
          <w:rFonts w:hint="eastAsia"/>
        </w:rPr>
        <w:t>《</w:t>
      </w:r>
      <w:r>
        <w:rPr>
          <w:rFonts w:hint="eastAsia"/>
          <w:lang w:eastAsia="zh-CN"/>
        </w:rPr>
        <w:t>南昌双港供水有限公司</w:t>
      </w:r>
      <w:r>
        <w:rPr>
          <w:rFonts w:hint="eastAsia" w:ascii="Times New Roman" w:hAnsi="Times New Roman"/>
          <w:lang w:eastAsia="zh-CN"/>
        </w:rPr>
        <w:t>生产安全事故应急预案》（</w:t>
      </w:r>
      <w:r>
        <w:rPr>
          <w:rFonts w:hint="eastAsia"/>
          <w:lang w:eastAsia="zh-CN"/>
        </w:rPr>
        <w:t>南昌双港供水有限公司</w:t>
      </w:r>
      <w:r>
        <w:rPr>
          <w:rFonts w:hint="eastAsia" w:ascii="Times New Roman" w:hAnsi="Times New Roman"/>
          <w:lang w:eastAsia="zh-CN"/>
        </w:rPr>
        <w:t>，</w:t>
      </w:r>
      <w:r>
        <w:rPr>
          <w:rFonts w:hint="eastAsia" w:ascii="Times New Roman" w:hAnsi="Times New Roman"/>
          <w:lang w:val="en-US" w:eastAsia="zh-CN"/>
        </w:rPr>
        <w:t>2020</w:t>
      </w:r>
      <w:r>
        <w:rPr>
          <w:rFonts w:hint="eastAsia"/>
          <w:lang w:val="en-US" w:eastAsia="zh-CN"/>
        </w:rPr>
        <w:t>年2月15日</w:t>
      </w:r>
      <w:r>
        <w:rPr>
          <w:rFonts w:hint="eastAsia"/>
          <w:lang w:eastAsia="zh-CN"/>
        </w:rPr>
        <w:t>）。</w:t>
      </w:r>
    </w:p>
    <w:p>
      <w:pPr>
        <w:ind w:firstLine="0" w:firstLineChars="0"/>
        <w:jc w:val="left"/>
      </w:pPr>
    </w:p>
    <w:p>
      <w:pPr>
        <w:ind w:firstLine="0" w:firstLineChars="0"/>
        <w:jc w:val="left"/>
        <w:sectPr>
          <w:pgSz w:w="11906" w:h="16838"/>
          <w:pgMar w:top="1304" w:right="1247" w:bottom="1304" w:left="1531" w:header="851" w:footer="851" w:gutter="0"/>
          <w:pgBorders>
            <w:top w:val="none" w:sz="0" w:space="0"/>
            <w:left w:val="none" w:sz="0" w:space="0"/>
            <w:bottom w:val="none" w:sz="0" w:space="0"/>
            <w:right w:val="none" w:sz="0" w:space="0"/>
          </w:pgBorders>
          <w:pgNumType w:fmt="decimal"/>
          <w:cols w:space="425" w:num="1"/>
          <w:docGrid w:type="lines" w:linePitch="312" w:charSpace="0"/>
        </w:sectPr>
      </w:pPr>
    </w:p>
    <w:p>
      <w:pPr>
        <w:pStyle w:val="4"/>
        <w:numPr>
          <w:ilvl w:val="0"/>
          <w:numId w:val="0"/>
        </w:numPr>
        <w:bidi w:val="0"/>
        <w:ind w:leftChars="0"/>
      </w:pPr>
      <w:bookmarkStart w:id="212" w:name="_Toc1663"/>
      <w:bookmarkStart w:id="213" w:name="_Toc527104509"/>
      <w:r>
        <w:rPr>
          <w:rFonts w:hint="eastAsia"/>
          <w:lang w:val="en-US" w:eastAsia="zh-CN"/>
        </w:rPr>
        <w:t>3</w:t>
      </w:r>
      <w:r>
        <w:rPr>
          <w:rFonts w:hint="eastAsia"/>
        </w:rPr>
        <w:t>资料准备与环境风险识别</w:t>
      </w:r>
      <w:bookmarkEnd w:id="212"/>
      <w:bookmarkEnd w:id="213"/>
    </w:p>
    <w:p>
      <w:pPr>
        <w:pStyle w:val="5"/>
        <w:numPr>
          <w:ilvl w:val="1"/>
          <w:numId w:val="0"/>
        </w:numPr>
        <w:bidi w:val="0"/>
        <w:ind w:leftChars="0"/>
      </w:pPr>
      <w:bookmarkStart w:id="214" w:name="_Toc22879"/>
      <w:bookmarkStart w:id="215" w:name="_Toc527104510"/>
      <w:r>
        <w:rPr>
          <w:rFonts w:hint="eastAsia"/>
          <w:lang w:val="en-US" w:eastAsia="zh-CN"/>
        </w:rPr>
        <w:t>3.1</w:t>
      </w:r>
      <w:r>
        <w:rPr>
          <w:rFonts w:hint="eastAsia"/>
        </w:rPr>
        <w:t>企业基本信息</w:t>
      </w:r>
      <w:bookmarkEnd w:id="214"/>
      <w:bookmarkEnd w:id="215"/>
    </w:p>
    <w:p>
      <w:pPr>
        <w:pStyle w:val="6"/>
        <w:numPr>
          <w:ilvl w:val="2"/>
          <w:numId w:val="0"/>
        </w:numPr>
        <w:bidi w:val="0"/>
        <w:ind w:leftChars="0"/>
      </w:pPr>
      <w:r>
        <w:rPr>
          <w:rFonts w:hint="eastAsia"/>
          <w:lang w:val="en-US" w:eastAsia="zh-CN"/>
        </w:rPr>
        <w:t>3.1.1</w:t>
      </w:r>
      <w:r>
        <w:rPr>
          <w:rFonts w:hint="eastAsia"/>
        </w:rPr>
        <w:t>基本信息</w:t>
      </w:r>
    </w:p>
    <w:p>
      <w:pPr>
        <w:ind w:firstLine="560"/>
      </w:pPr>
      <w:r>
        <w:rPr>
          <w:rFonts w:hint="eastAsia"/>
          <w:lang w:eastAsia="zh-CN"/>
        </w:rPr>
        <w:t>南昌双港供水有限公司</w:t>
      </w:r>
      <w:r>
        <w:rPr>
          <w:rFonts w:hint="eastAsia"/>
        </w:rPr>
        <w:t>基本信息详见</w:t>
      </w:r>
      <w:r>
        <w:fldChar w:fldCharType="begin"/>
      </w:r>
      <w:r>
        <w:instrText xml:space="preserve"> </w:instrText>
      </w:r>
      <w:r>
        <w:rPr>
          <w:rFonts w:hint="eastAsia"/>
        </w:rPr>
        <w:instrText xml:space="preserve">REF _Ref526599075 \h</w:instrText>
      </w:r>
      <w:r>
        <w:instrText xml:space="preserve"> </w:instrText>
      </w:r>
      <w:r>
        <w:fldChar w:fldCharType="separate"/>
      </w:r>
      <w:r>
        <w:rPr>
          <w:rFonts w:hint="eastAsia"/>
        </w:rPr>
        <w:t xml:space="preserve">表 </w:t>
      </w:r>
      <w:r>
        <w:t>3</w:t>
      </w:r>
      <w:r>
        <w:noBreakHyphen/>
      </w:r>
      <w:r>
        <w:t>1</w:t>
      </w:r>
      <w:r>
        <w:fldChar w:fldCharType="end"/>
      </w:r>
      <w:r>
        <w:rPr>
          <w:rFonts w:hint="eastAsia"/>
        </w:rPr>
        <w:t>。</w:t>
      </w:r>
    </w:p>
    <w:p>
      <w:pPr>
        <w:pStyle w:val="8"/>
        <w:keepNext/>
      </w:pPr>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3</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1</w:t>
      </w:r>
      <w:r>
        <w:fldChar w:fldCharType="end"/>
      </w:r>
      <w:r>
        <w:rPr>
          <w:rFonts w:hint="eastAsia"/>
        </w:rPr>
        <w:t>企业基本信息</w:t>
      </w:r>
    </w:p>
    <w:tbl>
      <w:tblPr>
        <w:tblStyle w:val="15"/>
        <w:tblW w:w="5024"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893"/>
        <w:gridCol w:w="1033"/>
        <w:gridCol w:w="1235"/>
        <w:gridCol w:w="274"/>
        <w:gridCol w:w="910"/>
        <w:gridCol w:w="1849"/>
        <w:gridCol w:w="1007"/>
        <w:gridCol w:w="81"/>
        <w:gridCol w:w="190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trPr>
        <w:tc>
          <w:tcPr>
            <w:tcW w:w="1048" w:type="pct"/>
            <w:gridSpan w:val="2"/>
            <w:vAlign w:val="center"/>
          </w:tcPr>
          <w:p>
            <w:pPr>
              <w:pStyle w:val="29"/>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企业名称</w:t>
            </w:r>
          </w:p>
        </w:tc>
        <w:tc>
          <w:tcPr>
            <w:tcW w:w="1316" w:type="pct"/>
            <w:gridSpan w:val="3"/>
            <w:vAlign w:val="center"/>
          </w:tcPr>
          <w:p>
            <w:pPr>
              <w:spacing w:line="240" w:lineRule="auto"/>
              <w:ind w:firstLine="0" w:firstLineChars="0"/>
              <w:contextualSpacing/>
              <w:jc w:val="center"/>
              <w:rPr>
                <w:rFonts w:hint="eastAsia" w:eastAsia="宋体" w:cs="Times New Roman"/>
                <w:sz w:val="21"/>
                <w:szCs w:val="21"/>
                <w:lang w:eastAsia="zh-CN"/>
              </w:rPr>
            </w:pPr>
            <w:r>
              <w:rPr>
                <w:rFonts w:hint="eastAsia" w:cs="Times New Roman"/>
                <w:sz w:val="21"/>
                <w:szCs w:val="21"/>
                <w:lang w:eastAsia="zh-CN"/>
              </w:rPr>
              <w:t>南昌双港供水有限公司</w:t>
            </w:r>
          </w:p>
        </w:tc>
        <w:tc>
          <w:tcPr>
            <w:tcW w:w="1006" w:type="pct"/>
            <w:vAlign w:val="center"/>
          </w:tcPr>
          <w:p>
            <w:pPr>
              <w:pStyle w:val="29"/>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法人代码</w:t>
            </w:r>
          </w:p>
        </w:tc>
        <w:tc>
          <w:tcPr>
            <w:tcW w:w="1628" w:type="pct"/>
            <w:gridSpan w:val="3"/>
            <w:vAlign w:val="center"/>
          </w:tcPr>
          <w:p>
            <w:pPr>
              <w:spacing w:line="240" w:lineRule="auto"/>
              <w:ind w:firstLine="0" w:firstLineChars="0"/>
              <w:contextualSpacing/>
              <w:jc w:val="center"/>
              <w:rPr>
                <w:rFonts w:cs="Times New Roman"/>
                <w:sz w:val="21"/>
                <w:szCs w:val="21"/>
              </w:rPr>
            </w:pPr>
            <w:r>
              <w:rPr>
                <w:rFonts w:hint="eastAsia" w:cs="Times New Roman"/>
                <w:sz w:val="21"/>
                <w:szCs w:val="21"/>
                <w:lang w:eastAsia="zh-CN"/>
              </w:rPr>
              <w:t>91360100612419064X</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trPr>
        <w:tc>
          <w:tcPr>
            <w:tcW w:w="1048" w:type="pct"/>
            <w:gridSpan w:val="2"/>
            <w:vAlign w:val="center"/>
          </w:tcPr>
          <w:p>
            <w:pPr>
              <w:pStyle w:val="29"/>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法人代表</w:t>
            </w:r>
          </w:p>
        </w:tc>
        <w:tc>
          <w:tcPr>
            <w:tcW w:w="821" w:type="pct"/>
            <w:gridSpan w:val="2"/>
            <w:vAlign w:val="center"/>
          </w:tcPr>
          <w:p>
            <w:pPr>
              <w:spacing w:line="240" w:lineRule="auto"/>
              <w:ind w:firstLine="0" w:firstLineChars="0"/>
              <w:contextualSpacing/>
              <w:jc w:val="center"/>
              <w:rPr>
                <w:rFonts w:hint="eastAsia" w:ascii="Times New Roman" w:hAnsi="Times New Roman" w:eastAsia="宋体" w:cs="Times New Roman"/>
                <w:kern w:val="2"/>
                <w:sz w:val="21"/>
                <w:szCs w:val="21"/>
                <w:highlight w:val="none"/>
                <w:lang w:val="en-US" w:eastAsia="zh-CN" w:bidi="ar-SA"/>
              </w:rPr>
            </w:pPr>
            <w:r>
              <w:rPr>
                <w:rFonts w:hint="eastAsia" w:cs="Times New Roman"/>
                <w:sz w:val="21"/>
                <w:szCs w:val="21"/>
                <w:highlight w:val="none"/>
                <w:lang w:val="en-US" w:eastAsia="zh-CN"/>
              </w:rPr>
              <w:t>魏桂生</w:t>
            </w:r>
          </w:p>
        </w:tc>
        <w:tc>
          <w:tcPr>
            <w:tcW w:w="494" w:type="pct"/>
            <w:vAlign w:val="center"/>
          </w:tcPr>
          <w:p>
            <w:pPr>
              <w:spacing w:line="240" w:lineRule="auto"/>
              <w:ind w:firstLine="0" w:firstLineChars="0"/>
              <w:contextualSpacing/>
              <w:jc w:val="center"/>
              <w:rPr>
                <w:rFonts w:hint="eastAsia" w:ascii="Times New Roman" w:hAnsi="Times New Roman" w:eastAsia="宋体" w:cs="Times New Roman"/>
                <w:kern w:val="2"/>
                <w:sz w:val="21"/>
                <w:szCs w:val="21"/>
                <w:highlight w:val="none"/>
                <w:lang w:val="en-US" w:eastAsia="zh-CN" w:bidi="ar-SA"/>
              </w:rPr>
            </w:pPr>
            <w:r>
              <w:rPr>
                <w:rFonts w:hint="eastAsia" w:cs="Times New Roman"/>
                <w:sz w:val="21"/>
                <w:szCs w:val="21"/>
                <w:highlight w:val="none"/>
                <w:lang w:val="en-US" w:eastAsia="zh-CN"/>
              </w:rPr>
              <w:t>邮政编码</w:t>
            </w:r>
          </w:p>
        </w:tc>
        <w:tc>
          <w:tcPr>
            <w:tcW w:w="1006" w:type="pct"/>
            <w:vAlign w:val="center"/>
          </w:tcPr>
          <w:p>
            <w:pPr>
              <w:spacing w:line="240" w:lineRule="auto"/>
              <w:ind w:firstLine="0" w:firstLineChars="0"/>
              <w:contextualSpacing/>
              <w:jc w:val="center"/>
              <w:rPr>
                <w:rFonts w:hint="default" w:ascii="Times New Roman" w:hAnsi="Times New Roman" w:eastAsia="宋体" w:cs="Times New Roman"/>
                <w:kern w:val="2"/>
                <w:sz w:val="21"/>
                <w:szCs w:val="21"/>
                <w:highlight w:val="none"/>
                <w:lang w:val="en-US" w:eastAsia="zh-CN" w:bidi="ar-SA"/>
              </w:rPr>
            </w:pPr>
            <w:r>
              <w:rPr>
                <w:rFonts w:hint="eastAsia" w:cs="Times New Roman"/>
                <w:sz w:val="21"/>
                <w:szCs w:val="21"/>
                <w:highlight w:val="none"/>
                <w:lang w:val="en-US" w:eastAsia="zh-CN"/>
              </w:rPr>
              <w:t>330013</w:t>
            </w:r>
          </w:p>
        </w:tc>
        <w:tc>
          <w:tcPr>
            <w:tcW w:w="592" w:type="pct"/>
            <w:gridSpan w:val="2"/>
            <w:vAlign w:val="center"/>
          </w:tcPr>
          <w:p>
            <w:pPr>
              <w:spacing w:line="240" w:lineRule="auto"/>
              <w:ind w:firstLine="0" w:firstLineChars="0"/>
              <w:contextualSpacing/>
              <w:jc w:val="center"/>
              <w:rPr>
                <w:rFonts w:hint="eastAsia" w:ascii="Times New Roman" w:hAnsi="Times New Roman" w:eastAsia="宋体" w:cs="Times New Roman"/>
                <w:kern w:val="2"/>
                <w:sz w:val="21"/>
                <w:szCs w:val="21"/>
                <w:highlight w:val="none"/>
                <w:lang w:val="en-US" w:eastAsia="zh-CN" w:bidi="ar-SA"/>
              </w:rPr>
            </w:pPr>
            <w:r>
              <w:rPr>
                <w:rFonts w:hint="eastAsia" w:cs="Times New Roman"/>
                <w:sz w:val="21"/>
                <w:szCs w:val="21"/>
                <w:highlight w:val="none"/>
                <w:lang w:val="en-US" w:eastAsia="zh-CN"/>
              </w:rPr>
              <w:t>厂区面积</w:t>
            </w:r>
          </w:p>
        </w:tc>
        <w:tc>
          <w:tcPr>
            <w:tcW w:w="1036" w:type="pct"/>
            <w:vAlign w:val="center"/>
          </w:tcPr>
          <w:p>
            <w:pPr>
              <w:spacing w:line="240" w:lineRule="auto"/>
              <w:ind w:firstLine="0" w:firstLineChars="0"/>
              <w:contextualSpacing/>
              <w:jc w:val="center"/>
              <w:rPr>
                <w:rFonts w:hint="default" w:ascii="Times New Roman" w:hAnsi="Times New Roman" w:eastAsia="宋体" w:cs="Times New Roman"/>
                <w:kern w:val="2"/>
                <w:sz w:val="21"/>
                <w:szCs w:val="21"/>
                <w:highlight w:val="none"/>
                <w:lang w:val="en-US" w:eastAsia="zh-CN" w:bidi="ar-SA"/>
              </w:rPr>
            </w:pPr>
            <w:r>
              <w:rPr>
                <w:rFonts w:hint="eastAsia" w:cs="Times New Roman"/>
                <w:sz w:val="21"/>
                <w:szCs w:val="21"/>
                <w:highlight w:val="none"/>
                <w:lang w:val="en-US" w:eastAsia="zh-CN"/>
              </w:rPr>
              <w:t>28097.8㎡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trPr>
        <w:tc>
          <w:tcPr>
            <w:tcW w:w="1048" w:type="pct"/>
            <w:gridSpan w:val="2"/>
            <w:vAlign w:val="center"/>
          </w:tcPr>
          <w:p>
            <w:pPr>
              <w:pStyle w:val="29"/>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联系人</w:t>
            </w:r>
          </w:p>
        </w:tc>
        <w:tc>
          <w:tcPr>
            <w:tcW w:w="821" w:type="pct"/>
            <w:gridSpan w:val="2"/>
            <w:vAlign w:val="center"/>
          </w:tcPr>
          <w:p>
            <w:pPr>
              <w:spacing w:line="240" w:lineRule="auto"/>
              <w:ind w:firstLine="0" w:firstLineChars="0"/>
              <w:contextualSpacing/>
              <w:jc w:val="center"/>
              <w:rPr>
                <w:rFonts w:hint="default" w:ascii="Times New Roman" w:hAnsi="Times New Roman" w:eastAsia="宋体" w:cs="Times New Roman"/>
                <w:kern w:val="2"/>
                <w:sz w:val="21"/>
                <w:szCs w:val="21"/>
                <w:highlight w:val="none"/>
                <w:lang w:val="en-US" w:eastAsia="zh-CN" w:bidi="ar-SA"/>
              </w:rPr>
            </w:pPr>
            <w:r>
              <w:rPr>
                <w:rFonts w:hint="eastAsia" w:cs="Times New Roman"/>
                <w:sz w:val="21"/>
                <w:szCs w:val="21"/>
                <w:highlight w:val="none"/>
                <w:lang w:val="en-US" w:eastAsia="zh-CN"/>
              </w:rPr>
              <w:t>魏道钲</w:t>
            </w:r>
          </w:p>
        </w:tc>
        <w:tc>
          <w:tcPr>
            <w:tcW w:w="494" w:type="pct"/>
            <w:vAlign w:val="center"/>
          </w:tcPr>
          <w:p>
            <w:pPr>
              <w:spacing w:line="240" w:lineRule="auto"/>
              <w:ind w:firstLine="0" w:firstLineChars="0"/>
              <w:contextualSpacing/>
              <w:jc w:val="center"/>
              <w:rPr>
                <w:rFonts w:hint="eastAsia" w:ascii="Times New Roman" w:hAnsi="Times New Roman" w:eastAsia="宋体" w:cs="Times New Roman"/>
                <w:kern w:val="2"/>
                <w:sz w:val="21"/>
                <w:szCs w:val="21"/>
                <w:highlight w:val="none"/>
                <w:lang w:val="en-US" w:eastAsia="en-US" w:bidi="ar-SA"/>
              </w:rPr>
            </w:pPr>
            <w:r>
              <w:rPr>
                <w:rFonts w:hint="eastAsia" w:cs="Times New Roman"/>
                <w:sz w:val="21"/>
                <w:szCs w:val="21"/>
                <w:highlight w:val="none"/>
                <w:lang w:val="en-US" w:eastAsia="zh-CN"/>
              </w:rPr>
              <w:t>电话</w:t>
            </w:r>
          </w:p>
        </w:tc>
        <w:tc>
          <w:tcPr>
            <w:tcW w:w="1006" w:type="pct"/>
            <w:vAlign w:val="center"/>
          </w:tcPr>
          <w:p>
            <w:pPr>
              <w:spacing w:line="240" w:lineRule="auto"/>
              <w:ind w:firstLine="0" w:firstLineChars="0"/>
              <w:contextualSpacing/>
              <w:jc w:val="center"/>
              <w:rPr>
                <w:rFonts w:hint="default" w:ascii="Times New Roman" w:hAnsi="Times New Roman" w:eastAsia="宋体" w:cs="Times New Roman"/>
                <w:kern w:val="2"/>
                <w:sz w:val="21"/>
                <w:szCs w:val="21"/>
                <w:highlight w:val="none"/>
                <w:lang w:val="en-US" w:eastAsia="zh-CN" w:bidi="ar-SA"/>
              </w:rPr>
            </w:pPr>
            <w:r>
              <w:rPr>
                <w:rFonts w:hint="eastAsia" w:cs="Times New Roman"/>
                <w:sz w:val="21"/>
                <w:szCs w:val="21"/>
                <w:highlight w:val="none"/>
                <w:lang w:val="en-US" w:eastAsia="zh-CN"/>
              </w:rPr>
              <w:t>18579068807</w:t>
            </w:r>
          </w:p>
        </w:tc>
        <w:tc>
          <w:tcPr>
            <w:tcW w:w="592" w:type="pct"/>
            <w:gridSpan w:val="2"/>
            <w:vAlign w:val="center"/>
          </w:tcPr>
          <w:p>
            <w:pPr>
              <w:spacing w:line="240" w:lineRule="auto"/>
              <w:ind w:firstLine="0" w:firstLineChars="0"/>
              <w:contextualSpacing/>
              <w:jc w:val="center"/>
              <w:rPr>
                <w:rFonts w:hint="eastAsia" w:ascii="Times New Roman" w:hAnsi="Times New Roman" w:eastAsia="宋体" w:cs="Times New Roman"/>
                <w:kern w:val="2"/>
                <w:sz w:val="21"/>
                <w:szCs w:val="21"/>
                <w:highlight w:val="none"/>
                <w:lang w:val="en-US" w:eastAsia="en-US" w:bidi="ar-SA"/>
              </w:rPr>
            </w:pPr>
            <w:r>
              <w:rPr>
                <w:rFonts w:hint="eastAsia" w:cs="Times New Roman"/>
                <w:sz w:val="21"/>
                <w:szCs w:val="21"/>
                <w:highlight w:val="none"/>
                <w:lang w:val="en-US" w:eastAsia="zh-CN"/>
              </w:rPr>
              <w:t>电子邮箱</w:t>
            </w:r>
          </w:p>
        </w:tc>
        <w:tc>
          <w:tcPr>
            <w:tcW w:w="1036" w:type="pct"/>
            <w:vAlign w:val="center"/>
          </w:tcPr>
          <w:p>
            <w:pPr>
              <w:spacing w:line="240" w:lineRule="auto"/>
              <w:ind w:firstLine="0" w:firstLineChars="0"/>
              <w:contextualSpacing/>
              <w:jc w:val="center"/>
              <w:rPr>
                <w:rFonts w:hint="eastAsia" w:ascii="Times New Roman" w:hAnsi="Times New Roman" w:eastAsia="宋体" w:cs="Times New Roman"/>
                <w:kern w:val="2"/>
                <w:sz w:val="21"/>
                <w:szCs w:val="21"/>
                <w:highlight w:val="none"/>
                <w:lang w:val="en-US" w:eastAsia="zh-CN" w:bidi="ar-SA"/>
              </w:rPr>
            </w:pPr>
            <w:r>
              <w:rPr>
                <w:rFonts w:hint="eastAsia" w:cs="Times New Roman"/>
                <w:sz w:val="21"/>
                <w:szCs w:val="21"/>
                <w:highlight w:val="none"/>
                <w:lang w:val="en-US" w:eastAsia="zh-CN"/>
              </w:rPr>
              <w:t>376605630@qq.com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trPr>
        <w:tc>
          <w:tcPr>
            <w:tcW w:w="1048" w:type="pct"/>
            <w:gridSpan w:val="2"/>
            <w:vAlign w:val="center"/>
          </w:tcPr>
          <w:p>
            <w:pPr>
              <w:pStyle w:val="29"/>
              <w:kinsoku w:val="0"/>
              <w:overflowPunct w:val="0"/>
              <w:contextualSpacing/>
              <w:jc w:val="center"/>
              <w:rPr>
                <w:rFonts w:ascii="Times New Roman" w:hAnsi="Times New Roman" w:eastAsia="宋体" w:cs="Times New Roman"/>
                <w:sz w:val="21"/>
                <w:szCs w:val="21"/>
              </w:rPr>
            </w:pPr>
            <w:r>
              <w:rPr>
                <w:rFonts w:hint="eastAsia" w:ascii="Times New Roman" w:hAnsi="Times New Roman" w:eastAsia="宋体" w:cs="Times New Roman"/>
                <w:sz w:val="21"/>
                <w:szCs w:val="21"/>
                <w:lang w:eastAsia="zh-CN"/>
              </w:rPr>
              <w:t>从业人数</w:t>
            </w:r>
          </w:p>
        </w:tc>
        <w:tc>
          <w:tcPr>
            <w:tcW w:w="821" w:type="pct"/>
            <w:gridSpan w:val="2"/>
            <w:vAlign w:val="center"/>
          </w:tcPr>
          <w:p>
            <w:pPr>
              <w:spacing w:line="240" w:lineRule="auto"/>
              <w:ind w:firstLine="0" w:firstLineChars="0"/>
              <w:contextualSpacing/>
              <w:jc w:val="center"/>
              <w:rPr>
                <w:rFonts w:hint="default" w:ascii="Times New Roman" w:hAnsi="Times New Roman" w:eastAsia="宋体" w:cs="Times New Roman"/>
                <w:kern w:val="2"/>
                <w:sz w:val="21"/>
                <w:szCs w:val="21"/>
                <w:highlight w:val="none"/>
                <w:lang w:val="en-US" w:eastAsia="zh-CN" w:bidi="ar-SA"/>
              </w:rPr>
            </w:pPr>
            <w:r>
              <w:rPr>
                <w:rFonts w:hint="eastAsia" w:cs="Times New Roman"/>
                <w:color w:val="auto"/>
                <w:kern w:val="2"/>
                <w:sz w:val="21"/>
                <w:szCs w:val="21"/>
                <w:highlight w:val="none"/>
                <w:lang w:val="en-US" w:eastAsia="zh-CN" w:bidi="ar-SA"/>
              </w:rPr>
              <w:t>54</w:t>
            </w:r>
          </w:p>
        </w:tc>
        <w:tc>
          <w:tcPr>
            <w:tcW w:w="1501" w:type="pct"/>
            <w:gridSpan w:val="2"/>
            <w:vAlign w:val="center"/>
          </w:tcPr>
          <w:p>
            <w:pPr>
              <w:spacing w:line="240" w:lineRule="auto"/>
              <w:ind w:firstLine="0" w:firstLineChars="0"/>
              <w:contextualSpacing/>
              <w:jc w:val="center"/>
              <w:rPr>
                <w:rFonts w:hint="eastAsia" w:ascii="Times New Roman" w:hAnsi="Times New Roman" w:eastAsia="宋体" w:cs="Times New Roman"/>
                <w:kern w:val="2"/>
                <w:sz w:val="21"/>
                <w:szCs w:val="21"/>
                <w:highlight w:val="none"/>
                <w:lang w:val="en-US" w:eastAsia="zh-CN" w:bidi="ar-SA"/>
              </w:rPr>
            </w:pPr>
            <w:r>
              <w:rPr>
                <w:rFonts w:hint="eastAsia" w:cs="Times New Roman"/>
                <w:sz w:val="21"/>
                <w:szCs w:val="21"/>
                <w:highlight w:val="none"/>
                <w:lang w:val="en-US" w:eastAsia="zh-CN"/>
              </w:rPr>
              <w:t>上级公司/所属集团公司</w:t>
            </w:r>
          </w:p>
        </w:tc>
        <w:tc>
          <w:tcPr>
            <w:tcW w:w="1628" w:type="pct"/>
            <w:gridSpan w:val="3"/>
            <w:vAlign w:val="center"/>
          </w:tcPr>
          <w:p>
            <w:pPr>
              <w:spacing w:line="240" w:lineRule="auto"/>
              <w:ind w:firstLine="0" w:firstLineChars="0"/>
              <w:contextualSpacing/>
              <w:jc w:val="center"/>
              <w:rPr>
                <w:rFonts w:hint="eastAsia" w:ascii="Times New Roman" w:hAnsi="Times New Roman" w:eastAsia="宋体" w:cs="Times New Roman"/>
                <w:kern w:val="2"/>
                <w:sz w:val="21"/>
                <w:szCs w:val="21"/>
                <w:highlight w:val="none"/>
                <w:lang w:val="en-US" w:eastAsia="zh-CN" w:bidi="ar-SA"/>
              </w:rPr>
            </w:pPr>
            <w:r>
              <w:rPr>
                <w:rFonts w:hint="eastAsia" w:cs="Times New Roman"/>
                <w:sz w:val="21"/>
                <w:szCs w:val="21"/>
                <w:highlight w:val="none"/>
                <w:lang w:val="en-US" w:eastAsia="zh-CN"/>
              </w:rPr>
              <w:t>南昌市水业集团有限责任公司</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trPr>
        <w:tc>
          <w:tcPr>
            <w:tcW w:w="1048" w:type="pct"/>
            <w:gridSpan w:val="2"/>
            <w:vAlign w:val="center"/>
          </w:tcPr>
          <w:p>
            <w:pPr>
              <w:pStyle w:val="29"/>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单位地址</w:t>
            </w:r>
          </w:p>
        </w:tc>
        <w:tc>
          <w:tcPr>
            <w:tcW w:w="3951" w:type="pct"/>
            <w:gridSpan w:val="7"/>
            <w:vAlign w:val="center"/>
          </w:tcPr>
          <w:p>
            <w:pPr>
              <w:spacing w:line="240" w:lineRule="auto"/>
              <w:ind w:firstLine="0" w:firstLineChars="0"/>
              <w:contextualSpacing/>
              <w:jc w:val="center"/>
              <w:rPr>
                <w:rFonts w:hint="eastAsia" w:ascii="Times New Roman" w:hAnsi="Times New Roman" w:eastAsia="宋体" w:cs="Times New Roman"/>
                <w:kern w:val="2"/>
                <w:sz w:val="21"/>
                <w:szCs w:val="21"/>
                <w:highlight w:val="none"/>
                <w:lang w:val="en-US" w:eastAsia="zh-CN" w:bidi="ar-SA"/>
              </w:rPr>
            </w:pPr>
            <w:r>
              <w:rPr>
                <w:rFonts w:hint="eastAsia" w:cs="Times New Roman"/>
                <w:sz w:val="21"/>
                <w:szCs w:val="21"/>
                <w:highlight w:val="none"/>
                <w:lang w:val="en-US" w:eastAsia="zh-CN"/>
              </w:rPr>
              <w:t>南昌市经开区双港东大街1568号</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trPr>
        <w:tc>
          <w:tcPr>
            <w:tcW w:w="1048" w:type="pct"/>
            <w:gridSpan w:val="2"/>
            <w:vAlign w:val="center"/>
          </w:tcPr>
          <w:p>
            <w:pPr>
              <w:pStyle w:val="29"/>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所在工业园区</w:t>
            </w:r>
          </w:p>
        </w:tc>
        <w:tc>
          <w:tcPr>
            <w:tcW w:w="672" w:type="pct"/>
            <w:vAlign w:val="center"/>
          </w:tcPr>
          <w:p>
            <w:pPr>
              <w:spacing w:line="240" w:lineRule="auto"/>
              <w:ind w:firstLine="0" w:firstLineChars="0"/>
              <w:contextualSpacing/>
              <w:jc w:val="center"/>
              <w:rPr>
                <w:rFonts w:hint="eastAsia" w:ascii="Times New Roman" w:hAnsi="Times New Roman" w:eastAsia="宋体" w:cs="Times New Roman"/>
                <w:kern w:val="2"/>
                <w:sz w:val="21"/>
                <w:szCs w:val="21"/>
                <w:highlight w:val="none"/>
                <w:lang w:val="en-US" w:eastAsia="zh-CN" w:bidi="ar-SA"/>
              </w:rPr>
            </w:pPr>
            <w:r>
              <w:rPr>
                <w:rFonts w:hint="eastAsia" w:cs="Times New Roman"/>
                <w:sz w:val="21"/>
                <w:szCs w:val="21"/>
                <w:highlight w:val="none"/>
                <w:lang w:val="en-US" w:eastAsia="zh-CN"/>
              </w:rPr>
              <w:t>南昌经济技术开发区</w:t>
            </w:r>
          </w:p>
        </w:tc>
        <w:tc>
          <w:tcPr>
            <w:tcW w:w="644" w:type="pct"/>
            <w:gridSpan w:val="2"/>
            <w:vAlign w:val="center"/>
          </w:tcPr>
          <w:p>
            <w:pPr>
              <w:spacing w:line="240" w:lineRule="auto"/>
              <w:ind w:firstLine="0" w:firstLineChars="0"/>
              <w:contextualSpacing/>
              <w:jc w:val="center"/>
              <w:rPr>
                <w:rFonts w:hint="eastAsia" w:ascii="Times New Roman" w:hAnsi="Times New Roman" w:eastAsia="宋体" w:cs="Times New Roman"/>
                <w:kern w:val="2"/>
                <w:sz w:val="21"/>
                <w:szCs w:val="21"/>
                <w:highlight w:val="none"/>
                <w:lang w:val="en-US" w:eastAsia="zh-CN" w:bidi="ar-SA"/>
              </w:rPr>
            </w:pPr>
            <w:r>
              <w:rPr>
                <w:rFonts w:hint="eastAsia" w:cs="Times New Roman"/>
                <w:sz w:val="21"/>
                <w:szCs w:val="21"/>
                <w:highlight w:val="none"/>
                <w:lang w:val="en-US" w:eastAsia="zh-CN"/>
              </w:rPr>
              <w:t>地理坐标</w:t>
            </w:r>
          </w:p>
        </w:tc>
        <w:tc>
          <w:tcPr>
            <w:tcW w:w="2634" w:type="pct"/>
            <w:gridSpan w:val="4"/>
            <w:vAlign w:val="center"/>
          </w:tcPr>
          <w:p>
            <w:pPr>
              <w:spacing w:line="240" w:lineRule="auto"/>
              <w:ind w:firstLine="0" w:firstLineChars="0"/>
              <w:contextualSpacing/>
              <w:jc w:val="center"/>
              <w:rPr>
                <w:rFonts w:hint="eastAsia" w:cs="Times New Roman"/>
                <w:sz w:val="21"/>
                <w:szCs w:val="21"/>
                <w:highlight w:val="none"/>
                <w:lang w:val="en-US" w:eastAsia="zh-CN"/>
              </w:rPr>
            </w:pPr>
            <w:r>
              <w:rPr>
                <w:rFonts w:hint="eastAsia" w:cs="Times New Roman"/>
                <w:sz w:val="21"/>
                <w:szCs w:val="21"/>
                <w:highlight w:val="none"/>
                <w:lang w:val="en-US" w:eastAsia="zh-CN"/>
              </w:rPr>
              <w:t>经度：115°52′53.76″E</w:t>
            </w:r>
          </w:p>
          <w:p>
            <w:pPr>
              <w:spacing w:line="240" w:lineRule="auto"/>
              <w:ind w:firstLine="0" w:firstLineChars="0"/>
              <w:contextualSpacing/>
              <w:jc w:val="center"/>
              <w:rPr>
                <w:rFonts w:hint="eastAsia" w:ascii="Times New Roman" w:hAnsi="Times New Roman" w:eastAsia="宋体" w:cs="Times New Roman"/>
                <w:kern w:val="2"/>
                <w:sz w:val="21"/>
                <w:szCs w:val="21"/>
                <w:highlight w:val="none"/>
                <w:lang w:val="en-US" w:eastAsia="zh-CN" w:bidi="ar-SA"/>
              </w:rPr>
            </w:pPr>
            <w:r>
              <w:rPr>
                <w:rFonts w:hint="eastAsia" w:cs="Times New Roman"/>
                <w:sz w:val="21"/>
                <w:szCs w:val="21"/>
                <w:highlight w:val="none"/>
                <w:lang w:val="en-US" w:eastAsia="zh-CN"/>
              </w:rPr>
              <w:t>纬度：28°44′46.68″N</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trPr>
        <w:tc>
          <w:tcPr>
            <w:tcW w:w="1048" w:type="pct"/>
            <w:gridSpan w:val="2"/>
            <w:vAlign w:val="center"/>
          </w:tcPr>
          <w:p>
            <w:pPr>
              <w:pStyle w:val="29"/>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年运行天数（天）</w:t>
            </w:r>
          </w:p>
        </w:tc>
        <w:tc>
          <w:tcPr>
            <w:tcW w:w="672" w:type="pct"/>
            <w:vAlign w:val="center"/>
          </w:tcPr>
          <w:p>
            <w:pPr>
              <w:tabs>
                <w:tab w:val="left" w:pos="1215"/>
              </w:tabs>
              <w:spacing w:line="240" w:lineRule="auto"/>
              <w:ind w:firstLine="0" w:firstLineChars="0"/>
              <w:contextualSpacing/>
              <w:jc w:val="center"/>
              <w:rPr>
                <w:rFonts w:hint="default" w:ascii="Times New Roman" w:hAnsi="Times New Roman" w:eastAsia="宋体" w:cs="Times New Roman"/>
                <w:kern w:val="2"/>
                <w:sz w:val="21"/>
                <w:szCs w:val="21"/>
                <w:lang w:val="en-US" w:eastAsia="zh-CN" w:bidi="ar-SA"/>
              </w:rPr>
            </w:pPr>
            <w:r>
              <w:rPr>
                <w:rFonts w:hint="eastAsia" w:cs="Times New Roman"/>
                <w:sz w:val="21"/>
                <w:szCs w:val="21"/>
                <w:lang w:val="en-US" w:eastAsia="zh-CN"/>
              </w:rPr>
              <w:t>365</w:t>
            </w:r>
          </w:p>
        </w:tc>
        <w:tc>
          <w:tcPr>
            <w:tcW w:w="644" w:type="pct"/>
            <w:gridSpan w:val="2"/>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en-US" w:bidi="ar-SA"/>
              </w:rPr>
            </w:pPr>
            <w:r>
              <w:rPr>
                <w:rFonts w:ascii="Times New Roman" w:hAnsi="Times New Roman" w:eastAsia="宋体" w:cs="Times New Roman"/>
                <w:sz w:val="21"/>
                <w:szCs w:val="21"/>
              </w:rPr>
              <w:t>主要业务</w:t>
            </w:r>
          </w:p>
        </w:tc>
        <w:tc>
          <w:tcPr>
            <w:tcW w:w="2634" w:type="pct"/>
            <w:gridSpan w:val="4"/>
            <w:vAlign w:val="center"/>
          </w:tcPr>
          <w:p>
            <w:pPr>
              <w:spacing w:line="240" w:lineRule="auto"/>
              <w:ind w:firstLine="0" w:firstLineChars="0"/>
              <w:contextualSpacing/>
              <w:jc w:val="center"/>
              <w:rPr>
                <w:rFonts w:ascii="Times New Roman" w:hAnsi="Times New Roman" w:eastAsia="宋体" w:cs="Times New Roman"/>
                <w:kern w:val="2"/>
                <w:sz w:val="21"/>
                <w:szCs w:val="21"/>
                <w:lang w:val="en-US" w:eastAsia="zh-CN" w:bidi="ar-SA"/>
              </w:rPr>
            </w:pPr>
            <w:r>
              <w:rPr>
                <w:rFonts w:hint="eastAsia" w:cs="Times New Roman"/>
                <w:sz w:val="21"/>
                <w:szCs w:val="21"/>
                <w:highlight w:val="none"/>
                <w:lang w:val="en-US" w:eastAsia="zh-CN"/>
              </w:rPr>
              <w:t>生产营销饮用水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trPr>
        <w:tc>
          <w:tcPr>
            <w:tcW w:w="1048" w:type="pct"/>
            <w:gridSpan w:val="2"/>
            <w:vAlign w:val="center"/>
          </w:tcPr>
          <w:p>
            <w:pPr>
              <w:pStyle w:val="29"/>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行业类别</w:t>
            </w:r>
          </w:p>
        </w:tc>
        <w:tc>
          <w:tcPr>
            <w:tcW w:w="1316" w:type="pct"/>
            <w:gridSpan w:val="3"/>
            <w:vAlign w:val="center"/>
          </w:tcPr>
          <w:p>
            <w:pPr>
              <w:tabs>
                <w:tab w:val="left" w:pos="826"/>
              </w:tabs>
              <w:spacing w:line="240" w:lineRule="auto"/>
              <w:ind w:firstLine="0" w:firstLineChars="0"/>
              <w:contextualSpacing/>
              <w:jc w:val="center"/>
              <w:rPr>
                <w:rFonts w:hint="eastAsia" w:ascii="Times New Roman" w:hAnsi="Times New Roman" w:eastAsia="宋体" w:cs="Times New Roman"/>
                <w:kern w:val="2"/>
                <w:sz w:val="21"/>
                <w:szCs w:val="21"/>
                <w:highlight w:val="none"/>
                <w:lang w:val="en-US" w:eastAsia="zh-CN" w:bidi="ar-SA"/>
              </w:rPr>
            </w:pPr>
            <w:r>
              <w:rPr>
                <w:rFonts w:hint="eastAsia" w:cs="Times New Roman"/>
                <w:sz w:val="21"/>
                <w:szCs w:val="21"/>
                <w:lang w:val="en-US" w:eastAsia="zh-CN"/>
              </w:rPr>
              <w:t>自来水生产和供应</w:t>
            </w:r>
          </w:p>
        </w:tc>
        <w:tc>
          <w:tcPr>
            <w:tcW w:w="1006"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highlight w:val="none"/>
                <w:lang w:val="en-US" w:eastAsia="en-US" w:bidi="ar-SA"/>
              </w:rPr>
            </w:pPr>
            <w:r>
              <w:rPr>
                <w:rFonts w:ascii="Times New Roman" w:hAnsi="Times New Roman" w:eastAsia="宋体" w:cs="Times New Roman"/>
                <w:sz w:val="21"/>
                <w:szCs w:val="21"/>
                <w:highlight w:val="none"/>
              </w:rPr>
              <w:t>行业代码</w:t>
            </w:r>
          </w:p>
        </w:tc>
        <w:tc>
          <w:tcPr>
            <w:tcW w:w="1628" w:type="pct"/>
            <w:gridSpan w:val="3"/>
            <w:vAlign w:val="center"/>
          </w:tcPr>
          <w:p>
            <w:pPr>
              <w:tabs>
                <w:tab w:val="left" w:pos="889"/>
              </w:tabs>
              <w:spacing w:line="240" w:lineRule="auto"/>
              <w:ind w:firstLine="0" w:firstLineChars="0"/>
              <w:contextualSpacing/>
              <w:jc w:val="center"/>
              <w:rPr>
                <w:rFonts w:hint="default" w:ascii="Times New Roman" w:hAnsi="Times New Roman" w:eastAsia="宋体" w:cs="Times New Roman"/>
                <w:kern w:val="2"/>
                <w:sz w:val="21"/>
                <w:szCs w:val="21"/>
                <w:highlight w:val="none"/>
                <w:lang w:val="en-US" w:eastAsia="zh-CN" w:bidi="ar-SA"/>
              </w:rPr>
            </w:pPr>
            <w:r>
              <w:rPr>
                <w:rFonts w:hint="eastAsia" w:cs="Times New Roman"/>
                <w:sz w:val="21"/>
                <w:szCs w:val="21"/>
                <w:highlight w:val="none"/>
                <w:lang w:val="en-US" w:eastAsia="zh-CN"/>
              </w:rPr>
              <w:t>D4610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trPr>
        <w:tc>
          <w:tcPr>
            <w:tcW w:w="1048" w:type="pct"/>
            <w:gridSpan w:val="2"/>
            <w:vAlign w:val="center"/>
          </w:tcPr>
          <w:p>
            <w:pPr>
              <w:pStyle w:val="29"/>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登记注册类型</w:t>
            </w:r>
          </w:p>
        </w:tc>
        <w:tc>
          <w:tcPr>
            <w:tcW w:w="1316" w:type="pct"/>
            <w:gridSpan w:val="3"/>
            <w:vAlign w:val="center"/>
          </w:tcPr>
          <w:p>
            <w:pPr>
              <w:pStyle w:val="33"/>
              <w:spacing w:line="240" w:lineRule="auto"/>
              <w:ind w:left="0" w:leftChars="0" w:firstLine="0" w:firstLineChars="0"/>
              <w:contextualSpacing/>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有限责任公司(台港澳与境内合作)</w:t>
            </w:r>
          </w:p>
        </w:tc>
        <w:tc>
          <w:tcPr>
            <w:tcW w:w="1006"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en-US" w:bidi="ar-SA"/>
              </w:rPr>
            </w:pPr>
            <w:r>
              <w:rPr>
                <w:rFonts w:ascii="Times New Roman" w:hAnsi="Times New Roman" w:eastAsia="宋体" w:cs="Times New Roman"/>
                <w:sz w:val="21"/>
                <w:szCs w:val="21"/>
              </w:rPr>
              <w:t>企业规模</w:t>
            </w:r>
          </w:p>
        </w:tc>
        <w:tc>
          <w:tcPr>
            <w:tcW w:w="1628" w:type="pct"/>
            <w:gridSpan w:val="3"/>
            <w:vAlign w:val="center"/>
          </w:tcPr>
          <w:p>
            <w:pPr>
              <w:pStyle w:val="29"/>
              <w:tabs>
                <w:tab w:val="left" w:pos="1170"/>
                <w:tab w:val="left" w:pos="2154"/>
              </w:tabs>
              <w:kinsoku w:val="0"/>
              <w:overflowPunct w:val="0"/>
              <w:ind w:firstLine="0" w:firstLineChars="0"/>
              <w:contextualSpacing/>
              <w:jc w:val="center"/>
              <w:rPr>
                <w:rFonts w:ascii="Times New Roman" w:hAnsi="Times New Roman" w:eastAsia="宋体" w:cs="Times New Roman"/>
                <w:kern w:val="0"/>
                <w:sz w:val="21"/>
                <w:szCs w:val="21"/>
                <w:lang w:val="en-US" w:eastAsia="en-US" w:bidi="ar-SA"/>
              </w:rPr>
            </w:pPr>
            <w:r>
              <w:rPr>
                <w:rFonts w:ascii="Times New Roman" w:hAnsi="Times New Roman" w:eastAsia="宋体" w:cs="Times New Roman"/>
                <w:sz w:val="21"/>
                <w:szCs w:val="21"/>
              </w:rPr>
              <w:t>○大型</w:t>
            </w:r>
            <w:r>
              <w:rPr>
                <w:rFonts w:hint="eastAsia" w:ascii="Times New Roman" w:hAnsi="Times New Roman" w:eastAsia="宋体" w:cs="Times New Roman"/>
                <w:sz w:val="21"/>
                <w:szCs w:val="21"/>
                <w:lang w:eastAsia="zh-CN"/>
              </w:rPr>
              <w:t xml:space="preserve"> </w:t>
            </w:r>
            <w:r>
              <w:rPr>
                <w:rFonts w:ascii="Times New Roman" w:hAnsi="Times New Roman" w:eastAsia="宋体" w:cs="Times New Roman"/>
                <w:sz w:val="21"/>
                <w:szCs w:val="21"/>
                <w:lang w:eastAsia="zh-CN"/>
              </w:rPr>
              <w:t xml:space="preserve"> </w:t>
            </w:r>
            <w:r>
              <w:rPr>
                <w:rFonts w:hint="eastAsia" w:ascii="Times New Roman" w:hAnsi="Times New Roman" w:eastAsia="宋体" w:cs="Times New Roman"/>
                <w:sz w:val="21"/>
                <w:szCs w:val="21"/>
                <w:lang w:eastAsia="zh-CN"/>
              </w:rPr>
              <w:t xml:space="preserve"> </w:t>
            </w:r>
            <w:r>
              <w:rPr>
                <w:rFonts w:ascii="Times New Roman" w:hAnsi="Times New Roman" w:eastAsia="宋体" w:cs="Times New Roman"/>
                <w:sz w:val="21"/>
                <w:szCs w:val="21"/>
              </w:rPr>
              <w:t>○中型</w:t>
            </w:r>
            <w:r>
              <w:rPr>
                <w:rFonts w:hint="eastAsia" w:ascii="Times New Roman" w:hAnsi="Times New Roman" w:eastAsia="宋体" w:cs="Times New Roman"/>
                <w:sz w:val="21"/>
                <w:szCs w:val="21"/>
                <w:lang w:eastAsia="zh-CN"/>
              </w:rPr>
              <w:t xml:space="preserve"> </w:t>
            </w:r>
            <w:r>
              <w:rPr>
                <w:rFonts w:ascii="Times New Roman" w:hAnsi="Times New Roman" w:eastAsia="宋体" w:cs="Times New Roman"/>
                <w:sz w:val="21"/>
                <w:szCs w:val="21"/>
                <w:lang w:eastAsia="zh-CN"/>
              </w:rPr>
              <w:t xml:space="preserve"> </w:t>
            </w:r>
            <w:r>
              <w:rPr>
                <w:rFonts w:hint="eastAsia" w:ascii="Times New Roman" w:hAnsi="Times New Roman" w:eastAsia="宋体" w:cs="Times New Roman"/>
                <w:sz w:val="21"/>
                <w:szCs w:val="21"/>
                <w:lang w:eastAsia="zh-CN"/>
              </w:rPr>
              <w:t xml:space="preserve"> </w:t>
            </w:r>
            <w:r>
              <w:rPr>
                <w:rFonts w:ascii="Times New Roman" w:hAnsi="Times New Roman" w:eastAsia="宋体" w:cs="Times New Roman"/>
                <w:sz w:val="21"/>
                <w:szCs w:val="21"/>
              </w:rPr>
              <w:t>●小型</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trPr>
        <w:tc>
          <w:tcPr>
            <w:tcW w:w="1048" w:type="pct"/>
            <w:gridSpan w:val="2"/>
            <w:vAlign w:val="center"/>
          </w:tcPr>
          <w:p>
            <w:pPr>
              <w:pStyle w:val="29"/>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建厂时间</w:t>
            </w:r>
          </w:p>
        </w:tc>
        <w:tc>
          <w:tcPr>
            <w:tcW w:w="1316" w:type="pct"/>
            <w:gridSpan w:val="3"/>
            <w:vAlign w:val="center"/>
          </w:tcPr>
          <w:p>
            <w:pPr>
              <w:spacing w:line="240" w:lineRule="auto"/>
              <w:ind w:firstLine="0" w:firstLineChars="0"/>
              <w:contextualSpacing/>
              <w:jc w:val="center"/>
              <w:rPr>
                <w:rFonts w:ascii="Times New Roman" w:hAnsi="Times New Roman" w:eastAsia="宋体" w:cs="Times New Roman"/>
                <w:kern w:val="2"/>
                <w:sz w:val="21"/>
                <w:szCs w:val="21"/>
                <w:lang w:val="en-US" w:eastAsia="zh-CN" w:bidi="ar-SA"/>
              </w:rPr>
            </w:pPr>
            <w:r>
              <w:rPr>
                <w:rFonts w:hint="eastAsia" w:cs="Times New Roman"/>
                <w:sz w:val="21"/>
                <w:szCs w:val="21"/>
                <w:lang w:val="en-US" w:eastAsia="zh-CN"/>
              </w:rPr>
              <w:t>1995</w:t>
            </w:r>
            <w:r>
              <w:rPr>
                <w:rFonts w:hint="eastAsia" w:cs="Times New Roman"/>
                <w:sz w:val="21"/>
                <w:szCs w:val="21"/>
              </w:rPr>
              <w:t>年</w:t>
            </w:r>
            <w:r>
              <w:rPr>
                <w:rFonts w:hint="eastAsia" w:cs="Times New Roman"/>
                <w:sz w:val="21"/>
                <w:szCs w:val="21"/>
                <w:lang w:val="en-US" w:eastAsia="zh-CN"/>
              </w:rPr>
              <w:t>5</w:t>
            </w:r>
            <w:r>
              <w:rPr>
                <w:rFonts w:hint="eastAsia" w:cs="Times New Roman"/>
                <w:sz w:val="21"/>
                <w:szCs w:val="21"/>
              </w:rPr>
              <w:t>月</w:t>
            </w:r>
          </w:p>
        </w:tc>
        <w:tc>
          <w:tcPr>
            <w:tcW w:w="1006"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en-US" w:bidi="ar-SA"/>
              </w:rPr>
            </w:pPr>
            <w:r>
              <w:rPr>
                <w:rFonts w:ascii="Times New Roman" w:hAnsi="Times New Roman" w:eastAsia="宋体" w:cs="Times New Roman"/>
                <w:sz w:val="21"/>
                <w:szCs w:val="21"/>
              </w:rPr>
              <w:t>最新改扩建时间</w:t>
            </w:r>
          </w:p>
        </w:tc>
        <w:tc>
          <w:tcPr>
            <w:tcW w:w="1628" w:type="pct"/>
            <w:gridSpan w:val="3"/>
            <w:vAlign w:val="center"/>
          </w:tcPr>
          <w:p>
            <w:pPr>
              <w:spacing w:line="240" w:lineRule="auto"/>
              <w:ind w:firstLine="0" w:firstLineChars="0"/>
              <w:contextualSpacing/>
              <w:jc w:val="center"/>
              <w:rPr>
                <w:rFonts w:ascii="Times New Roman" w:hAnsi="Times New Roman" w:eastAsia="宋体" w:cs="Times New Roman"/>
                <w:kern w:val="2"/>
                <w:sz w:val="21"/>
                <w:szCs w:val="21"/>
                <w:lang w:val="en-US" w:eastAsia="zh-CN" w:bidi="ar-SA"/>
              </w:rPr>
            </w:pPr>
            <w:r>
              <w:rPr>
                <w:rFonts w:hint="eastAsia" w:cs="Times New Roman"/>
                <w:sz w:val="21"/>
                <w:szCs w:val="21"/>
              </w:rPr>
              <w:t>20</w:t>
            </w:r>
            <w:r>
              <w:rPr>
                <w:rFonts w:hint="eastAsia" w:cs="Times New Roman"/>
                <w:sz w:val="21"/>
                <w:szCs w:val="21"/>
                <w:lang w:val="en-US" w:eastAsia="zh-CN"/>
              </w:rPr>
              <w:t>06</w:t>
            </w:r>
            <w:r>
              <w:rPr>
                <w:rFonts w:hint="eastAsia" w:cs="Times New Roman"/>
                <w:sz w:val="21"/>
                <w:szCs w:val="21"/>
              </w:rPr>
              <w:t>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trPr>
        <w:tc>
          <w:tcPr>
            <w:tcW w:w="1048" w:type="pct"/>
            <w:gridSpan w:val="2"/>
            <w:vAlign w:val="center"/>
          </w:tcPr>
          <w:p>
            <w:pPr>
              <w:pStyle w:val="29"/>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废水排放量（吨）</w:t>
            </w:r>
          </w:p>
        </w:tc>
        <w:tc>
          <w:tcPr>
            <w:tcW w:w="1316" w:type="pct"/>
            <w:gridSpan w:val="3"/>
            <w:vAlign w:val="center"/>
          </w:tcPr>
          <w:p>
            <w:pPr>
              <w:spacing w:line="240" w:lineRule="auto"/>
              <w:ind w:firstLine="0" w:firstLineChars="0"/>
              <w:contextualSpacing/>
              <w:jc w:val="center"/>
              <w:rPr>
                <w:rFonts w:hint="default" w:ascii="Times New Roman" w:hAnsi="Times New Roman" w:eastAsia="宋体" w:cs="Times New Roman"/>
                <w:kern w:val="2"/>
                <w:sz w:val="21"/>
                <w:szCs w:val="21"/>
                <w:lang w:val="en-US" w:eastAsia="zh-CN" w:bidi="ar-SA"/>
              </w:rPr>
            </w:pPr>
            <w:r>
              <w:rPr>
                <w:rFonts w:hint="eastAsia" w:cs="Times New Roman"/>
                <w:sz w:val="21"/>
                <w:szCs w:val="21"/>
                <w:lang w:val="en-US" w:eastAsia="zh-CN"/>
              </w:rPr>
              <w:t>1227878.25</w:t>
            </w:r>
          </w:p>
        </w:tc>
        <w:tc>
          <w:tcPr>
            <w:tcW w:w="1006" w:type="pct"/>
            <w:vAlign w:val="center"/>
          </w:tcPr>
          <w:p>
            <w:pPr>
              <w:pStyle w:val="29"/>
              <w:kinsoku w:val="0"/>
              <w:overflowPunct w:val="0"/>
              <w:ind w:firstLine="0" w:firstLineChars="0"/>
              <w:contextualSpacing/>
              <w:jc w:val="center"/>
              <w:rPr>
                <w:rFonts w:ascii="Times New Roman" w:hAnsi="Times New Roman" w:eastAsia="宋体" w:cs="Times New Roman"/>
                <w:kern w:val="0"/>
                <w:sz w:val="21"/>
                <w:szCs w:val="21"/>
                <w:lang w:val="en-US" w:eastAsia="en-US" w:bidi="ar-SA"/>
              </w:rPr>
            </w:pPr>
            <w:r>
              <w:rPr>
                <w:rFonts w:ascii="Times New Roman" w:hAnsi="Times New Roman" w:eastAsia="宋体" w:cs="Times New Roman"/>
                <w:sz w:val="21"/>
                <w:szCs w:val="21"/>
              </w:rPr>
              <w:t>废水排放去向</w:t>
            </w:r>
          </w:p>
        </w:tc>
        <w:tc>
          <w:tcPr>
            <w:tcW w:w="1628" w:type="pct"/>
            <w:gridSpan w:val="3"/>
            <w:vAlign w:val="center"/>
          </w:tcPr>
          <w:p>
            <w:pPr>
              <w:spacing w:line="240" w:lineRule="auto"/>
              <w:ind w:firstLine="0" w:firstLineChars="0"/>
              <w:contextualSpacing/>
              <w:jc w:val="center"/>
              <w:rPr>
                <w:rFonts w:ascii="Times New Roman" w:hAnsi="Times New Roman" w:eastAsia="宋体" w:cs="Times New Roman"/>
                <w:kern w:val="2"/>
                <w:sz w:val="21"/>
                <w:szCs w:val="21"/>
                <w:lang w:val="en-US" w:eastAsia="zh-CN" w:bidi="ar-SA"/>
              </w:rPr>
            </w:pPr>
            <w:r>
              <w:rPr>
                <w:rFonts w:hint="eastAsia" w:cs="Times New Roman"/>
                <w:sz w:val="21"/>
                <w:szCs w:val="21"/>
                <w:lang w:val="en-US" w:eastAsia="zh-CN"/>
              </w:rPr>
              <w:t>2190t/a生活污水、18.25t/a检验室废水经开区白水湖污水处理厂处理，尾水排入赣江。798t/d沉淀池排泥水、2560t/d滤池的反冲洗废水直排赣江</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trPr>
        <w:tc>
          <w:tcPr>
            <w:tcW w:w="1048" w:type="pct"/>
            <w:gridSpan w:val="2"/>
            <w:vAlign w:val="center"/>
          </w:tcPr>
          <w:p>
            <w:pPr>
              <w:pStyle w:val="29"/>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环境事故发生情况</w:t>
            </w:r>
          </w:p>
        </w:tc>
        <w:tc>
          <w:tcPr>
            <w:tcW w:w="3951" w:type="pct"/>
            <w:gridSpan w:val="7"/>
            <w:vAlign w:val="center"/>
          </w:tcPr>
          <w:p>
            <w:pPr>
              <w:pStyle w:val="29"/>
              <w:tabs>
                <w:tab w:val="left" w:pos="1074"/>
                <w:tab w:val="left" w:pos="4170"/>
                <w:tab w:val="left" w:pos="5850"/>
              </w:tabs>
              <w:kinsoku w:val="0"/>
              <w:overflowPunct w:val="0"/>
              <w:contextualSpacing/>
              <w:rPr>
                <w:rFonts w:ascii="Times New Roman" w:hAnsi="Times New Roman" w:eastAsia="宋体" w:cs="Times New Roman"/>
                <w:sz w:val="21"/>
                <w:szCs w:val="21"/>
                <w:lang w:eastAsia="zh-CN"/>
              </w:rPr>
            </w:pPr>
            <w:r>
              <w:rPr>
                <w:rFonts w:ascii="宋体" w:hAnsi="宋体" w:cs="Wingdings"/>
                <w:b/>
              </w:rPr>
              <w:fldChar w:fldCharType="begin"/>
            </w:r>
            <w:r>
              <w:rPr>
                <w:rFonts w:ascii="宋体" w:hAnsi="宋体" w:cs="Wingdings"/>
                <w:b/>
                <w:lang w:eastAsia="zh-CN"/>
              </w:rPr>
              <w:instrText xml:space="preserve"> </w:instrText>
            </w:r>
            <w:r>
              <w:rPr>
                <w:rFonts w:hint="eastAsia" w:ascii="宋体" w:hAnsi="宋体" w:cs="Wingdings"/>
                <w:b/>
                <w:lang w:eastAsia="zh-CN"/>
              </w:rPr>
              <w:instrText xml:space="preserve">eq \o\ac(□,</w:instrText>
            </w:r>
            <w:r>
              <w:rPr>
                <w:rFonts w:hint="eastAsia" w:ascii="宋体" w:hAnsi="宋体" w:cs="Wingdings"/>
                <w:b/>
                <w:sz w:val="16"/>
                <w:lang w:eastAsia="zh-CN"/>
              </w:rPr>
              <w:instrText xml:space="preserve">√</w:instrText>
            </w:r>
            <w:r>
              <w:rPr>
                <w:rFonts w:hint="eastAsia" w:ascii="宋体" w:hAnsi="宋体" w:cs="Wingdings"/>
                <w:b/>
                <w:lang w:eastAsia="zh-CN"/>
              </w:rPr>
              <w:instrText xml:space="preserve">)</w:instrText>
            </w:r>
            <w:r>
              <w:rPr>
                <w:rFonts w:ascii="宋体" w:hAnsi="宋体" w:cs="Wingdings"/>
                <w:b/>
              </w:rPr>
              <w:fldChar w:fldCharType="end"/>
            </w:r>
            <w:r>
              <w:rPr>
                <w:rFonts w:ascii="Times New Roman" w:hAnsi="Times New Roman" w:eastAsia="宋体" w:cs="Times New Roman"/>
                <w:sz w:val="21"/>
                <w:szCs w:val="21"/>
                <w:lang w:eastAsia="zh-CN"/>
              </w:rPr>
              <w:t>无</w:t>
            </w:r>
            <w:r>
              <w:rPr>
                <w:rFonts w:hint="eastAsia" w:ascii="Times New Roman" w:hAnsi="Times New Roman" w:eastAsia="宋体" w:cs="Times New Roman"/>
                <w:sz w:val="21"/>
                <w:szCs w:val="21"/>
                <w:lang w:eastAsia="zh-CN"/>
              </w:rPr>
              <w:t xml:space="preserve"> </w:t>
            </w:r>
            <w:r>
              <w:rPr>
                <w:rFonts w:ascii="Times New Roman" w:hAnsi="Times New Roman" w:eastAsia="宋体" w:cs="Times New Roman"/>
                <w:sz w:val="21"/>
                <w:szCs w:val="21"/>
                <w:lang w:eastAsia="zh-CN"/>
              </w:rPr>
              <w:t xml:space="preserve">   </w:t>
            </w:r>
            <w:r>
              <w:rPr>
                <w:rFonts w:ascii="Wingdings" w:hAnsi="Wingdings" w:eastAsia="仿宋" w:cs="Wingdings"/>
                <w:lang w:eastAsia="zh-CN"/>
              </w:rPr>
              <w:t></w:t>
            </w:r>
            <w:r>
              <w:rPr>
                <w:rFonts w:ascii="Times New Roman" w:hAnsi="Times New Roman" w:eastAsia="宋体" w:cs="Times New Roman"/>
                <w:sz w:val="21"/>
                <w:szCs w:val="21"/>
                <w:lang w:eastAsia="zh-CN"/>
              </w:rPr>
              <w:t>有，其中火灾次数：</w:t>
            </w:r>
            <w:r>
              <w:rPr>
                <w:rFonts w:hint="eastAsia" w:ascii="Times New Roman" w:hAnsi="Times New Roman" w:eastAsia="宋体" w:cs="Times New Roman"/>
                <w:sz w:val="21"/>
                <w:szCs w:val="21"/>
                <w:lang w:eastAsia="zh-CN"/>
              </w:rPr>
              <w:t xml:space="preserve"> </w:t>
            </w:r>
            <w:r>
              <w:rPr>
                <w:rFonts w:ascii="Times New Roman" w:hAnsi="Times New Roman" w:eastAsia="宋体" w:cs="Times New Roman"/>
                <w:sz w:val="21"/>
                <w:szCs w:val="21"/>
                <w:lang w:eastAsia="zh-CN"/>
              </w:rPr>
              <w:t xml:space="preserve">    爆炸次数：</w:t>
            </w:r>
            <w:r>
              <w:rPr>
                <w:rFonts w:hint="eastAsia" w:ascii="Times New Roman" w:hAnsi="Times New Roman" w:eastAsia="宋体" w:cs="Times New Roman"/>
                <w:sz w:val="21"/>
                <w:szCs w:val="21"/>
                <w:lang w:eastAsia="zh-CN"/>
              </w:rPr>
              <w:t xml:space="preserve"> </w:t>
            </w:r>
            <w:r>
              <w:rPr>
                <w:rFonts w:ascii="Times New Roman" w:hAnsi="Times New Roman" w:eastAsia="宋体" w:cs="Times New Roman"/>
                <w:sz w:val="21"/>
                <w:szCs w:val="21"/>
                <w:lang w:eastAsia="zh-CN"/>
              </w:rPr>
              <w:t xml:space="preserve">    泄漏次数：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trPr>
        <w:tc>
          <w:tcPr>
            <w:tcW w:w="486" w:type="pct"/>
            <w:vMerge w:val="restart"/>
            <w:vAlign w:val="center"/>
          </w:tcPr>
          <w:p>
            <w:pPr>
              <w:pStyle w:val="29"/>
              <w:kinsoku w:val="0"/>
              <w:overflowPunct w:val="0"/>
              <w:contextualSpacing/>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近三年突发环境事件发生情</w:t>
            </w:r>
          </w:p>
        </w:tc>
        <w:tc>
          <w:tcPr>
            <w:tcW w:w="561" w:type="pct"/>
            <w:vAlign w:val="center"/>
          </w:tcPr>
          <w:p>
            <w:pPr>
              <w:pStyle w:val="29"/>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发生时间</w:t>
            </w:r>
          </w:p>
        </w:tc>
        <w:tc>
          <w:tcPr>
            <w:tcW w:w="672" w:type="pct"/>
            <w:vAlign w:val="center"/>
          </w:tcPr>
          <w:p>
            <w:pPr>
              <w:pStyle w:val="29"/>
              <w:kinsoku w:val="0"/>
              <w:overflowPunct w:val="0"/>
              <w:contextualSpacing/>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事故维持时间（小时）</w:t>
            </w:r>
          </w:p>
        </w:tc>
        <w:tc>
          <w:tcPr>
            <w:tcW w:w="644" w:type="pct"/>
            <w:gridSpan w:val="2"/>
            <w:vAlign w:val="center"/>
          </w:tcPr>
          <w:p>
            <w:pPr>
              <w:pStyle w:val="29"/>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发生工段</w:t>
            </w:r>
          </w:p>
        </w:tc>
        <w:tc>
          <w:tcPr>
            <w:tcW w:w="1553" w:type="pct"/>
            <w:gridSpan w:val="2"/>
            <w:vAlign w:val="center"/>
          </w:tcPr>
          <w:p>
            <w:pPr>
              <w:pStyle w:val="29"/>
              <w:kinsoku w:val="0"/>
              <w:overflowPunct w:val="0"/>
              <w:contextualSpacing/>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事件描述（损失、伤亡、影响范围、处置措施、整改措施）</w:t>
            </w:r>
          </w:p>
        </w:tc>
        <w:tc>
          <w:tcPr>
            <w:tcW w:w="1081" w:type="pct"/>
            <w:gridSpan w:val="2"/>
            <w:vAlign w:val="center"/>
          </w:tcPr>
          <w:p>
            <w:pPr>
              <w:pStyle w:val="29"/>
              <w:kinsoku w:val="0"/>
              <w:overflowPunct w:val="0"/>
              <w:contextualSpacing/>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原因及经验教训</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trPr>
        <w:tc>
          <w:tcPr>
            <w:tcW w:w="486" w:type="pct"/>
            <w:vMerge w:val="continue"/>
            <w:vAlign w:val="center"/>
          </w:tcPr>
          <w:p>
            <w:pPr>
              <w:pStyle w:val="29"/>
              <w:kinsoku w:val="0"/>
              <w:overflowPunct w:val="0"/>
              <w:contextualSpacing/>
              <w:jc w:val="center"/>
              <w:rPr>
                <w:rFonts w:ascii="Times New Roman" w:hAnsi="Times New Roman" w:eastAsia="宋体" w:cs="Times New Roman"/>
                <w:sz w:val="21"/>
                <w:szCs w:val="21"/>
                <w:lang w:eastAsia="zh-CN"/>
              </w:rPr>
            </w:pPr>
          </w:p>
        </w:tc>
        <w:tc>
          <w:tcPr>
            <w:tcW w:w="561" w:type="pct"/>
            <w:vAlign w:val="center"/>
          </w:tcPr>
          <w:p>
            <w:pPr>
              <w:spacing w:line="240" w:lineRule="auto"/>
              <w:ind w:firstLine="0" w:firstLineChars="0"/>
              <w:contextualSpacing/>
              <w:jc w:val="center"/>
              <w:rPr>
                <w:rFonts w:cs="Times New Roman"/>
                <w:sz w:val="21"/>
                <w:szCs w:val="21"/>
              </w:rPr>
            </w:pPr>
            <w:r>
              <w:rPr>
                <w:rFonts w:hint="eastAsia" w:cs="Times New Roman"/>
                <w:sz w:val="21"/>
                <w:szCs w:val="21"/>
              </w:rPr>
              <w:t>无</w:t>
            </w:r>
          </w:p>
        </w:tc>
        <w:tc>
          <w:tcPr>
            <w:tcW w:w="672" w:type="pct"/>
            <w:vAlign w:val="center"/>
          </w:tcPr>
          <w:p>
            <w:pPr>
              <w:spacing w:line="240" w:lineRule="auto"/>
              <w:ind w:firstLine="0" w:firstLineChars="0"/>
              <w:contextualSpacing/>
              <w:jc w:val="center"/>
              <w:rPr>
                <w:rFonts w:cs="Times New Roman"/>
                <w:sz w:val="21"/>
                <w:szCs w:val="21"/>
              </w:rPr>
            </w:pPr>
            <w:r>
              <w:rPr>
                <w:rFonts w:hint="eastAsia" w:cs="Times New Roman"/>
                <w:sz w:val="21"/>
                <w:szCs w:val="21"/>
              </w:rPr>
              <w:t>无</w:t>
            </w:r>
          </w:p>
        </w:tc>
        <w:tc>
          <w:tcPr>
            <w:tcW w:w="644" w:type="pct"/>
            <w:gridSpan w:val="2"/>
            <w:vAlign w:val="center"/>
          </w:tcPr>
          <w:p>
            <w:pPr>
              <w:spacing w:line="240" w:lineRule="auto"/>
              <w:ind w:firstLine="0" w:firstLineChars="0"/>
              <w:contextualSpacing/>
              <w:jc w:val="center"/>
              <w:rPr>
                <w:rFonts w:cs="Times New Roman"/>
                <w:sz w:val="21"/>
                <w:szCs w:val="21"/>
              </w:rPr>
            </w:pPr>
            <w:r>
              <w:rPr>
                <w:rFonts w:hint="eastAsia" w:cs="Times New Roman"/>
                <w:sz w:val="21"/>
                <w:szCs w:val="21"/>
              </w:rPr>
              <w:t>无</w:t>
            </w:r>
          </w:p>
        </w:tc>
        <w:tc>
          <w:tcPr>
            <w:tcW w:w="1553" w:type="pct"/>
            <w:gridSpan w:val="2"/>
            <w:vAlign w:val="center"/>
          </w:tcPr>
          <w:p>
            <w:pPr>
              <w:spacing w:line="240" w:lineRule="auto"/>
              <w:ind w:firstLine="420"/>
              <w:contextualSpacing/>
              <w:jc w:val="center"/>
              <w:rPr>
                <w:rFonts w:cs="Times New Roman"/>
                <w:sz w:val="21"/>
                <w:szCs w:val="21"/>
              </w:rPr>
            </w:pPr>
            <w:r>
              <w:rPr>
                <w:rFonts w:hint="eastAsia" w:cs="Times New Roman"/>
                <w:sz w:val="21"/>
                <w:szCs w:val="21"/>
              </w:rPr>
              <w:t>无</w:t>
            </w:r>
          </w:p>
        </w:tc>
        <w:tc>
          <w:tcPr>
            <w:tcW w:w="1081" w:type="pct"/>
            <w:gridSpan w:val="2"/>
            <w:vAlign w:val="center"/>
          </w:tcPr>
          <w:p>
            <w:pPr>
              <w:spacing w:line="240" w:lineRule="auto"/>
              <w:ind w:firstLine="0" w:firstLineChars="0"/>
              <w:contextualSpacing/>
              <w:jc w:val="center"/>
              <w:rPr>
                <w:rFonts w:cs="Times New Roman"/>
                <w:sz w:val="21"/>
                <w:szCs w:val="21"/>
              </w:rPr>
            </w:pPr>
            <w:r>
              <w:rPr>
                <w:rFonts w:hint="eastAsia" w:cs="Times New Roman"/>
                <w:sz w:val="21"/>
                <w:szCs w:val="21"/>
              </w:rPr>
              <w:t>无</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425" w:hRule="atLeast"/>
        </w:trPr>
        <w:tc>
          <w:tcPr>
            <w:tcW w:w="1048" w:type="pct"/>
            <w:gridSpan w:val="2"/>
            <w:vMerge w:val="restart"/>
            <w:vAlign w:val="center"/>
          </w:tcPr>
          <w:p>
            <w:pPr>
              <w:pStyle w:val="29"/>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日常管理情况</w:t>
            </w:r>
          </w:p>
        </w:tc>
        <w:tc>
          <w:tcPr>
            <w:tcW w:w="2870" w:type="pct"/>
            <w:gridSpan w:val="5"/>
            <w:vAlign w:val="center"/>
          </w:tcPr>
          <w:p>
            <w:pPr>
              <w:pStyle w:val="29"/>
              <w:kinsoku w:val="0"/>
              <w:overflowPunct w:val="0"/>
              <w:contextualSpacing/>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是否已编制环境应急预案</w:t>
            </w:r>
          </w:p>
        </w:tc>
        <w:tc>
          <w:tcPr>
            <w:tcW w:w="1081" w:type="pct"/>
            <w:gridSpan w:val="2"/>
            <w:vAlign w:val="center"/>
          </w:tcPr>
          <w:p>
            <w:pPr>
              <w:pStyle w:val="29"/>
              <w:tabs>
                <w:tab w:val="left" w:pos="1021"/>
              </w:tabs>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●是     ○否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trPr>
        <w:tc>
          <w:tcPr>
            <w:tcW w:w="1048" w:type="pct"/>
            <w:gridSpan w:val="2"/>
            <w:vMerge w:val="continue"/>
            <w:vAlign w:val="center"/>
          </w:tcPr>
          <w:p>
            <w:pPr>
              <w:pStyle w:val="29"/>
              <w:tabs>
                <w:tab w:val="left" w:pos="1021"/>
              </w:tabs>
              <w:kinsoku w:val="0"/>
              <w:overflowPunct w:val="0"/>
              <w:contextualSpacing/>
              <w:jc w:val="center"/>
              <w:rPr>
                <w:rFonts w:ascii="Times New Roman" w:hAnsi="Times New Roman" w:eastAsia="宋体" w:cs="Times New Roman"/>
                <w:sz w:val="21"/>
                <w:szCs w:val="21"/>
              </w:rPr>
            </w:pPr>
          </w:p>
        </w:tc>
        <w:tc>
          <w:tcPr>
            <w:tcW w:w="2870" w:type="pct"/>
            <w:gridSpan w:val="5"/>
            <w:vAlign w:val="center"/>
          </w:tcPr>
          <w:p>
            <w:pPr>
              <w:pStyle w:val="29"/>
              <w:kinsoku w:val="0"/>
              <w:overflowPunct w:val="0"/>
              <w:contextualSpacing/>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旧装置（2007年前）环评中是否编制环境风险评价专篇</w:t>
            </w:r>
          </w:p>
        </w:tc>
        <w:tc>
          <w:tcPr>
            <w:tcW w:w="1081" w:type="pct"/>
            <w:gridSpan w:val="2"/>
            <w:vAlign w:val="center"/>
          </w:tcPr>
          <w:p>
            <w:pPr>
              <w:pStyle w:val="29"/>
              <w:tabs>
                <w:tab w:val="left" w:pos="1021"/>
              </w:tabs>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○是     ●否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trPr>
        <w:tc>
          <w:tcPr>
            <w:tcW w:w="1048" w:type="pct"/>
            <w:gridSpan w:val="2"/>
            <w:vMerge w:val="continue"/>
            <w:vAlign w:val="center"/>
          </w:tcPr>
          <w:p>
            <w:pPr>
              <w:pStyle w:val="29"/>
              <w:tabs>
                <w:tab w:val="left" w:pos="1021"/>
              </w:tabs>
              <w:kinsoku w:val="0"/>
              <w:overflowPunct w:val="0"/>
              <w:contextualSpacing/>
              <w:jc w:val="center"/>
              <w:rPr>
                <w:rFonts w:ascii="Times New Roman" w:hAnsi="Times New Roman" w:eastAsia="宋体" w:cs="Times New Roman"/>
                <w:sz w:val="21"/>
                <w:szCs w:val="21"/>
              </w:rPr>
            </w:pPr>
          </w:p>
        </w:tc>
        <w:tc>
          <w:tcPr>
            <w:tcW w:w="2870" w:type="pct"/>
            <w:gridSpan w:val="5"/>
            <w:vAlign w:val="center"/>
          </w:tcPr>
          <w:p>
            <w:pPr>
              <w:pStyle w:val="29"/>
              <w:kinsoku w:val="0"/>
              <w:overflowPunct w:val="0"/>
              <w:contextualSpacing/>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新装置（2007年后）环评中是否编制环境风险评价专篇</w:t>
            </w:r>
          </w:p>
        </w:tc>
        <w:tc>
          <w:tcPr>
            <w:tcW w:w="1081" w:type="pct"/>
            <w:gridSpan w:val="2"/>
            <w:vAlign w:val="center"/>
          </w:tcPr>
          <w:p>
            <w:pPr>
              <w:pStyle w:val="29"/>
              <w:tabs>
                <w:tab w:val="left" w:pos="1021"/>
              </w:tabs>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○是     ●否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trPr>
        <w:tc>
          <w:tcPr>
            <w:tcW w:w="1048" w:type="pct"/>
            <w:gridSpan w:val="2"/>
            <w:vMerge w:val="continue"/>
            <w:vAlign w:val="center"/>
          </w:tcPr>
          <w:p>
            <w:pPr>
              <w:pStyle w:val="29"/>
              <w:tabs>
                <w:tab w:val="left" w:pos="1021"/>
              </w:tabs>
              <w:kinsoku w:val="0"/>
              <w:overflowPunct w:val="0"/>
              <w:contextualSpacing/>
              <w:jc w:val="center"/>
              <w:rPr>
                <w:rFonts w:ascii="Times New Roman" w:hAnsi="Times New Roman" w:eastAsia="宋体" w:cs="Times New Roman"/>
                <w:sz w:val="21"/>
                <w:szCs w:val="21"/>
              </w:rPr>
            </w:pPr>
          </w:p>
        </w:tc>
        <w:tc>
          <w:tcPr>
            <w:tcW w:w="2870" w:type="pct"/>
            <w:gridSpan w:val="5"/>
            <w:vAlign w:val="center"/>
          </w:tcPr>
          <w:p>
            <w:pPr>
              <w:pStyle w:val="29"/>
              <w:kinsoku w:val="0"/>
              <w:overflowPunct w:val="0"/>
              <w:contextualSpacing/>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年环境安全培训次数（次/年）</w:t>
            </w:r>
          </w:p>
        </w:tc>
        <w:tc>
          <w:tcPr>
            <w:tcW w:w="1081" w:type="pct"/>
            <w:gridSpan w:val="2"/>
            <w:vAlign w:val="center"/>
          </w:tcPr>
          <w:p>
            <w:pPr>
              <w:spacing w:line="240" w:lineRule="auto"/>
              <w:ind w:firstLine="0" w:firstLineChars="0"/>
              <w:contextualSpacing/>
              <w:jc w:val="center"/>
              <w:rPr>
                <w:rFonts w:cs="Times New Roman"/>
                <w:sz w:val="21"/>
                <w:szCs w:val="21"/>
              </w:rPr>
            </w:pPr>
            <w:r>
              <w:rPr>
                <w:rFonts w:cs="Times New Roman"/>
                <w:sz w:val="21"/>
                <w:szCs w:val="21"/>
              </w:rPr>
              <w:t>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425" w:hRule="atLeast"/>
        </w:trPr>
        <w:tc>
          <w:tcPr>
            <w:tcW w:w="1048" w:type="pct"/>
            <w:gridSpan w:val="2"/>
            <w:vMerge w:val="continue"/>
            <w:vAlign w:val="center"/>
          </w:tcPr>
          <w:p>
            <w:pPr>
              <w:spacing w:line="240" w:lineRule="auto"/>
              <w:ind w:firstLine="0" w:firstLineChars="0"/>
              <w:contextualSpacing/>
              <w:jc w:val="center"/>
              <w:rPr>
                <w:rFonts w:cs="Times New Roman"/>
                <w:sz w:val="21"/>
                <w:szCs w:val="21"/>
              </w:rPr>
            </w:pPr>
          </w:p>
        </w:tc>
        <w:tc>
          <w:tcPr>
            <w:tcW w:w="2870" w:type="pct"/>
            <w:gridSpan w:val="5"/>
            <w:vAlign w:val="center"/>
          </w:tcPr>
          <w:p>
            <w:pPr>
              <w:pStyle w:val="29"/>
              <w:kinsoku w:val="0"/>
              <w:overflowPunct w:val="0"/>
              <w:contextualSpacing/>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年环境应急演练次数（次/年）</w:t>
            </w:r>
          </w:p>
        </w:tc>
        <w:tc>
          <w:tcPr>
            <w:tcW w:w="1081" w:type="pct"/>
            <w:gridSpan w:val="2"/>
            <w:vAlign w:val="center"/>
          </w:tcPr>
          <w:p>
            <w:pPr>
              <w:spacing w:line="240" w:lineRule="auto"/>
              <w:ind w:firstLine="0" w:firstLineChars="0"/>
              <w:contextualSpacing/>
              <w:jc w:val="center"/>
              <w:rPr>
                <w:rFonts w:cs="Times New Roman"/>
                <w:sz w:val="21"/>
                <w:szCs w:val="21"/>
              </w:rPr>
            </w:pPr>
            <w:r>
              <w:rPr>
                <w:rFonts w:cs="Times New Roman"/>
                <w:sz w:val="21"/>
                <w:szCs w:val="21"/>
              </w:rPr>
              <w:t>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trPr>
        <w:tc>
          <w:tcPr>
            <w:tcW w:w="1048" w:type="pct"/>
            <w:gridSpan w:val="2"/>
            <w:vMerge w:val="continue"/>
            <w:vAlign w:val="center"/>
          </w:tcPr>
          <w:p>
            <w:pPr>
              <w:spacing w:line="240" w:lineRule="auto"/>
              <w:ind w:firstLine="0" w:firstLineChars="0"/>
              <w:contextualSpacing/>
              <w:jc w:val="center"/>
              <w:rPr>
                <w:rFonts w:cs="Times New Roman"/>
                <w:sz w:val="21"/>
                <w:szCs w:val="21"/>
              </w:rPr>
            </w:pPr>
          </w:p>
        </w:tc>
        <w:tc>
          <w:tcPr>
            <w:tcW w:w="2870" w:type="pct"/>
            <w:gridSpan w:val="5"/>
            <w:vAlign w:val="center"/>
          </w:tcPr>
          <w:p>
            <w:pPr>
              <w:pStyle w:val="29"/>
              <w:kinsoku w:val="0"/>
              <w:overflowPunct w:val="0"/>
              <w:contextualSpacing/>
              <w:jc w:val="center"/>
              <w:rPr>
                <w:rFonts w:ascii="Times New Roman" w:hAnsi="Times New Roman" w:eastAsia="宋体" w:cs="Times New Roman"/>
                <w:sz w:val="21"/>
                <w:szCs w:val="21"/>
              </w:rPr>
            </w:pPr>
            <w:r>
              <w:rPr>
                <w:rFonts w:ascii="Times New Roman" w:hAnsi="Times New Roman" w:eastAsia="宋体" w:cs="Times New Roman"/>
                <w:sz w:val="21"/>
                <w:szCs w:val="21"/>
              </w:rPr>
              <w:t>年检修次数（次/年）</w:t>
            </w:r>
          </w:p>
        </w:tc>
        <w:tc>
          <w:tcPr>
            <w:tcW w:w="1081" w:type="pct"/>
            <w:gridSpan w:val="2"/>
            <w:vAlign w:val="center"/>
          </w:tcPr>
          <w:p>
            <w:pPr>
              <w:spacing w:line="240" w:lineRule="auto"/>
              <w:ind w:firstLine="0" w:firstLineChars="0"/>
              <w:contextualSpacing/>
              <w:jc w:val="center"/>
              <w:rPr>
                <w:rFonts w:hint="eastAsia" w:eastAsia="宋体" w:cs="Times New Roman"/>
                <w:sz w:val="21"/>
                <w:szCs w:val="21"/>
                <w:lang w:eastAsia="zh-CN"/>
              </w:rPr>
            </w:pPr>
            <w:r>
              <w:rPr>
                <w:rFonts w:hint="eastAsia" w:cs="Times New Roman"/>
                <w:sz w:val="21"/>
                <w:szCs w:val="21"/>
                <w:lang w:val="en-US" w:eastAsia="zh-CN"/>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trPr>
        <w:tc>
          <w:tcPr>
            <w:tcW w:w="1048" w:type="pct"/>
            <w:gridSpan w:val="2"/>
            <w:vMerge w:val="continue"/>
            <w:vAlign w:val="center"/>
          </w:tcPr>
          <w:p>
            <w:pPr>
              <w:spacing w:line="240" w:lineRule="auto"/>
              <w:ind w:firstLine="0" w:firstLineChars="0"/>
              <w:contextualSpacing/>
              <w:jc w:val="center"/>
              <w:rPr>
                <w:rFonts w:cs="Times New Roman"/>
                <w:sz w:val="21"/>
                <w:szCs w:val="21"/>
              </w:rPr>
            </w:pPr>
          </w:p>
        </w:tc>
        <w:tc>
          <w:tcPr>
            <w:tcW w:w="2870" w:type="pct"/>
            <w:gridSpan w:val="5"/>
            <w:vAlign w:val="center"/>
          </w:tcPr>
          <w:p>
            <w:pPr>
              <w:pStyle w:val="29"/>
              <w:kinsoku w:val="0"/>
              <w:overflowPunct w:val="0"/>
              <w:contextualSpacing/>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单次检修时间（小时）</w:t>
            </w:r>
          </w:p>
        </w:tc>
        <w:tc>
          <w:tcPr>
            <w:tcW w:w="1081" w:type="pct"/>
            <w:gridSpan w:val="2"/>
            <w:vAlign w:val="center"/>
          </w:tcPr>
          <w:p>
            <w:pPr>
              <w:spacing w:line="240" w:lineRule="auto"/>
              <w:ind w:firstLine="0" w:firstLineChars="0"/>
              <w:contextualSpacing/>
              <w:jc w:val="center"/>
              <w:rPr>
                <w:rFonts w:hint="eastAsia" w:eastAsia="宋体" w:cs="Times New Roman"/>
                <w:sz w:val="21"/>
                <w:szCs w:val="21"/>
                <w:lang w:eastAsia="zh-CN"/>
              </w:rPr>
            </w:pPr>
            <w:r>
              <w:rPr>
                <w:rFonts w:hint="eastAsia" w:cs="Times New Roman"/>
                <w:sz w:val="21"/>
                <w:szCs w:val="21"/>
                <w:lang w:val="en-US" w:eastAsia="zh-CN"/>
              </w:rPr>
              <w:t>0</w:t>
            </w:r>
          </w:p>
        </w:tc>
      </w:tr>
    </w:tbl>
    <w:p>
      <w:pPr>
        <w:pStyle w:val="6"/>
        <w:numPr>
          <w:ilvl w:val="2"/>
          <w:numId w:val="0"/>
        </w:numPr>
        <w:bidi w:val="0"/>
        <w:ind w:leftChars="0"/>
      </w:pPr>
      <w:r>
        <w:rPr>
          <w:rFonts w:hint="eastAsia"/>
          <w:lang w:val="en-US" w:eastAsia="zh-CN"/>
        </w:rPr>
        <w:t>3.1.2</w:t>
      </w:r>
      <w:r>
        <w:rPr>
          <w:rFonts w:hint="eastAsia"/>
        </w:rPr>
        <w:t>主要产品方案</w:t>
      </w:r>
    </w:p>
    <w:p>
      <w:pPr>
        <w:ind w:firstLine="560"/>
        <w:rPr>
          <w:color w:val="000000" w:themeColor="text1"/>
          <w14:textFill>
            <w14:solidFill>
              <w14:schemeClr w14:val="tx1"/>
            </w14:solidFill>
          </w14:textFill>
        </w:rPr>
      </w:pPr>
      <w:r>
        <w:rPr>
          <w:rFonts w:hint="eastAsia"/>
          <w:color w:val="000000" w:themeColor="text1"/>
          <w14:textFill>
            <w14:solidFill>
              <w14:schemeClr w14:val="tx1"/>
            </w14:solidFill>
          </w14:textFill>
        </w:rPr>
        <w:t>本公司</w:t>
      </w:r>
      <w:r>
        <w:rPr>
          <w:rFonts w:hint="eastAsia"/>
          <w:sz w:val="28"/>
        </w:rPr>
        <w:t>日供水量</w:t>
      </w:r>
      <w:r>
        <w:rPr>
          <w:rFonts w:hint="eastAsia"/>
          <w:sz w:val="28"/>
          <w:lang w:val="en-US" w:eastAsia="zh-CN"/>
        </w:rPr>
        <w:t>10</w:t>
      </w:r>
      <w:r>
        <w:rPr>
          <w:rFonts w:hint="eastAsia"/>
          <w:sz w:val="28"/>
        </w:rPr>
        <w:t>万立方米</w:t>
      </w:r>
    </w:p>
    <w:p>
      <w:pPr>
        <w:pStyle w:val="6"/>
        <w:numPr>
          <w:ilvl w:val="2"/>
          <w:numId w:val="0"/>
        </w:numPr>
        <w:bidi w:val="0"/>
        <w:ind w:leftChars="0"/>
      </w:pPr>
      <w:r>
        <w:rPr>
          <w:rFonts w:hint="eastAsia"/>
          <w:lang w:val="en-US" w:eastAsia="zh-CN"/>
        </w:rPr>
        <w:t>3.1.3</w:t>
      </w:r>
      <w:r>
        <w:rPr>
          <w:rFonts w:hint="eastAsia"/>
        </w:rPr>
        <w:t>建设内容</w:t>
      </w:r>
    </w:p>
    <w:p>
      <w:pPr>
        <w:ind w:firstLine="560"/>
        <w:rPr>
          <w:rFonts w:hint="eastAsia"/>
        </w:rPr>
      </w:pPr>
      <w:r>
        <w:rPr>
          <w:rFonts w:hint="eastAsia"/>
          <w:lang w:val="en-US" w:eastAsia="zh-CN"/>
        </w:rPr>
        <w:t>双港供水有限公司水厂位于南昌双港东大街 1568 号，赣江西支流江边，加药间位置在水厂东面。城北水厂大门朝坐南朝北，进入厂门，西面是双港营业所办公区。生产区位于水厂中间， 办公楼位于水厂北面，从大门西向东为仓库、检修车间、生产区（平流池、滤池等）、加药间、次氯酸钠间、办公楼（中控室）、送水泵房。</w:t>
      </w:r>
      <w:r>
        <w:rPr>
          <w:rFonts w:hint="eastAsia"/>
        </w:rPr>
        <w:t>具体布置详见附图2。</w:t>
      </w:r>
    </w:p>
    <w:p>
      <w:pPr>
        <w:pStyle w:val="6"/>
        <w:numPr>
          <w:ilvl w:val="2"/>
          <w:numId w:val="0"/>
        </w:numPr>
        <w:bidi w:val="0"/>
        <w:ind w:leftChars="0"/>
      </w:pPr>
      <w:r>
        <w:rPr>
          <w:rFonts w:hint="eastAsia"/>
          <w:lang w:val="en-US" w:eastAsia="zh-CN"/>
        </w:rPr>
        <w:t>3.1.4</w:t>
      </w:r>
      <w:r>
        <w:rPr>
          <w:rFonts w:hint="eastAsia"/>
        </w:rPr>
        <w:t>自然环境概况</w:t>
      </w:r>
    </w:p>
    <w:p>
      <w:pPr>
        <w:ind w:firstLine="560"/>
      </w:pPr>
      <w:r>
        <w:rPr>
          <w:rFonts w:hint="eastAsia"/>
        </w:rPr>
        <w:t>1、气象、气候</w:t>
      </w:r>
    </w:p>
    <w:p>
      <w:pPr>
        <w:ind w:firstLine="560"/>
      </w:pPr>
      <w:r>
        <w:rPr>
          <w:rFonts w:hint="eastAsia"/>
        </w:rPr>
        <w:t>南昌市地处亚热带季风湿润气候区，气候温暖，雨量充沛，阳光充足，四季分明。春季平均气温16.8℃；雨季主要在4～6月份，雨量占年总雨量的48%，暴雨天气及洪涝灾害大多出现在雨季；夏季，天气炎热，平均气温27.9℃；秋季晴多雨少，平均气温19.1℃；冬季多风雪天气，平均气温6.7℃。年平均气温17.6℃，年平均降水量1627mm。年平均风速为1.5m/s，年最大风日数为129天，年主导风向为北风，夏季盛行西南风，冬季主导风向是东北风。</w:t>
      </w:r>
    </w:p>
    <w:p>
      <w:pPr>
        <w:ind w:firstLine="560"/>
      </w:pPr>
      <w:r>
        <w:rPr>
          <w:rFonts w:hint="eastAsia"/>
        </w:rPr>
        <w:t>根据南昌气象台近几年地面风资料，统计出该地全年及四季的风向频率及月平均风速，并绘制成风玫瑰图（</w:t>
      </w:r>
      <w:r>
        <w:fldChar w:fldCharType="begin"/>
      </w:r>
      <w:r>
        <w:instrText xml:space="preserve"> </w:instrText>
      </w:r>
      <w:r>
        <w:rPr>
          <w:rFonts w:hint="eastAsia"/>
        </w:rPr>
        <w:instrText xml:space="preserve">REF _Ref526600179 \h</w:instrText>
      </w:r>
      <w:r>
        <w:instrText xml:space="preserve"> </w:instrText>
      </w:r>
      <w:r>
        <w:fldChar w:fldCharType="separate"/>
      </w:r>
      <w:r>
        <w:rPr>
          <w:rFonts w:hint="eastAsia"/>
        </w:rPr>
        <w:t xml:space="preserve">图 </w:t>
      </w:r>
      <w:r>
        <w:t>3</w:t>
      </w:r>
      <w:r>
        <w:noBreakHyphen/>
      </w:r>
      <w:r>
        <w:t>2</w:t>
      </w:r>
      <w:r>
        <w:fldChar w:fldCharType="end"/>
      </w:r>
      <w:r>
        <w:rPr>
          <w:rFonts w:hint="eastAsia"/>
        </w:rPr>
        <w:t>）和月平均风速图（</w:t>
      </w:r>
      <w:r>
        <w:fldChar w:fldCharType="begin"/>
      </w:r>
      <w:r>
        <w:instrText xml:space="preserve"> </w:instrText>
      </w:r>
      <w:r>
        <w:rPr>
          <w:rFonts w:hint="eastAsia"/>
        </w:rPr>
        <w:instrText xml:space="preserve">REF _Ref526600176 \h</w:instrText>
      </w:r>
      <w:r>
        <w:instrText xml:space="preserve"> </w:instrText>
      </w:r>
      <w:r>
        <w:fldChar w:fldCharType="separate"/>
      </w:r>
      <w:r>
        <w:rPr>
          <w:rFonts w:hint="eastAsia"/>
        </w:rPr>
        <w:t xml:space="preserve">图 </w:t>
      </w:r>
      <w:r>
        <w:t>3</w:t>
      </w:r>
      <w:r>
        <w:noBreakHyphen/>
      </w:r>
      <w:r>
        <w:t>1</w:t>
      </w:r>
      <w:r>
        <w:fldChar w:fldCharType="end"/>
      </w:r>
      <w:r>
        <w:rPr>
          <w:rFonts w:hint="eastAsia"/>
        </w:rPr>
        <w:t>）。</w:t>
      </w:r>
    </w:p>
    <w:p>
      <w:pPr>
        <w:ind w:firstLine="560"/>
      </w:pPr>
      <w:r>
        <w:rPr>
          <w:rFonts w:hint="eastAsia"/>
        </w:rPr>
        <w:t>①风向</w:t>
      </w:r>
    </w:p>
    <w:p>
      <w:pPr>
        <w:ind w:firstLine="560"/>
      </w:pPr>
      <w:r>
        <w:rPr>
          <w:rFonts w:hint="eastAsia"/>
        </w:rPr>
        <w:t>由风玫瑰图可见，项目所在地全年主导风为N(北)风，出现频率为17.3%，其次为NE(东北)风，出现频率为13.7%，最小频率的风向出现在SSE(东南偏南)，出现频率为0.5%，全年静风出现频率为24.6%。</w:t>
      </w:r>
    </w:p>
    <w:p>
      <w:pPr>
        <w:ind w:firstLine="560"/>
      </w:pPr>
      <w:r>
        <w:rPr>
          <w:rFonts w:hint="eastAsia"/>
        </w:rPr>
        <w:t>春、秋、冬三季均以N（北）风为主导风向，值分别为15.3%、23.7%、21.3%；夏季以SW（西南）风为主导风向，出现频率为14.5％。春、秋、冬三季均以SSE（东南偏南）风向出现频率最小，出现频率分别为0.4%、0.1%、0.1%；夏季以WNW（西北偏西）风向出现频率最小，出现频率分别为0.3%；春、夏、秋、冬四季静风出现频率分别为25.5%、24.6%、22.2%、25.9%。</w:t>
      </w:r>
    </w:p>
    <w:p>
      <w:pPr>
        <w:ind w:firstLine="560"/>
      </w:pPr>
      <w:r>
        <w:rPr>
          <w:rFonts w:hint="eastAsia"/>
        </w:rPr>
        <w:t>②风速</w:t>
      </w:r>
    </w:p>
    <w:p>
      <w:pPr>
        <w:ind w:firstLine="560"/>
      </w:pPr>
      <w:r>
        <w:rPr>
          <w:rFonts w:hint="eastAsia"/>
        </w:rPr>
        <w:t>项目所在地年平均风速为1.5m/s。春、夏、秋、冬四季平均风速值分别为1.4m/s，1.4m/s、1.7m/s、1.5m/s。从年各月平均风速曲线图2-2来看，各月平均风速在1.42～1.92m/s之间，9月平均风速最大，为1.92m/s，6月平均风速最小，为1.42m/s。各风向平均风速值详见</w:t>
      </w:r>
      <w:r>
        <w:fldChar w:fldCharType="begin"/>
      </w:r>
      <w:r>
        <w:instrText xml:space="preserve"> </w:instrText>
      </w:r>
      <w:r>
        <w:rPr>
          <w:rFonts w:hint="eastAsia"/>
        </w:rPr>
        <w:instrText xml:space="preserve">REF _Ref526600066 \h</w:instrText>
      </w:r>
      <w:r>
        <w:instrText xml:space="preserve"> </w:instrText>
      </w:r>
      <w:r>
        <w:fldChar w:fldCharType="separate"/>
      </w:r>
      <w:r>
        <w:rPr>
          <w:rFonts w:hint="eastAsia"/>
        </w:rPr>
        <w:t xml:space="preserve">表 </w:t>
      </w:r>
      <w:r>
        <w:t>3</w:t>
      </w:r>
      <w:r>
        <w:noBreakHyphen/>
      </w:r>
      <w:r>
        <w:t>3</w:t>
      </w:r>
      <w:r>
        <w:fldChar w:fldCharType="end"/>
      </w:r>
      <w:r>
        <w:rPr>
          <w:rFonts w:hint="eastAsia"/>
        </w:rPr>
        <w:t>。</w:t>
      </w:r>
    </w:p>
    <w:p>
      <w:pPr>
        <w:pStyle w:val="8"/>
        <w:keepNext/>
      </w:pPr>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3</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3</w:t>
      </w:r>
      <w:r>
        <w:fldChar w:fldCharType="end"/>
      </w:r>
      <w:r>
        <w:rPr>
          <w:rFonts w:hint="eastAsia"/>
        </w:rPr>
        <w:t>全年及各季各风向下平均风速（m/s）</w:t>
      </w:r>
    </w:p>
    <w:tbl>
      <w:tblPr>
        <w:tblStyle w:val="15"/>
        <w:tblW w:w="5000" w:type="pct"/>
        <w:tblInd w:w="0" w:type="dxa"/>
        <w:tblLayout w:type="autofit"/>
        <w:tblCellMar>
          <w:top w:w="0" w:type="dxa"/>
          <w:left w:w="108" w:type="dxa"/>
          <w:bottom w:w="0" w:type="dxa"/>
          <w:right w:w="108" w:type="dxa"/>
        </w:tblCellMar>
      </w:tblPr>
      <w:tblGrid>
        <w:gridCol w:w="2009"/>
        <w:gridCol w:w="1467"/>
        <w:gridCol w:w="1467"/>
        <w:gridCol w:w="1467"/>
        <w:gridCol w:w="1468"/>
        <w:gridCol w:w="1466"/>
      </w:tblGrid>
      <w:tr>
        <w:tblPrEx>
          <w:tblCellMar>
            <w:top w:w="0" w:type="dxa"/>
            <w:left w:w="108" w:type="dxa"/>
            <w:bottom w:w="0" w:type="dxa"/>
            <w:right w:w="108" w:type="dxa"/>
          </w:tblCellMar>
        </w:tblPrEx>
        <w:trPr>
          <w:trHeight w:val="425" w:hRule="atLeast"/>
        </w:trPr>
        <w:tc>
          <w:tcPr>
            <w:tcW w:w="1075" w:type="pct"/>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widowControl/>
              <w:spacing w:line="240" w:lineRule="auto"/>
              <w:ind w:firstLine="0" w:firstLineChars="0"/>
              <w:jc w:val="center"/>
              <w:rPr>
                <w:rFonts w:ascii="宋体" w:hAnsi="宋体" w:cs="Times New Roman"/>
                <w:b/>
                <w:bCs/>
                <w:color w:val="000000"/>
                <w:kern w:val="0"/>
                <w:sz w:val="21"/>
                <w:szCs w:val="21"/>
              </w:rPr>
            </w:pPr>
            <w:r>
              <w:rPr>
                <w:rFonts w:hint="eastAsia" w:ascii="宋体" w:hAnsi="宋体" w:cs="Times New Roman"/>
                <w:b/>
                <w:bCs/>
                <w:color w:val="000000"/>
                <w:kern w:val="0"/>
                <w:sz w:val="21"/>
                <w:szCs w:val="21"/>
              </w:rPr>
              <w:t>季节</w:t>
            </w:r>
          </w:p>
          <w:p>
            <w:pPr>
              <w:widowControl/>
              <w:spacing w:line="240" w:lineRule="auto"/>
              <w:ind w:firstLine="0" w:firstLineChars="0"/>
              <w:jc w:val="left"/>
              <w:rPr>
                <w:rFonts w:eastAsia="等线" w:cs="Times New Roman"/>
                <w:b/>
                <w:bCs/>
                <w:color w:val="000000"/>
                <w:kern w:val="0"/>
                <w:sz w:val="21"/>
                <w:szCs w:val="21"/>
              </w:rPr>
            </w:pPr>
            <w:r>
              <w:rPr>
                <w:rFonts w:hint="eastAsia" w:ascii="宋体" w:hAnsi="宋体" w:cs="Times New Roman"/>
                <w:b/>
                <w:bCs/>
                <w:color w:val="000000"/>
                <w:kern w:val="0"/>
                <w:sz w:val="21"/>
                <w:szCs w:val="21"/>
              </w:rPr>
              <w:t>风向</w:t>
            </w:r>
          </w:p>
        </w:tc>
        <w:tc>
          <w:tcPr>
            <w:tcW w:w="785"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cs="宋体"/>
                <w:b/>
                <w:bCs/>
                <w:color w:val="000000"/>
                <w:kern w:val="0"/>
                <w:sz w:val="21"/>
                <w:szCs w:val="21"/>
              </w:rPr>
            </w:pPr>
            <w:r>
              <w:rPr>
                <w:rFonts w:hint="eastAsia" w:ascii="宋体" w:hAnsi="宋体" w:cs="宋体"/>
                <w:b/>
                <w:bCs/>
                <w:color w:val="000000"/>
                <w:kern w:val="0"/>
                <w:sz w:val="21"/>
                <w:szCs w:val="21"/>
              </w:rPr>
              <w:t>春</w:t>
            </w:r>
          </w:p>
        </w:tc>
        <w:tc>
          <w:tcPr>
            <w:tcW w:w="785"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cs="宋体"/>
                <w:b/>
                <w:bCs/>
                <w:color w:val="000000"/>
                <w:kern w:val="0"/>
                <w:sz w:val="21"/>
                <w:szCs w:val="21"/>
              </w:rPr>
            </w:pPr>
            <w:r>
              <w:rPr>
                <w:rFonts w:hint="eastAsia" w:ascii="宋体" w:hAnsi="宋体" w:cs="宋体"/>
                <w:b/>
                <w:bCs/>
                <w:color w:val="000000"/>
                <w:kern w:val="0"/>
                <w:sz w:val="21"/>
                <w:szCs w:val="21"/>
              </w:rPr>
              <w:t>夏</w:t>
            </w:r>
          </w:p>
        </w:tc>
        <w:tc>
          <w:tcPr>
            <w:tcW w:w="785"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cs="宋体"/>
                <w:b/>
                <w:bCs/>
                <w:color w:val="000000"/>
                <w:kern w:val="0"/>
                <w:sz w:val="21"/>
                <w:szCs w:val="21"/>
              </w:rPr>
            </w:pPr>
            <w:r>
              <w:rPr>
                <w:rFonts w:hint="eastAsia" w:ascii="宋体" w:hAnsi="宋体" w:cs="宋体"/>
                <w:b/>
                <w:bCs/>
                <w:color w:val="000000"/>
                <w:kern w:val="0"/>
                <w:sz w:val="21"/>
                <w:szCs w:val="21"/>
              </w:rPr>
              <w:t>秋</w:t>
            </w:r>
          </w:p>
        </w:tc>
        <w:tc>
          <w:tcPr>
            <w:tcW w:w="785"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cs="宋体"/>
                <w:b/>
                <w:bCs/>
                <w:color w:val="000000"/>
                <w:kern w:val="0"/>
                <w:sz w:val="21"/>
                <w:szCs w:val="21"/>
              </w:rPr>
            </w:pPr>
            <w:r>
              <w:rPr>
                <w:rFonts w:hint="eastAsia" w:ascii="宋体" w:hAnsi="宋体" w:cs="宋体"/>
                <w:b/>
                <w:bCs/>
                <w:color w:val="000000"/>
                <w:kern w:val="0"/>
                <w:sz w:val="21"/>
                <w:szCs w:val="21"/>
              </w:rPr>
              <w:t>冬</w:t>
            </w:r>
          </w:p>
        </w:tc>
        <w:tc>
          <w:tcPr>
            <w:tcW w:w="784"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cs="宋体"/>
                <w:b/>
                <w:bCs/>
                <w:color w:val="000000"/>
                <w:kern w:val="0"/>
                <w:sz w:val="21"/>
                <w:szCs w:val="21"/>
              </w:rPr>
            </w:pPr>
            <w:r>
              <w:rPr>
                <w:rFonts w:hint="eastAsia" w:ascii="宋体" w:hAnsi="宋体" w:cs="宋体"/>
                <w:b/>
                <w:bCs/>
                <w:color w:val="000000"/>
                <w:kern w:val="0"/>
                <w:sz w:val="21"/>
                <w:szCs w:val="21"/>
              </w:rPr>
              <w:t>全年</w:t>
            </w:r>
          </w:p>
        </w:tc>
      </w:tr>
      <w:tr>
        <w:tblPrEx>
          <w:tblCellMar>
            <w:top w:w="0" w:type="dxa"/>
            <w:left w:w="108" w:type="dxa"/>
            <w:bottom w:w="0" w:type="dxa"/>
            <w:right w:w="108" w:type="dxa"/>
          </w:tblCellMar>
        </w:tblPrEx>
        <w:trPr>
          <w:trHeight w:val="425" w:hRule="atLeast"/>
        </w:trPr>
        <w:tc>
          <w:tcPr>
            <w:tcW w:w="1075"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N</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2.4</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2.4</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2.3</w:t>
            </w:r>
          </w:p>
        </w:tc>
        <w:tc>
          <w:tcPr>
            <w:tcW w:w="7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2.3</w:t>
            </w:r>
          </w:p>
        </w:tc>
      </w:tr>
      <w:tr>
        <w:tblPrEx>
          <w:tblCellMar>
            <w:top w:w="0" w:type="dxa"/>
            <w:left w:w="108" w:type="dxa"/>
            <w:bottom w:w="0" w:type="dxa"/>
            <w:right w:w="108" w:type="dxa"/>
          </w:tblCellMar>
        </w:tblPrEx>
        <w:trPr>
          <w:trHeight w:val="425" w:hRule="atLeast"/>
        </w:trPr>
        <w:tc>
          <w:tcPr>
            <w:tcW w:w="1075"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NNE</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2.5</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2.4</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2.4</w:t>
            </w:r>
          </w:p>
        </w:tc>
        <w:tc>
          <w:tcPr>
            <w:tcW w:w="7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2.4</w:t>
            </w:r>
          </w:p>
        </w:tc>
      </w:tr>
      <w:tr>
        <w:tblPrEx>
          <w:tblCellMar>
            <w:top w:w="0" w:type="dxa"/>
            <w:left w:w="108" w:type="dxa"/>
            <w:bottom w:w="0" w:type="dxa"/>
            <w:right w:w="108" w:type="dxa"/>
          </w:tblCellMar>
        </w:tblPrEx>
        <w:trPr>
          <w:trHeight w:val="425" w:hRule="atLeast"/>
        </w:trPr>
        <w:tc>
          <w:tcPr>
            <w:tcW w:w="1075"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NE</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1.8</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1.8</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1.9</w:t>
            </w:r>
          </w:p>
        </w:tc>
        <w:tc>
          <w:tcPr>
            <w:tcW w:w="7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1.9</w:t>
            </w:r>
          </w:p>
        </w:tc>
      </w:tr>
      <w:tr>
        <w:tblPrEx>
          <w:tblCellMar>
            <w:top w:w="0" w:type="dxa"/>
            <w:left w:w="108" w:type="dxa"/>
            <w:bottom w:w="0" w:type="dxa"/>
            <w:right w:w="108" w:type="dxa"/>
          </w:tblCellMar>
        </w:tblPrEx>
        <w:trPr>
          <w:trHeight w:val="425" w:hRule="atLeast"/>
        </w:trPr>
        <w:tc>
          <w:tcPr>
            <w:tcW w:w="1075"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ENE</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1.7</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1.9</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1.8</w:t>
            </w:r>
          </w:p>
        </w:tc>
        <w:tc>
          <w:tcPr>
            <w:tcW w:w="7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1.9</w:t>
            </w:r>
          </w:p>
        </w:tc>
      </w:tr>
      <w:tr>
        <w:tblPrEx>
          <w:tblCellMar>
            <w:top w:w="0" w:type="dxa"/>
            <w:left w:w="108" w:type="dxa"/>
            <w:bottom w:w="0" w:type="dxa"/>
            <w:right w:w="108" w:type="dxa"/>
          </w:tblCellMar>
        </w:tblPrEx>
        <w:trPr>
          <w:trHeight w:val="425" w:hRule="atLeast"/>
        </w:trPr>
        <w:tc>
          <w:tcPr>
            <w:tcW w:w="1075"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E</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1.6</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1.7</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1.6</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1.4</w:t>
            </w:r>
          </w:p>
        </w:tc>
        <w:tc>
          <w:tcPr>
            <w:tcW w:w="7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1.6</w:t>
            </w:r>
          </w:p>
        </w:tc>
      </w:tr>
      <w:tr>
        <w:tblPrEx>
          <w:tblCellMar>
            <w:top w:w="0" w:type="dxa"/>
            <w:left w:w="108" w:type="dxa"/>
            <w:bottom w:w="0" w:type="dxa"/>
            <w:right w:w="108" w:type="dxa"/>
          </w:tblCellMar>
        </w:tblPrEx>
        <w:trPr>
          <w:trHeight w:val="425" w:hRule="atLeast"/>
        </w:trPr>
        <w:tc>
          <w:tcPr>
            <w:tcW w:w="1075"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ESE</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1.9</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1.7</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1.6</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1.5</w:t>
            </w:r>
          </w:p>
        </w:tc>
        <w:tc>
          <w:tcPr>
            <w:tcW w:w="7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1.8</w:t>
            </w:r>
          </w:p>
        </w:tc>
      </w:tr>
      <w:tr>
        <w:tblPrEx>
          <w:tblCellMar>
            <w:top w:w="0" w:type="dxa"/>
            <w:left w:w="108" w:type="dxa"/>
            <w:bottom w:w="0" w:type="dxa"/>
            <w:right w:w="108" w:type="dxa"/>
          </w:tblCellMar>
        </w:tblPrEx>
        <w:trPr>
          <w:trHeight w:val="425" w:hRule="atLeast"/>
        </w:trPr>
        <w:tc>
          <w:tcPr>
            <w:tcW w:w="1075"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SE</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1.3</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1.6</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1.4</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1.3</w:t>
            </w:r>
          </w:p>
        </w:tc>
        <w:tc>
          <w:tcPr>
            <w:tcW w:w="7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1.5</w:t>
            </w:r>
          </w:p>
        </w:tc>
      </w:tr>
      <w:tr>
        <w:tblPrEx>
          <w:tblCellMar>
            <w:top w:w="0" w:type="dxa"/>
            <w:left w:w="108" w:type="dxa"/>
            <w:bottom w:w="0" w:type="dxa"/>
            <w:right w:w="108" w:type="dxa"/>
          </w:tblCellMar>
        </w:tblPrEx>
        <w:trPr>
          <w:trHeight w:val="425" w:hRule="atLeast"/>
        </w:trPr>
        <w:tc>
          <w:tcPr>
            <w:tcW w:w="1075"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SSE</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1.4</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1.7</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2.5</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w:t>
            </w:r>
          </w:p>
        </w:tc>
        <w:tc>
          <w:tcPr>
            <w:tcW w:w="7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1.6</w:t>
            </w:r>
          </w:p>
        </w:tc>
      </w:tr>
      <w:tr>
        <w:tblPrEx>
          <w:tblCellMar>
            <w:top w:w="0" w:type="dxa"/>
            <w:left w:w="108" w:type="dxa"/>
            <w:bottom w:w="0" w:type="dxa"/>
            <w:right w:w="108" w:type="dxa"/>
          </w:tblCellMar>
        </w:tblPrEx>
        <w:trPr>
          <w:trHeight w:val="425" w:hRule="atLeast"/>
        </w:trPr>
        <w:tc>
          <w:tcPr>
            <w:tcW w:w="1075"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S</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1.8</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1.6</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1.8</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1.2</w:t>
            </w:r>
          </w:p>
        </w:tc>
        <w:tc>
          <w:tcPr>
            <w:tcW w:w="7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1.6</w:t>
            </w:r>
          </w:p>
        </w:tc>
      </w:tr>
      <w:tr>
        <w:tblPrEx>
          <w:tblCellMar>
            <w:top w:w="0" w:type="dxa"/>
            <w:left w:w="108" w:type="dxa"/>
            <w:bottom w:w="0" w:type="dxa"/>
            <w:right w:w="108" w:type="dxa"/>
          </w:tblCellMar>
        </w:tblPrEx>
        <w:trPr>
          <w:trHeight w:val="425" w:hRule="atLeast"/>
        </w:trPr>
        <w:tc>
          <w:tcPr>
            <w:tcW w:w="1075"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SSW</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1.8</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2.4</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1.2</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1.7</w:t>
            </w:r>
          </w:p>
        </w:tc>
        <w:tc>
          <w:tcPr>
            <w:tcW w:w="7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2.1</w:t>
            </w:r>
          </w:p>
        </w:tc>
      </w:tr>
      <w:tr>
        <w:tblPrEx>
          <w:tblCellMar>
            <w:top w:w="0" w:type="dxa"/>
            <w:left w:w="108" w:type="dxa"/>
            <w:bottom w:w="0" w:type="dxa"/>
            <w:right w:w="108" w:type="dxa"/>
          </w:tblCellMar>
        </w:tblPrEx>
        <w:trPr>
          <w:trHeight w:val="425" w:hRule="atLeast"/>
        </w:trPr>
        <w:tc>
          <w:tcPr>
            <w:tcW w:w="1075"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SW</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2.1</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2.3</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1.8</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1.6</w:t>
            </w:r>
          </w:p>
        </w:tc>
        <w:tc>
          <w:tcPr>
            <w:tcW w:w="7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2.1</w:t>
            </w:r>
          </w:p>
        </w:tc>
      </w:tr>
      <w:tr>
        <w:tblPrEx>
          <w:tblCellMar>
            <w:top w:w="0" w:type="dxa"/>
            <w:left w:w="108" w:type="dxa"/>
            <w:bottom w:w="0" w:type="dxa"/>
            <w:right w:w="108" w:type="dxa"/>
          </w:tblCellMar>
        </w:tblPrEx>
        <w:trPr>
          <w:trHeight w:val="425" w:hRule="atLeast"/>
        </w:trPr>
        <w:tc>
          <w:tcPr>
            <w:tcW w:w="1075"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WSW</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2.1</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2.4</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1.5</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1.7</w:t>
            </w:r>
          </w:p>
        </w:tc>
        <w:tc>
          <w:tcPr>
            <w:tcW w:w="7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w:t>
            </w:r>
          </w:p>
        </w:tc>
      </w:tr>
      <w:tr>
        <w:tblPrEx>
          <w:tblCellMar>
            <w:top w:w="0" w:type="dxa"/>
            <w:left w:w="108" w:type="dxa"/>
            <w:bottom w:w="0" w:type="dxa"/>
            <w:right w:w="108" w:type="dxa"/>
          </w:tblCellMar>
        </w:tblPrEx>
        <w:trPr>
          <w:trHeight w:val="425" w:hRule="atLeast"/>
        </w:trPr>
        <w:tc>
          <w:tcPr>
            <w:tcW w:w="1075"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W</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1.4</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1.3</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1.3</w:t>
            </w:r>
          </w:p>
        </w:tc>
        <w:tc>
          <w:tcPr>
            <w:tcW w:w="7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1.6</w:t>
            </w:r>
          </w:p>
        </w:tc>
      </w:tr>
      <w:tr>
        <w:tblPrEx>
          <w:tblCellMar>
            <w:top w:w="0" w:type="dxa"/>
            <w:left w:w="108" w:type="dxa"/>
            <w:bottom w:w="0" w:type="dxa"/>
            <w:right w:w="108" w:type="dxa"/>
          </w:tblCellMar>
        </w:tblPrEx>
        <w:trPr>
          <w:trHeight w:val="425" w:hRule="atLeast"/>
        </w:trPr>
        <w:tc>
          <w:tcPr>
            <w:tcW w:w="1075"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WNW</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1.3</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2.2</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1.7</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1.8</w:t>
            </w:r>
          </w:p>
        </w:tc>
        <w:tc>
          <w:tcPr>
            <w:tcW w:w="7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1.7</w:t>
            </w:r>
          </w:p>
        </w:tc>
      </w:tr>
      <w:tr>
        <w:tblPrEx>
          <w:tblCellMar>
            <w:top w:w="0" w:type="dxa"/>
            <w:left w:w="108" w:type="dxa"/>
            <w:bottom w:w="0" w:type="dxa"/>
            <w:right w:w="108" w:type="dxa"/>
          </w:tblCellMar>
        </w:tblPrEx>
        <w:trPr>
          <w:trHeight w:val="425" w:hRule="atLeast"/>
        </w:trPr>
        <w:tc>
          <w:tcPr>
            <w:tcW w:w="1075"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NW</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1.8</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1.5</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2.2</w:t>
            </w:r>
          </w:p>
        </w:tc>
        <w:tc>
          <w:tcPr>
            <w:tcW w:w="7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1.9</w:t>
            </w:r>
          </w:p>
        </w:tc>
      </w:tr>
      <w:tr>
        <w:tblPrEx>
          <w:tblCellMar>
            <w:top w:w="0" w:type="dxa"/>
            <w:left w:w="108" w:type="dxa"/>
            <w:bottom w:w="0" w:type="dxa"/>
            <w:right w:w="108" w:type="dxa"/>
          </w:tblCellMar>
        </w:tblPrEx>
        <w:trPr>
          <w:trHeight w:val="425" w:hRule="atLeast"/>
        </w:trPr>
        <w:tc>
          <w:tcPr>
            <w:tcW w:w="1075"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NNW</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2.2</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2.3</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2.5</w:t>
            </w:r>
          </w:p>
        </w:tc>
        <w:tc>
          <w:tcPr>
            <w:tcW w:w="78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2.3</w:t>
            </w:r>
          </w:p>
        </w:tc>
        <w:tc>
          <w:tcPr>
            <w:tcW w:w="7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2.4</w:t>
            </w:r>
          </w:p>
        </w:tc>
      </w:tr>
    </w:tbl>
    <w:p>
      <w:pPr>
        <w:keepNext/>
        <w:ind w:firstLine="0" w:firstLineChars="0"/>
        <w:jc w:val="center"/>
      </w:pPr>
      <w:r>
        <w:drawing>
          <wp:inline distT="0" distB="0" distL="0" distR="0">
            <wp:extent cx="5772150" cy="211455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830755" cy="2135835"/>
                    </a:xfrm>
                    <a:prstGeom prst="rect">
                      <a:avLst/>
                    </a:prstGeom>
                    <a:noFill/>
                  </pic:spPr>
                </pic:pic>
              </a:graphicData>
            </a:graphic>
          </wp:inline>
        </w:drawing>
      </w:r>
    </w:p>
    <w:p>
      <w:pPr>
        <w:pStyle w:val="8"/>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3</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1</w:t>
      </w:r>
      <w:r>
        <w:fldChar w:fldCharType="end"/>
      </w:r>
      <w:r>
        <w:rPr>
          <w:rFonts w:hint="eastAsia"/>
        </w:rPr>
        <w:t>南昌市年月均风速曲线图</w:t>
      </w:r>
    </w:p>
    <w:p>
      <w:pPr>
        <w:keepNext/>
        <w:ind w:firstLine="0" w:firstLineChars="0"/>
        <w:jc w:val="center"/>
      </w:pPr>
      <w:r>
        <w:drawing>
          <wp:inline distT="0" distB="0" distL="0" distR="0">
            <wp:extent cx="5852160" cy="7771765"/>
            <wp:effectExtent l="0" t="0" r="15240" b="63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867183" cy="7791930"/>
                    </a:xfrm>
                    <a:prstGeom prst="rect">
                      <a:avLst/>
                    </a:prstGeom>
                    <a:noFill/>
                  </pic:spPr>
                </pic:pic>
              </a:graphicData>
            </a:graphic>
          </wp:inline>
        </w:drawing>
      </w:r>
    </w:p>
    <w:p>
      <w:pPr>
        <w:pStyle w:val="8"/>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3</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2</w:t>
      </w:r>
      <w:r>
        <w:fldChar w:fldCharType="end"/>
      </w:r>
      <w:r>
        <w:rPr>
          <w:rFonts w:hint="eastAsia"/>
        </w:rPr>
        <w:t>南昌市风向玫瑰图</w:t>
      </w:r>
    </w:p>
    <w:p>
      <w:pPr>
        <w:widowControl/>
        <w:spacing w:line="240" w:lineRule="auto"/>
        <w:ind w:firstLine="0" w:firstLineChars="0"/>
        <w:jc w:val="left"/>
        <w:rPr>
          <w:rFonts w:cstheme="majorBidi"/>
          <w:szCs w:val="20"/>
        </w:rPr>
      </w:pPr>
      <w:r>
        <w:br w:type="page"/>
      </w:r>
    </w:p>
    <w:p>
      <w:pPr>
        <w:ind w:firstLine="560"/>
      </w:pPr>
      <w:r>
        <w:rPr>
          <w:rFonts w:hint="eastAsia"/>
        </w:rPr>
        <w:t>2、地形、地貌</w:t>
      </w:r>
    </w:p>
    <w:p>
      <w:pPr>
        <w:ind w:firstLine="560"/>
      </w:pPr>
      <w:r>
        <w:rPr>
          <w:rFonts w:hint="eastAsia"/>
        </w:rPr>
        <w:t>南昌沿赣江两侧而建，依水而作，南昌整体区域内山塘湖泊星布，地貌分异显著，西北倚梅岭山麓，中部为侵蚀剥蚀岗地，沿赣江分布为河谷平原。</w:t>
      </w:r>
    </w:p>
    <w:p>
      <w:pPr>
        <w:ind w:firstLine="560"/>
      </w:pPr>
      <w:r>
        <w:rPr>
          <w:rFonts w:hint="eastAsia"/>
        </w:rPr>
        <w:t>除梅岭山地外，南昌整体区域内地势相对平坦，整地上地势由西向东，由南向北倾斜，境内有两条梅岭山系泄洪沟渠自西向东穿越，将用地大致划分成三高两低地形，沿江的白水湖、黄家湖、碟子湖、孔目湖地区地势相对较低。平均标高在15.0-27.0m（黄海高程，下同）左右，处丘陵地带平均标高均在30.0m以上，其中南部地势最高处标高达63.0m。</w:t>
      </w:r>
    </w:p>
    <w:p>
      <w:pPr>
        <w:ind w:firstLine="560"/>
      </w:pPr>
      <w:r>
        <w:rPr>
          <w:rFonts w:hint="eastAsia"/>
        </w:rPr>
        <w:t>南昌市区及周边出露的地层有前震旦系，上白垩系，第三系和第四系，晋宁期，喜山期岩浆岩。南昌地处扬子地块与华南地块接合带北侧、扬子地块的南缘，地质构造复杂，断裂及其裂陷盆地均很发育。古近纪渐新世喜山运动兴起，地壳运动区域上以持续上升为主，于上新世，又隆起则处“陆蚀”时期。进入第四纪，新构造运动以差异性升降和活动性断裂为主导特征，形成本区现今地貌、构造格局。区内大致以赣江为界，西部以抬升作用为主，基岩出露，地形切割较深，残坡积层发育。据长江水利委员会二等水准测量资料，昌北东化地区1955至1977年间，平均上升速率为+0.105毫米每年。东部以震荡性差异升降作用为主，赣江、抚河河床往复迁移，在不同地段，不同标高堆积了不同时期的第四纪沉积物。挽近地壳运动仍以缓慢升降为主要特征。</w:t>
      </w:r>
    </w:p>
    <w:p>
      <w:pPr>
        <w:ind w:firstLine="560"/>
      </w:pPr>
      <w:r>
        <w:rPr>
          <w:rFonts w:hint="eastAsia"/>
        </w:rPr>
        <w:t>据第四纪地质、地貌、浅层地震勘探和航卫片解释资料，南昌市第四纪以来的活动性断裂有北东向瀛上——西河砖瓦厂和北北西向象湖东断裂和杨家洲——蛟溪等断裂，它们可能分别属于区域活动断裂新建——古县渡，湖口——清江，莲塘——抚州深大断裂的一部分，具有一定的继承性。但活动强度似乎明显减弱。目前在第四系中更新残积网纹红土中发育一组北东向压剪性断裂构造形迹，断层中有泥质充填物且有网纹化特征。其形成时间应晚于中更新世。在晚更新世和全新世地层中没有发现其沉积厚度或岩相突变地段，也未见断裂活动的明显迹象。</w:t>
      </w:r>
    </w:p>
    <w:p>
      <w:pPr>
        <w:ind w:firstLine="560"/>
      </w:pPr>
      <w:r>
        <w:rPr>
          <w:rFonts w:hint="eastAsia"/>
        </w:rPr>
        <w:t>本公司场地内分布的地层主要有人工填土（Q4</w:t>
      </w:r>
      <w:r>
        <w:rPr>
          <w:rFonts w:hint="eastAsia"/>
          <w:vertAlign w:val="superscript"/>
        </w:rPr>
        <w:t>m</w:t>
      </w:r>
      <w:r>
        <w:rPr>
          <w:rFonts w:hint="eastAsia"/>
        </w:rPr>
        <w:t>l）、第四系上更新统冲积层（Q3</w:t>
      </w:r>
      <w:r>
        <w:rPr>
          <w:rFonts w:hint="eastAsia"/>
          <w:vertAlign w:val="superscript"/>
        </w:rPr>
        <w:t>a</w:t>
      </w:r>
      <w:r>
        <w:rPr>
          <w:rFonts w:hint="eastAsia"/>
        </w:rPr>
        <w:t>l），下部为第三系新余群（Exn）基岩。②粉质粘土（Q3</w:t>
      </w:r>
      <w:r>
        <w:rPr>
          <w:rFonts w:hint="eastAsia"/>
          <w:vertAlign w:val="superscript"/>
        </w:rPr>
        <w:t>a</w:t>
      </w:r>
      <w:r>
        <w:rPr>
          <w:rFonts w:hint="eastAsia"/>
        </w:rPr>
        <w:t>l）埋深较浅地段时拟建建筑物较好的天然地基持力层；④砾砂（Q3</w:t>
      </w:r>
      <w:r>
        <w:rPr>
          <w:rFonts w:hint="eastAsia"/>
          <w:vertAlign w:val="superscript"/>
        </w:rPr>
        <w:t>a</w:t>
      </w:r>
      <w:r>
        <w:rPr>
          <w:rFonts w:hint="eastAsia"/>
        </w:rPr>
        <w:t>l）是本工程良好的桩基础持力层。应根据建（构）筑物对地基强度及变形要求不同，选用相应的岩土层位作为其持力层，并选用相适宜的基础型式。</w:t>
      </w:r>
    </w:p>
    <w:p>
      <w:pPr>
        <w:ind w:firstLine="560"/>
      </w:pPr>
      <w:r>
        <w:rPr>
          <w:rFonts w:hint="eastAsia"/>
        </w:rPr>
        <w:t>经勘察，场地内未见活动断裂，也未发现对工程不利的河道、沟滨、墓穴、防空洞等埋藏物，发生滑坡、崩塌、泥石流、地面塌陷的可能性较小，总体上区域稳定性好，拟建场地为可进行建设的一般场地。</w:t>
      </w:r>
    </w:p>
    <w:p>
      <w:pPr>
        <w:ind w:firstLine="560"/>
      </w:pPr>
      <w:r>
        <w:rPr>
          <w:rFonts w:hint="eastAsia"/>
        </w:rPr>
        <w:t>判别结果显示，场地土对混泥土结构具弱腐蚀性，对钢筋混凝土结构中的钢筋具微腐蚀性，对钢筋结构具微腐蚀性。</w:t>
      </w:r>
    </w:p>
    <w:p>
      <w:pPr>
        <w:pStyle w:val="6"/>
        <w:numPr>
          <w:ilvl w:val="2"/>
          <w:numId w:val="0"/>
        </w:numPr>
        <w:bidi w:val="0"/>
        <w:ind w:leftChars="0"/>
      </w:pPr>
      <w:r>
        <w:rPr>
          <w:rFonts w:hint="eastAsia"/>
          <w:lang w:val="en-US" w:eastAsia="zh-CN"/>
        </w:rPr>
        <w:t>3.1.5</w:t>
      </w:r>
      <w:r>
        <w:rPr>
          <w:rFonts w:hint="eastAsia"/>
        </w:rPr>
        <w:t>环境质量现状</w:t>
      </w:r>
    </w:p>
    <w:p>
      <w:pPr>
        <w:ind w:firstLine="560"/>
      </w:pPr>
      <w:r>
        <w:rPr>
          <w:rFonts w:hint="eastAsia"/>
        </w:rPr>
        <w:t>依据功能区划，本公司环境空气功能区划为二类区；沉淀池排泥水和滤池的反冲洗废水直排入赣江</w:t>
      </w:r>
      <w:r>
        <w:rPr>
          <w:rFonts w:hint="eastAsia"/>
          <w:lang w:eastAsia="zh-CN"/>
        </w:rPr>
        <w:t>，</w:t>
      </w:r>
      <w:r>
        <w:rPr>
          <w:rFonts w:hint="eastAsia"/>
        </w:rPr>
        <w:t>生活污水</w:t>
      </w:r>
      <w:r>
        <w:rPr>
          <w:rFonts w:hint="eastAsia"/>
          <w:lang w:eastAsia="zh-CN"/>
        </w:rPr>
        <w:t>、化验室检测仪器的清洗废水</w:t>
      </w:r>
      <w:r>
        <w:rPr>
          <w:rFonts w:hint="eastAsia"/>
        </w:rPr>
        <w:t>直排入市政污水管网排到经开区白水湖污水处理厂处理达标后，尾水排入赣江</w:t>
      </w:r>
      <w:r>
        <w:rPr>
          <w:rFonts w:hint="eastAsia"/>
          <w:lang w:eastAsia="zh-CN"/>
        </w:rPr>
        <w:t>，</w:t>
      </w:r>
      <w:r>
        <w:rPr>
          <w:rFonts w:hint="eastAsia"/>
        </w:rPr>
        <w:t>该水体执行Ⅲ类水体标准；声功能区划为</w:t>
      </w:r>
      <w:r>
        <w:rPr>
          <w:rFonts w:hint="eastAsia"/>
          <w:lang w:val="en-US" w:eastAsia="zh-CN"/>
        </w:rPr>
        <w:t>2</w:t>
      </w:r>
      <w:r>
        <w:rPr>
          <w:rFonts w:hint="eastAsia"/>
        </w:rPr>
        <w:t>类区。</w:t>
      </w:r>
    </w:p>
    <w:p>
      <w:pPr>
        <w:ind w:firstLine="560"/>
      </w:pPr>
      <w:r>
        <w:rPr>
          <w:rFonts w:hint="eastAsia"/>
          <w:lang w:eastAsia="zh-CN"/>
        </w:rPr>
        <w:t>根据江西省生态环境厅门户网站发布的《2018年江西省各县（市、区）六项污染物浓度年均值》，判定本项目区域环境空气质量达标情况如下：PM2.5和PM10年均浓度值未达到国家空气质量二级标准要求；SO</w:t>
      </w:r>
      <w:r>
        <w:rPr>
          <w:rFonts w:hint="eastAsia"/>
          <w:vertAlign w:val="subscript"/>
          <w:lang w:eastAsia="zh-CN"/>
        </w:rPr>
        <w:t>2</w:t>
      </w:r>
      <w:r>
        <w:rPr>
          <w:rFonts w:hint="eastAsia"/>
          <w:lang w:eastAsia="zh-CN"/>
        </w:rPr>
        <w:t>、NO</w:t>
      </w:r>
      <w:r>
        <w:rPr>
          <w:rFonts w:hint="eastAsia"/>
          <w:vertAlign w:val="subscript"/>
          <w:lang w:eastAsia="zh-CN"/>
        </w:rPr>
        <w:t>2</w:t>
      </w:r>
      <w:r>
        <w:rPr>
          <w:rFonts w:hint="eastAsia"/>
          <w:lang w:eastAsia="zh-CN"/>
        </w:rPr>
        <w:t>年均浓度值满足国家空气质量二级标准要求；CO第95百分位数日平均质量浓度满足国家空气质量二级标准要求；O</w:t>
      </w:r>
      <w:r>
        <w:rPr>
          <w:rFonts w:hint="eastAsia"/>
          <w:vertAlign w:val="subscript"/>
          <w:lang w:eastAsia="zh-CN"/>
        </w:rPr>
        <w:t>3</w:t>
      </w:r>
      <w:r>
        <w:rPr>
          <w:rFonts w:hint="eastAsia"/>
          <w:lang w:eastAsia="zh-CN"/>
        </w:rPr>
        <w:t>第90百分位数8h平均质量浓度达到国家空气质量二级标准要求；因此本项目所在区域为非达标区。引用《江西苏克尔新材料有限公司3万吨/年环保型冷冻机油项目（一期）环境影响报告书》中环境现状监测数据，各监测断面上pH、COD、BOD5、氨氮、SS、总磷、石油类、总氮、氯化物、硫化物、硫酸盐和粪大肠菌群等项目指标现状监测值均符合所执行的标准，标准指数均小于1，达到《地表水环境质量标准》（GB3838-2002）Ⅲ类标准的要求，水质现状良好。</w:t>
      </w:r>
      <w:r>
        <w:rPr>
          <w:rFonts w:hint="eastAsia"/>
        </w:rPr>
        <w:t>引用</w:t>
      </w:r>
      <w:r>
        <w:rPr>
          <w:rFonts w:ascii="Times New Roman" w:hAnsi="宋体" w:eastAsia="宋体"/>
        </w:rPr>
        <w:t>江西华检检测技术有限公司</w:t>
      </w:r>
      <w:r>
        <w:rPr>
          <w:rFonts w:hint="eastAsia"/>
          <w:lang w:eastAsia="zh-CN"/>
        </w:rPr>
        <w:t>对本公司厂界环境噪声</w:t>
      </w:r>
      <w:r>
        <w:rPr>
          <w:rFonts w:hint="eastAsia"/>
        </w:rPr>
        <w:t>监测数据，厂界四周噪声监测结果均能满足《声环境质量标准》（GB 3096-2008）中</w:t>
      </w:r>
      <w:r>
        <w:rPr>
          <w:rFonts w:hint="eastAsia"/>
          <w:lang w:val="en-US" w:eastAsia="zh-CN"/>
        </w:rPr>
        <w:t>2</w:t>
      </w:r>
      <w:r>
        <w:rPr>
          <w:rFonts w:hint="eastAsia"/>
        </w:rPr>
        <w:t>类区标准要求，声环境功能现状良好。</w:t>
      </w:r>
    </w:p>
    <w:p>
      <w:pPr>
        <w:pStyle w:val="5"/>
        <w:numPr>
          <w:ilvl w:val="1"/>
          <w:numId w:val="0"/>
        </w:numPr>
        <w:bidi w:val="0"/>
        <w:ind w:leftChars="0"/>
      </w:pPr>
      <w:bookmarkStart w:id="216" w:name="_Toc527104511"/>
      <w:bookmarkStart w:id="217" w:name="_Toc3989"/>
      <w:r>
        <w:rPr>
          <w:rFonts w:hint="eastAsia"/>
          <w:lang w:val="en-US" w:eastAsia="zh-CN"/>
        </w:rPr>
        <w:t>3.2</w:t>
      </w:r>
      <w:r>
        <w:rPr>
          <w:rFonts w:hint="eastAsia"/>
        </w:rPr>
        <w:t>企业周边环境风险受体情况</w:t>
      </w:r>
      <w:bookmarkEnd w:id="216"/>
      <w:bookmarkEnd w:id="217"/>
    </w:p>
    <w:p>
      <w:pPr>
        <w:ind w:firstLine="560"/>
      </w:pPr>
      <w:r>
        <w:rPr>
          <w:rFonts w:hint="eastAsia"/>
        </w:rPr>
        <w:t>环境风险受体分为大气环境风险受体、水环境风险受体。其中，大气环境风险受体主要包括：居住、医疗卫生、文化教育、科研、行政办公、重要基础设施、企业等主要功能区域内的人群、保护单位、植被等，按人口数量进行指标量化；水环境风险受体主要包括：饮用水水源保护区、自来水厂取水口、自然保护区、重要湿地、特殊生态系统、水产养殖区、鱼虾产卵场、天然渔场等区域，可按其脆弱性和敏感性进行级别划分。</w:t>
      </w:r>
    </w:p>
    <w:p>
      <w:pPr>
        <w:pStyle w:val="6"/>
        <w:numPr>
          <w:ilvl w:val="2"/>
          <w:numId w:val="0"/>
        </w:numPr>
        <w:bidi w:val="0"/>
        <w:ind w:leftChars="0"/>
      </w:pPr>
      <w:bookmarkStart w:id="218" w:name="_Ref526863580"/>
      <w:r>
        <w:rPr>
          <w:rFonts w:hint="eastAsia"/>
          <w:lang w:val="en-US" w:eastAsia="zh-CN"/>
        </w:rPr>
        <w:t>3.2.1</w:t>
      </w:r>
      <w:r>
        <w:rPr>
          <w:rFonts w:hint="eastAsia"/>
        </w:rPr>
        <w:t>大气环境风险受体</w:t>
      </w:r>
      <w:bookmarkEnd w:id="218"/>
    </w:p>
    <w:p>
      <w:pPr>
        <w:ind w:firstLine="560"/>
      </w:pPr>
      <w:r>
        <w:rPr>
          <w:rFonts w:hint="eastAsia"/>
        </w:rPr>
        <w:t>公司厂址周围500m范围内大气环境风险受体详见</w:t>
      </w:r>
      <w:r>
        <w:fldChar w:fldCharType="begin"/>
      </w:r>
      <w:r>
        <w:instrText xml:space="preserve"> </w:instrText>
      </w:r>
      <w:r>
        <w:rPr>
          <w:rFonts w:hint="eastAsia"/>
        </w:rPr>
        <w:instrText xml:space="preserve">REF _Ref526604123 \h</w:instrText>
      </w:r>
      <w:r>
        <w:instrText xml:space="preserve"> </w:instrText>
      </w:r>
      <w:r>
        <w:fldChar w:fldCharType="separate"/>
      </w:r>
      <w:r>
        <w:rPr>
          <w:rFonts w:hint="eastAsia"/>
        </w:rPr>
        <w:t xml:space="preserve">表 </w:t>
      </w:r>
      <w:r>
        <w:t>3</w:t>
      </w:r>
      <w:r>
        <w:noBreakHyphen/>
      </w:r>
      <w:r>
        <w:t>4</w:t>
      </w:r>
      <w:r>
        <w:fldChar w:fldCharType="end"/>
      </w:r>
      <w:r>
        <w:rPr>
          <w:rFonts w:hint="eastAsia"/>
        </w:rPr>
        <w:t>，大气环境风险受体分布详见附图</w:t>
      </w:r>
      <w:r>
        <w:t>3</w:t>
      </w:r>
      <w:r>
        <w:rPr>
          <w:rFonts w:hint="eastAsia"/>
        </w:rPr>
        <w:t>。</w:t>
      </w:r>
    </w:p>
    <w:p>
      <w:pPr>
        <w:pStyle w:val="8"/>
        <w:keepNext/>
      </w:pPr>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3</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4</w:t>
      </w:r>
      <w:r>
        <w:fldChar w:fldCharType="end"/>
      </w:r>
      <w:r>
        <w:rPr>
          <w:rFonts w:hint="eastAsia"/>
        </w:rPr>
        <w:t>大气环境风险受体一览表</w:t>
      </w:r>
    </w:p>
    <w:tbl>
      <w:tblPr>
        <w:tblStyle w:val="15"/>
        <w:tblW w:w="499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35"/>
        <w:gridCol w:w="2535"/>
        <w:gridCol w:w="2355"/>
        <w:gridCol w:w="1479"/>
        <w:gridCol w:w="1222"/>
        <w:gridCol w:w="111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blHeader/>
          <w:jc w:val="center"/>
        </w:trPr>
        <w:tc>
          <w:tcPr>
            <w:tcW w:w="340" w:type="pct"/>
            <w:shd w:val="clear" w:color="auto" w:fill="auto"/>
            <w:vAlign w:val="center"/>
          </w:tcPr>
          <w:p>
            <w:pPr>
              <w:widowControl/>
              <w:spacing w:line="240" w:lineRule="auto"/>
              <w:ind w:firstLine="0" w:firstLineChars="0"/>
              <w:jc w:val="center"/>
              <w:rPr>
                <w:rFonts w:cs="Times New Roman"/>
                <w:color w:val="000000"/>
                <w:kern w:val="0"/>
                <w:sz w:val="21"/>
                <w:szCs w:val="21"/>
              </w:rPr>
            </w:pPr>
            <w:bookmarkStart w:id="219" w:name="_Hlk526951095"/>
            <w:r>
              <w:rPr>
                <w:rFonts w:cs="Times New Roman"/>
                <w:color w:val="000000"/>
                <w:kern w:val="0"/>
                <w:sz w:val="21"/>
                <w:szCs w:val="21"/>
              </w:rPr>
              <w:t>序号</w:t>
            </w:r>
          </w:p>
        </w:tc>
        <w:tc>
          <w:tcPr>
            <w:tcW w:w="1357" w:type="pct"/>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保护对象</w:t>
            </w:r>
          </w:p>
        </w:tc>
        <w:tc>
          <w:tcPr>
            <w:tcW w:w="1261" w:type="pct"/>
            <w:tcBorders>
              <w:right w:val="single" w:color="auto" w:sz="4" w:space="0"/>
            </w:tcBorders>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规模（人口数/级别/面积）</w:t>
            </w:r>
          </w:p>
        </w:tc>
        <w:tc>
          <w:tcPr>
            <w:tcW w:w="792"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方位</w:t>
            </w:r>
          </w:p>
        </w:tc>
        <w:tc>
          <w:tcPr>
            <w:tcW w:w="654" w:type="pct"/>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距离（m）</w:t>
            </w:r>
          </w:p>
        </w:tc>
        <w:tc>
          <w:tcPr>
            <w:tcW w:w="594" w:type="pct"/>
            <w:shd w:val="clear" w:color="auto" w:fill="auto"/>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服务范围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340"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一</w:t>
            </w:r>
          </w:p>
        </w:tc>
        <w:tc>
          <w:tcPr>
            <w:tcW w:w="4659" w:type="pct"/>
            <w:gridSpan w:val="5"/>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≤500m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340"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1</w:t>
            </w:r>
          </w:p>
        </w:tc>
        <w:tc>
          <w:tcPr>
            <w:tcW w:w="1357" w:type="pct"/>
            <w:vAlign w:val="center"/>
          </w:tcPr>
          <w:p>
            <w:pPr>
              <w:widowControl/>
              <w:spacing w:line="240" w:lineRule="auto"/>
              <w:ind w:firstLine="0" w:firstLineChars="0"/>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美罗江畔小区</w:t>
            </w:r>
          </w:p>
        </w:tc>
        <w:tc>
          <w:tcPr>
            <w:tcW w:w="1261" w:type="pct"/>
            <w:vAlign w:val="center"/>
          </w:tcPr>
          <w:p>
            <w:pPr>
              <w:widowControl/>
              <w:spacing w:line="240" w:lineRule="auto"/>
              <w:ind w:firstLine="0" w:firstLineChars="0"/>
              <w:jc w:val="center"/>
              <w:rPr>
                <w:rFonts w:hint="default" w:eastAsia="宋体" w:cs="Times New Roman"/>
                <w:color w:val="000000"/>
                <w:kern w:val="0"/>
                <w:sz w:val="21"/>
                <w:szCs w:val="21"/>
                <w:lang w:val="en-US" w:eastAsia="zh-CN"/>
              </w:rPr>
            </w:pPr>
            <w:r>
              <w:rPr>
                <w:rFonts w:hint="eastAsia" w:cs="Times New Roman"/>
                <w:color w:val="000000"/>
                <w:kern w:val="0"/>
                <w:sz w:val="21"/>
                <w:szCs w:val="21"/>
                <w:lang w:val="en-US" w:eastAsia="zh-CN"/>
              </w:rPr>
              <w:t>约2000</w:t>
            </w:r>
          </w:p>
        </w:tc>
        <w:tc>
          <w:tcPr>
            <w:tcW w:w="792" w:type="pct"/>
            <w:vAlign w:val="center"/>
          </w:tcPr>
          <w:p>
            <w:pPr>
              <w:widowControl/>
              <w:spacing w:line="240" w:lineRule="auto"/>
              <w:ind w:firstLine="0" w:firstLineChars="0"/>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N</w:t>
            </w:r>
          </w:p>
        </w:tc>
        <w:tc>
          <w:tcPr>
            <w:tcW w:w="654" w:type="pct"/>
            <w:vAlign w:val="center"/>
          </w:tcPr>
          <w:p>
            <w:pPr>
              <w:widowControl/>
              <w:spacing w:line="240" w:lineRule="auto"/>
              <w:ind w:firstLine="0" w:firstLineChars="0"/>
              <w:jc w:val="center"/>
              <w:rPr>
                <w:rFonts w:hint="default" w:eastAsia="宋体" w:cs="Times New Roman"/>
                <w:color w:val="000000"/>
                <w:kern w:val="0"/>
                <w:sz w:val="21"/>
                <w:szCs w:val="21"/>
                <w:lang w:val="en-US" w:eastAsia="zh-CN"/>
              </w:rPr>
            </w:pPr>
            <w:r>
              <w:rPr>
                <w:rFonts w:hint="eastAsia" w:cs="Times New Roman"/>
                <w:color w:val="000000"/>
                <w:kern w:val="0"/>
                <w:sz w:val="21"/>
                <w:szCs w:val="21"/>
                <w:lang w:val="en-US" w:eastAsia="zh-CN"/>
              </w:rPr>
              <w:t>25</w:t>
            </w:r>
          </w:p>
        </w:tc>
        <w:tc>
          <w:tcPr>
            <w:tcW w:w="594" w:type="pct"/>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340"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w:t>
            </w:r>
          </w:p>
        </w:tc>
        <w:tc>
          <w:tcPr>
            <w:tcW w:w="1357" w:type="pct"/>
            <w:tcBorders>
              <w:bottom w:val="single" w:color="auto" w:sz="4" w:space="0"/>
            </w:tcBorders>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lang w:eastAsia="zh-CN"/>
              </w:rPr>
              <w:t>江西省石油技工学校</w:t>
            </w:r>
          </w:p>
        </w:tc>
        <w:tc>
          <w:tcPr>
            <w:tcW w:w="1261" w:type="pct"/>
            <w:tcBorders>
              <w:bottom w:val="single" w:color="auto" w:sz="4" w:space="0"/>
            </w:tcBorders>
            <w:vAlign w:val="center"/>
          </w:tcPr>
          <w:p>
            <w:pPr>
              <w:widowControl/>
              <w:spacing w:line="240" w:lineRule="auto"/>
              <w:ind w:firstLine="0" w:firstLineChars="0"/>
              <w:jc w:val="center"/>
              <w:rPr>
                <w:rFonts w:hint="default" w:eastAsia="宋体" w:cs="Times New Roman"/>
                <w:color w:val="000000"/>
                <w:kern w:val="0"/>
                <w:sz w:val="21"/>
                <w:szCs w:val="21"/>
                <w:lang w:val="en-US" w:eastAsia="zh-CN"/>
              </w:rPr>
            </w:pPr>
            <w:r>
              <w:rPr>
                <w:rFonts w:hint="eastAsia" w:cs="Times New Roman"/>
                <w:color w:val="000000"/>
                <w:kern w:val="0"/>
                <w:sz w:val="21"/>
                <w:szCs w:val="21"/>
                <w:lang w:val="en-US" w:eastAsia="zh-CN"/>
              </w:rPr>
              <w:t>约6000</w:t>
            </w:r>
          </w:p>
        </w:tc>
        <w:tc>
          <w:tcPr>
            <w:tcW w:w="792" w:type="pct"/>
            <w:vAlign w:val="center"/>
          </w:tcPr>
          <w:p>
            <w:pPr>
              <w:widowControl/>
              <w:spacing w:line="240" w:lineRule="auto"/>
              <w:ind w:firstLine="0" w:firstLineChars="0"/>
              <w:jc w:val="center"/>
              <w:rPr>
                <w:rFonts w:hint="default" w:cs="Times New Roman"/>
                <w:color w:val="000000"/>
                <w:kern w:val="0"/>
                <w:sz w:val="21"/>
                <w:szCs w:val="21"/>
                <w:lang w:val="en-US"/>
              </w:rPr>
            </w:pPr>
            <w:r>
              <w:rPr>
                <w:rFonts w:hint="eastAsia" w:cs="Times New Roman"/>
                <w:color w:val="000000"/>
                <w:kern w:val="0"/>
                <w:sz w:val="21"/>
                <w:szCs w:val="21"/>
                <w:lang w:val="en-US" w:eastAsia="zh-CN"/>
              </w:rPr>
              <w:t>NW</w:t>
            </w:r>
          </w:p>
        </w:tc>
        <w:tc>
          <w:tcPr>
            <w:tcW w:w="654" w:type="pct"/>
            <w:vAlign w:val="center"/>
          </w:tcPr>
          <w:p>
            <w:pPr>
              <w:widowControl/>
              <w:spacing w:line="240" w:lineRule="auto"/>
              <w:ind w:firstLine="0" w:firstLineChars="0"/>
              <w:jc w:val="center"/>
              <w:rPr>
                <w:rFonts w:hint="default" w:eastAsia="宋体" w:cs="Times New Roman"/>
                <w:color w:val="000000"/>
                <w:kern w:val="0"/>
                <w:sz w:val="21"/>
                <w:szCs w:val="21"/>
                <w:lang w:val="en-US" w:eastAsia="zh-CN"/>
              </w:rPr>
            </w:pPr>
            <w:r>
              <w:rPr>
                <w:rFonts w:hint="eastAsia" w:cs="Times New Roman"/>
                <w:color w:val="000000"/>
                <w:kern w:val="0"/>
                <w:sz w:val="21"/>
                <w:szCs w:val="21"/>
                <w:lang w:val="en-US" w:eastAsia="zh-CN"/>
              </w:rPr>
              <w:t>195</w:t>
            </w:r>
          </w:p>
        </w:tc>
        <w:tc>
          <w:tcPr>
            <w:tcW w:w="594" w:type="pct"/>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340" w:type="pct"/>
            <w:vAlign w:val="center"/>
          </w:tcPr>
          <w:p>
            <w:pPr>
              <w:widowControl/>
              <w:spacing w:line="240" w:lineRule="auto"/>
              <w:ind w:firstLine="0" w:firstLineChars="0"/>
              <w:jc w:val="center"/>
              <w:rPr>
                <w:rFonts w:hint="eastAsia" w:eastAsia="宋体" w:cs="Times New Roman"/>
                <w:color w:val="000000"/>
                <w:kern w:val="0"/>
                <w:sz w:val="21"/>
                <w:szCs w:val="21"/>
                <w:lang w:val="en-US" w:eastAsia="zh-CN"/>
              </w:rPr>
            </w:pPr>
            <w:r>
              <w:rPr>
                <w:rFonts w:hint="eastAsia" w:cs="Times New Roman"/>
                <w:color w:val="000000"/>
                <w:kern w:val="0"/>
                <w:sz w:val="21"/>
                <w:szCs w:val="21"/>
                <w:lang w:val="en-US" w:eastAsia="zh-CN"/>
              </w:rPr>
              <w:t>3</w:t>
            </w:r>
          </w:p>
        </w:tc>
        <w:tc>
          <w:tcPr>
            <w:tcW w:w="1357" w:type="pct"/>
            <w:tcBorders>
              <w:bottom w:val="single" w:color="auto" w:sz="4" w:space="0"/>
            </w:tcBorders>
            <w:vAlign w:val="center"/>
          </w:tcPr>
          <w:p>
            <w:pPr>
              <w:widowControl/>
              <w:spacing w:line="240" w:lineRule="auto"/>
              <w:ind w:firstLine="0" w:firstLineChars="0"/>
              <w:jc w:val="center"/>
              <w:rPr>
                <w:rFonts w:hint="eastAsia" w:cs="Times New Roman"/>
                <w:color w:val="000000"/>
                <w:kern w:val="0"/>
                <w:sz w:val="21"/>
                <w:szCs w:val="21"/>
                <w:lang w:eastAsia="zh-CN"/>
              </w:rPr>
            </w:pPr>
            <w:r>
              <w:rPr>
                <w:rFonts w:hint="eastAsia" w:cs="Times New Roman"/>
                <w:color w:val="000000"/>
                <w:kern w:val="0"/>
                <w:sz w:val="21"/>
                <w:szCs w:val="21"/>
                <w:lang w:eastAsia="zh-CN"/>
              </w:rPr>
              <w:t>双港新村四区</w:t>
            </w:r>
          </w:p>
        </w:tc>
        <w:tc>
          <w:tcPr>
            <w:tcW w:w="1261" w:type="pct"/>
            <w:tcBorders>
              <w:bottom w:val="single" w:color="auto" w:sz="4" w:space="0"/>
            </w:tcBorders>
            <w:vAlign w:val="center"/>
          </w:tcPr>
          <w:p>
            <w:pPr>
              <w:widowControl/>
              <w:spacing w:line="240" w:lineRule="auto"/>
              <w:ind w:firstLine="0" w:firstLineChars="0"/>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约3000</w:t>
            </w:r>
          </w:p>
        </w:tc>
        <w:tc>
          <w:tcPr>
            <w:tcW w:w="792" w:type="pct"/>
            <w:vAlign w:val="center"/>
          </w:tcPr>
          <w:p>
            <w:pPr>
              <w:widowControl/>
              <w:spacing w:line="240" w:lineRule="auto"/>
              <w:ind w:firstLine="0" w:firstLineChars="0"/>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NW</w:t>
            </w:r>
          </w:p>
        </w:tc>
        <w:tc>
          <w:tcPr>
            <w:tcW w:w="654" w:type="pct"/>
            <w:vAlign w:val="center"/>
          </w:tcPr>
          <w:p>
            <w:pPr>
              <w:widowControl/>
              <w:spacing w:line="240" w:lineRule="auto"/>
              <w:ind w:firstLine="0" w:firstLineChars="0"/>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500</w:t>
            </w:r>
          </w:p>
        </w:tc>
        <w:tc>
          <w:tcPr>
            <w:tcW w:w="594" w:type="pct"/>
            <w:vAlign w:val="center"/>
          </w:tcPr>
          <w:p>
            <w:pPr>
              <w:widowControl/>
              <w:spacing w:line="240" w:lineRule="auto"/>
              <w:ind w:firstLine="0" w:firstLineChars="0"/>
              <w:jc w:val="center"/>
              <w:rPr>
                <w:rFonts w:hint="eastAsia" w:eastAsia="宋体" w:cs="Times New Roman"/>
                <w:color w:val="000000"/>
                <w:kern w:val="0"/>
                <w:sz w:val="21"/>
                <w:szCs w:val="21"/>
                <w:lang w:val="en-US" w:eastAsia="zh-CN"/>
              </w:rPr>
            </w:pPr>
            <w:r>
              <w:rPr>
                <w:rFonts w:hint="eastAsia" w:cs="Times New Roman"/>
                <w:color w:val="000000"/>
                <w:kern w:val="0"/>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1697" w:type="pct"/>
            <w:gridSpan w:val="2"/>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合计</w:t>
            </w:r>
          </w:p>
        </w:tc>
        <w:tc>
          <w:tcPr>
            <w:tcW w:w="1261" w:type="pct"/>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1</w:t>
            </w:r>
            <w:r>
              <w:rPr>
                <w:rFonts w:hint="eastAsia" w:cs="Times New Roman"/>
                <w:color w:val="000000"/>
                <w:kern w:val="0"/>
                <w:sz w:val="21"/>
                <w:szCs w:val="21"/>
                <w:lang w:val="en-US" w:eastAsia="zh-CN"/>
              </w:rPr>
              <w:t>100</w:t>
            </w:r>
            <w:r>
              <w:rPr>
                <w:rFonts w:cs="Times New Roman"/>
                <w:color w:val="000000"/>
                <w:kern w:val="0"/>
                <w:sz w:val="21"/>
                <w:szCs w:val="21"/>
              </w:rPr>
              <w:t>0</w:t>
            </w:r>
          </w:p>
        </w:tc>
        <w:tc>
          <w:tcPr>
            <w:tcW w:w="792" w:type="pct"/>
            <w:tcBorders>
              <w:left w:val="single" w:color="auto" w:sz="4" w:space="0"/>
            </w:tcBorders>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w:t>
            </w:r>
          </w:p>
        </w:tc>
        <w:tc>
          <w:tcPr>
            <w:tcW w:w="654" w:type="pct"/>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w:t>
            </w:r>
          </w:p>
        </w:tc>
        <w:tc>
          <w:tcPr>
            <w:tcW w:w="594" w:type="pct"/>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w:t>
            </w:r>
          </w:p>
        </w:tc>
      </w:tr>
    </w:tbl>
    <w:p>
      <w:pPr>
        <w:ind w:firstLine="560"/>
      </w:pPr>
      <w:r>
        <w:rPr>
          <w:rFonts w:hint="eastAsia"/>
        </w:rPr>
        <w:t>企业周边500米范围内居住区、医疗卫生机构、文化教育机构、科研单位、行政机关、企事业单位、公园等，人口总数</w:t>
      </w:r>
      <w:r>
        <w:rPr>
          <w:rFonts w:hint="eastAsia"/>
          <w:lang w:val="en-US" w:eastAsia="zh-CN"/>
        </w:rPr>
        <w:t>1000</w:t>
      </w:r>
      <w:r>
        <w:rPr>
          <w:rFonts w:hint="eastAsia"/>
        </w:rPr>
        <w:t>人以</w:t>
      </w:r>
      <w:r>
        <w:rPr>
          <w:rFonts w:hint="eastAsia"/>
          <w:lang w:eastAsia="zh-CN"/>
        </w:rPr>
        <w:t>上</w:t>
      </w:r>
      <w:r>
        <w:rPr>
          <w:rFonts w:hint="eastAsia"/>
        </w:rPr>
        <w:t>，参照《企业突发环境事件风险分级方法》表</w:t>
      </w:r>
      <w:r>
        <w:t>4</w:t>
      </w:r>
      <w:r>
        <w:rPr>
          <w:rFonts w:hint="eastAsia"/>
        </w:rPr>
        <w:t>（即</w:t>
      </w:r>
      <w:r>
        <w:fldChar w:fldCharType="begin"/>
      </w:r>
      <w:r>
        <w:instrText xml:space="preserve"> </w:instrText>
      </w:r>
      <w:r>
        <w:rPr>
          <w:rFonts w:hint="eastAsia"/>
        </w:rPr>
        <w:instrText xml:space="preserve">REF _Ref526621239 \h</w:instrText>
      </w:r>
      <w:r>
        <w:instrText xml:space="preserve"> </w:instrText>
      </w:r>
      <w:r>
        <w:fldChar w:fldCharType="separate"/>
      </w:r>
      <w:r>
        <w:rPr>
          <w:rFonts w:hint="eastAsia"/>
        </w:rPr>
        <w:t xml:space="preserve">表 </w:t>
      </w:r>
      <w:r>
        <w:t>3</w:t>
      </w:r>
      <w:r>
        <w:noBreakHyphen/>
      </w:r>
      <w:r>
        <w:t>5</w:t>
      </w:r>
      <w:r>
        <w:fldChar w:fldCharType="end"/>
      </w:r>
      <w:r>
        <w:rPr>
          <w:rFonts w:hint="eastAsia"/>
        </w:rPr>
        <w:t>），大气环境风险受体敏感程度类型划分，本公司大气环境风险受体为E</w:t>
      </w:r>
      <w:r>
        <w:rPr>
          <w:rFonts w:hint="eastAsia"/>
          <w:lang w:val="en-US" w:eastAsia="zh-CN"/>
        </w:rPr>
        <w:t>1</w:t>
      </w:r>
      <w:r>
        <w:rPr>
          <w:rFonts w:hint="eastAsia"/>
        </w:rPr>
        <w:t>型。</w:t>
      </w:r>
    </w:p>
    <w:bookmarkEnd w:id="219"/>
    <w:p>
      <w:pPr>
        <w:pStyle w:val="8"/>
        <w:keepNext/>
      </w:pPr>
      <w:bookmarkStart w:id="220" w:name="_Ref526621239"/>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3</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5</w:t>
      </w:r>
      <w:r>
        <w:fldChar w:fldCharType="end"/>
      </w:r>
      <w:bookmarkEnd w:id="220"/>
      <w:r>
        <w:rPr>
          <w:rFonts w:hint="eastAsia"/>
        </w:rPr>
        <w:t>企业周边大气环境风险受体情况划分</w:t>
      </w:r>
    </w:p>
    <w:tbl>
      <w:tblPr>
        <w:tblStyle w:val="15"/>
        <w:tblW w:w="5000" w:type="pct"/>
        <w:jc w:val="center"/>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Layout w:type="autofit"/>
        <w:tblCellMar>
          <w:top w:w="0" w:type="dxa"/>
          <w:left w:w="108" w:type="dxa"/>
          <w:bottom w:w="0" w:type="dxa"/>
          <w:right w:w="108" w:type="dxa"/>
        </w:tblCellMar>
      </w:tblPr>
      <w:tblGrid>
        <w:gridCol w:w="1076"/>
        <w:gridCol w:w="8268"/>
      </w:tblGrid>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108" w:type="dxa"/>
            <w:bottom w:w="0" w:type="dxa"/>
            <w:right w:w="108" w:type="dxa"/>
          </w:tblCellMar>
        </w:tblPrEx>
        <w:trPr>
          <w:trHeight w:val="425" w:hRule="atLeast"/>
          <w:tblHeader/>
          <w:jc w:val="center"/>
        </w:trPr>
        <w:tc>
          <w:tcPr>
            <w:tcW w:w="576"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类别</w:t>
            </w:r>
          </w:p>
        </w:tc>
        <w:tc>
          <w:tcPr>
            <w:tcW w:w="4424"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大气环境风险受体</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108" w:type="dxa"/>
            <w:bottom w:w="0" w:type="dxa"/>
            <w:right w:w="108" w:type="dxa"/>
          </w:tblCellMar>
        </w:tblPrEx>
        <w:trPr>
          <w:trHeight w:val="425" w:hRule="atLeast"/>
          <w:jc w:val="center"/>
        </w:trPr>
        <w:tc>
          <w:tcPr>
            <w:tcW w:w="576"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类型1（E1）</w:t>
            </w:r>
          </w:p>
        </w:tc>
        <w:tc>
          <w:tcPr>
            <w:tcW w:w="4424" w:type="pct"/>
            <w:vAlign w:val="center"/>
          </w:tcPr>
          <w:p>
            <w:pPr>
              <w:widowControl/>
              <w:spacing w:line="240" w:lineRule="auto"/>
              <w:ind w:firstLine="0" w:firstLineChars="0"/>
              <w:jc w:val="left"/>
              <w:rPr>
                <w:rFonts w:cs="Times New Roman"/>
                <w:color w:val="000000"/>
                <w:kern w:val="0"/>
                <w:sz w:val="21"/>
                <w:szCs w:val="21"/>
              </w:rPr>
            </w:pPr>
            <w:r>
              <w:rPr>
                <w:rFonts w:hint="eastAsia" w:cs="Times New Roman"/>
                <w:color w:val="000000"/>
                <w:kern w:val="0"/>
                <w:sz w:val="21"/>
                <w:szCs w:val="21"/>
              </w:rPr>
              <w:t>1、企业周边5公里范围内居住区、医疗卫生机构、文化教育机构、科研单位、行政机关、企事业单位、商场、公园等人口总数5万人以上，或企业周边500米范围内人口总数1000人以上；</w:t>
            </w:r>
          </w:p>
          <w:p>
            <w:pPr>
              <w:widowControl/>
              <w:spacing w:line="240" w:lineRule="auto"/>
              <w:ind w:firstLine="0" w:firstLineChars="0"/>
              <w:jc w:val="left"/>
              <w:rPr>
                <w:rFonts w:cs="Times New Roman"/>
                <w:color w:val="000000"/>
                <w:kern w:val="0"/>
                <w:sz w:val="21"/>
                <w:szCs w:val="21"/>
              </w:rPr>
            </w:pPr>
            <w:r>
              <w:rPr>
                <w:rFonts w:cs="Times New Roman"/>
                <w:color w:val="000000"/>
                <w:kern w:val="0"/>
                <w:sz w:val="21"/>
                <w:szCs w:val="21"/>
              </w:rPr>
              <w:t>2</w:t>
            </w:r>
            <w:r>
              <w:rPr>
                <w:rFonts w:hint="eastAsia" w:cs="Times New Roman"/>
                <w:color w:val="000000"/>
                <w:kern w:val="0"/>
                <w:sz w:val="21"/>
                <w:szCs w:val="21"/>
              </w:rPr>
              <w:t>、或企业周边5公里涉及军事禁区、军事管理区、国家相关保密区域。</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108" w:type="dxa"/>
            <w:bottom w:w="0" w:type="dxa"/>
            <w:right w:w="108" w:type="dxa"/>
          </w:tblCellMar>
        </w:tblPrEx>
        <w:trPr>
          <w:trHeight w:val="425" w:hRule="atLeast"/>
          <w:jc w:val="center"/>
        </w:trPr>
        <w:tc>
          <w:tcPr>
            <w:tcW w:w="576"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类型2（E2）</w:t>
            </w:r>
          </w:p>
        </w:tc>
        <w:tc>
          <w:tcPr>
            <w:tcW w:w="4424" w:type="pct"/>
            <w:vAlign w:val="center"/>
          </w:tcPr>
          <w:p>
            <w:pPr>
              <w:widowControl/>
              <w:spacing w:line="240" w:lineRule="auto"/>
              <w:ind w:firstLine="0" w:firstLineChars="0"/>
              <w:jc w:val="left"/>
              <w:rPr>
                <w:rFonts w:cs="Times New Roman"/>
                <w:color w:val="000000"/>
                <w:kern w:val="0"/>
                <w:sz w:val="21"/>
                <w:szCs w:val="21"/>
              </w:rPr>
            </w:pPr>
            <w:r>
              <w:rPr>
                <w:rFonts w:hint="eastAsia" w:cs="Times New Roman"/>
                <w:color w:val="000000"/>
                <w:kern w:val="0"/>
                <w:sz w:val="21"/>
                <w:szCs w:val="21"/>
              </w:rPr>
              <w:t>1、企业周边5公里范围内居住区、医疗卫生机构、文化教育机构、科研单位、行政机关、企事业单位、商场、公园等人口总数1万人以上、5万人以下；</w:t>
            </w:r>
          </w:p>
          <w:p>
            <w:pPr>
              <w:widowControl/>
              <w:spacing w:line="240" w:lineRule="auto"/>
              <w:ind w:firstLine="0" w:firstLineChars="0"/>
              <w:jc w:val="left"/>
              <w:rPr>
                <w:rFonts w:cs="Times New Roman"/>
                <w:color w:val="000000"/>
                <w:kern w:val="0"/>
                <w:sz w:val="21"/>
                <w:szCs w:val="21"/>
              </w:rPr>
            </w:pPr>
            <w:r>
              <w:rPr>
                <w:rFonts w:cs="Times New Roman"/>
                <w:color w:val="000000"/>
                <w:kern w:val="0"/>
                <w:sz w:val="21"/>
                <w:szCs w:val="21"/>
              </w:rPr>
              <w:t>2</w:t>
            </w:r>
            <w:r>
              <w:rPr>
                <w:rFonts w:hint="eastAsia" w:cs="Times New Roman"/>
                <w:color w:val="000000"/>
                <w:kern w:val="0"/>
                <w:sz w:val="21"/>
                <w:szCs w:val="21"/>
              </w:rPr>
              <w:t>、或企业周边500米范围内人口总数500人以上、1000人以下。</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108" w:type="dxa"/>
            <w:bottom w:w="0" w:type="dxa"/>
            <w:right w:w="108" w:type="dxa"/>
          </w:tblCellMar>
        </w:tblPrEx>
        <w:trPr>
          <w:trHeight w:val="425" w:hRule="atLeast"/>
          <w:jc w:val="center"/>
        </w:trPr>
        <w:tc>
          <w:tcPr>
            <w:tcW w:w="576"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类型3（E3）</w:t>
            </w:r>
          </w:p>
        </w:tc>
        <w:tc>
          <w:tcPr>
            <w:tcW w:w="4424" w:type="pct"/>
            <w:vAlign w:val="center"/>
          </w:tcPr>
          <w:p>
            <w:pPr>
              <w:widowControl/>
              <w:spacing w:line="240" w:lineRule="auto"/>
              <w:ind w:firstLine="0" w:firstLineChars="0"/>
              <w:jc w:val="left"/>
              <w:rPr>
                <w:rFonts w:cs="Times New Roman"/>
                <w:color w:val="000000"/>
                <w:kern w:val="0"/>
                <w:sz w:val="21"/>
                <w:szCs w:val="21"/>
              </w:rPr>
            </w:pPr>
            <w:r>
              <w:rPr>
                <w:rFonts w:hint="eastAsia" w:cs="Times New Roman"/>
                <w:color w:val="000000"/>
                <w:kern w:val="0"/>
                <w:sz w:val="21"/>
                <w:szCs w:val="21"/>
              </w:rPr>
              <w:t>1、企业周边5公里范围内居住区、医疗卫生机构、文化教育机构、科研单位、行政机关、企事业单位、商场、公园等人口总数1万人以下，且企业周边500米范围内人口总数500人以下。</w:t>
            </w:r>
          </w:p>
        </w:tc>
      </w:tr>
    </w:tbl>
    <w:p>
      <w:pPr>
        <w:pStyle w:val="6"/>
        <w:numPr>
          <w:ilvl w:val="2"/>
          <w:numId w:val="0"/>
        </w:numPr>
        <w:bidi w:val="0"/>
        <w:ind w:leftChars="0"/>
      </w:pPr>
      <w:bookmarkStart w:id="221" w:name="_Ref526864864"/>
      <w:r>
        <w:rPr>
          <w:rFonts w:hint="eastAsia"/>
          <w:lang w:val="en-US" w:eastAsia="zh-CN"/>
        </w:rPr>
        <w:t>3.2.2</w:t>
      </w:r>
      <w:r>
        <w:rPr>
          <w:rFonts w:hint="eastAsia"/>
        </w:rPr>
        <w:t>水环境风险受体</w:t>
      </w:r>
      <w:bookmarkEnd w:id="221"/>
    </w:p>
    <w:p>
      <w:pPr>
        <w:ind w:firstLine="560"/>
        <w:rPr>
          <w:rFonts w:hint="eastAsia"/>
          <w:lang w:eastAsia="zh-CN"/>
        </w:rPr>
      </w:pPr>
      <w:bookmarkStart w:id="222" w:name="_Hlk526949900"/>
      <w:r>
        <w:rPr>
          <w:rFonts w:hint="eastAsia"/>
        </w:rPr>
        <w:t>厂区雨污分流，雨水经雨水管网收集后直接排入</w:t>
      </w:r>
      <w:r>
        <w:rPr>
          <w:rFonts w:hint="eastAsia"/>
          <w:lang w:eastAsia="zh-CN"/>
        </w:rPr>
        <w:t>赣江</w:t>
      </w:r>
      <w:r>
        <w:rPr>
          <w:rFonts w:hint="eastAsia"/>
        </w:rPr>
        <w:t>；沉淀池排泥水和滤池的反冲洗废水直排入赣江</w:t>
      </w:r>
      <w:r>
        <w:rPr>
          <w:rFonts w:hint="eastAsia"/>
          <w:lang w:eastAsia="zh-CN"/>
        </w:rPr>
        <w:t>，</w:t>
      </w:r>
      <w:r>
        <w:rPr>
          <w:rFonts w:hint="eastAsia"/>
        </w:rPr>
        <w:t>生活污水</w:t>
      </w:r>
      <w:r>
        <w:rPr>
          <w:rFonts w:hint="eastAsia"/>
          <w:lang w:eastAsia="zh-CN"/>
        </w:rPr>
        <w:t>、化验室检测仪器的清洗废水</w:t>
      </w:r>
      <w:r>
        <w:rPr>
          <w:rFonts w:hint="eastAsia"/>
        </w:rPr>
        <w:t>直排入市政污水管网排到经开区白水湖污水处理厂处理达标后，尾水排入赣江。</w:t>
      </w:r>
      <w:r>
        <w:rPr>
          <w:rFonts w:hint="eastAsia"/>
          <w:lang w:eastAsia="zh-CN"/>
        </w:rPr>
        <w:t>双港水厂取水口在排口上游；自排水口</w:t>
      </w:r>
      <w:r>
        <w:rPr>
          <w:rFonts w:hint="eastAsia"/>
          <w:lang w:val="en-US" w:eastAsia="zh-CN"/>
        </w:rPr>
        <w:t>下游10公里范围内不涉及</w:t>
      </w:r>
      <w:r>
        <w:rPr>
          <w:rFonts w:hint="eastAsia"/>
        </w:rPr>
        <w:t>集中式地表水、地下水饮用水水源保护区</w:t>
      </w:r>
      <w:bookmarkEnd w:id="222"/>
      <w:r>
        <w:rPr>
          <w:rFonts w:hint="eastAsia"/>
          <w:lang w:eastAsia="zh-CN"/>
        </w:rPr>
        <w:t>及</w:t>
      </w:r>
      <w:r>
        <w:rPr>
          <w:rFonts w:hint="eastAsia"/>
        </w:rPr>
        <w:t>农村及分散式饮用水水源保护区</w:t>
      </w:r>
      <w:r>
        <w:rPr>
          <w:rFonts w:hint="eastAsia"/>
          <w:lang w:eastAsia="zh-CN"/>
        </w:rPr>
        <w:t>。</w:t>
      </w:r>
    </w:p>
    <w:p>
      <w:pPr>
        <w:pStyle w:val="8"/>
        <w:keepNext/>
        <w:rPr>
          <w:rFonts w:hint="eastAsia"/>
          <w:lang w:eastAsia="zh-CN"/>
        </w:rPr>
      </w:pPr>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3</w:t>
      </w:r>
      <w:r>
        <w:fldChar w:fldCharType="end"/>
      </w:r>
      <w:r>
        <w:noBreakHyphen/>
      </w:r>
      <w:r>
        <w:rPr>
          <w:rFonts w:hint="eastAsia"/>
          <w:lang w:val="en-US" w:eastAsia="zh-CN"/>
        </w:rPr>
        <w:t xml:space="preserve">6 </w:t>
      </w:r>
      <w:r>
        <w:rPr>
          <w:rFonts w:hint="eastAsia"/>
          <w:lang w:eastAsia="zh-CN"/>
        </w:rPr>
        <w:t>水</w:t>
      </w:r>
      <w:r>
        <w:rPr>
          <w:rFonts w:hint="eastAsia"/>
        </w:rPr>
        <w:t>环境风险受体一览表</w:t>
      </w:r>
    </w:p>
    <w:tbl>
      <w:tblPr>
        <w:tblStyle w:val="39"/>
        <w:tblW w:w="4996"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968"/>
        <w:gridCol w:w="2059"/>
        <w:gridCol w:w="1089"/>
        <w:gridCol w:w="1840"/>
        <w:gridCol w:w="1063"/>
        <w:gridCol w:w="2318"/>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46" w:hRule="atLeast"/>
          <w:jc w:val="center"/>
        </w:trPr>
        <w:tc>
          <w:tcPr>
            <w:tcW w:w="51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宋体" w:eastAsia="宋体"/>
                <w:color w:val="auto"/>
              </w:rPr>
              <w:t>环境要素</w:t>
            </w:r>
          </w:p>
        </w:tc>
        <w:tc>
          <w:tcPr>
            <w:tcW w:w="1102"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宋体" w:eastAsia="宋体"/>
                <w:color w:val="auto"/>
              </w:rPr>
              <w:t>保护目标名称</w:t>
            </w:r>
          </w:p>
        </w:tc>
        <w:tc>
          <w:tcPr>
            <w:tcW w:w="58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宋体" w:eastAsia="宋体"/>
                <w:color w:val="auto"/>
              </w:rPr>
              <w:t>方位</w:t>
            </w:r>
          </w:p>
        </w:tc>
        <w:tc>
          <w:tcPr>
            <w:tcW w:w="985"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宋体" w:eastAsia="宋体"/>
                <w:color w:val="auto"/>
              </w:rPr>
              <w:t>项目厂界距离</w:t>
            </w:r>
            <w:r>
              <w:rPr>
                <w:rFonts w:hAnsi="Times New Roman" w:eastAsia="宋体"/>
                <w:color w:val="auto"/>
              </w:rPr>
              <w:t>/m</w:t>
            </w:r>
          </w:p>
        </w:tc>
        <w:tc>
          <w:tcPr>
            <w:tcW w:w="56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宋体" w:eastAsia="宋体"/>
                <w:color w:val="auto"/>
              </w:rPr>
              <w:t>规模</w:t>
            </w:r>
          </w:p>
        </w:tc>
        <w:tc>
          <w:tcPr>
            <w:tcW w:w="1241"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宋体" w:eastAsia="宋体"/>
                <w:color w:val="auto"/>
              </w:rPr>
              <w:t>环境功能</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 w:hRule="atLeast"/>
          <w:jc w:val="center"/>
        </w:trPr>
        <w:tc>
          <w:tcPr>
            <w:tcW w:w="518" w:type="pct"/>
            <w:vMerge w:val="restar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宋体" w:eastAsia="宋体"/>
                <w:color w:val="auto"/>
              </w:rPr>
              <w:t>排水口（经开区白水湖污水处理厂排水口）</w:t>
            </w:r>
          </w:p>
        </w:tc>
        <w:tc>
          <w:tcPr>
            <w:tcW w:w="1102"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宋体" w:eastAsia="宋体"/>
                <w:color w:val="auto"/>
              </w:rPr>
              <w:t>赣江西河（鸡笼山</w:t>
            </w:r>
            <w:r>
              <w:rPr>
                <w:rFonts w:hAnsi="Times New Roman" w:eastAsia="宋体"/>
                <w:color w:val="auto"/>
              </w:rPr>
              <w:t>-</w:t>
            </w:r>
            <w:r>
              <w:rPr>
                <w:rFonts w:hAnsi="宋体" w:eastAsia="宋体"/>
                <w:color w:val="auto"/>
              </w:rPr>
              <w:t>西河砖瓦厂段）</w:t>
            </w:r>
          </w:p>
        </w:tc>
        <w:tc>
          <w:tcPr>
            <w:tcW w:w="58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Times New Roman" w:eastAsia="宋体"/>
                <w:color w:val="auto"/>
              </w:rPr>
              <w:t>S</w:t>
            </w:r>
          </w:p>
        </w:tc>
        <w:tc>
          <w:tcPr>
            <w:tcW w:w="985"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Times New Roman" w:eastAsia="宋体"/>
                <w:color w:val="auto"/>
              </w:rPr>
              <w:t>70m</w:t>
            </w:r>
          </w:p>
        </w:tc>
        <w:tc>
          <w:tcPr>
            <w:tcW w:w="56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宋体" w:eastAsia="宋体"/>
                <w:color w:val="auto"/>
              </w:rPr>
              <w:t>大河</w:t>
            </w:r>
          </w:p>
        </w:tc>
        <w:tc>
          <w:tcPr>
            <w:tcW w:w="1241"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宋体" w:eastAsia="宋体"/>
                <w:color w:val="auto"/>
              </w:rPr>
              <w:t>《地表水环境质量标准》（</w:t>
            </w:r>
            <w:r>
              <w:rPr>
                <w:rFonts w:hAnsi="Times New Roman" w:eastAsia="宋体"/>
                <w:color w:val="auto"/>
              </w:rPr>
              <w:t>GB3838-2002</w:t>
            </w:r>
            <w:r>
              <w:rPr>
                <w:rFonts w:hAnsi="宋体" w:eastAsia="宋体"/>
                <w:color w:val="auto"/>
              </w:rPr>
              <w:t>）Ⅳ类</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 w:hRule="atLeast"/>
          <w:jc w:val="center"/>
        </w:trPr>
        <w:tc>
          <w:tcPr>
            <w:tcW w:w="518" w:type="pct"/>
            <w:vMerge w:val="continue"/>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p>
        </w:tc>
        <w:tc>
          <w:tcPr>
            <w:tcW w:w="1102"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宋体" w:eastAsia="宋体"/>
                <w:color w:val="auto"/>
              </w:rPr>
              <w:t>赣江西河（西河砖</w:t>
            </w:r>
            <w:r>
              <w:rPr>
                <w:rFonts w:hAnsi="Times New Roman" w:eastAsia="宋体"/>
                <w:color w:val="auto"/>
              </w:rPr>
              <w:t xml:space="preserve"> </w:t>
            </w:r>
            <w:r>
              <w:rPr>
                <w:rFonts w:hAnsi="宋体" w:eastAsia="宋体"/>
                <w:color w:val="auto"/>
              </w:rPr>
              <w:t>瓦厂</w:t>
            </w:r>
            <w:r>
              <w:rPr>
                <w:rFonts w:hAnsi="Times New Roman" w:eastAsia="宋体"/>
                <w:color w:val="auto"/>
              </w:rPr>
              <w:t>-</w:t>
            </w:r>
            <w:r>
              <w:rPr>
                <w:rFonts w:hAnsi="宋体" w:eastAsia="宋体"/>
                <w:color w:val="auto"/>
              </w:rPr>
              <w:t>戴家段）</w:t>
            </w:r>
          </w:p>
        </w:tc>
        <w:tc>
          <w:tcPr>
            <w:tcW w:w="58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Times New Roman" w:eastAsia="宋体"/>
                <w:color w:val="auto"/>
              </w:rPr>
              <w:t>E</w:t>
            </w:r>
          </w:p>
        </w:tc>
        <w:tc>
          <w:tcPr>
            <w:tcW w:w="985"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Times New Roman" w:eastAsia="宋体"/>
                <w:color w:val="auto"/>
              </w:rPr>
              <w:t>1500m</w:t>
            </w:r>
          </w:p>
        </w:tc>
        <w:tc>
          <w:tcPr>
            <w:tcW w:w="56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宋体" w:eastAsia="宋体"/>
                <w:color w:val="auto"/>
              </w:rPr>
              <w:t>大河</w:t>
            </w:r>
          </w:p>
        </w:tc>
        <w:tc>
          <w:tcPr>
            <w:tcW w:w="1241"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宋体" w:eastAsia="宋体"/>
                <w:color w:val="auto"/>
              </w:rPr>
              <w:t>《地表水环境质量标准》（</w:t>
            </w:r>
            <w:r>
              <w:rPr>
                <w:rFonts w:hAnsi="Times New Roman" w:eastAsia="宋体"/>
                <w:color w:val="auto"/>
              </w:rPr>
              <w:t>GB3838-2002</w:t>
            </w:r>
            <w:r>
              <w:rPr>
                <w:rFonts w:hAnsi="宋体" w:eastAsia="宋体"/>
                <w:color w:val="auto"/>
              </w:rPr>
              <w:t>）Ⅲ类</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 w:hRule="atLeast"/>
          <w:jc w:val="center"/>
        </w:trPr>
        <w:tc>
          <w:tcPr>
            <w:tcW w:w="518" w:type="pct"/>
            <w:vMerge w:val="continue"/>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p>
        </w:tc>
        <w:tc>
          <w:tcPr>
            <w:tcW w:w="1102"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宋体" w:eastAsia="宋体"/>
                <w:color w:val="auto"/>
              </w:rPr>
              <w:t>双港取水口</w:t>
            </w:r>
          </w:p>
        </w:tc>
        <w:tc>
          <w:tcPr>
            <w:tcW w:w="58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Times New Roman" w:eastAsia="宋体"/>
                <w:color w:val="auto"/>
              </w:rPr>
              <w:t>SW</w:t>
            </w:r>
          </w:p>
        </w:tc>
        <w:tc>
          <w:tcPr>
            <w:tcW w:w="1554" w:type="pct"/>
            <w:gridSpan w:val="2"/>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宋体" w:eastAsia="宋体"/>
                <w:color w:val="auto"/>
              </w:rPr>
              <w:t>排口上游</w:t>
            </w:r>
            <w:r>
              <w:rPr>
                <w:rFonts w:hAnsi="Times New Roman" w:eastAsia="宋体"/>
                <w:color w:val="auto"/>
              </w:rPr>
              <w:t xml:space="preserve"> 7.6km</w:t>
            </w:r>
          </w:p>
        </w:tc>
        <w:tc>
          <w:tcPr>
            <w:tcW w:w="1241" w:type="pct"/>
            <w:vMerge w:val="restar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宋体" w:eastAsia="宋体"/>
                <w:color w:val="auto"/>
              </w:rPr>
              <w:t>《地表水环境质量标准》</w:t>
            </w:r>
          </w:p>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宋体" w:eastAsia="宋体"/>
                <w:color w:val="auto"/>
              </w:rPr>
              <w:t>（</w:t>
            </w:r>
            <w:r>
              <w:rPr>
                <w:rFonts w:hAnsi="Times New Roman" w:eastAsia="宋体"/>
                <w:color w:val="auto"/>
              </w:rPr>
              <w:t>GB3838-2002</w:t>
            </w:r>
            <w:r>
              <w:rPr>
                <w:rFonts w:hAnsi="宋体" w:eastAsia="宋体"/>
                <w:color w:val="auto"/>
              </w:rPr>
              <w:t>）Ⅱ类</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 w:hRule="atLeast"/>
          <w:jc w:val="center"/>
        </w:trPr>
        <w:tc>
          <w:tcPr>
            <w:tcW w:w="518" w:type="pct"/>
            <w:vMerge w:val="continue"/>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p>
        </w:tc>
        <w:tc>
          <w:tcPr>
            <w:tcW w:w="1102"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宋体" w:eastAsia="宋体"/>
                <w:color w:val="auto"/>
              </w:rPr>
              <w:t>城北取水口</w:t>
            </w:r>
          </w:p>
        </w:tc>
        <w:tc>
          <w:tcPr>
            <w:tcW w:w="58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Times New Roman" w:eastAsia="宋体"/>
                <w:color w:val="auto"/>
              </w:rPr>
              <w:t>SW</w:t>
            </w:r>
          </w:p>
        </w:tc>
        <w:tc>
          <w:tcPr>
            <w:tcW w:w="1554" w:type="pct"/>
            <w:gridSpan w:val="2"/>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宋体" w:eastAsia="宋体"/>
                <w:color w:val="auto"/>
              </w:rPr>
              <w:t>排口上游</w:t>
            </w:r>
            <w:r>
              <w:rPr>
                <w:rFonts w:hAnsi="Times New Roman" w:eastAsia="宋体"/>
                <w:color w:val="auto"/>
              </w:rPr>
              <w:t xml:space="preserve"> 7.7km</w:t>
            </w:r>
          </w:p>
        </w:tc>
        <w:tc>
          <w:tcPr>
            <w:tcW w:w="1241" w:type="pct"/>
            <w:vMerge w:val="continue"/>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 w:hRule="atLeast"/>
          <w:jc w:val="center"/>
        </w:trPr>
        <w:tc>
          <w:tcPr>
            <w:tcW w:w="518" w:type="pct"/>
            <w:vMerge w:val="continue"/>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p>
        </w:tc>
        <w:tc>
          <w:tcPr>
            <w:tcW w:w="1102"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宋体" w:eastAsia="宋体"/>
                <w:color w:val="auto"/>
              </w:rPr>
              <w:t>晨鸣纸业取水口（工业取水口）</w:t>
            </w:r>
          </w:p>
        </w:tc>
        <w:tc>
          <w:tcPr>
            <w:tcW w:w="58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Times New Roman" w:eastAsia="宋体"/>
                <w:color w:val="auto"/>
              </w:rPr>
              <w:t>S</w:t>
            </w:r>
          </w:p>
        </w:tc>
        <w:tc>
          <w:tcPr>
            <w:tcW w:w="1554" w:type="pct"/>
            <w:gridSpan w:val="2"/>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宋体" w:eastAsia="宋体"/>
                <w:color w:val="auto"/>
              </w:rPr>
              <w:t>排口上游</w:t>
            </w:r>
            <w:r>
              <w:rPr>
                <w:rFonts w:hAnsi="Times New Roman" w:eastAsia="宋体"/>
                <w:color w:val="auto"/>
              </w:rPr>
              <w:t xml:space="preserve"> 1.4km</w:t>
            </w:r>
          </w:p>
        </w:tc>
        <w:tc>
          <w:tcPr>
            <w:tcW w:w="1241" w:type="pct"/>
            <w:vMerge w:val="continue"/>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 w:hRule="atLeast"/>
          <w:jc w:val="center"/>
        </w:trPr>
        <w:tc>
          <w:tcPr>
            <w:tcW w:w="518" w:type="pct"/>
            <w:vMerge w:val="continue"/>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p>
        </w:tc>
        <w:tc>
          <w:tcPr>
            <w:tcW w:w="1102"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宋体" w:eastAsia="宋体"/>
                <w:color w:val="auto"/>
              </w:rPr>
              <w:t>樵舍镇取水口（分散式取水口）</w:t>
            </w:r>
          </w:p>
        </w:tc>
        <w:tc>
          <w:tcPr>
            <w:tcW w:w="58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Times New Roman" w:eastAsia="宋体"/>
                <w:color w:val="auto"/>
              </w:rPr>
              <w:t>NE</w:t>
            </w:r>
          </w:p>
        </w:tc>
        <w:tc>
          <w:tcPr>
            <w:tcW w:w="1554" w:type="pct"/>
            <w:gridSpan w:val="2"/>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宋体" w:eastAsia="宋体"/>
                <w:color w:val="auto"/>
              </w:rPr>
              <w:t>排口下游</w:t>
            </w:r>
            <w:r>
              <w:rPr>
                <w:rFonts w:hAnsi="Times New Roman" w:eastAsia="宋体"/>
                <w:color w:val="auto"/>
              </w:rPr>
              <w:t xml:space="preserve"> 13.5km</w:t>
            </w:r>
          </w:p>
        </w:tc>
        <w:tc>
          <w:tcPr>
            <w:tcW w:w="1241" w:type="pct"/>
            <w:vMerge w:val="continue"/>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 w:hRule="atLeast"/>
          <w:jc w:val="center"/>
        </w:trPr>
        <w:tc>
          <w:tcPr>
            <w:tcW w:w="518" w:type="pct"/>
            <w:vMerge w:val="continue"/>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p>
        </w:tc>
        <w:tc>
          <w:tcPr>
            <w:tcW w:w="1102"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宋体" w:eastAsia="宋体"/>
                <w:color w:val="auto"/>
              </w:rPr>
              <w:t>新昌电厂取水口</w:t>
            </w:r>
          </w:p>
        </w:tc>
        <w:tc>
          <w:tcPr>
            <w:tcW w:w="58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Times New Roman" w:eastAsia="宋体"/>
                <w:color w:val="auto"/>
              </w:rPr>
              <w:t>NE</w:t>
            </w:r>
          </w:p>
        </w:tc>
        <w:tc>
          <w:tcPr>
            <w:tcW w:w="1554" w:type="pct"/>
            <w:gridSpan w:val="2"/>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r>
              <w:rPr>
                <w:rFonts w:hAnsi="宋体" w:eastAsia="宋体"/>
                <w:color w:val="auto"/>
              </w:rPr>
              <w:t>排口下游</w:t>
            </w:r>
            <w:r>
              <w:rPr>
                <w:rFonts w:hAnsi="Times New Roman" w:eastAsia="宋体"/>
                <w:color w:val="auto"/>
              </w:rPr>
              <w:t xml:space="preserve"> 13.5km</w:t>
            </w:r>
          </w:p>
        </w:tc>
        <w:tc>
          <w:tcPr>
            <w:tcW w:w="1241" w:type="pct"/>
            <w:vMerge w:val="continue"/>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color w:val="auto"/>
              </w:rPr>
            </w:pPr>
          </w:p>
        </w:tc>
      </w:tr>
    </w:tbl>
    <w:p>
      <w:pPr>
        <w:pStyle w:val="2"/>
        <w:rPr>
          <w:rFonts w:hint="eastAsia"/>
          <w:lang w:eastAsia="zh-CN"/>
        </w:rPr>
      </w:pPr>
    </w:p>
    <w:p>
      <w:pPr>
        <w:ind w:firstLine="560"/>
      </w:pPr>
      <w:r>
        <w:rPr>
          <w:rFonts w:hint="eastAsia"/>
        </w:rPr>
        <w:t>经调查雨水、污水排口下游10公里范围内不涉及《企业突发环境事件风险分级方法》表7（即</w:t>
      </w:r>
      <w:r>
        <w:fldChar w:fldCharType="begin"/>
      </w:r>
      <w:r>
        <w:instrText xml:space="preserve"> </w:instrText>
      </w:r>
      <w:r>
        <w:rPr>
          <w:rFonts w:hint="eastAsia"/>
        </w:rPr>
        <w:instrText xml:space="preserve">REF _Ref526606226 \h</w:instrText>
      </w:r>
      <w:r>
        <w:instrText xml:space="preserve"> </w:instrText>
      </w:r>
      <w:r>
        <w:fldChar w:fldCharType="separate"/>
      </w:r>
      <w:r>
        <w:rPr>
          <w:rFonts w:hint="eastAsia"/>
        </w:rPr>
        <w:t xml:space="preserve">表 </w:t>
      </w:r>
      <w:r>
        <w:t>3</w:t>
      </w:r>
      <w:r>
        <w:noBreakHyphen/>
      </w:r>
      <w:r>
        <w:t>7</w:t>
      </w:r>
      <w:r>
        <w:fldChar w:fldCharType="end"/>
      </w:r>
      <w:r>
        <w:rPr>
          <w:rFonts w:hint="eastAsia"/>
        </w:rPr>
        <w:t>）中类型1和类型2的情况，属于类型E3。</w:t>
      </w:r>
    </w:p>
    <w:p>
      <w:pPr>
        <w:pStyle w:val="8"/>
        <w:keepNext/>
      </w:pPr>
      <w:bookmarkStart w:id="223" w:name="_Ref526606226"/>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3</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7</w:t>
      </w:r>
      <w:r>
        <w:fldChar w:fldCharType="end"/>
      </w:r>
      <w:bookmarkEnd w:id="223"/>
      <w:r>
        <w:rPr>
          <w:rFonts w:hint="eastAsia"/>
        </w:rPr>
        <w:t>企业周边水环境风险受体情况划分</w:t>
      </w:r>
    </w:p>
    <w:tbl>
      <w:tblPr>
        <w:tblStyle w:val="15"/>
        <w:tblW w:w="5000" w:type="pct"/>
        <w:jc w:val="center"/>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Layout w:type="autofit"/>
        <w:tblCellMar>
          <w:top w:w="0" w:type="dxa"/>
          <w:left w:w="108" w:type="dxa"/>
          <w:bottom w:w="0" w:type="dxa"/>
          <w:right w:w="108" w:type="dxa"/>
        </w:tblCellMar>
      </w:tblPr>
      <w:tblGrid>
        <w:gridCol w:w="1076"/>
        <w:gridCol w:w="8268"/>
      </w:tblGrid>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108" w:type="dxa"/>
            <w:bottom w:w="0" w:type="dxa"/>
            <w:right w:w="108" w:type="dxa"/>
          </w:tblCellMar>
        </w:tblPrEx>
        <w:trPr>
          <w:trHeight w:val="425" w:hRule="atLeast"/>
          <w:tblHeader/>
          <w:jc w:val="center"/>
        </w:trPr>
        <w:tc>
          <w:tcPr>
            <w:tcW w:w="576"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类别</w:t>
            </w:r>
          </w:p>
        </w:tc>
        <w:tc>
          <w:tcPr>
            <w:tcW w:w="4424" w:type="pct"/>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水</w:t>
            </w:r>
            <w:r>
              <w:rPr>
                <w:rFonts w:cs="Times New Roman"/>
                <w:color w:val="000000"/>
                <w:kern w:val="0"/>
                <w:sz w:val="21"/>
                <w:szCs w:val="21"/>
              </w:rPr>
              <w:t>环境风险受体</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108" w:type="dxa"/>
            <w:bottom w:w="0" w:type="dxa"/>
            <w:right w:w="108" w:type="dxa"/>
          </w:tblCellMar>
        </w:tblPrEx>
        <w:trPr>
          <w:trHeight w:val="425" w:hRule="atLeast"/>
          <w:jc w:val="center"/>
        </w:trPr>
        <w:tc>
          <w:tcPr>
            <w:tcW w:w="576"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类型1（E1）</w:t>
            </w:r>
          </w:p>
        </w:tc>
        <w:tc>
          <w:tcPr>
            <w:tcW w:w="4424" w:type="pct"/>
            <w:vAlign w:val="center"/>
          </w:tcPr>
          <w:p>
            <w:pPr>
              <w:widowControl/>
              <w:spacing w:line="240" w:lineRule="auto"/>
              <w:ind w:firstLine="0" w:firstLineChars="0"/>
              <w:jc w:val="left"/>
              <w:rPr>
                <w:rFonts w:cs="Times New Roman"/>
                <w:color w:val="000000"/>
                <w:kern w:val="0"/>
                <w:sz w:val="21"/>
                <w:szCs w:val="21"/>
              </w:rPr>
            </w:pPr>
            <w:r>
              <w:rPr>
                <w:rFonts w:cs="Times New Roman"/>
                <w:color w:val="000000"/>
                <w:kern w:val="0"/>
                <w:sz w:val="21"/>
                <w:szCs w:val="21"/>
              </w:rPr>
              <w:t>1</w:t>
            </w:r>
            <w:r>
              <w:rPr>
                <w:rFonts w:hint="eastAsia" w:cs="Times New Roman"/>
                <w:color w:val="000000"/>
                <w:kern w:val="0"/>
                <w:sz w:val="21"/>
                <w:szCs w:val="21"/>
              </w:rPr>
              <w:t>、企业雨水排口、清净废水排口、污水排口下游10公里流经范围内有如下一类或多类环境风险受体：集中式地表水、地下水饮用水水源保护区(包括一级保护区、二级保护区及准保护区)：农村及分散式饮用水水源保护区；</w:t>
            </w:r>
          </w:p>
          <w:p>
            <w:pPr>
              <w:widowControl/>
              <w:spacing w:line="240" w:lineRule="auto"/>
              <w:ind w:firstLine="0" w:firstLineChars="0"/>
              <w:jc w:val="left"/>
              <w:rPr>
                <w:rFonts w:cs="Times New Roman"/>
                <w:color w:val="000000"/>
                <w:kern w:val="0"/>
                <w:sz w:val="21"/>
                <w:szCs w:val="21"/>
              </w:rPr>
            </w:pPr>
            <w:r>
              <w:rPr>
                <w:rFonts w:hint="eastAsia" w:cs="Times New Roman"/>
                <w:color w:val="000000"/>
                <w:kern w:val="0"/>
                <w:sz w:val="21"/>
                <w:szCs w:val="21"/>
              </w:rPr>
              <w:t>2、废水排入受纳水体后24小时流经范围(按受纳河流最大日均流速计算)内涉及跨国界的。</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108" w:type="dxa"/>
            <w:bottom w:w="0" w:type="dxa"/>
            <w:right w:w="108" w:type="dxa"/>
          </w:tblCellMar>
        </w:tblPrEx>
        <w:trPr>
          <w:trHeight w:val="425" w:hRule="atLeast"/>
          <w:jc w:val="center"/>
        </w:trPr>
        <w:tc>
          <w:tcPr>
            <w:tcW w:w="576"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类型2（E2）</w:t>
            </w:r>
          </w:p>
        </w:tc>
        <w:tc>
          <w:tcPr>
            <w:tcW w:w="4424" w:type="pct"/>
            <w:vAlign w:val="center"/>
          </w:tcPr>
          <w:p>
            <w:pPr>
              <w:widowControl/>
              <w:spacing w:line="240" w:lineRule="auto"/>
              <w:ind w:firstLine="0" w:firstLineChars="0"/>
              <w:jc w:val="left"/>
              <w:rPr>
                <w:rFonts w:cs="Times New Roman"/>
                <w:color w:val="000000"/>
                <w:kern w:val="0"/>
                <w:sz w:val="21"/>
                <w:szCs w:val="21"/>
              </w:rPr>
            </w:pPr>
            <w:r>
              <w:rPr>
                <w:rFonts w:hint="eastAsia" w:cs="Times New Roman"/>
                <w:color w:val="000000"/>
                <w:kern w:val="0"/>
                <w:sz w:val="21"/>
                <w:szCs w:val="21"/>
              </w:rPr>
              <w:t>1、企业雨水排口、清净废水排口、污水排口下游10公里流经范围内有生态保护红线划定的或具有水生态服务功能的其他水生态环境敏感区和脆弱区，如国家公园，国家级和省级水产种质资源保护区，水产养殖区，天然渔场，海水浴场，盐场保护区，国家重要湿地，国家级和地方级海洋特别保护区，国家级和地方级海洋自然保护区，生物多样性保护优先区域，国家级和地方级自然保护区，国家级和省级风景名胜区，世界文化和自然遗产地，国家级和省级森林公园，世界、国家和省级地质公园，基本农田保护区，基本草原；</w:t>
            </w:r>
          </w:p>
          <w:p>
            <w:pPr>
              <w:widowControl/>
              <w:spacing w:line="240" w:lineRule="auto"/>
              <w:ind w:firstLine="0" w:firstLineChars="0"/>
              <w:jc w:val="left"/>
              <w:rPr>
                <w:rFonts w:cs="Times New Roman"/>
                <w:color w:val="000000"/>
                <w:kern w:val="0"/>
                <w:sz w:val="21"/>
                <w:szCs w:val="21"/>
              </w:rPr>
            </w:pPr>
            <w:r>
              <w:rPr>
                <w:rFonts w:hint="eastAsia" w:cs="Times New Roman"/>
                <w:color w:val="000000"/>
                <w:kern w:val="0"/>
                <w:sz w:val="21"/>
                <w:szCs w:val="21"/>
              </w:rPr>
              <w:t>2、企业雨水排口、清净废水排口、污水排口下游10公里流经范围内涉及跨省界的；</w:t>
            </w:r>
          </w:p>
          <w:p>
            <w:pPr>
              <w:widowControl/>
              <w:spacing w:line="240" w:lineRule="auto"/>
              <w:ind w:firstLine="0" w:firstLineChars="0"/>
              <w:jc w:val="left"/>
              <w:rPr>
                <w:rFonts w:cs="Times New Roman"/>
                <w:color w:val="000000"/>
                <w:kern w:val="0"/>
                <w:sz w:val="21"/>
                <w:szCs w:val="21"/>
              </w:rPr>
            </w:pPr>
            <w:r>
              <w:rPr>
                <w:rFonts w:cs="Times New Roman"/>
                <w:color w:val="000000"/>
                <w:kern w:val="0"/>
                <w:sz w:val="21"/>
                <w:szCs w:val="21"/>
              </w:rPr>
              <w:t>3</w:t>
            </w:r>
            <w:r>
              <w:rPr>
                <w:rFonts w:hint="eastAsia" w:cs="Times New Roman"/>
                <w:color w:val="000000"/>
                <w:kern w:val="0"/>
                <w:sz w:val="21"/>
                <w:szCs w:val="21"/>
              </w:rPr>
              <w:t>、企业位于溶岩地貌、泄洪区、泥石流多发等地区。</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108" w:type="dxa"/>
            <w:bottom w:w="0" w:type="dxa"/>
            <w:right w:w="108" w:type="dxa"/>
          </w:tblCellMar>
        </w:tblPrEx>
        <w:trPr>
          <w:trHeight w:val="425" w:hRule="atLeast"/>
          <w:jc w:val="center"/>
        </w:trPr>
        <w:tc>
          <w:tcPr>
            <w:tcW w:w="576"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类型3（E3）</w:t>
            </w:r>
          </w:p>
        </w:tc>
        <w:tc>
          <w:tcPr>
            <w:tcW w:w="4424" w:type="pct"/>
            <w:vAlign w:val="center"/>
          </w:tcPr>
          <w:p>
            <w:pPr>
              <w:widowControl/>
              <w:spacing w:line="240" w:lineRule="auto"/>
              <w:ind w:firstLine="0" w:firstLineChars="0"/>
              <w:jc w:val="left"/>
              <w:rPr>
                <w:rFonts w:cs="Times New Roman"/>
                <w:color w:val="000000"/>
                <w:kern w:val="0"/>
                <w:sz w:val="21"/>
                <w:szCs w:val="21"/>
              </w:rPr>
            </w:pPr>
            <w:r>
              <w:rPr>
                <w:rFonts w:hint="eastAsia" w:cs="Times New Roman"/>
                <w:color w:val="000000"/>
                <w:kern w:val="0"/>
                <w:sz w:val="21"/>
                <w:szCs w:val="21"/>
              </w:rPr>
              <w:t>不涉及类型1和类型2情况。</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108" w:type="dxa"/>
            <w:bottom w:w="0" w:type="dxa"/>
            <w:right w:w="108" w:type="dxa"/>
          </w:tblCellMar>
        </w:tblPrEx>
        <w:trPr>
          <w:trHeight w:val="425" w:hRule="atLeast"/>
          <w:jc w:val="center"/>
        </w:trPr>
        <w:tc>
          <w:tcPr>
            <w:tcW w:w="5000" w:type="pct"/>
            <w:gridSpan w:val="2"/>
            <w:vAlign w:val="center"/>
          </w:tcPr>
          <w:p>
            <w:pPr>
              <w:widowControl/>
              <w:spacing w:line="240" w:lineRule="auto"/>
              <w:ind w:firstLine="0" w:firstLineChars="0"/>
              <w:jc w:val="left"/>
              <w:rPr>
                <w:rFonts w:cs="Times New Roman"/>
                <w:color w:val="000000"/>
                <w:kern w:val="0"/>
                <w:sz w:val="21"/>
                <w:szCs w:val="21"/>
              </w:rPr>
            </w:pPr>
            <w:r>
              <w:rPr>
                <w:rFonts w:hint="eastAsia" w:cs="Times New Roman"/>
                <w:color w:val="000000"/>
                <w:kern w:val="0"/>
                <w:sz w:val="21"/>
                <w:szCs w:val="21"/>
              </w:rPr>
              <w:t>注：本表中规定的距离范围以到各类水环境保护目标或保护区域的边界为准。</w:t>
            </w:r>
          </w:p>
        </w:tc>
      </w:tr>
    </w:tbl>
    <w:p>
      <w:pPr>
        <w:pStyle w:val="5"/>
        <w:numPr>
          <w:ilvl w:val="1"/>
          <w:numId w:val="0"/>
        </w:numPr>
        <w:bidi w:val="0"/>
        <w:ind w:leftChars="0"/>
      </w:pPr>
      <w:bookmarkStart w:id="224" w:name="_Toc15778"/>
      <w:bookmarkStart w:id="225" w:name="_Toc527104512"/>
      <w:r>
        <w:rPr>
          <w:rFonts w:hint="eastAsia"/>
          <w:lang w:val="en-US" w:eastAsia="zh-CN"/>
        </w:rPr>
        <w:t>3.3</w:t>
      </w:r>
      <w:r>
        <w:rPr>
          <w:rFonts w:hint="eastAsia"/>
        </w:rPr>
        <w:t>涉及环境风险物质情况</w:t>
      </w:r>
      <w:bookmarkEnd w:id="224"/>
      <w:bookmarkEnd w:id="225"/>
    </w:p>
    <w:p>
      <w:pPr>
        <w:pStyle w:val="6"/>
        <w:numPr>
          <w:ilvl w:val="2"/>
          <w:numId w:val="0"/>
        </w:numPr>
        <w:bidi w:val="0"/>
        <w:ind w:leftChars="0"/>
      </w:pPr>
      <w:r>
        <w:rPr>
          <w:rFonts w:hint="eastAsia"/>
          <w:lang w:val="en-US" w:eastAsia="zh-CN"/>
        </w:rPr>
        <w:t>3.3.1</w:t>
      </w:r>
      <w:r>
        <w:rPr>
          <w:rFonts w:hint="eastAsia"/>
        </w:rPr>
        <w:t>风险物质识别</w:t>
      </w:r>
    </w:p>
    <w:p>
      <w:pPr>
        <w:ind w:firstLine="560"/>
      </w:pPr>
      <w:bookmarkStart w:id="226" w:name="_Hlk526950075"/>
      <w:r>
        <w:rPr>
          <w:rFonts w:hint="eastAsia"/>
        </w:rPr>
        <w:t>从公司生产全过程识别环境风险物质，包括原料、燃料、产品、中间产品、副产品、催化剂、辅料、“三废”污染物等。按照《危险化学品重大危险源识别》（GB 18218-2009）和《企业突发环境事件风险分级方法》（H</w:t>
      </w:r>
      <w:r>
        <w:t>J 941-2018</w:t>
      </w:r>
      <w:r>
        <w:rPr>
          <w:rFonts w:hint="eastAsia"/>
        </w:rPr>
        <w:t>）突发环境事件风险物质及临界量清单，本公司涉气风险物质和涉水风险物质情况详见</w:t>
      </w:r>
      <w:r>
        <w:fldChar w:fldCharType="begin"/>
      </w:r>
      <w:r>
        <w:instrText xml:space="preserve"> </w:instrText>
      </w:r>
      <w:r>
        <w:rPr>
          <w:rFonts w:hint="eastAsia"/>
        </w:rPr>
        <w:instrText xml:space="preserve">REF _Ref526609772 \h</w:instrText>
      </w:r>
      <w:r>
        <w:instrText xml:space="preserve"> </w:instrText>
      </w:r>
      <w:r>
        <w:fldChar w:fldCharType="separate"/>
      </w:r>
      <w:r>
        <w:rPr>
          <w:rFonts w:hint="eastAsia"/>
        </w:rPr>
        <w:t xml:space="preserve">表 </w:t>
      </w:r>
      <w:r>
        <w:t>3</w:t>
      </w:r>
      <w:r>
        <w:noBreakHyphen/>
      </w:r>
      <w:r>
        <w:t>8</w:t>
      </w:r>
      <w:r>
        <w:fldChar w:fldCharType="end"/>
      </w:r>
      <w:r>
        <w:rPr>
          <w:rFonts w:hint="eastAsia"/>
        </w:rPr>
        <w:t>。</w:t>
      </w:r>
    </w:p>
    <w:p>
      <w:pPr>
        <w:pStyle w:val="8"/>
        <w:keepNext/>
      </w:pPr>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3</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8</w:t>
      </w:r>
      <w:r>
        <w:fldChar w:fldCharType="end"/>
      </w:r>
      <w:r>
        <w:rPr>
          <w:rFonts w:hint="eastAsia"/>
        </w:rPr>
        <w:t>风险物质一览表</w:t>
      </w:r>
      <w:bookmarkEnd w:id="226"/>
      <w:bookmarkStart w:id="227" w:name="_Hlk526950103"/>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1"/>
        <w:gridCol w:w="1366"/>
        <w:gridCol w:w="1282"/>
        <w:gridCol w:w="1500"/>
        <w:gridCol w:w="914"/>
        <w:gridCol w:w="899"/>
        <w:gridCol w:w="980"/>
        <w:gridCol w:w="8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391" w:type="dxa"/>
            <w:vAlign w:val="center"/>
          </w:tcPr>
          <w:p>
            <w:pPr>
              <w:widowControl/>
              <w:spacing w:line="240" w:lineRule="auto"/>
              <w:ind w:firstLine="0" w:firstLineChars="0"/>
              <w:jc w:val="center"/>
              <w:rPr>
                <w:rFonts w:cs="Times New Roman"/>
                <w:color w:val="000000"/>
                <w:kern w:val="0"/>
                <w:sz w:val="21"/>
                <w:szCs w:val="21"/>
                <w:highlight w:val="none"/>
              </w:rPr>
            </w:pPr>
            <w:r>
              <w:rPr>
                <w:rFonts w:hint="eastAsia" w:cs="Times New Roman"/>
                <w:color w:val="000000"/>
                <w:kern w:val="0"/>
                <w:sz w:val="21"/>
                <w:szCs w:val="21"/>
                <w:highlight w:val="none"/>
              </w:rPr>
              <w:t>名称</w:t>
            </w:r>
          </w:p>
        </w:tc>
        <w:tc>
          <w:tcPr>
            <w:tcW w:w="1366" w:type="dxa"/>
            <w:vAlign w:val="center"/>
          </w:tcPr>
          <w:p>
            <w:pPr>
              <w:widowControl/>
              <w:spacing w:line="240" w:lineRule="auto"/>
              <w:ind w:firstLine="0" w:firstLineChars="0"/>
              <w:jc w:val="center"/>
              <w:rPr>
                <w:rFonts w:cs="Times New Roman"/>
                <w:color w:val="000000"/>
                <w:kern w:val="0"/>
                <w:sz w:val="21"/>
                <w:szCs w:val="21"/>
                <w:highlight w:val="none"/>
              </w:rPr>
            </w:pPr>
            <w:r>
              <w:rPr>
                <w:rFonts w:hint="eastAsia" w:cs="Times New Roman"/>
                <w:color w:val="000000"/>
                <w:kern w:val="0"/>
                <w:sz w:val="21"/>
                <w:szCs w:val="21"/>
                <w:highlight w:val="none"/>
              </w:rPr>
              <w:t>C</w:t>
            </w:r>
            <w:r>
              <w:rPr>
                <w:rFonts w:cs="Times New Roman"/>
                <w:color w:val="000000"/>
                <w:kern w:val="0"/>
                <w:sz w:val="21"/>
                <w:szCs w:val="21"/>
                <w:highlight w:val="none"/>
              </w:rPr>
              <w:t>AS</w:t>
            </w:r>
            <w:r>
              <w:rPr>
                <w:rFonts w:hint="eastAsia" w:cs="Times New Roman"/>
                <w:color w:val="000000"/>
                <w:kern w:val="0"/>
                <w:sz w:val="21"/>
                <w:szCs w:val="21"/>
                <w:highlight w:val="none"/>
              </w:rPr>
              <w:t>号</w:t>
            </w:r>
          </w:p>
        </w:tc>
        <w:tc>
          <w:tcPr>
            <w:tcW w:w="1282" w:type="dxa"/>
            <w:vAlign w:val="center"/>
          </w:tcPr>
          <w:p>
            <w:pPr>
              <w:widowControl/>
              <w:spacing w:line="240" w:lineRule="auto"/>
              <w:ind w:firstLine="0" w:firstLineChars="0"/>
              <w:jc w:val="center"/>
              <w:rPr>
                <w:rFonts w:cs="Times New Roman"/>
                <w:color w:val="000000"/>
                <w:kern w:val="0"/>
                <w:sz w:val="21"/>
                <w:szCs w:val="21"/>
                <w:highlight w:val="none"/>
              </w:rPr>
            </w:pPr>
            <w:r>
              <w:rPr>
                <w:rFonts w:hint="eastAsia" w:cs="Times New Roman"/>
                <w:color w:val="000000"/>
                <w:kern w:val="0"/>
                <w:sz w:val="21"/>
                <w:szCs w:val="21"/>
                <w:highlight w:val="none"/>
              </w:rPr>
              <w:t>最大</w:t>
            </w:r>
            <w:r>
              <w:rPr>
                <w:rFonts w:hint="eastAsia" w:cs="Times New Roman"/>
                <w:color w:val="000000"/>
                <w:kern w:val="0"/>
                <w:sz w:val="21"/>
                <w:szCs w:val="21"/>
                <w:highlight w:val="none"/>
                <w:lang w:eastAsia="zh-CN"/>
              </w:rPr>
              <w:t>存在</w:t>
            </w:r>
            <w:r>
              <w:rPr>
                <w:rFonts w:hint="eastAsia" w:cs="Times New Roman"/>
                <w:color w:val="000000"/>
                <w:kern w:val="0"/>
                <w:sz w:val="21"/>
                <w:szCs w:val="21"/>
                <w:highlight w:val="none"/>
              </w:rPr>
              <w:t>量</w:t>
            </w:r>
            <w:r>
              <w:rPr>
                <w:rFonts w:cs="Times New Roman"/>
                <w:color w:val="000000"/>
                <w:kern w:val="0"/>
                <w:sz w:val="21"/>
                <w:szCs w:val="21"/>
                <w:highlight w:val="none"/>
              </w:rPr>
              <w:t>w</w:t>
            </w:r>
            <w:r>
              <w:rPr>
                <w:rFonts w:hint="eastAsia" w:cs="Times New Roman"/>
                <w:color w:val="000000"/>
                <w:kern w:val="0"/>
                <w:sz w:val="21"/>
                <w:szCs w:val="21"/>
                <w:highlight w:val="none"/>
              </w:rPr>
              <w:t>（t）</w:t>
            </w:r>
          </w:p>
        </w:tc>
        <w:tc>
          <w:tcPr>
            <w:tcW w:w="1500" w:type="dxa"/>
            <w:vAlign w:val="center"/>
          </w:tcPr>
          <w:p>
            <w:pPr>
              <w:widowControl/>
              <w:spacing w:line="240" w:lineRule="auto"/>
              <w:ind w:firstLine="0" w:firstLineChars="0"/>
              <w:jc w:val="center"/>
              <w:rPr>
                <w:rFonts w:cs="Times New Roman"/>
                <w:color w:val="000000"/>
                <w:kern w:val="0"/>
                <w:sz w:val="21"/>
                <w:szCs w:val="21"/>
                <w:highlight w:val="none"/>
              </w:rPr>
            </w:pPr>
            <w:r>
              <w:rPr>
                <w:rFonts w:hint="eastAsia" w:cs="Times New Roman"/>
                <w:color w:val="000000"/>
                <w:kern w:val="0"/>
                <w:sz w:val="21"/>
                <w:szCs w:val="21"/>
                <w:highlight w:val="none"/>
              </w:rPr>
              <w:t>贮存方式</w:t>
            </w:r>
          </w:p>
        </w:tc>
        <w:tc>
          <w:tcPr>
            <w:tcW w:w="914" w:type="dxa"/>
            <w:vAlign w:val="center"/>
          </w:tcPr>
          <w:p>
            <w:pPr>
              <w:widowControl/>
              <w:spacing w:line="240" w:lineRule="auto"/>
              <w:ind w:firstLine="0" w:firstLineChars="0"/>
              <w:jc w:val="center"/>
              <w:rPr>
                <w:rFonts w:cs="Times New Roman"/>
                <w:color w:val="000000"/>
                <w:kern w:val="0"/>
                <w:sz w:val="21"/>
                <w:szCs w:val="21"/>
                <w:highlight w:val="none"/>
              </w:rPr>
            </w:pPr>
            <w:r>
              <w:rPr>
                <w:rFonts w:hint="eastAsia" w:cs="Times New Roman"/>
                <w:color w:val="000000"/>
                <w:kern w:val="0"/>
                <w:sz w:val="21"/>
                <w:szCs w:val="21"/>
                <w:highlight w:val="none"/>
              </w:rPr>
              <w:t>临界量</w:t>
            </w:r>
            <w:r>
              <w:rPr>
                <w:rFonts w:cs="Times New Roman"/>
                <w:color w:val="000000"/>
                <w:kern w:val="0"/>
                <w:sz w:val="21"/>
                <w:szCs w:val="21"/>
                <w:highlight w:val="none"/>
              </w:rPr>
              <w:t>W</w:t>
            </w:r>
            <w:r>
              <w:rPr>
                <w:rFonts w:hint="eastAsia" w:cs="Times New Roman"/>
                <w:color w:val="000000"/>
                <w:kern w:val="0"/>
                <w:sz w:val="21"/>
                <w:szCs w:val="21"/>
                <w:highlight w:val="none"/>
              </w:rPr>
              <w:t>（t）</w:t>
            </w:r>
          </w:p>
        </w:tc>
        <w:tc>
          <w:tcPr>
            <w:tcW w:w="899" w:type="dxa"/>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w/W</w:t>
            </w:r>
          </w:p>
        </w:tc>
        <w:tc>
          <w:tcPr>
            <w:tcW w:w="980" w:type="dxa"/>
            <w:vAlign w:val="center"/>
          </w:tcPr>
          <w:p>
            <w:pPr>
              <w:widowControl/>
              <w:spacing w:line="240" w:lineRule="auto"/>
              <w:ind w:firstLine="0" w:firstLineChars="0"/>
              <w:jc w:val="center"/>
              <w:rPr>
                <w:rFonts w:cs="Times New Roman"/>
                <w:color w:val="000000"/>
                <w:kern w:val="0"/>
                <w:sz w:val="21"/>
                <w:szCs w:val="21"/>
                <w:highlight w:val="none"/>
              </w:rPr>
            </w:pPr>
            <w:r>
              <w:rPr>
                <w:rFonts w:hint="eastAsia" w:cs="Times New Roman"/>
                <w:color w:val="000000"/>
                <w:kern w:val="0"/>
                <w:sz w:val="21"/>
                <w:szCs w:val="21"/>
                <w:highlight w:val="none"/>
              </w:rPr>
              <w:t>涉气风险物质</w:t>
            </w:r>
          </w:p>
        </w:tc>
        <w:tc>
          <w:tcPr>
            <w:tcW w:w="891" w:type="dxa"/>
            <w:vAlign w:val="center"/>
          </w:tcPr>
          <w:p>
            <w:pPr>
              <w:widowControl/>
              <w:spacing w:line="240" w:lineRule="auto"/>
              <w:ind w:firstLine="0" w:firstLineChars="0"/>
              <w:jc w:val="center"/>
              <w:rPr>
                <w:rFonts w:cs="Times New Roman"/>
                <w:color w:val="000000"/>
                <w:kern w:val="0"/>
                <w:sz w:val="21"/>
                <w:szCs w:val="21"/>
                <w:highlight w:val="none"/>
              </w:rPr>
            </w:pPr>
            <w:r>
              <w:rPr>
                <w:rFonts w:hint="eastAsia" w:cs="Times New Roman"/>
                <w:color w:val="000000"/>
                <w:kern w:val="0"/>
                <w:sz w:val="21"/>
                <w:szCs w:val="21"/>
                <w:highlight w:val="none"/>
              </w:rPr>
              <w:t>涉水风险物质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391" w:type="dxa"/>
            <w:vAlign w:val="center"/>
          </w:tcPr>
          <w:p>
            <w:pPr>
              <w:widowControl/>
              <w:spacing w:line="240" w:lineRule="auto"/>
              <w:ind w:firstLine="0" w:firstLineChars="0"/>
              <w:jc w:val="center"/>
              <w:rPr>
                <w:rFonts w:hint="eastAsia" w:cs="Times New Roman"/>
                <w:color w:val="000000" w:themeColor="text1"/>
                <w:kern w:val="0"/>
                <w:sz w:val="21"/>
                <w:szCs w:val="21"/>
                <w:highlight w:val="none"/>
                <w:lang w:eastAsia="zh-CN"/>
                <w14:textFill>
                  <w14:solidFill>
                    <w14:schemeClr w14:val="tx1"/>
                  </w14:solidFill>
                </w14:textFill>
              </w:rPr>
            </w:pPr>
            <w:r>
              <w:rPr>
                <w:rFonts w:hint="eastAsia" w:cs="Times New Roman"/>
                <w:color w:val="000000" w:themeColor="text1"/>
                <w:kern w:val="0"/>
                <w:sz w:val="21"/>
                <w:szCs w:val="21"/>
                <w:highlight w:val="none"/>
                <w:lang w:eastAsia="zh-CN"/>
                <w14:textFill>
                  <w14:solidFill>
                    <w14:schemeClr w14:val="tx1"/>
                  </w14:solidFill>
                </w14:textFill>
              </w:rPr>
              <w:t>次氯酸钠</w:t>
            </w:r>
          </w:p>
        </w:tc>
        <w:tc>
          <w:tcPr>
            <w:tcW w:w="1366" w:type="dxa"/>
            <w:vAlign w:val="center"/>
          </w:tcPr>
          <w:p>
            <w:pPr>
              <w:widowControl/>
              <w:spacing w:line="240" w:lineRule="auto"/>
              <w:ind w:firstLine="0" w:firstLineChars="0"/>
              <w:jc w:val="center"/>
              <w:rPr>
                <w:rFonts w:hint="eastAsia" w:eastAsia="宋体" w:cs="Times New Roman"/>
                <w:color w:val="000000"/>
                <w:kern w:val="0"/>
                <w:sz w:val="21"/>
                <w:szCs w:val="21"/>
                <w:highlight w:val="none"/>
                <w:lang w:val="en-US" w:eastAsia="zh-CN"/>
              </w:rPr>
            </w:pPr>
            <w:r>
              <w:rPr>
                <w:rFonts w:hint="eastAsia" w:cs="Times New Roman"/>
                <w:color w:val="000000"/>
                <w:kern w:val="0"/>
                <w:sz w:val="21"/>
                <w:szCs w:val="21"/>
                <w:highlight w:val="none"/>
                <w:lang w:val="en-US" w:eastAsia="zh-CN"/>
              </w:rPr>
              <w:t xml:space="preserve">7681-52-9 </w:t>
            </w:r>
          </w:p>
        </w:tc>
        <w:tc>
          <w:tcPr>
            <w:tcW w:w="1282" w:type="dxa"/>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lang w:val="en-US" w:eastAsia="zh-CN"/>
              </w:rPr>
              <w:t>1.6</w:t>
            </w:r>
          </w:p>
        </w:tc>
        <w:tc>
          <w:tcPr>
            <w:tcW w:w="1500" w:type="dxa"/>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lang w:eastAsia="zh-CN"/>
              </w:rPr>
              <w:t>储罐</w:t>
            </w:r>
            <w:r>
              <w:rPr>
                <w:rFonts w:hint="eastAsia" w:cs="Times New Roman"/>
                <w:color w:val="000000"/>
                <w:kern w:val="0"/>
                <w:sz w:val="21"/>
                <w:szCs w:val="21"/>
                <w:highlight w:val="none"/>
                <w:lang w:val="en-US" w:eastAsia="zh-CN"/>
              </w:rPr>
              <w:t>/次氯酸钠间</w:t>
            </w:r>
          </w:p>
        </w:tc>
        <w:tc>
          <w:tcPr>
            <w:tcW w:w="914" w:type="dxa"/>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lang w:val="en-US" w:eastAsia="zh-CN"/>
              </w:rPr>
              <w:t>5</w:t>
            </w:r>
          </w:p>
        </w:tc>
        <w:tc>
          <w:tcPr>
            <w:tcW w:w="899" w:type="dxa"/>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lang w:val="en-US" w:eastAsia="zh-CN"/>
              </w:rPr>
              <w:t>0.32</w:t>
            </w:r>
          </w:p>
        </w:tc>
        <w:tc>
          <w:tcPr>
            <w:tcW w:w="980" w:type="dxa"/>
            <w:vAlign w:val="center"/>
          </w:tcPr>
          <w:p>
            <w:pPr>
              <w:widowControl/>
              <w:spacing w:line="240" w:lineRule="auto"/>
              <w:ind w:firstLine="0" w:firstLineChars="0"/>
              <w:jc w:val="center"/>
              <w:rPr>
                <w:rFonts w:hint="eastAsia"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rPr>
              <w:t>是</w:t>
            </w:r>
          </w:p>
        </w:tc>
        <w:tc>
          <w:tcPr>
            <w:tcW w:w="891" w:type="dxa"/>
            <w:vAlign w:val="center"/>
          </w:tcPr>
          <w:p>
            <w:pPr>
              <w:widowControl/>
              <w:spacing w:line="240" w:lineRule="auto"/>
              <w:ind w:firstLine="0" w:firstLineChars="0"/>
              <w:jc w:val="center"/>
              <w:rPr>
                <w:rFonts w:hint="eastAsia"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391" w:type="dxa"/>
            <w:vAlign w:val="center"/>
          </w:tcPr>
          <w:p>
            <w:pPr>
              <w:widowControl/>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sz w:val="21"/>
                <w:szCs w:val="21"/>
                <w:lang w:val="en-US" w:eastAsia="zh-CN"/>
              </w:rPr>
              <w:t>铬酸钾</w:t>
            </w:r>
          </w:p>
        </w:tc>
        <w:tc>
          <w:tcPr>
            <w:tcW w:w="1366" w:type="dxa"/>
            <w:vAlign w:val="center"/>
          </w:tcPr>
          <w:p>
            <w:pPr>
              <w:widowControl/>
              <w:spacing w:line="240" w:lineRule="auto"/>
              <w:ind w:firstLine="0" w:firstLineChars="0"/>
              <w:jc w:val="center"/>
              <w:rPr>
                <w:rFonts w:hint="eastAsia" w:ascii="Times New Roman" w:hAnsi="Times New Roman" w:eastAsia="宋体" w:cs="Times New Roman"/>
                <w:color w:val="000000"/>
                <w:kern w:val="0"/>
                <w:sz w:val="21"/>
                <w:szCs w:val="21"/>
                <w:highlight w:val="yellow"/>
                <w:lang w:val="en-US" w:eastAsia="zh-CN" w:bidi="ar-SA"/>
              </w:rPr>
            </w:pPr>
            <w:r>
              <w:rPr>
                <w:rFonts w:hint="eastAsia" w:cs="Times New Roman"/>
                <w:color w:val="000000"/>
                <w:kern w:val="0"/>
                <w:sz w:val="21"/>
                <w:szCs w:val="21"/>
              </w:rPr>
              <w:t>7789-00-6</w:t>
            </w:r>
          </w:p>
        </w:tc>
        <w:tc>
          <w:tcPr>
            <w:tcW w:w="1282" w:type="dxa"/>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rPr>
              <w:t>0</w:t>
            </w:r>
            <w:r>
              <w:rPr>
                <w:rFonts w:cs="Times New Roman"/>
                <w:color w:val="000000"/>
                <w:kern w:val="0"/>
                <w:sz w:val="21"/>
                <w:szCs w:val="21"/>
                <w:highlight w:val="none"/>
              </w:rPr>
              <w:t>.</w:t>
            </w:r>
            <w:r>
              <w:rPr>
                <w:rFonts w:hint="eastAsia" w:cs="Times New Roman"/>
                <w:color w:val="000000"/>
                <w:kern w:val="0"/>
                <w:sz w:val="21"/>
                <w:szCs w:val="21"/>
                <w:highlight w:val="none"/>
                <w:lang w:val="en-US" w:eastAsia="zh-CN"/>
              </w:rPr>
              <w:t>0005</w:t>
            </w:r>
          </w:p>
        </w:tc>
        <w:tc>
          <w:tcPr>
            <w:tcW w:w="1500" w:type="dxa"/>
            <w:vAlign w:val="center"/>
          </w:tcPr>
          <w:p>
            <w:pPr>
              <w:widowControl/>
              <w:spacing w:line="240" w:lineRule="auto"/>
              <w:ind w:firstLine="0" w:firstLineChars="0"/>
              <w:jc w:val="center"/>
              <w:rPr>
                <w:rFonts w:hint="eastAsia"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lang w:eastAsia="zh-CN"/>
              </w:rPr>
              <w:t>瓶</w:t>
            </w:r>
            <w:r>
              <w:rPr>
                <w:rFonts w:hint="eastAsia" w:cs="Times New Roman"/>
                <w:color w:val="000000"/>
                <w:kern w:val="0"/>
                <w:sz w:val="21"/>
                <w:szCs w:val="21"/>
                <w:highlight w:val="none"/>
              </w:rPr>
              <w:t>/</w:t>
            </w:r>
            <w:r>
              <w:rPr>
                <w:rFonts w:hint="eastAsia" w:cs="Times New Roman"/>
                <w:color w:val="000000"/>
                <w:kern w:val="0"/>
                <w:sz w:val="21"/>
                <w:szCs w:val="21"/>
                <w:highlight w:val="none"/>
                <w:lang w:eastAsia="zh-CN"/>
              </w:rPr>
              <w:t>化验室</w:t>
            </w:r>
          </w:p>
        </w:tc>
        <w:tc>
          <w:tcPr>
            <w:tcW w:w="914" w:type="dxa"/>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lang w:val="en-US" w:eastAsia="zh-CN"/>
              </w:rPr>
              <w:t>0.25</w:t>
            </w:r>
          </w:p>
        </w:tc>
        <w:tc>
          <w:tcPr>
            <w:tcW w:w="899" w:type="dxa"/>
            <w:vAlign w:val="center"/>
          </w:tcPr>
          <w:p>
            <w:pPr>
              <w:widowControl/>
              <w:spacing w:line="240" w:lineRule="auto"/>
              <w:ind w:firstLine="0" w:firstLineChars="0"/>
              <w:jc w:val="center"/>
              <w:rPr>
                <w:rFonts w:hint="eastAsia"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rPr>
              <w:t>0</w:t>
            </w:r>
            <w:r>
              <w:rPr>
                <w:rFonts w:cs="Times New Roman"/>
                <w:color w:val="000000"/>
                <w:kern w:val="0"/>
                <w:sz w:val="21"/>
                <w:szCs w:val="21"/>
                <w:highlight w:val="none"/>
              </w:rPr>
              <w:t>.0</w:t>
            </w:r>
            <w:r>
              <w:rPr>
                <w:rFonts w:hint="eastAsia" w:cs="Times New Roman"/>
                <w:color w:val="000000"/>
                <w:kern w:val="0"/>
                <w:sz w:val="21"/>
                <w:szCs w:val="21"/>
                <w:highlight w:val="none"/>
                <w:lang w:val="en-US" w:eastAsia="zh-CN"/>
              </w:rPr>
              <w:t>02</w:t>
            </w:r>
          </w:p>
        </w:tc>
        <w:tc>
          <w:tcPr>
            <w:tcW w:w="980" w:type="dxa"/>
            <w:vAlign w:val="center"/>
          </w:tcPr>
          <w:p>
            <w:pPr>
              <w:widowControl/>
              <w:spacing w:line="240" w:lineRule="auto"/>
              <w:ind w:firstLine="0" w:firstLineChars="0"/>
              <w:jc w:val="center"/>
              <w:rPr>
                <w:rFonts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rPr>
              <w:t>是</w:t>
            </w:r>
          </w:p>
        </w:tc>
        <w:tc>
          <w:tcPr>
            <w:tcW w:w="891" w:type="dxa"/>
            <w:vAlign w:val="center"/>
          </w:tcPr>
          <w:p>
            <w:pPr>
              <w:widowControl/>
              <w:spacing w:line="240" w:lineRule="auto"/>
              <w:ind w:firstLine="0" w:firstLineChars="0"/>
              <w:jc w:val="center"/>
              <w:rPr>
                <w:rFonts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391" w:type="dxa"/>
            <w:vAlign w:val="center"/>
          </w:tcPr>
          <w:p>
            <w:pPr>
              <w:widowControl/>
              <w:spacing w:line="240" w:lineRule="auto"/>
              <w:ind w:firstLine="0" w:firstLineChars="0"/>
              <w:jc w:val="center"/>
              <w:rPr>
                <w:rFonts w:hint="eastAsia" w:eastAsia="宋体" w:cs="Times New Roman"/>
                <w:color w:val="000000" w:themeColor="text1"/>
                <w:kern w:val="0"/>
                <w:sz w:val="21"/>
                <w:szCs w:val="21"/>
                <w:highlight w:val="none"/>
                <w:lang w:eastAsia="zh-CN"/>
                <w14:textFill>
                  <w14:solidFill>
                    <w14:schemeClr w14:val="tx1"/>
                  </w14:solidFill>
                </w14:textFill>
              </w:rPr>
            </w:pPr>
            <w:r>
              <w:rPr>
                <w:rFonts w:hint="eastAsia" w:ascii="Times New Roman" w:hAnsi="Times New Roman" w:eastAsia="宋体" w:cs="Times New Roman"/>
                <w:sz w:val="21"/>
                <w:szCs w:val="21"/>
                <w:lang w:val="en-US" w:eastAsia="zh-CN"/>
              </w:rPr>
              <w:t>乙二胺</w:t>
            </w:r>
          </w:p>
        </w:tc>
        <w:tc>
          <w:tcPr>
            <w:tcW w:w="1366" w:type="dxa"/>
            <w:vAlign w:val="center"/>
          </w:tcPr>
          <w:p>
            <w:pPr>
              <w:widowControl/>
              <w:spacing w:line="240" w:lineRule="auto"/>
              <w:ind w:firstLine="0" w:firstLineChars="0"/>
              <w:jc w:val="center"/>
              <w:rPr>
                <w:rFonts w:hint="eastAsia" w:eastAsia="宋体" w:cs="Times New Roman"/>
                <w:color w:val="000000"/>
                <w:kern w:val="0"/>
                <w:sz w:val="21"/>
                <w:szCs w:val="21"/>
                <w:highlight w:val="none"/>
                <w:lang w:eastAsia="zh-CN"/>
              </w:rPr>
            </w:pPr>
            <w:r>
              <w:rPr>
                <w:rFonts w:hint="eastAsia" w:cs="Times New Roman"/>
                <w:color w:val="000000"/>
                <w:kern w:val="0"/>
                <w:sz w:val="21"/>
                <w:szCs w:val="21"/>
                <w:highlight w:val="none"/>
              </w:rPr>
              <w:t>107-15-3</w:t>
            </w:r>
          </w:p>
        </w:tc>
        <w:tc>
          <w:tcPr>
            <w:tcW w:w="1282" w:type="dxa"/>
            <w:vAlign w:val="center"/>
          </w:tcPr>
          <w:p>
            <w:pPr>
              <w:widowControl/>
              <w:spacing w:line="240" w:lineRule="auto"/>
              <w:ind w:firstLine="0" w:firstLineChars="0"/>
              <w:jc w:val="center"/>
              <w:rPr>
                <w:rFonts w:hint="default" w:eastAsia="宋体" w:cs="Times New Roman"/>
                <w:color w:val="000000"/>
                <w:kern w:val="0"/>
                <w:sz w:val="21"/>
                <w:szCs w:val="21"/>
                <w:highlight w:val="none"/>
                <w:lang w:val="en-US" w:eastAsia="zh-CN"/>
              </w:rPr>
            </w:pPr>
            <w:r>
              <w:rPr>
                <w:rFonts w:hint="eastAsia" w:cs="Times New Roman"/>
                <w:color w:val="000000"/>
                <w:kern w:val="0"/>
                <w:sz w:val="21"/>
                <w:szCs w:val="21"/>
                <w:highlight w:val="none"/>
              </w:rPr>
              <w:t>0</w:t>
            </w:r>
            <w:r>
              <w:rPr>
                <w:rFonts w:cs="Times New Roman"/>
                <w:color w:val="000000"/>
                <w:kern w:val="0"/>
                <w:sz w:val="21"/>
                <w:szCs w:val="21"/>
                <w:highlight w:val="none"/>
              </w:rPr>
              <w:t>.</w:t>
            </w:r>
            <w:r>
              <w:rPr>
                <w:rFonts w:hint="eastAsia" w:cs="Times New Roman"/>
                <w:color w:val="000000"/>
                <w:kern w:val="0"/>
                <w:sz w:val="21"/>
                <w:szCs w:val="21"/>
                <w:highlight w:val="none"/>
                <w:lang w:val="en-US" w:eastAsia="zh-CN"/>
              </w:rPr>
              <w:t>0004</w:t>
            </w:r>
          </w:p>
        </w:tc>
        <w:tc>
          <w:tcPr>
            <w:tcW w:w="1500" w:type="dxa"/>
            <w:vAlign w:val="center"/>
          </w:tcPr>
          <w:p>
            <w:pPr>
              <w:widowControl/>
              <w:spacing w:line="240" w:lineRule="auto"/>
              <w:ind w:firstLine="0" w:firstLineChars="0"/>
              <w:jc w:val="center"/>
              <w:rPr>
                <w:rFonts w:hint="eastAsia" w:eastAsia="宋体" w:cs="Times New Roman"/>
                <w:color w:val="000000"/>
                <w:kern w:val="0"/>
                <w:sz w:val="21"/>
                <w:szCs w:val="21"/>
                <w:highlight w:val="none"/>
                <w:lang w:eastAsia="zh-CN"/>
              </w:rPr>
            </w:pPr>
            <w:r>
              <w:rPr>
                <w:rFonts w:hint="eastAsia" w:cs="Times New Roman"/>
                <w:color w:val="000000"/>
                <w:kern w:val="0"/>
                <w:sz w:val="21"/>
                <w:szCs w:val="21"/>
                <w:lang w:eastAsia="zh-CN"/>
              </w:rPr>
              <w:t>瓶</w:t>
            </w:r>
            <w:r>
              <w:rPr>
                <w:rFonts w:hint="eastAsia" w:cs="Times New Roman"/>
                <w:color w:val="000000"/>
                <w:kern w:val="0"/>
                <w:sz w:val="21"/>
                <w:szCs w:val="21"/>
                <w:highlight w:val="none"/>
              </w:rPr>
              <w:t>/</w:t>
            </w:r>
            <w:r>
              <w:rPr>
                <w:rFonts w:hint="eastAsia" w:cs="Times New Roman"/>
                <w:color w:val="000000"/>
                <w:kern w:val="0"/>
                <w:sz w:val="21"/>
                <w:szCs w:val="21"/>
                <w:highlight w:val="none"/>
                <w:lang w:eastAsia="zh-CN"/>
              </w:rPr>
              <w:t>化验室</w:t>
            </w:r>
          </w:p>
        </w:tc>
        <w:tc>
          <w:tcPr>
            <w:tcW w:w="914" w:type="dxa"/>
            <w:vAlign w:val="center"/>
          </w:tcPr>
          <w:p>
            <w:pPr>
              <w:widowControl/>
              <w:spacing w:line="240" w:lineRule="auto"/>
              <w:ind w:firstLine="0" w:firstLineChars="0"/>
              <w:jc w:val="center"/>
              <w:rPr>
                <w:rFonts w:hint="default" w:eastAsia="宋体" w:cs="Times New Roman"/>
                <w:color w:val="000000"/>
                <w:kern w:val="0"/>
                <w:sz w:val="21"/>
                <w:szCs w:val="21"/>
                <w:highlight w:val="none"/>
                <w:lang w:val="en-US" w:eastAsia="zh-CN"/>
              </w:rPr>
            </w:pPr>
            <w:r>
              <w:rPr>
                <w:rFonts w:hint="eastAsia" w:cs="Times New Roman"/>
                <w:color w:val="000000"/>
                <w:kern w:val="0"/>
                <w:sz w:val="21"/>
                <w:szCs w:val="21"/>
                <w:highlight w:val="none"/>
                <w:lang w:val="en-US" w:eastAsia="zh-CN"/>
              </w:rPr>
              <w:t>10</w:t>
            </w:r>
          </w:p>
        </w:tc>
        <w:tc>
          <w:tcPr>
            <w:tcW w:w="899" w:type="dxa"/>
            <w:vAlign w:val="center"/>
          </w:tcPr>
          <w:p>
            <w:pPr>
              <w:widowControl/>
              <w:spacing w:line="240" w:lineRule="auto"/>
              <w:ind w:firstLine="0" w:firstLineChars="0"/>
              <w:jc w:val="center"/>
              <w:rPr>
                <w:rFonts w:hint="default" w:eastAsia="宋体" w:cs="Times New Roman"/>
                <w:color w:val="000000"/>
                <w:kern w:val="0"/>
                <w:sz w:val="21"/>
                <w:szCs w:val="21"/>
                <w:highlight w:val="none"/>
                <w:lang w:val="en-US" w:eastAsia="zh-CN"/>
              </w:rPr>
            </w:pPr>
            <w:r>
              <w:rPr>
                <w:rFonts w:cs="Times New Roman"/>
                <w:color w:val="000000"/>
                <w:kern w:val="0"/>
                <w:sz w:val="21"/>
                <w:szCs w:val="21"/>
                <w:highlight w:val="none"/>
              </w:rPr>
              <w:t>0.</w:t>
            </w:r>
            <w:r>
              <w:rPr>
                <w:rFonts w:hint="eastAsia" w:cs="Times New Roman"/>
                <w:color w:val="000000"/>
                <w:kern w:val="0"/>
                <w:sz w:val="21"/>
                <w:szCs w:val="21"/>
                <w:highlight w:val="none"/>
                <w:lang w:val="en-US" w:eastAsia="zh-CN"/>
              </w:rPr>
              <w:t>00004</w:t>
            </w:r>
          </w:p>
        </w:tc>
        <w:tc>
          <w:tcPr>
            <w:tcW w:w="980" w:type="dxa"/>
            <w:vAlign w:val="center"/>
          </w:tcPr>
          <w:p>
            <w:pPr>
              <w:widowControl/>
              <w:spacing w:line="240" w:lineRule="auto"/>
              <w:ind w:firstLine="0" w:firstLineChars="0"/>
              <w:jc w:val="center"/>
              <w:rPr>
                <w:rFonts w:cs="Times New Roman"/>
                <w:color w:val="000000"/>
                <w:kern w:val="0"/>
                <w:sz w:val="21"/>
                <w:szCs w:val="21"/>
                <w:highlight w:val="none"/>
              </w:rPr>
            </w:pPr>
            <w:r>
              <w:rPr>
                <w:rFonts w:hint="eastAsia" w:cs="Times New Roman"/>
                <w:color w:val="000000"/>
                <w:kern w:val="0"/>
                <w:sz w:val="21"/>
                <w:szCs w:val="21"/>
                <w:highlight w:val="none"/>
              </w:rPr>
              <w:t>是</w:t>
            </w:r>
          </w:p>
        </w:tc>
        <w:tc>
          <w:tcPr>
            <w:tcW w:w="891" w:type="dxa"/>
            <w:vAlign w:val="center"/>
          </w:tcPr>
          <w:p>
            <w:pPr>
              <w:widowControl/>
              <w:spacing w:line="240" w:lineRule="auto"/>
              <w:ind w:firstLine="0" w:firstLineChars="0"/>
              <w:jc w:val="center"/>
              <w:rPr>
                <w:rFonts w:hint="eastAsia" w:eastAsia="宋体" w:cs="Times New Roman"/>
                <w:color w:val="000000"/>
                <w:kern w:val="0"/>
                <w:sz w:val="21"/>
                <w:szCs w:val="21"/>
                <w:highlight w:val="none"/>
                <w:lang w:eastAsia="zh-CN"/>
              </w:rPr>
            </w:pPr>
            <w:r>
              <w:rPr>
                <w:rFonts w:hint="eastAsia" w:cs="Times New Roman"/>
                <w:color w:val="000000"/>
                <w:kern w:val="0"/>
                <w:sz w:val="21"/>
                <w:szCs w:val="21"/>
                <w:highlight w:val="none"/>
                <w:lang w:eastAsia="zh-CN"/>
              </w:rPr>
              <w:t>是</w:t>
            </w:r>
          </w:p>
        </w:tc>
      </w:tr>
    </w:tbl>
    <w:p>
      <w:pPr>
        <w:ind w:firstLine="560"/>
        <w:rPr>
          <w:rFonts w:hint="eastAsia"/>
        </w:rPr>
      </w:pPr>
      <w:r>
        <w:rPr>
          <w:rFonts w:hint="eastAsia"/>
        </w:rPr>
        <w:t>根据危险废物名录，公司在生产过程中产生的危险废物为：废紫外灯管</w:t>
      </w:r>
      <w:r>
        <w:rPr>
          <w:rFonts w:hint="eastAsia"/>
          <w:lang w:eastAsia="zh-CN"/>
        </w:rPr>
        <w:t>、</w:t>
      </w:r>
      <w:r>
        <w:rPr>
          <w:rFonts w:hint="eastAsia"/>
        </w:rPr>
        <w:t>废化验试剂、废试剂瓶。厂区</w:t>
      </w:r>
      <w:r>
        <w:rPr>
          <w:rFonts w:hint="eastAsia"/>
          <w:lang w:eastAsia="zh-CN"/>
        </w:rPr>
        <w:t>在化验室</w:t>
      </w:r>
      <w:r>
        <w:rPr>
          <w:rFonts w:hint="eastAsia"/>
        </w:rPr>
        <w:t>设置了危废暂存</w:t>
      </w:r>
      <w:r>
        <w:rPr>
          <w:rFonts w:hint="eastAsia"/>
          <w:lang w:eastAsia="zh-CN"/>
        </w:rPr>
        <w:t>间</w:t>
      </w:r>
      <w:r>
        <w:rPr>
          <w:rFonts w:hint="eastAsia"/>
        </w:rPr>
        <w:t>并做了地面防渗，完全封闭做到“三防”（防风、防雨、防晒），危废暂存</w:t>
      </w:r>
      <w:r>
        <w:rPr>
          <w:rFonts w:hint="eastAsia"/>
          <w:lang w:eastAsia="zh-CN"/>
        </w:rPr>
        <w:t>间</w:t>
      </w:r>
      <w:r>
        <w:rPr>
          <w:rFonts w:hint="eastAsia"/>
        </w:rPr>
        <w:t>外面墙上已做标识。并按照国家有关规定制定危险废物管理计划，并向当地环保主管部门申报危险废物种类、产生量、流向、暂存及处置措施等相关资料。</w:t>
      </w:r>
      <w:r>
        <w:rPr>
          <w:rFonts w:hint="eastAsia"/>
          <w:lang w:eastAsia="zh-CN"/>
        </w:rPr>
        <w:t>由于危废年产生量很小，目前危险废物储存在危废暂存间内，未做</w:t>
      </w:r>
      <w:r>
        <w:rPr>
          <w:rFonts w:hint="eastAsia"/>
        </w:rPr>
        <w:t>处置。</w:t>
      </w:r>
      <w:r>
        <w:rPr>
          <w:rFonts w:hint="eastAsia"/>
          <w:lang w:eastAsia="zh-CN"/>
        </w:rPr>
        <w:t>存储一定量后委托</w:t>
      </w:r>
      <w:r>
        <w:rPr>
          <w:rFonts w:hint="eastAsia"/>
        </w:rPr>
        <w:t>有资质的单位</w:t>
      </w:r>
      <w:r>
        <w:rPr>
          <w:rFonts w:hint="eastAsia"/>
          <w:lang w:eastAsia="zh-CN"/>
        </w:rPr>
        <w:t>进行</w:t>
      </w:r>
      <w:r>
        <w:rPr>
          <w:rFonts w:hint="eastAsia"/>
        </w:rPr>
        <w:t>处置</w:t>
      </w:r>
      <w:r>
        <w:rPr>
          <w:rFonts w:hint="eastAsia"/>
          <w:lang w:eastAsia="zh-CN"/>
        </w:rPr>
        <w:t>，并按要求办理转移联单</w:t>
      </w:r>
      <w:r>
        <w:rPr>
          <w:rFonts w:hint="eastAsia"/>
        </w:rPr>
        <w:t>。</w:t>
      </w:r>
    </w:p>
    <w:p>
      <w:pPr>
        <w:pStyle w:val="8"/>
        <w:keepNext/>
      </w:pPr>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3</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9</w:t>
      </w:r>
      <w:r>
        <w:fldChar w:fldCharType="end"/>
      </w:r>
      <w:r>
        <w:rPr>
          <w:rFonts w:hint="eastAsia"/>
        </w:rPr>
        <w:t>危险废物一览表</w:t>
      </w:r>
    </w:p>
    <w:bookmarkEnd w:id="227"/>
    <w:tbl>
      <w:tblPr>
        <w:tblStyle w:val="1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8"/>
        <w:gridCol w:w="1019"/>
        <w:gridCol w:w="1599"/>
        <w:gridCol w:w="1307"/>
        <w:gridCol w:w="1307"/>
        <w:gridCol w:w="1455"/>
        <w:gridCol w:w="13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94"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名称</w:t>
            </w:r>
          </w:p>
        </w:tc>
        <w:tc>
          <w:tcPr>
            <w:tcW w:w="545"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形态</w:t>
            </w:r>
          </w:p>
        </w:tc>
        <w:tc>
          <w:tcPr>
            <w:tcW w:w="855"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储存量</w:t>
            </w:r>
          </w:p>
        </w:tc>
        <w:tc>
          <w:tcPr>
            <w:tcW w:w="699"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贮存方式</w:t>
            </w:r>
          </w:p>
        </w:tc>
        <w:tc>
          <w:tcPr>
            <w:tcW w:w="699"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废物类别</w:t>
            </w:r>
          </w:p>
        </w:tc>
        <w:tc>
          <w:tcPr>
            <w:tcW w:w="778"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废物代码</w:t>
            </w:r>
          </w:p>
        </w:tc>
        <w:tc>
          <w:tcPr>
            <w:tcW w:w="727"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处置方式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94" w:type="pct"/>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废紫外灯管</w:t>
            </w:r>
          </w:p>
        </w:tc>
        <w:tc>
          <w:tcPr>
            <w:tcW w:w="545"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固态</w:t>
            </w:r>
          </w:p>
        </w:tc>
        <w:tc>
          <w:tcPr>
            <w:tcW w:w="855" w:type="pct"/>
            <w:vAlign w:val="center"/>
          </w:tcPr>
          <w:p>
            <w:pPr>
              <w:widowControl/>
              <w:spacing w:line="240" w:lineRule="auto"/>
              <w:ind w:firstLine="0" w:firstLineChars="0"/>
              <w:jc w:val="center"/>
              <w:rPr>
                <w:rFonts w:hint="default" w:eastAsia="宋体" w:cs="Times New Roman"/>
                <w:color w:val="000000"/>
                <w:kern w:val="0"/>
                <w:sz w:val="21"/>
                <w:szCs w:val="21"/>
                <w:lang w:val="en-US" w:eastAsia="zh-CN"/>
              </w:rPr>
            </w:pPr>
            <w:r>
              <w:rPr>
                <w:rFonts w:hint="eastAsia" w:cs="Times New Roman"/>
                <w:color w:val="000000"/>
                <w:kern w:val="0"/>
                <w:sz w:val="21"/>
                <w:szCs w:val="21"/>
                <w:lang w:val="en-US" w:eastAsia="zh-CN"/>
              </w:rPr>
              <w:t>1根/a</w:t>
            </w:r>
          </w:p>
        </w:tc>
        <w:tc>
          <w:tcPr>
            <w:tcW w:w="699" w:type="pct"/>
            <w:vAlign w:val="center"/>
          </w:tcPr>
          <w:p>
            <w:pPr>
              <w:widowControl/>
              <w:spacing w:line="240" w:lineRule="auto"/>
              <w:ind w:firstLine="0" w:firstLineChars="0"/>
              <w:jc w:val="center"/>
              <w:rPr>
                <w:rFonts w:hint="eastAsia" w:eastAsia="宋体" w:cs="Times New Roman"/>
                <w:color w:val="000000"/>
                <w:kern w:val="0"/>
                <w:sz w:val="21"/>
                <w:szCs w:val="21"/>
                <w:lang w:eastAsia="zh-CN"/>
              </w:rPr>
            </w:pPr>
            <w:r>
              <w:rPr>
                <w:rFonts w:hint="eastAsia" w:cs="Times New Roman"/>
                <w:color w:val="000000"/>
                <w:kern w:val="0"/>
                <w:sz w:val="21"/>
                <w:szCs w:val="21"/>
                <w:lang w:val="en-US" w:eastAsia="zh-CN"/>
              </w:rPr>
              <w:t>/</w:t>
            </w:r>
          </w:p>
        </w:tc>
        <w:tc>
          <w:tcPr>
            <w:tcW w:w="699" w:type="pct"/>
            <w:vAlign w:val="center"/>
          </w:tcPr>
          <w:p>
            <w:pPr>
              <w:widowControl/>
              <w:spacing w:line="240" w:lineRule="auto"/>
              <w:ind w:firstLine="0" w:firstLineChars="0"/>
              <w:jc w:val="center"/>
              <w:rPr>
                <w:rFonts w:hint="default" w:eastAsia="宋体" w:cs="Times New Roman"/>
                <w:color w:val="000000"/>
                <w:kern w:val="0"/>
                <w:sz w:val="21"/>
                <w:szCs w:val="21"/>
                <w:lang w:val="en-US" w:eastAsia="zh-CN"/>
              </w:rPr>
            </w:pPr>
            <w:r>
              <w:rPr>
                <w:rFonts w:cs="Times New Roman"/>
                <w:sz w:val="21"/>
                <w:szCs w:val="21"/>
              </w:rPr>
              <w:t>HW</w:t>
            </w:r>
            <w:r>
              <w:rPr>
                <w:rFonts w:hint="eastAsia" w:cs="Times New Roman"/>
                <w:sz w:val="21"/>
                <w:szCs w:val="21"/>
                <w:lang w:val="en-US" w:eastAsia="zh-CN"/>
              </w:rPr>
              <w:t>29</w:t>
            </w:r>
          </w:p>
        </w:tc>
        <w:tc>
          <w:tcPr>
            <w:tcW w:w="778" w:type="pct"/>
            <w:vAlign w:val="center"/>
          </w:tcPr>
          <w:p>
            <w:pPr>
              <w:widowControl/>
              <w:spacing w:line="240" w:lineRule="auto"/>
              <w:ind w:firstLine="0" w:firstLineChars="0"/>
              <w:jc w:val="center"/>
              <w:rPr>
                <w:rFonts w:hint="default" w:eastAsia="宋体" w:cs="Times New Roman"/>
                <w:color w:val="000000"/>
                <w:kern w:val="0"/>
                <w:sz w:val="21"/>
                <w:szCs w:val="21"/>
                <w:lang w:val="en-US" w:eastAsia="zh-CN"/>
              </w:rPr>
            </w:pPr>
            <w:r>
              <w:rPr>
                <w:rFonts w:hint="eastAsia" w:cs="Times New Roman"/>
                <w:sz w:val="21"/>
                <w:szCs w:val="21"/>
                <w:lang w:val="en-US" w:eastAsia="zh-CN"/>
              </w:rPr>
              <w:t>336</w:t>
            </w:r>
            <w:r>
              <w:rPr>
                <w:rFonts w:cs="Times New Roman"/>
                <w:sz w:val="21"/>
                <w:szCs w:val="21"/>
              </w:rPr>
              <w:t>-</w:t>
            </w:r>
            <w:r>
              <w:rPr>
                <w:rFonts w:hint="eastAsia" w:cs="Times New Roman"/>
                <w:sz w:val="21"/>
                <w:szCs w:val="21"/>
                <w:lang w:val="en-US" w:eastAsia="zh-CN"/>
              </w:rPr>
              <w:t>064</w:t>
            </w:r>
            <w:r>
              <w:rPr>
                <w:rFonts w:cs="Times New Roman"/>
                <w:sz w:val="21"/>
                <w:szCs w:val="21"/>
              </w:rPr>
              <w:t>-</w:t>
            </w:r>
            <w:r>
              <w:rPr>
                <w:rFonts w:hint="eastAsia" w:cs="Times New Roman"/>
                <w:sz w:val="21"/>
                <w:szCs w:val="21"/>
                <w:lang w:val="en-US" w:eastAsia="zh-CN"/>
              </w:rPr>
              <w:t>17</w:t>
            </w:r>
          </w:p>
        </w:tc>
        <w:tc>
          <w:tcPr>
            <w:tcW w:w="727" w:type="pct"/>
            <w:vMerge w:val="restart"/>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暂存后</w:t>
            </w:r>
            <w:r>
              <w:rPr>
                <w:rFonts w:cs="Times New Roman"/>
                <w:color w:val="000000"/>
                <w:kern w:val="0"/>
                <w:sz w:val="21"/>
                <w:szCs w:val="21"/>
              </w:rPr>
              <w:t>委托有资质的单位处置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94"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废化验试剂</w:t>
            </w:r>
          </w:p>
        </w:tc>
        <w:tc>
          <w:tcPr>
            <w:tcW w:w="545"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液态</w:t>
            </w:r>
          </w:p>
        </w:tc>
        <w:tc>
          <w:tcPr>
            <w:tcW w:w="855" w:type="pct"/>
            <w:vAlign w:val="center"/>
          </w:tcPr>
          <w:p>
            <w:pPr>
              <w:widowControl/>
              <w:spacing w:line="240" w:lineRule="auto"/>
              <w:ind w:firstLine="0" w:firstLineChars="0"/>
              <w:jc w:val="center"/>
              <w:rPr>
                <w:rFonts w:hint="default" w:eastAsia="宋体" w:cs="Times New Roman"/>
                <w:color w:val="000000"/>
                <w:kern w:val="0"/>
                <w:sz w:val="21"/>
                <w:szCs w:val="21"/>
                <w:lang w:val="en-US" w:eastAsia="zh-CN"/>
              </w:rPr>
            </w:pPr>
            <w:r>
              <w:rPr>
                <w:rFonts w:hint="eastAsia" w:cs="Times New Roman"/>
                <w:color w:val="000000"/>
                <w:kern w:val="0"/>
                <w:sz w:val="21"/>
                <w:szCs w:val="21"/>
                <w:lang w:val="en-US" w:eastAsia="zh-CN"/>
              </w:rPr>
              <w:t>3kg/a</w:t>
            </w:r>
          </w:p>
        </w:tc>
        <w:tc>
          <w:tcPr>
            <w:tcW w:w="699" w:type="pct"/>
            <w:vAlign w:val="center"/>
          </w:tcPr>
          <w:p>
            <w:pPr>
              <w:widowControl/>
              <w:spacing w:line="240" w:lineRule="auto"/>
              <w:ind w:firstLine="0" w:firstLineChars="0"/>
              <w:jc w:val="center"/>
              <w:rPr>
                <w:rFonts w:hint="default" w:eastAsia="宋体" w:cs="Times New Roman"/>
                <w:color w:val="000000"/>
                <w:kern w:val="0"/>
                <w:sz w:val="21"/>
                <w:szCs w:val="21"/>
                <w:lang w:val="en-US" w:eastAsia="zh-CN"/>
              </w:rPr>
            </w:pPr>
            <w:r>
              <w:rPr>
                <w:rFonts w:hint="eastAsia" w:cs="Times New Roman"/>
                <w:color w:val="000000"/>
                <w:kern w:val="0"/>
                <w:sz w:val="21"/>
                <w:szCs w:val="21"/>
                <w:lang w:val="en-US" w:eastAsia="zh-CN"/>
              </w:rPr>
              <w:t>瓶</w:t>
            </w:r>
          </w:p>
        </w:tc>
        <w:tc>
          <w:tcPr>
            <w:tcW w:w="699" w:type="pct"/>
            <w:vAlign w:val="center"/>
          </w:tcPr>
          <w:p>
            <w:pPr>
              <w:widowControl/>
              <w:spacing w:line="240" w:lineRule="auto"/>
              <w:ind w:firstLine="0" w:firstLineChars="0"/>
              <w:jc w:val="center"/>
              <w:rPr>
                <w:rFonts w:hint="default" w:eastAsia="宋体" w:cs="Times New Roman"/>
                <w:color w:val="000000"/>
                <w:kern w:val="0"/>
                <w:sz w:val="21"/>
                <w:szCs w:val="21"/>
                <w:lang w:val="en-US" w:eastAsia="zh-CN"/>
              </w:rPr>
            </w:pPr>
            <w:r>
              <w:rPr>
                <w:rFonts w:cs="Times New Roman"/>
                <w:sz w:val="21"/>
                <w:szCs w:val="21"/>
              </w:rPr>
              <w:t>HW</w:t>
            </w:r>
            <w:r>
              <w:rPr>
                <w:rFonts w:hint="eastAsia" w:cs="Times New Roman"/>
                <w:sz w:val="21"/>
                <w:szCs w:val="21"/>
                <w:lang w:val="en-US" w:eastAsia="zh-CN"/>
              </w:rPr>
              <w:t>49</w:t>
            </w:r>
          </w:p>
        </w:tc>
        <w:tc>
          <w:tcPr>
            <w:tcW w:w="778" w:type="pct"/>
            <w:vAlign w:val="center"/>
          </w:tcPr>
          <w:p>
            <w:pPr>
              <w:widowControl/>
              <w:spacing w:line="240" w:lineRule="auto"/>
              <w:ind w:firstLine="0" w:firstLineChars="0"/>
              <w:jc w:val="center"/>
              <w:rPr>
                <w:rFonts w:cs="Times New Roman"/>
                <w:color w:val="000000"/>
                <w:kern w:val="0"/>
                <w:sz w:val="21"/>
                <w:szCs w:val="21"/>
              </w:rPr>
            </w:pPr>
            <w:r>
              <w:rPr>
                <w:rFonts w:hint="eastAsia" w:cs="Times New Roman"/>
                <w:sz w:val="21"/>
                <w:szCs w:val="21"/>
                <w:lang w:val="en-US" w:eastAsia="zh-CN"/>
              </w:rPr>
              <w:t>336</w:t>
            </w:r>
            <w:r>
              <w:rPr>
                <w:rFonts w:cs="Times New Roman"/>
                <w:sz w:val="21"/>
                <w:szCs w:val="21"/>
              </w:rPr>
              <w:t>-</w:t>
            </w:r>
            <w:r>
              <w:rPr>
                <w:rFonts w:hint="eastAsia" w:cs="Times New Roman"/>
                <w:sz w:val="21"/>
                <w:szCs w:val="21"/>
                <w:lang w:val="en-US" w:eastAsia="zh-CN"/>
              </w:rPr>
              <w:t>064</w:t>
            </w:r>
            <w:r>
              <w:rPr>
                <w:rFonts w:cs="Times New Roman"/>
                <w:sz w:val="21"/>
                <w:szCs w:val="21"/>
              </w:rPr>
              <w:t>-</w:t>
            </w:r>
            <w:r>
              <w:rPr>
                <w:rFonts w:hint="eastAsia" w:cs="Times New Roman"/>
                <w:sz w:val="21"/>
                <w:szCs w:val="21"/>
                <w:lang w:val="en-US" w:eastAsia="zh-CN"/>
              </w:rPr>
              <w:t>17</w:t>
            </w:r>
          </w:p>
        </w:tc>
        <w:tc>
          <w:tcPr>
            <w:tcW w:w="727" w:type="pct"/>
            <w:vMerge w:val="continue"/>
            <w:vAlign w:val="center"/>
          </w:tcPr>
          <w:p>
            <w:pPr>
              <w:widowControl/>
              <w:spacing w:line="240" w:lineRule="auto"/>
              <w:ind w:firstLine="0" w:firstLineChars="0"/>
              <w:jc w:val="center"/>
              <w:rPr>
                <w:rFonts w:cs="Times New Roman"/>
                <w:color w:val="00000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94" w:type="pct"/>
            <w:vAlign w:val="center"/>
          </w:tcPr>
          <w:p>
            <w:pPr>
              <w:widowControl/>
              <w:spacing w:line="240" w:lineRule="auto"/>
              <w:ind w:firstLine="0" w:firstLineChars="0"/>
              <w:jc w:val="center"/>
              <w:rPr>
                <w:rFonts w:hint="eastAsia" w:cs="Times New Roman"/>
                <w:color w:val="000000"/>
                <w:kern w:val="0"/>
                <w:sz w:val="21"/>
                <w:szCs w:val="21"/>
                <w:lang w:val="en-US" w:eastAsia="zh-CN"/>
              </w:rPr>
            </w:pPr>
            <w:r>
              <w:rPr>
                <w:rFonts w:cs="Times New Roman"/>
                <w:color w:val="000000"/>
                <w:kern w:val="0"/>
                <w:sz w:val="21"/>
                <w:szCs w:val="21"/>
              </w:rPr>
              <w:t>废试剂瓶</w:t>
            </w:r>
          </w:p>
        </w:tc>
        <w:tc>
          <w:tcPr>
            <w:tcW w:w="545" w:type="pct"/>
            <w:vAlign w:val="center"/>
          </w:tcPr>
          <w:p>
            <w:pPr>
              <w:widowControl/>
              <w:spacing w:line="240" w:lineRule="auto"/>
              <w:ind w:firstLine="0" w:firstLineChars="0"/>
              <w:jc w:val="center"/>
              <w:rPr>
                <w:rFonts w:ascii="Times New Roman" w:hAnsi="Times New Roman" w:eastAsia="宋体" w:cs="Times New Roman"/>
                <w:color w:val="000000"/>
                <w:kern w:val="0"/>
                <w:sz w:val="21"/>
                <w:szCs w:val="21"/>
                <w:lang w:val="en-US" w:eastAsia="zh-CN" w:bidi="ar-SA"/>
              </w:rPr>
            </w:pPr>
            <w:r>
              <w:rPr>
                <w:rFonts w:cs="Times New Roman"/>
                <w:color w:val="000000"/>
                <w:kern w:val="0"/>
                <w:sz w:val="21"/>
                <w:szCs w:val="21"/>
              </w:rPr>
              <w:t>固态</w:t>
            </w:r>
          </w:p>
        </w:tc>
        <w:tc>
          <w:tcPr>
            <w:tcW w:w="855" w:type="pct"/>
            <w:vAlign w:val="center"/>
          </w:tcPr>
          <w:p>
            <w:pPr>
              <w:widowControl/>
              <w:spacing w:line="240" w:lineRule="auto"/>
              <w:ind w:firstLine="0" w:firstLineChars="0"/>
              <w:jc w:val="center"/>
              <w:rPr>
                <w:rFonts w:hint="eastAsia" w:ascii="Times New Roman" w:hAnsi="Times New Roman" w:eastAsia="宋体" w:cs="Times New Roman"/>
                <w:color w:val="000000"/>
                <w:kern w:val="0"/>
                <w:sz w:val="21"/>
                <w:szCs w:val="21"/>
                <w:lang w:val="en-US" w:eastAsia="zh-CN" w:bidi="ar-SA"/>
              </w:rPr>
            </w:pPr>
            <w:r>
              <w:rPr>
                <w:rFonts w:hint="eastAsia" w:cs="Times New Roman"/>
                <w:color w:val="000000"/>
                <w:kern w:val="0"/>
                <w:sz w:val="21"/>
                <w:szCs w:val="21"/>
                <w:lang w:val="en-US" w:eastAsia="zh-CN"/>
              </w:rPr>
              <w:t>4kg/a</w:t>
            </w:r>
          </w:p>
        </w:tc>
        <w:tc>
          <w:tcPr>
            <w:tcW w:w="699" w:type="pct"/>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lang w:val="en-US" w:eastAsia="zh-CN" w:bidi="ar-SA"/>
              </w:rPr>
            </w:pPr>
            <w:r>
              <w:rPr>
                <w:rFonts w:hint="eastAsia" w:cs="Times New Roman"/>
                <w:color w:val="000000"/>
                <w:kern w:val="0"/>
                <w:sz w:val="21"/>
                <w:szCs w:val="21"/>
                <w:lang w:val="en-US" w:eastAsia="zh-CN" w:bidi="ar-SA"/>
              </w:rPr>
              <w:t>/</w:t>
            </w:r>
          </w:p>
        </w:tc>
        <w:tc>
          <w:tcPr>
            <w:tcW w:w="699" w:type="pct"/>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lang w:val="en-US" w:eastAsia="zh-CN" w:bidi="ar-SA"/>
              </w:rPr>
            </w:pPr>
            <w:r>
              <w:rPr>
                <w:rFonts w:cs="Times New Roman"/>
                <w:sz w:val="21"/>
                <w:szCs w:val="21"/>
              </w:rPr>
              <w:t>HW</w:t>
            </w:r>
            <w:r>
              <w:rPr>
                <w:rFonts w:hint="eastAsia" w:cs="Times New Roman"/>
                <w:sz w:val="21"/>
                <w:szCs w:val="21"/>
                <w:lang w:val="en-US" w:eastAsia="zh-CN"/>
              </w:rPr>
              <w:t>49</w:t>
            </w:r>
          </w:p>
        </w:tc>
        <w:tc>
          <w:tcPr>
            <w:tcW w:w="778" w:type="pct"/>
            <w:vAlign w:val="center"/>
          </w:tcPr>
          <w:p>
            <w:pPr>
              <w:widowControl/>
              <w:spacing w:line="240" w:lineRule="auto"/>
              <w:ind w:firstLine="0" w:firstLineChars="0"/>
              <w:jc w:val="center"/>
              <w:rPr>
                <w:rFonts w:ascii="Times New Roman" w:hAnsi="Times New Roman" w:eastAsia="宋体" w:cs="Times New Roman"/>
                <w:color w:val="000000"/>
                <w:kern w:val="0"/>
                <w:sz w:val="21"/>
                <w:szCs w:val="21"/>
                <w:lang w:val="en-US" w:eastAsia="zh-CN" w:bidi="ar-SA"/>
              </w:rPr>
            </w:pPr>
            <w:r>
              <w:rPr>
                <w:rFonts w:hint="eastAsia" w:cs="Times New Roman"/>
                <w:sz w:val="21"/>
                <w:szCs w:val="21"/>
                <w:lang w:val="en-US" w:eastAsia="zh-CN"/>
              </w:rPr>
              <w:t>336</w:t>
            </w:r>
            <w:r>
              <w:rPr>
                <w:rFonts w:cs="Times New Roman"/>
                <w:sz w:val="21"/>
                <w:szCs w:val="21"/>
              </w:rPr>
              <w:t>-</w:t>
            </w:r>
            <w:r>
              <w:rPr>
                <w:rFonts w:hint="eastAsia" w:cs="Times New Roman"/>
                <w:sz w:val="21"/>
                <w:szCs w:val="21"/>
                <w:lang w:val="en-US" w:eastAsia="zh-CN"/>
              </w:rPr>
              <w:t>064</w:t>
            </w:r>
            <w:r>
              <w:rPr>
                <w:rFonts w:cs="Times New Roman"/>
                <w:sz w:val="21"/>
                <w:szCs w:val="21"/>
              </w:rPr>
              <w:t>-</w:t>
            </w:r>
            <w:r>
              <w:rPr>
                <w:rFonts w:hint="eastAsia" w:cs="Times New Roman"/>
                <w:sz w:val="21"/>
                <w:szCs w:val="21"/>
                <w:lang w:val="en-US" w:eastAsia="zh-CN"/>
              </w:rPr>
              <w:t>17</w:t>
            </w:r>
          </w:p>
        </w:tc>
        <w:tc>
          <w:tcPr>
            <w:tcW w:w="727" w:type="pct"/>
            <w:vMerge w:val="continue"/>
            <w:vAlign w:val="center"/>
          </w:tcPr>
          <w:p>
            <w:pPr>
              <w:widowControl/>
              <w:spacing w:line="240" w:lineRule="auto"/>
              <w:ind w:firstLine="0" w:firstLineChars="0"/>
              <w:jc w:val="center"/>
              <w:rPr>
                <w:rFonts w:cs="Times New Roman"/>
                <w:color w:val="000000"/>
                <w:kern w:val="0"/>
                <w:sz w:val="21"/>
                <w:szCs w:val="21"/>
              </w:rPr>
            </w:pPr>
          </w:p>
        </w:tc>
      </w:tr>
    </w:tbl>
    <w:p>
      <w:pPr>
        <w:widowControl/>
        <w:spacing w:line="240" w:lineRule="auto"/>
        <w:ind w:firstLine="0" w:firstLineChars="0"/>
        <w:jc w:val="left"/>
        <w:rPr>
          <w:rFonts w:cstheme="majorBidi"/>
          <w:b/>
          <w:bCs/>
          <w:sz w:val="30"/>
          <w:szCs w:val="32"/>
        </w:rPr>
      </w:pPr>
      <w:r>
        <w:br w:type="page"/>
      </w:r>
    </w:p>
    <w:p>
      <w:pPr>
        <w:pStyle w:val="5"/>
        <w:numPr>
          <w:ilvl w:val="1"/>
          <w:numId w:val="0"/>
        </w:numPr>
        <w:bidi w:val="0"/>
        <w:ind w:leftChars="0"/>
      </w:pPr>
      <w:bookmarkStart w:id="228" w:name="_Toc27102"/>
      <w:bookmarkStart w:id="229" w:name="_Toc527104513"/>
      <w:r>
        <w:rPr>
          <w:rFonts w:hint="eastAsia"/>
          <w:lang w:val="en-US" w:eastAsia="zh-CN"/>
        </w:rPr>
        <w:t>3.4</w:t>
      </w:r>
      <w:r>
        <w:rPr>
          <w:rFonts w:hint="eastAsia"/>
        </w:rPr>
        <w:t>生产工艺及设备情况</w:t>
      </w:r>
      <w:bookmarkEnd w:id="228"/>
      <w:bookmarkEnd w:id="229"/>
    </w:p>
    <w:p>
      <w:pPr>
        <w:ind w:firstLine="560"/>
        <w:rPr>
          <w:rFonts w:hint="eastAsia"/>
        </w:rPr>
      </w:pPr>
      <w:r>
        <w:rPr>
          <w:rFonts w:hint="eastAsia"/>
        </w:rPr>
        <w:t>本公司</w:t>
      </w:r>
      <w:r>
        <w:rPr>
          <w:rFonts w:hint="eastAsia"/>
          <w:lang w:eastAsia="zh-CN"/>
        </w:rPr>
        <w:t>主要取赣江原水加入净化剂、消毒剂等生产饮用水；其中</w:t>
      </w:r>
      <w:r>
        <w:rPr>
          <w:rFonts w:ascii="Times New Roman" w:hAnsi="宋体"/>
          <w:b w:val="0"/>
        </w:rPr>
        <w:t>折板絮凝平流沉淀池排泥水、普快滤池反冲洗废水进行深度处理净化后回用</w:t>
      </w:r>
      <w:r>
        <w:rPr>
          <w:rFonts w:hint="eastAsia"/>
        </w:rPr>
        <w:t>。</w:t>
      </w:r>
      <w:r>
        <w:rPr>
          <w:rFonts w:hint="eastAsia"/>
          <w:lang w:eastAsia="zh-CN"/>
        </w:rPr>
        <w:t>具体</w:t>
      </w:r>
      <w:r>
        <w:rPr>
          <w:rFonts w:hint="eastAsia"/>
        </w:rPr>
        <w:t>的工艺流程见</w:t>
      </w:r>
      <w:r>
        <w:fldChar w:fldCharType="begin"/>
      </w:r>
      <w:r>
        <w:instrText xml:space="preserve"> </w:instrText>
      </w:r>
      <w:r>
        <w:rPr>
          <w:rFonts w:hint="eastAsia"/>
        </w:rPr>
        <w:instrText xml:space="preserve">REF _Ref526611240 \h</w:instrText>
      </w:r>
      <w:r>
        <w:instrText xml:space="preserve"> </w:instrText>
      </w:r>
      <w:r>
        <w:fldChar w:fldCharType="separate"/>
      </w:r>
      <w:r>
        <w:rPr>
          <w:rFonts w:hint="eastAsia"/>
        </w:rPr>
        <w:t xml:space="preserve">图 </w:t>
      </w:r>
      <w:r>
        <w:t>3</w:t>
      </w:r>
      <w:r>
        <w:noBreakHyphen/>
      </w:r>
      <w:r>
        <w:t>3</w:t>
      </w:r>
      <w:r>
        <w:fldChar w:fldCharType="end"/>
      </w:r>
      <w:r>
        <w:rPr>
          <w:rFonts w:hint="eastAsia"/>
        </w:rPr>
        <w:t>。</w:t>
      </w:r>
    </w:p>
    <w:p>
      <w:pPr>
        <w:pStyle w:val="2"/>
        <w:ind w:left="0" w:leftChars="0" w:firstLine="0" w:firstLineChars="0"/>
      </w:pPr>
      <w:r>
        <w:rPr>
          <w:rFonts w:ascii="Times New Roman" w:hAnsi="Times New Roman" w:eastAsia="宋体"/>
        </w:rPr>
        <w:drawing>
          <wp:inline distT="0" distB="0" distL="0" distR="0">
            <wp:extent cx="5835650" cy="3744595"/>
            <wp:effectExtent l="9525" t="9525" r="22225" b="1778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18" cstate="print"/>
                    <a:stretch>
                      <a:fillRect/>
                    </a:stretch>
                  </pic:blipFill>
                  <pic:spPr>
                    <a:xfrm>
                      <a:off x="0" y="0"/>
                      <a:ext cx="5839222" cy="3746791"/>
                    </a:xfrm>
                    <a:prstGeom prst="rect">
                      <a:avLst/>
                    </a:prstGeom>
                    <a:ln>
                      <a:solidFill>
                        <a:schemeClr val="tx1"/>
                      </a:solidFill>
                    </a:ln>
                  </pic:spPr>
                </pic:pic>
              </a:graphicData>
            </a:graphic>
          </wp:inline>
        </w:drawing>
      </w:r>
    </w:p>
    <w:p>
      <w:pPr>
        <w:pStyle w:val="8"/>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3</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3</w:t>
      </w:r>
      <w:r>
        <w:fldChar w:fldCharType="end"/>
      </w:r>
      <w:r>
        <w:rPr>
          <w:rFonts w:hint="eastAsia"/>
        </w:rPr>
        <w:t>生产工艺流程图</w:t>
      </w:r>
    </w:p>
    <w:p>
      <w:pPr>
        <w:pStyle w:val="6"/>
        <w:numPr>
          <w:ilvl w:val="2"/>
          <w:numId w:val="0"/>
        </w:numPr>
        <w:bidi w:val="0"/>
        <w:ind w:leftChars="0"/>
      </w:pPr>
      <w:r>
        <w:rPr>
          <w:rFonts w:hint="eastAsia"/>
          <w:lang w:val="en-US" w:eastAsia="zh-CN"/>
        </w:rPr>
        <w:t>3.4.1</w:t>
      </w:r>
      <w:r>
        <w:rPr>
          <w:rFonts w:hint="eastAsia"/>
        </w:rPr>
        <w:t>生产工艺</w:t>
      </w:r>
    </w:p>
    <w:p>
      <w:pPr>
        <w:pStyle w:val="37"/>
        <w:spacing w:beforeLines="30"/>
        <w:ind w:firstLine="482"/>
        <w:rPr>
          <w:rFonts w:hint="eastAsia" w:ascii="Times New Roman" w:hAnsi="Times New Roman" w:eastAsia="宋体" w:cstheme="minorBidi"/>
          <w:kern w:val="2"/>
          <w:sz w:val="28"/>
          <w:szCs w:val="22"/>
          <w:lang w:val="en-US" w:eastAsia="zh-CN" w:bidi="ar-SA"/>
        </w:rPr>
      </w:pPr>
      <w:r>
        <w:rPr>
          <w:rFonts w:hint="eastAsia" w:ascii="Times New Roman" w:hAnsi="Times New Roman" w:eastAsia="宋体" w:cstheme="minorBidi"/>
          <w:kern w:val="2"/>
          <w:sz w:val="28"/>
          <w:szCs w:val="22"/>
          <w:lang w:val="en-US" w:eastAsia="zh-CN" w:bidi="ar-SA"/>
        </w:rPr>
        <w:t>排泥水处理工艺流程简述如下：</w:t>
      </w:r>
    </w:p>
    <w:p>
      <w:pPr>
        <w:keepNext/>
        <w:ind w:firstLine="0" w:firstLineChars="0"/>
        <w:jc w:val="left"/>
        <w:rPr>
          <w:rFonts w:hint="eastAsia" w:ascii="Times New Roman" w:hAnsi="Times New Roman" w:eastAsia="宋体" w:cstheme="minorBidi"/>
          <w:kern w:val="2"/>
          <w:sz w:val="28"/>
          <w:szCs w:val="22"/>
          <w:lang w:val="en-US" w:eastAsia="zh-CN" w:bidi="ar-SA"/>
        </w:rPr>
      </w:pPr>
      <w:r>
        <w:rPr>
          <w:rFonts w:hint="eastAsia" w:ascii="Times New Roman" w:hAnsi="Times New Roman" w:eastAsia="宋体" w:cstheme="minorBidi"/>
          <w:kern w:val="2"/>
          <w:sz w:val="28"/>
          <w:szCs w:val="22"/>
          <w:lang w:val="en-US" w:eastAsia="zh-CN" w:bidi="ar-SA"/>
        </w:rPr>
        <w:t>由于现有净水系统折板絮凝平流沉淀池排泥水含固率较大，且其排泥方式为间歇式排泥，故净水系统沉淀池排泥水和普快滤池的反冲洗废水经本工程新建排泥水池调节（含水率为99.8），排泥水池上清液（W1）回收至取水原水管道进入现有净水系统净化回收利用。排泥水池底部沉积物通过潜水泵提升至高效浓缩池浓缩，浓缩池上清液（W2）回流至取水原水管道进入现有净水系统净化回收利用。在高效浓缩池投入PAM（阴离子聚丙烯酰胺），然后采用叠螺式污泥脱水机进行脱水后制干泥（含水率&lt;80％）并在脱水机中添加PAM（阳离子聚丙烯酰胺），干泥交由由洪城水业外运统一运送至麦园垃圾填埋厂进行无害化处置。脱水浓缩液（W3）回流至排泥水池。</w:t>
      </w:r>
    </w:p>
    <w:p>
      <w:pPr>
        <w:spacing w:line="600" w:lineRule="exact"/>
        <w:ind w:firstLine="570"/>
        <w:rPr>
          <w:rFonts w:hint="eastAsia"/>
          <w:b w:val="0"/>
          <w:bCs w:val="0"/>
          <w:sz w:val="28"/>
        </w:rPr>
      </w:pPr>
      <w:r>
        <w:rPr>
          <w:rFonts w:hint="eastAsia"/>
          <w:b w:val="0"/>
          <w:bCs w:val="0"/>
          <w:sz w:val="28"/>
          <w:lang w:eastAsia="zh-CN"/>
        </w:rPr>
        <w:t>消毒剂投加工艺</w:t>
      </w:r>
      <w:r>
        <w:rPr>
          <w:rFonts w:hint="eastAsia"/>
          <w:b w:val="0"/>
          <w:bCs w:val="0"/>
          <w:sz w:val="28"/>
        </w:rPr>
        <w:t>流程简述：</w:t>
      </w:r>
    </w:p>
    <w:p>
      <w:pPr>
        <w:spacing w:line="600" w:lineRule="exact"/>
        <w:ind w:firstLine="570"/>
        <w:rPr>
          <w:rFonts w:hint="eastAsia"/>
          <w:sz w:val="28"/>
        </w:rPr>
      </w:pPr>
      <w:r>
        <w:rPr>
          <w:rFonts w:hint="eastAsia"/>
          <w:sz w:val="28"/>
        </w:rPr>
        <w:t>公司次氯酸钠储存罐，共4座储罐，每座储罐最大储存量20t，储存的次氯酸钠含量为5%，公司有两组投加次氯酸钠设施，其中一组工作，一组备用。次氯酸钠系统主要包括储存系统、投加系统和控制系统。系统采用10%有效氯的成品次氯酸钠溶液稀释成5%后投加。成品次氯酸钠溶液由药剂槽罐车运至现场，用卸料泵将成品药剂泵入储液罐，并对药剂进行1:1软水稀释。投加系统：储罐内稀释后的药剂由计量泵实现投加。控制系统：配置PLC实现对出药电动阀和计量泵的手/自动控制，系统具备异常状态的声光报警。</w:t>
      </w:r>
    </w:p>
    <w:p>
      <w:pPr>
        <w:spacing w:line="600" w:lineRule="exact"/>
        <w:ind w:firstLine="570"/>
        <w:rPr>
          <w:rFonts w:hint="eastAsia"/>
          <w:b/>
          <w:bCs/>
          <w:sz w:val="28"/>
        </w:rPr>
      </w:pPr>
      <w:r>
        <w:rPr>
          <w:rFonts w:hint="eastAsia"/>
          <w:b/>
          <w:bCs/>
          <w:sz w:val="28"/>
        </w:rPr>
        <w:t>工艺流程</w:t>
      </w:r>
      <w:r>
        <w:rPr>
          <w:rFonts w:hint="eastAsia"/>
          <w:b/>
          <w:bCs/>
          <w:sz w:val="28"/>
          <w:lang w:eastAsia="zh-CN"/>
        </w:rPr>
        <w:t>图</w:t>
      </w:r>
      <w:r>
        <w:rPr>
          <w:rFonts w:hint="eastAsia"/>
          <w:b/>
          <w:bCs/>
          <w:sz w:val="28"/>
        </w:rPr>
        <w:t>：</w:t>
      </w:r>
    </w:p>
    <w:p>
      <w:pPr>
        <w:spacing w:line="600" w:lineRule="exact"/>
        <w:ind w:firstLine="560" w:firstLineChars="200"/>
        <w:rPr>
          <w:color w:val="C00000"/>
          <w:sz w:val="28"/>
          <w:szCs w:val="28"/>
        </w:rPr>
      </w:pPr>
      <w:r>
        <w:rPr>
          <w:color w:val="C00000"/>
          <w:sz w:val="28"/>
          <w:szCs w:val="28"/>
        </w:rPr>
        <mc:AlternateContent>
          <mc:Choice Requires="wpg">
            <w:drawing>
              <wp:anchor distT="0" distB="0" distL="114300" distR="114300" simplePos="0" relativeHeight="1498946560" behindDoc="0" locked="0" layoutInCell="1" allowOverlap="1">
                <wp:simplePos x="0" y="0"/>
                <wp:positionH relativeFrom="column">
                  <wp:posOffset>-809625</wp:posOffset>
                </wp:positionH>
                <wp:positionV relativeFrom="paragraph">
                  <wp:posOffset>198120</wp:posOffset>
                </wp:positionV>
                <wp:extent cx="6946900" cy="297180"/>
                <wp:effectExtent l="0" t="5080" r="6350" b="21590"/>
                <wp:wrapNone/>
                <wp:docPr id="115" name="组合 115"/>
                <wp:cNvGraphicFramePr/>
                <a:graphic xmlns:a="http://schemas.openxmlformats.org/drawingml/2006/main">
                  <a:graphicData uri="http://schemas.microsoft.com/office/word/2010/wordprocessingGroup">
                    <wpg:wgp>
                      <wpg:cNvGrpSpPr/>
                      <wpg:grpSpPr>
                        <a:xfrm>
                          <a:off x="0" y="0"/>
                          <a:ext cx="6946900" cy="297180"/>
                          <a:chOff x="1929" y="6120"/>
                          <a:chExt cx="8452" cy="468"/>
                        </a:xfrm>
                      </wpg:grpSpPr>
                      <wps:wsp>
                        <wps:cNvPr id="116" name="矩形 32"/>
                        <wps:cNvSpPr/>
                        <wps:spPr>
                          <a:xfrm>
                            <a:off x="3739" y="6120"/>
                            <a:ext cx="932"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300" w:lineRule="exact"/>
                                <w:ind w:left="0" w:leftChars="0" w:firstLine="0" w:firstLineChars="0"/>
                                <w:rPr>
                                  <w:rFonts w:hint="eastAsia"/>
                                  <w:sz w:val="24"/>
                                </w:rPr>
                              </w:pPr>
                              <w:r>
                                <w:rPr>
                                  <w:rFonts w:hint="eastAsia"/>
                                  <w:sz w:val="24"/>
                                </w:rPr>
                                <w:t>提升泵</w:t>
                              </w:r>
                            </w:p>
                          </w:txbxContent>
                        </wps:txbx>
                        <wps:bodyPr upright="1"/>
                      </wps:wsp>
                      <wps:wsp>
                        <wps:cNvPr id="117" name="矩形 33"/>
                        <wps:cNvSpPr/>
                        <wps:spPr>
                          <a:xfrm>
                            <a:off x="1929" y="6185"/>
                            <a:ext cx="1130" cy="328"/>
                          </a:xfrm>
                          <a:prstGeom prst="rect">
                            <a:avLst/>
                          </a:prstGeom>
                          <a:noFill/>
                          <a:ln>
                            <a:noFill/>
                          </a:ln>
                        </wps:spPr>
                        <wps:txbx>
                          <w:txbxContent>
                            <w:p>
                              <w:pPr>
                                <w:spacing w:line="300" w:lineRule="exact"/>
                                <w:jc w:val="right"/>
                                <w:rPr>
                                  <w:rFonts w:hint="eastAsia"/>
                                  <w:sz w:val="24"/>
                                </w:rPr>
                              </w:pPr>
                              <w:r>
                                <w:rPr>
                                  <w:rFonts w:hint="eastAsia"/>
                                  <w:sz w:val="24"/>
                                </w:rPr>
                                <w:t>原液</w:t>
                              </w:r>
                            </w:p>
                          </w:txbxContent>
                        </wps:txbx>
                        <wps:bodyPr lIns="0" tIns="0" rIns="0" bIns="0" upright="1"/>
                      </wps:wsp>
                      <wps:wsp>
                        <wps:cNvPr id="118" name="直接连接符 34"/>
                        <wps:cNvCnPr/>
                        <wps:spPr>
                          <a:xfrm>
                            <a:off x="3107" y="6354"/>
                            <a:ext cx="640" cy="0"/>
                          </a:xfrm>
                          <a:prstGeom prst="line">
                            <a:avLst/>
                          </a:prstGeom>
                          <a:ln w="9525" cap="flat" cmpd="sng">
                            <a:solidFill>
                              <a:srgbClr val="000000"/>
                            </a:solidFill>
                            <a:prstDash val="solid"/>
                            <a:headEnd type="none" w="med" len="med"/>
                            <a:tailEnd type="triangle" w="med" len="med"/>
                          </a:ln>
                        </wps:spPr>
                        <wps:bodyPr upright="1"/>
                      </wps:wsp>
                      <wps:wsp>
                        <wps:cNvPr id="119" name="矩形 35"/>
                        <wps:cNvSpPr/>
                        <wps:spPr>
                          <a:xfrm>
                            <a:off x="5116" y="6120"/>
                            <a:ext cx="1290"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300" w:lineRule="exact"/>
                                <w:ind w:left="0" w:leftChars="0" w:firstLine="0" w:firstLineChars="0"/>
                                <w:rPr>
                                  <w:rFonts w:hint="eastAsia"/>
                                  <w:sz w:val="24"/>
                                </w:rPr>
                              </w:pPr>
                              <w:r>
                                <w:rPr>
                                  <w:rFonts w:hint="eastAsia"/>
                                  <w:sz w:val="24"/>
                                </w:rPr>
                                <w:t>储罐（稀释）</w:t>
                              </w:r>
                            </w:p>
                          </w:txbxContent>
                        </wps:txbx>
                        <wps:bodyPr upright="1"/>
                      </wps:wsp>
                      <wps:wsp>
                        <wps:cNvPr id="120" name="直接连接符 39"/>
                        <wps:cNvCnPr/>
                        <wps:spPr>
                          <a:xfrm>
                            <a:off x="4680" y="6354"/>
                            <a:ext cx="441" cy="0"/>
                          </a:xfrm>
                          <a:prstGeom prst="line">
                            <a:avLst/>
                          </a:prstGeom>
                          <a:ln w="9525" cap="flat" cmpd="sng">
                            <a:solidFill>
                              <a:srgbClr val="000000"/>
                            </a:solidFill>
                            <a:prstDash val="solid"/>
                            <a:headEnd type="none" w="med" len="med"/>
                            <a:tailEnd type="triangle" w="med" len="med"/>
                          </a:ln>
                        </wps:spPr>
                        <wps:bodyPr upright="1"/>
                      </wps:wsp>
                      <wps:wsp>
                        <wps:cNvPr id="121" name="矩形 40"/>
                        <wps:cNvSpPr/>
                        <wps:spPr>
                          <a:xfrm>
                            <a:off x="6853" y="6120"/>
                            <a:ext cx="1046"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300" w:lineRule="exact"/>
                                <w:ind w:left="0" w:leftChars="0" w:firstLine="0" w:firstLineChars="0"/>
                                <w:jc w:val="center"/>
                                <w:rPr>
                                  <w:rFonts w:hint="eastAsia"/>
                                  <w:sz w:val="24"/>
                                </w:rPr>
                              </w:pPr>
                              <w:r>
                                <w:rPr>
                                  <w:rFonts w:hint="eastAsia"/>
                                  <w:sz w:val="24"/>
                                </w:rPr>
                                <w:t>加药泵</w:t>
                              </w:r>
                            </w:p>
                          </w:txbxContent>
                        </wps:txbx>
                        <wps:bodyPr upright="1"/>
                      </wps:wsp>
                      <wps:wsp>
                        <wps:cNvPr id="122" name="矩形 41"/>
                        <wps:cNvSpPr/>
                        <wps:spPr>
                          <a:xfrm>
                            <a:off x="8353" y="6120"/>
                            <a:ext cx="789"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300" w:lineRule="exact"/>
                                <w:ind w:left="0" w:leftChars="0" w:firstLine="0" w:firstLineChars="0"/>
                                <w:jc w:val="left"/>
                                <w:rPr>
                                  <w:sz w:val="24"/>
                                </w:rPr>
                              </w:pPr>
                              <w:r>
                                <w:rPr>
                                  <w:rFonts w:hint="eastAsia"/>
                                  <w:szCs w:val="21"/>
                                </w:rPr>
                                <w:t>投加</w:t>
                              </w:r>
                              <w:r>
                                <w:rPr>
                                  <w:rFonts w:hint="eastAsia"/>
                                  <w:sz w:val="24"/>
                                </w:rPr>
                                <w:t>点</w:t>
                              </w:r>
                            </w:p>
                          </w:txbxContent>
                        </wps:txbx>
                        <wps:bodyPr upright="1"/>
                      </wps:wsp>
                      <wps:wsp>
                        <wps:cNvPr id="123" name="直接连接符 42"/>
                        <wps:cNvCnPr/>
                        <wps:spPr>
                          <a:xfrm>
                            <a:off x="6414" y="6354"/>
                            <a:ext cx="441" cy="0"/>
                          </a:xfrm>
                          <a:prstGeom prst="line">
                            <a:avLst/>
                          </a:prstGeom>
                          <a:ln w="9525" cap="flat" cmpd="sng">
                            <a:solidFill>
                              <a:srgbClr val="000000"/>
                            </a:solidFill>
                            <a:prstDash val="solid"/>
                            <a:headEnd type="none" w="med" len="med"/>
                            <a:tailEnd type="triangle" w="med" len="med"/>
                          </a:ln>
                        </wps:spPr>
                        <wps:bodyPr upright="1"/>
                      </wps:wsp>
                      <wps:wsp>
                        <wps:cNvPr id="124" name="直接连接符 56"/>
                        <wps:cNvCnPr/>
                        <wps:spPr>
                          <a:xfrm>
                            <a:off x="7904" y="6354"/>
                            <a:ext cx="441" cy="0"/>
                          </a:xfrm>
                          <a:prstGeom prst="line">
                            <a:avLst/>
                          </a:prstGeom>
                          <a:ln w="9525" cap="flat" cmpd="sng">
                            <a:solidFill>
                              <a:srgbClr val="000000"/>
                            </a:solidFill>
                            <a:prstDash val="solid"/>
                            <a:headEnd type="none" w="med" len="med"/>
                            <a:tailEnd type="triangle" w="med" len="med"/>
                          </a:ln>
                        </wps:spPr>
                        <wps:bodyPr upright="1"/>
                      </wps:wsp>
                      <wps:wsp>
                        <wps:cNvPr id="125" name="矩形 58"/>
                        <wps:cNvSpPr/>
                        <wps:spPr>
                          <a:xfrm>
                            <a:off x="9592" y="6120"/>
                            <a:ext cx="789"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300" w:lineRule="exact"/>
                                <w:ind w:left="0" w:leftChars="0" w:firstLine="0" w:firstLineChars="0"/>
                                <w:rPr>
                                  <w:rFonts w:hint="eastAsia"/>
                                  <w:sz w:val="24"/>
                                </w:rPr>
                              </w:pPr>
                              <w:r>
                                <w:rPr>
                                  <w:rFonts w:hint="eastAsia"/>
                                  <w:sz w:val="24"/>
                                </w:rPr>
                                <w:t>水池</w:t>
                              </w:r>
                            </w:p>
                          </w:txbxContent>
                        </wps:txbx>
                        <wps:bodyPr upright="1"/>
                      </wps:wsp>
                      <wps:wsp>
                        <wps:cNvPr id="126" name="直接连接符 112"/>
                        <wps:cNvCnPr/>
                        <wps:spPr>
                          <a:xfrm>
                            <a:off x="9143" y="6354"/>
                            <a:ext cx="441" cy="0"/>
                          </a:xfrm>
                          <a:prstGeom prst="line">
                            <a:avLst/>
                          </a:prstGeom>
                          <a:ln w="9525" cap="flat" cmpd="sng">
                            <a:solidFill>
                              <a:srgbClr val="000000"/>
                            </a:solidFill>
                            <a:prstDash val="solid"/>
                            <a:headEnd type="none" w="med" len="med"/>
                            <a:tailEnd type="triangle" w="med" len="med"/>
                          </a:ln>
                        </wps:spPr>
                        <wps:bodyPr upright="1"/>
                      </wps:wsp>
                    </wpg:wgp>
                  </a:graphicData>
                </a:graphic>
              </wp:anchor>
            </w:drawing>
          </mc:Choice>
          <mc:Fallback>
            <w:pict>
              <v:group id="_x0000_s1026" o:spid="_x0000_s1026" o:spt="203" style="position:absolute;left:0pt;margin-left:-63.75pt;margin-top:15.6pt;height:23.4pt;width:547pt;z-index:1498946560;mso-width-relative:page;mso-height-relative:page;" coordorigin="1929,6120" coordsize="8452,468" o:gfxdata="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">
                <o:lock v:ext="edit" aspectratio="f"/>
                <v:rect id="矩形 32" o:spid="_x0000_s1026" o:spt="1" style="position:absolute;left:3739;top:6120;height:468;width:932;" fillcolor="#FFFFFF" filled="t" stroked="t" coordsize="21600,21600" o:gfxdata="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ljdMtugAAANw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spacing w:line="300" w:lineRule="exact"/>
                          <w:ind w:left="0" w:leftChars="0" w:firstLine="0" w:firstLineChars="0"/>
                          <w:rPr>
                            <w:rFonts w:hint="eastAsia"/>
                            <w:sz w:val="24"/>
                          </w:rPr>
                        </w:pPr>
                        <w:r>
                          <w:rPr>
                            <w:rFonts w:hint="eastAsia"/>
                            <w:sz w:val="24"/>
                          </w:rPr>
                          <w:t>提升泵</w:t>
                        </w:r>
                      </w:p>
                    </w:txbxContent>
                  </v:textbox>
                </v:rect>
                <v:rect id="矩形 33" o:spid="_x0000_s1026" o:spt="1" style="position:absolute;left:1929;top:6185;height:328;width:1130;" filled="f" stroked="f" coordsize="21600,21600" o:gfxdata="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NV5W6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line="300" w:lineRule="exact"/>
                          <w:jc w:val="right"/>
                          <w:rPr>
                            <w:rFonts w:hint="eastAsia"/>
                            <w:sz w:val="24"/>
                          </w:rPr>
                        </w:pPr>
                        <w:r>
                          <w:rPr>
                            <w:rFonts w:hint="eastAsia"/>
                            <w:sz w:val="24"/>
                          </w:rPr>
                          <w:t>原液</w:t>
                        </w:r>
                      </w:p>
                    </w:txbxContent>
                  </v:textbox>
                </v:rect>
                <v:line id="直接连接符 34" o:spid="_x0000_s1026" o:spt="20" style="position:absolute;left:3107;top:6354;height:0;width:640;" filled="f" stroked="t" coordsize="21600,21600" o:gfxdata="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dEmRt&#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矩形 35" o:spid="_x0000_s1026" o:spt="1" style="position:absolute;left:5116;top:6120;height:468;width:1290;" fillcolor="#FFFFFF" filled="t" stroked="t" coordsize="21600,21600" o:gfxdata="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QSR1+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spacing w:line="300" w:lineRule="exact"/>
                          <w:ind w:left="0" w:leftChars="0" w:firstLine="0" w:firstLineChars="0"/>
                          <w:rPr>
                            <w:rFonts w:hint="eastAsia"/>
                            <w:sz w:val="24"/>
                          </w:rPr>
                        </w:pPr>
                        <w:r>
                          <w:rPr>
                            <w:rFonts w:hint="eastAsia"/>
                            <w:sz w:val="24"/>
                          </w:rPr>
                          <w:t>储罐（稀释）</w:t>
                        </w:r>
                      </w:p>
                    </w:txbxContent>
                  </v:textbox>
                </v:rect>
                <v:line id="直接连接符 39" o:spid="_x0000_s1026" o:spt="20" style="position:absolute;left:4680;top:6354;height:0;width:441;" filled="f" stroked="t" coordsize="21600,21600" o:gfxdata="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tCKLW&#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矩形 40" o:spid="_x0000_s1026" o:spt="1" style="position:absolute;left:6853;top:6120;height:468;width:1046;" fillcolor="#FFFFFF" filled="t" stroked="t" coordsize="21600,21600" o:gfxdata="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AiB5L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spacing w:line="300" w:lineRule="exact"/>
                          <w:ind w:left="0" w:leftChars="0" w:firstLine="0" w:firstLineChars="0"/>
                          <w:jc w:val="center"/>
                          <w:rPr>
                            <w:rFonts w:hint="eastAsia"/>
                            <w:sz w:val="24"/>
                          </w:rPr>
                        </w:pPr>
                        <w:r>
                          <w:rPr>
                            <w:rFonts w:hint="eastAsia"/>
                            <w:sz w:val="24"/>
                          </w:rPr>
                          <w:t>加药泵</w:t>
                        </w:r>
                      </w:p>
                    </w:txbxContent>
                  </v:textbox>
                </v:rect>
                <v:rect id="矩形 41" o:spid="_x0000_s1026" o:spt="1" style="position:absolute;left:8353;top:6120;height:468;width:789;" fillcolor="#FFFFFF" filled="t" stroked="t" coordsize="21600,21600" o:gfxdata="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TaH5O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spacing w:line="300" w:lineRule="exact"/>
                          <w:ind w:left="0" w:leftChars="0" w:firstLine="0" w:firstLineChars="0"/>
                          <w:jc w:val="left"/>
                          <w:rPr>
                            <w:sz w:val="24"/>
                          </w:rPr>
                        </w:pPr>
                        <w:r>
                          <w:rPr>
                            <w:rFonts w:hint="eastAsia"/>
                            <w:szCs w:val="21"/>
                          </w:rPr>
                          <w:t>投加</w:t>
                        </w:r>
                        <w:r>
                          <w:rPr>
                            <w:rFonts w:hint="eastAsia"/>
                            <w:sz w:val="24"/>
                          </w:rPr>
                          <w:t>点</w:t>
                        </w:r>
                      </w:p>
                    </w:txbxContent>
                  </v:textbox>
                </v:rect>
                <v:line id="直接连接符 42" o:spid="_x0000_s1026" o:spt="20" style="position:absolute;left:6414;top:6354;height:0;width:441;" filled="f" stroked="t" coordsize="21600,21600" o:gfxdata="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do8ob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直接连接符 56" o:spid="_x0000_s1026" o:spt="20" style="position:absolute;left:7904;top:6354;height:0;width:441;" filled="f" stroked="t" coordsize="21600,21600" o:gfxdata="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jOk1b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rect id="矩形 58" o:spid="_x0000_s1026" o:spt="1" style="position:absolute;left:9592;top:6120;height:468;width:789;" fillcolor="#FFFFFF" filled="t" stroked="t" coordsize="21600,21600" o:gfxdata="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szh+e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spacing w:line="300" w:lineRule="exact"/>
                          <w:ind w:left="0" w:leftChars="0" w:firstLine="0" w:firstLineChars="0"/>
                          <w:rPr>
                            <w:rFonts w:hint="eastAsia"/>
                            <w:sz w:val="24"/>
                          </w:rPr>
                        </w:pPr>
                        <w:r>
                          <w:rPr>
                            <w:rFonts w:hint="eastAsia"/>
                            <w:sz w:val="24"/>
                          </w:rPr>
                          <w:t>水池</w:t>
                        </w:r>
                      </w:p>
                    </w:txbxContent>
                  </v:textbox>
                </v:rect>
                <v:line id="直接连接符 112" o:spid="_x0000_s1026" o:spt="20" style="position:absolute;left:9143;top:6354;height:0;width:441;" filled="f" stroked="t" coordsize="21600,21600" o:gfxdata="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2tnzm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group>
            </w:pict>
          </mc:Fallback>
        </mc:AlternateContent>
      </w:r>
    </w:p>
    <w:p>
      <w:pPr>
        <w:ind w:left="0" w:leftChars="0" w:firstLine="0" w:firstLineChars="0"/>
      </w:pPr>
    </w:p>
    <w:p>
      <w:pPr>
        <w:pStyle w:val="6"/>
        <w:numPr>
          <w:ilvl w:val="2"/>
          <w:numId w:val="0"/>
        </w:numPr>
        <w:bidi w:val="0"/>
        <w:ind w:leftChars="0"/>
      </w:pPr>
      <w:r>
        <w:rPr>
          <w:rFonts w:hint="eastAsia"/>
          <w:lang w:val="en-US" w:eastAsia="zh-CN"/>
        </w:rPr>
        <w:t>3.4.2</w:t>
      </w:r>
      <w:r>
        <w:rPr>
          <w:rFonts w:hint="eastAsia"/>
        </w:rPr>
        <w:t>主要设备</w:t>
      </w:r>
    </w:p>
    <w:p>
      <w:pPr>
        <w:ind w:firstLine="560"/>
      </w:pPr>
      <w:r>
        <w:t>本</w:t>
      </w:r>
      <w:r>
        <w:rPr>
          <w:rFonts w:hint="eastAsia"/>
        </w:rPr>
        <w:t>公司</w:t>
      </w:r>
      <w:r>
        <w:t>工程主要生产设备见</w:t>
      </w:r>
      <w:r>
        <w:fldChar w:fldCharType="begin"/>
      </w:r>
      <w:r>
        <w:instrText xml:space="preserve"> REF _Ref526611488 \h </w:instrText>
      </w:r>
      <w:r>
        <w:fldChar w:fldCharType="separate"/>
      </w:r>
      <w:r>
        <w:rPr>
          <w:rFonts w:hint="eastAsia"/>
        </w:rPr>
        <w:t xml:space="preserve">表 </w:t>
      </w:r>
      <w:r>
        <w:t>3</w:t>
      </w:r>
      <w:r>
        <w:noBreakHyphen/>
      </w:r>
      <w:r>
        <w:t>1</w:t>
      </w:r>
      <w:r>
        <w:rPr>
          <w:rFonts w:hint="eastAsia"/>
          <w:lang w:val="en-US" w:eastAsia="zh-CN"/>
        </w:rPr>
        <w:t>0</w:t>
      </w:r>
      <w:r>
        <w:fldChar w:fldCharType="end"/>
      </w:r>
      <w:r>
        <w:t>。</w:t>
      </w:r>
    </w:p>
    <w:p>
      <w:pPr>
        <w:pStyle w:val="8"/>
        <w:keepNext/>
      </w:pPr>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3</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1</w:t>
      </w:r>
      <w:r>
        <w:rPr>
          <w:rFonts w:hint="eastAsia"/>
          <w:lang w:val="en-US" w:eastAsia="zh-CN"/>
        </w:rPr>
        <w:t>0</w:t>
      </w:r>
      <w:r>
        <w:fldChar w:fldCharType="end"/>
      </w:r>
      <w:r>
        <w:t>主要生产设备一览表</w:t>
      </w:r>
    </w:p>
    <w:tbl>
      <w:tblPr>
        <w:tblStyle w:val="39"/>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985"/>
        <w:gridCol w:w="1557"/>
        <w:gridCol w:w="3193"/>
        <w:gridCol w:w="985"/>
        <w:gridCol w:w="2624"/>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insideV w:val="single" w:sz="6" w:space="0"/>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bookmarkStart w:id="230" w:name="_Ref526862673"/>
            <w:r>
              <w:rPr>
                <w:rFonts w:hAnsi="宋体" w:eastAsia="宋体"/>
              </w:rPr>
              <w:t>序号</w:t>
            </w:r>
          </w:p>
        </w:tc>
        <w:tc>
          <w:tcPr>
            <w:tcW w:w="833" w:type="pct"/>
            <w:tcBorders>
              <w:insideV w:val="single" w:sz="6" w:space="0"/>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设备名称</w:t>
            </w:r>
          </w:p>
        </w:tc>
        <w:tc>
          <w:tcPr>
            <w:tcW w:w="1708" w:type="pct"/>
            <w:tcBorders>
              <w:insideV w:val="single" w:sz="6" w:space="0"/>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型号规格及技术性能</w:t>
            </w:r>
          </w:p>
        </w:tc>
        <w:tc>
          <w:tcPr>
            <w:tcW w:w="527" w:type="pct"/>
            <w:tcBorders>
              <w:insideV w:val="single" w:sz="6" w:space="0"/>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单位</w:t>
            </w:r>
          </w:p>
        </w:tc>
        <w:tc>
          <w:tcPr>
            <w:tcW w:w="1403" w:type="pct"/>
            <w:tcBorders>
              <w:insideV w:val="single" w:sz="6" w:space="0"/>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数量（台</w:t>
            </w:r>
            <w:r>
              <w:rPr>
                <w:rFonts w:hAnsi="Times New Roman" w:eastAsia="宋体"/>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09" w:hRule="atLeast"/>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一</w:t>
            </w:r>
          </w:p>
        </w:tc>
        <w:tc>
          <w:tcPr>
            <w:tcW w:w="4472" w:type="pct"/>
            <w:gridSpan w:val="4"/>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排泥池</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潜水泵</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Q=54m</w:t>
            </w:r>
            <w:r>
              <w:rPr>
                <w:rFonts w:hAnsi="Times New Roman" w:eastAsia="宋体"/>
                <w:vertAlign w:val="superscript"/>
              </w:rPr>
              <w:t>3</w:t>
            </w:r>
            <w:r>
              <w:rPr>
                <w:rFonts w:hAnsi="Times New Roman" w:eastAsia="宋体"/>
              </w:rPr>
              <w:t>/h</w:t>
            </w:r>
            <w:r>
              <w:rPr>
                <w:rFonts w:hAnsi="宋体" w:eastAsia="宋体"/>
              </w:rPr>
              <w:t>，</w:t>
            </w:r>
            <w:r>
              <w:rPr>
                <w:rFonts w:hAnsi="Times New Roman" w:eastAsia="宋体"/>
              </w:rPr>
              <w:t>H=15m</w:t>
            </w:r>
            <w:r>
              <w:rPr>
                <w:rFonts w:hAnsi="宋体" w:eastAsia="宋体"/>
              </w:rPr>
              <w:t>，</w:t>
            </w:r>
            <w:r>
              <w:rPr>
                <w:rFonts w:hAnsi="Times New Roman" w:eastAsia="宋体"/>
              </w:rPr>
              <w:t>N=5.5kW</w:t>
            </w:r>
            <w:r>
              <w:rPr>
                <w:rFonts w:hAnsi="宋体" w:eastAsia="宋体"/>
              </w:rPr>
              <w:t>，变频。自耦安装</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3</w:t>
            </w:r>
            <w:r>
              <w:rPr>
                <w:rFonts w:hAnsi="宋体" w:eastAsia="宋体"/>
              </w:rPr>
              <w:t>（二用一备）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2</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潜水泵</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Q=20m</w:t>
            </w:r>
            <w:r>
              <w:rPr>
                <w:rFonts w:hAnsi="Times New Roman" w:eastAsia="宋体"/>
                <w:vertAlign w:val="superscript"/>
              </w:rPr>
              <w:t>3</w:t>
            </w:r>
            <w:r>
              <w:rPr>
                <w:rFonts w:hAnsi="Times New Roman" w:eastAsia="宋体"/>
              </w:rPr>
              <w:t>/h</w:t>
            </w:r>
            <w:r>
              <w:rPr>
                <w:rFonts w:hAnsi="宋体" w:eastAsia="宋体"/>
              </w:rPr>
              <w:t>，</w:t>
            </w:r>
            <w:r>
              <w:rPr>
                <w:rFonts w:hAnsi="Times New Roman" w:eastAsia="宋体"/>
              </w:rPr>
              <w:t>H=12m</w:t>
            </w:r>
            <w:r>
              <w:rPr>
                <w:rFonts w:hAnsi="宋体" w:eastAsia="宋体"/>
              </w:rPr>
              <w:t>，</w:t>
            </w:r>
            <w:r>
              <w:rPr>
                <w:rFonts w:hAnsi="Times New Roman" w:eastAsia="宋体"/>
              </w:rPr>
              <w:t>N=2.2kW</w:t>
            </w:r>
            <w:r>
              <w:rPr>
                <w:rFonts w:hAnsi="宋体" w:eastAsia="宋体"/>
              </w:rPr>
              <w:t>，自耦安装、变频</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3</w:t>
            </w:r>
            <w:r>
              <w:rPr>
                <w:rFonts w:hAnsi="宋体" w:eastAsia="宋体"/>
              </w:rPr>
              <w:t>（二用一备）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3</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底泥抽排泵</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Q=15m</w:t>
            </w:r>
            <w:r>
              <w:rPr>
                <w:rFonts w:hAnsi="Times New Roman" w:eastAsia="宋体"/>
                <w:vertAlign w:val="superscript"/>
              </w:rPr>
              <w:t>3</w:t>
            </w:r>
            <w:r>
              <w:rPr>
                <w:rFonts w:hAnsi="Times New Roman" w:eastAsia="宋体"/>
              </w:rPr>
              <w:t>/h</w:t>
            </w:r>
            <w:r>
              <w:rPr>
                <w:rFonts w:hAnsi="宋体" w:eastAsia="宋体"/>
              </w:rPr>
              <w:t>，</w:t>
            </w:r>
            <w:r>
              <w:rPr>
                <w:rFonts w:hAnsi="Times New Roman" w:eastAsia="宋体"/>
              </w:rPr>
              <w:t>H=8m</w:t>
            </w:r>
            <w:r>
              <w:rPr>
                <w:rFonts w:hAnsi="宋体" w:eastAsia="宋体"/>
              </w:rPr>
              <w:t>，</w:t>
            </w:r>
            <w:r>
              <w:rPr>
                <w:rFonts w:hAnsi="Times New Roman" w:eastAsia="宋体"/>
              </w:rPr>
              <w:t>N=0.75kW</w:t>
            </w:r>
            <w:r>
              <w:rPr>
                <w:rFonts w:hAnsi="宋体" w:eastAsia="宋体"/>
              </w:rPr>
              <w:t>，自耦安装</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4</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潜水搅拌器</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N=1.5kw</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5</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手动铸铁镶铜闸板阀</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DN800</w:t>
            </w:r>
            <w:r>
              <w:rPr>
                <w:rFonts w:hAnsi="宋体" w:eastAsia="宋体"/>
              </w:rPr>
              <w:t>，带</w:t>
            </w:r>
            <w:r>
              <w:rPr>
                <w:rFonts w:hAnsi="Times New Roman" w:eastAsia="宋体"/>
              </w:rPr>
              <w:t xml:space="preserve">QS </w:t>
            </w:r>
            <w:r>
              <w:rPr>
                <w:rFonts w:hAnsi="宋体" w:eastAsia="宋体"/>
              </w:rPr>
              <w:t>型启闭机</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套</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6</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手动铸铁镶铜闸板阀</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DN700</w:t>
            </w:r>
            <w:r>
              <w:rPr>
                <w:rFonts w:hAnsi="宋体" w:eastAsia="宋体"/>
              </w:rPr>
              <w:t>，带</w:t>
            </w:r>
            <w:r>
              <w:rPr>
                <w:rFonts w:hAnsi="Times New Roman" w:eastAsia="宋体"/>
              </w:rPr>
              <w:t xml:space="preserve">QS </w:t>
            </w:r>
            <w:r>
              <w:rPr>
                <w:rFonts w:hAnsi="宋体" w:eastAsia="宋体"/>
              </w:rPr>
              <w:t>型启闭机</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套</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7</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超声波液位计</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套</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8</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配电柜</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室外式</w:t>
            </w:r>
            <w:r>
              <w:rPr>
                <w:rFonts w:hAnsi="Times New Roman" w:eastAsia="宋体"/>
              </w:rPr>
              <w:t>QGBD800</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套</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5" w:hRule="atLeast"/>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二</w:t>
            </w:r>
          </w:p>
        </w:tc>
        <w:tc>
          <w:tcPr>
            <w:tcW w:w="4472" w:type="pct"/>
            <w:gridSpan w:val="4"/>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高效浓缩池系统</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潜水搅拌器</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N=2.2w</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2</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混凝搅拌机</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1.1kW</w:t>
            </w:r>
            <w:r>
              <w:rPr>
                <w:rFonts w:hAnsi="宋体" w:eastAsia="宋体"/>
              </w:rPr>
              <w:t>，</w:t>
            </w:r>
            <w:r>
              <w:rPr>
                <w:rFonts w:hAnsi="Times New Roman" w:eastAsia="宋体"/>
              </w:rPr>
              <w:t xml:space="preserve">SS304 </w:t>
            </w:r>
            <w:r>
              <w:rPr>
                <w:rFonts w:hAnsi="宋体" w:eastAsia="宋体"/>
              </w:rPr>
              <w:t>材质</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3</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絮凝搅拌机</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1.5kW</w:t>
            </w:r>
            <w:r>
              <w:rPr>
                <w:rFonts w:hAnsi="宋体" w:eastAsia="宋体"/>
              </w:rPr>
              <w:t>，</w:t>
            </w:r>
            <w:r>
              <w:rPr>
                <w:rFonts w:hAnsi="Times New Roman" w:eastAsia="宋体"/>
              </w:rPr>
              <w:t xml:space="preserve">SS304 </w:t>
            </w:r>
            <w:r>
              <w:rPr>
                <w:rFonts w:hAnsi="宋体" w:eastAsia="宋体"/>
              </w:rPr>
              <w:t>材质，变频</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4</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中心传动污泥浓缩机</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D=3.5m,N=0.37kW</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5</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斜管</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Θ=60°</w:t>
            </w:r>
            <w:r>
              <w:rPr>
                <w:rFonts w:hAnsi="宋体" w:eastAsia="宋体"/>
              </w:rPr>
              <w:t>，</w:t>
            </w:r>
            <w:r>
              <w:rPr>
                <w:rFonts w:hAnsi="Times New Roman" w:eastAsia="宋体"/>
              </w:rPr>
              <w:t>l=0.75m</w:t>
            </w:r>
            <w:r>
              <w:rPr>
                <w:rFonts w:hAnsi="宋体" w:eastAsia="宋体"/>
              </w:rPr>
              <w:t>，</w:t>
            </w:r>
            <w:r>
              <w:rPr>
                <w:rFonts w:hAnsi="Times New Roman" w:eastAsia="宋体"/>
              </w:rPr>
              <w:t>D=50mm</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7.4m</w:t>
            </w:r>
            <w:r>
              <w:rPr>
                <w:rFonts w:hAnsi="Times New Roman" w:eastAsia="宋体"/>
                <w:vertAlign w:val="superscript"/>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6</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回流</w:t>
            </w:r>
            <w:r>
              <w:rPr>
                <w:rFonts w:hAnsi="Times New Roman" w:eastAsia="宋体"/>
              </w:rPr>
              <w:t>/</w:t>
            </w:r>
            <w:r>
              <w:rPr>
                <w:rFonts w:hAnsi="宋体" w:eastAsia="宋体"/>
              </w:rPr>
              <w:t>剩余污泥泵</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Q=20m</w:t>
            </w:r>
            <w:r>
              <w:rPr>
                <w:rFonts w:hAnsi="Times New Roman" w:eastAsia="宋体"/>
                <w:vertAlign w:val="superscript"/>
              </w:rPr>
              <w:t>3</w:t>
            </w:r>
            <w:r>
              <w:rPr>
                <w:rFonts w:hAnsi="Times New Roman" w:eastAsia="宋体"/>
              </w:rPr>
              <w:t>/h</w:t>
            </w:r>
            <w:r>
              <w:rPr>
                <w:rFonts w:hAnsi="宋体" w:eastAsia="宋体"/>
              </w:rPr>
              <w:t>，</w:t>
            </w:r>
            <w:r>
              <w:rPr>
                <w:rFonts w:hAnsi="Times New Roman" w:eastAsia="宋体"/>
              </w:rPr>
              <w:t>P=0.6MPa</w:t>
            </w:r>
            <w:r>
              <w:rPr>
                <w:rFonts w:hAnsi="宋体" w:eastAsia="宋体"/>
              </w:rPr>
              <w:t>，</w:t>
            </w:r>
            <w:r>
              <w:rPr>
                <w:rFonts w:hAnsi="Times New Roman" w:eastAsia="宋体"/>
              </w:rPr>
              <w:t>N=7.5kW</w:t>
            </w:r>
            <w:r>
              <w:rPr>
                <w:rFonts w:hAnsi="宋体" w:eastAsia="宋体"/>
              </w:rPr>
              <w:t>，变频</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3</w:t>
            </w:r>
            <w:r>
              <w:rPr>
                <w:rFonts w:hAnsi="宋体" w:eastAsia="宋体"/>
              </w:rPr>
              <w:t>（二用一备）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7</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集水槽</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 xml:space="preserve">SS304 </w:t>
            </w:r>
            <w:r>
              <w:rPr>
                <w:rFonts w:hAnsi="宋体" w:eastAsia="宋体"/>
              </w:rPr>
              <w:t>材质</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条</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8</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污泥输送泵</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Q=10m</w:t>
            </w:r>
            <w:r>
              <w:rPr>
                <w:rFonts w:hAnsi="Times New Roman" w:eastAsia="宋体"/>
                <w:vertAlign w:val="superscript"/>
              </w:rPr>
              <w:t>3</w:t>
            </w:r>
            <w:r>
              <w:rPr>
                <w:rFonts w:hAnsi="Times New Roman" w:eastAsia="宋体"/>
              </w:rPr>
              <w:t>/h</w:t>
            </w:r>
            <w:r>
              <w:rPr>
                <w:rFonts w:hAnsi="宋体" w:eastAsia="宋体"/>
              </w:rPr>
              <w:t>，</w:t>
            </w:r>
            <w:r>
              <w:rPr>
                <w:rFonts w:hAnsi="Times New Roman" w:eastAsia="宋体"/>
              </w:rPr>
              <w:t>P=0.6MPa</w:t>
            </w:r>
            <w:r>
              <w:rPr>
                <w:rFonts w:hAnsi="宋体" w:eastAsia="宋体"/>
              </w:rPr>
              <w:t>，</w:t>
            </w:r>
            <w:r>
              <w:rPr>
                <w:rFonts w:hAnsi="Times New Roman" w:eastAsia="宋体"/>
              </w:rPr>
              <w:t>N=5.5kW</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2</w:t>
            </w:r>
            <w:r>
              <w:rPr>
                <w:rFonts w:hAnsi="宋体" w:eastAsia="宋体"/>
              </w:rPr>
              <w:t>（一用一备）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9</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超声波液位计</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套</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10</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泥位计</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套</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11</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浮球开关</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套</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12</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流量计</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DN50</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13</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配电柜</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套</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4" w:hRule="atLeast"/>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三</w:t>
            </w:r>
          </w:p>
        </w:tc>
        <w:tc>
          <w:tcPr>
            <w:tcW w:w="4472" w:type="pct"/>
            <w:gridSpan w:val="4"/>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污泥脱水机房</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污泥脱水机（叠螺式污泥脱水机）</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290 kg/h</w:t>
            </w:r>
            <w:r>
              <w:rPr>
                <w:rFonts w:hAnsi="宋体" w:eastAsia="宋体"/>
              </w:rPr>
              <w:t>，</w:t>
            </w:r>
            <w:r>
              <w:rPr>
                <w:rFonts w:hAnsi="Times New Roman" w:eastAsia="宋体"/>
              </w:rPr>
              <w:t>4.13kW</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2</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出料倾斜螺旋输送机</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2.2kw</w:t>
            </w:r>
            <w:r>
              <w:rPr>
                <w:rFonts w:hAnsi="宋体" w:eastAsia="宋体"/>
              </w:rPr>
              <w:t>，</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3</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 xml:space="preserve">PAM </w:t>
            </w:r>
            <w:r>
              <w:rPr>
                <w:rFonts w:hAnsi="宋体" w:eastAsia="宋体"/>
              </w:rPr>
              <w:t>全自动加药装置（阴离子）</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阴离子</w:t>
            </w:r>
            <w:r>
              <w:rPr>
                <w:rFonts w:hAnsi="Times New Roman" w:eastAsia="宋体"/>
              </w:rPr>
              <w:t>PAM</w:t>
            </w:r>
            <w:r>
              <w:rPr>
                <w:rFonts w:hAnsi="宋体" w:eastAsia="宋体"/>
              </w:rPr>
              <w:t>，</w:t>
            </w:r>
            <w:r>
              <w:rPr>
                <w:rFonts w:hAnsi="Times New Roman" w:eastAsia="宋体"/>
              </w:rPr>
              <w:t>500L/h</w:t>
            </w:r>
            <w:r>
              <w:rPr>
                <w:rFonts w:hAnsi="宋体" w:eastAsia="宋体"/>
              </w:rPr>
              <w:t>，</w:t>
            </w:r>
            <w:r>
              <w:rPr>
                <w:rFonts w:hAnsi="Times New Roman" w:eastAsia="宋体"/>
              </w:rPr>
              <w:t>0.7kw</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4</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 xml:space="preserve">PAM </w:t>
            </w:r>
            <w:r>
              <w:rPr>
                <w:rFonts w:hAnsi="宋体" w:eastAsia="宋体"/>
              </w:rPr>
              <w:t>全自动加药装置（阳离子）</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阳离子</w:t>
            </w:r>
            <w:r>
              <w:rPr>
                <w:rFonts w:hAnsi="Times New Roman" w:eastAsia="宋体"/>
              </w:rPr>
              <w:t>PAM</w:t>
            </w:r>
            <w:r>
              <w:rPr>
                <w:rFonts w:hAnsi="宋体" w:eastAsia="宋体"/>
              </w:rPr>
              <w:t>，</w:t>
            </w:r>
            <w:r>
              <w:rPr>
                <w:rFonts w:hAnsi="Times New Roman" w:eastAsia="宋体"/>
              </w:rPr>
              <w:t>1000L/h</w:t>
            </w:r>
            <w:r>
              <w:rPr>
                <w:rFonts w:hAnsi="宋体" w:eastAsia="宋体"/>
              </w:rPr>
              <w:t>，</w:t>
            </w:r>
            <w:r>
              <w:rPr>
                <w:rFonts w:hAnsi="Times New Roman" w:eastAsia="宋体"/>
              </w:rPr>
              <w:t>1.4kw</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5</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阴离子</w:t>
            </w:r>
            <w:r>
              <w:rPr>
                <w:rFonts w:hAnsi="Times New Roman" w:eastAsia="宋体"/>
              </w:rPr>
              <w:t xml:space="preserve">PAM </w:t>
            </w:r>
            <w:r>
              <w:rPr>
                <w:rFonts w:hAnsi="宋体" w:eastAsia="宋体"/>
              </w:rPr>
              <w:t>投加泵</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240L/h</w:t>
            </w:r>
            <w:r>
              <w:rPr>
                <w:rFonts w:hAnsi="宋体" w:eastAsia="宋体"/>
              </w:rPr>
              <w:t>，</w:t>
            </w:r>
            <w:r>
              <w:rPr>
                <w:rFonts w:hAnsi="Times New Roman" w:eastAsia="宋体"/>
              </w:rPr>
              <w:t>0.55kw</w:t>
            </w:r>
            <w:r>
              <w:rPr>
                <w:rFonts w:hAnsi="宋体" w:eastAsia="宋体"/>
              </w:rPr>
              <w:t>，变频</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6</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阳离子</w:t>
            </w:r>
            <w:r>
              <w:rPr>
                <w:rFonts w:hAnsi="Times New Roman" w:eastAsia="宋体"/>
              </w:rPr>
              <w:t xml:space="preserve">PAM </w:t>
            </w:r>
            <w:r>
              <w:rPr>
                <w:rFonts w:hAnsi="宋体" w:eastAsia="宋体"/>
              </w:rPr>
              <w:t>投加泵</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500L/h</w:t>
            </w:r>
            <w:r>
              <w:rPr>
                <w:rFonts w:hAnsi="宋体" w:eastAsia="宋体"/>
              </w:rPr>
              <w:t>，</w:t>
            </w:r>
            <w:r>
              <w:rPr>
                <w:rFonts w:hAnsi="Times New Roman" w:eastAsia="宋体"/>
              </w:rPr>
              <w:t>0.55kw</w:t>
            </w:r>
            <w:r>
              <w:rPr>
                <w:rFonts w:hAnsi="宋体" w:eastAsia="宋体"/>
              </w:rPr>
              <w:t>，变频</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7</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 xml:space="preserve">PAM </w:t>
            </w:r>
            <w:r>
              <w:rPr>
                <w:rFonts w:hAnsi="宋体" w:eastAsia="宋体"/>
              </w:rPr>
              <w:t>流量计（阳离子）</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8</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钢制污泥料斗</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8m</w:t>
            </w:r>
            <w:r>
              <w:rPr>
                <w:rFonts w:hAnsi="Times New Roman" w:eastAsia="宋体"/>
                <w:vertAlign w:val="superscript"/>
              </w:rPr>
              <w:t>3</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套</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9</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电动插板阀</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DN1000</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10</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流量计</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DN50</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11</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流量计</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DN15</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12</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超声波液位计</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套</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8" w:hRule="atLeast"/>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宋体" w:eastAsia="宋体"/>
              </w:rPr>
              <w:t>四</w:t>
            </w:r>
          </w:p>
        </w:tc>
        <w:tc>
          <w:tcPr>
            <w:tcW w:w="4472" w:type="pct"/>
            <w:gridSpan w:val="4"/>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int="eastAsia" w:hAnsi="Times New Roman" w:eastAsia="宋体"/>
                <w:lang w:eastAsia="zh-CN"/>
              </w:rPr>
            </w:pPr>
            <w:r>
              <w:rPr>
                <w:rFonts w:hint="eastAsia" w:hAnsi="宋体" w:eastAsia="宋体"/>
                <w:lang w:eastAsia="zh-CN"/>
              </w:rPr>
              <w:t>加药间</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1</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int="eastAsia" w:ascii="Times New Roman" w:hAnsi="宋体" w:eastAsia="宋体"/>
                <w:lang w:val="en-US" w:eastAsia="zh-CN"/>
              </w:rPr>
            </w:pPr>
            <w:r>
              <w:rPr>
                <w:rFonts w:hint="eastAsia" w:ascii="Times New Roman" w:hAnsi="宋体" w:eastAsia="宋体"/>
              </w:rPr>
              <w:t>立式储罐</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hint="eastAsia" w:ascii="Times New Roman" w:hAnsi="宋体" w:eastAsia="宋体"/>
              </w:rPr>
              <w:t>PTW20000L型/容积:20 m3</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ascii="Times New Roman" w:hAnsi="宋体" w:eastAsia="宋体"/>
              </w:rPr>
              <w:t>个</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int="eastAsia" w:ascii="Times New Roman" w:hAnsi="宋体" w:eastAsia="宋体"/>
                <w:lang w:val="en-US" w:eastAsia="zh-CN"/>
              </w:rPr>
            </w:pPr>
            <w:r>
              <w:rPr>
                <w:rFonts w:hint="eastAsia" w:ascii="Times New Roman" w:hAnsi="宋体" w:eastAsia="宋体"/>
              </w:rPr>
              <w:t>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2</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hint="eastAsia" w:ascii="Times New Roman" w:hAnsi="宋体" w:eastAsia="宋体"/>
              </w:rPr>
              <w:t>卸料泵</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hint="eastAsia" w:ascii="Times New Roman" w:hAnsi="宋体" w:eastAsia="宋体"/>
              </w:rPr>
              <w:t>36m³/h32.5m接液材质为PVDF</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ascii="Times New Roman"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ascii="Times New Roman" w:hAnsi="宋体" w:eastAsia="宋体"/>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3</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hint="eastAsia" w:ascii="Times New Roman" w:hAnsi="宋体" w:eastAsia="宋体"/>
              </w:rPr>
              <w:t>软水装置</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hint="eastAsia" w:ascii="Times New Roman" w:hAnsi="宋体" w:eastAsia="宋体"/>
              </w:rPr>
              <w:t>'Φ1000*1900玻璃钢材质</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int="eastAsia" w:ascii="Times New Roman" w:hAnsi="宋体" w:eastAsia="宋体"/>
                <w:lang w:val="en-US" w:eastAsia="zh-CN"/>
              </w:rPr>
            </w:pPr>
            <w:r>
              <w:rPr>
                <w:rFonts w:hint="eastAsia" w:ascii="Times New Roman" w:hAnsi="宋体" w:eastAsia="宋体"/>
              </w:rPr>
              <w:t>套</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int="eastAsia" w:ascii="Times New Roman" w:hAnsi="宋体" w:eastAsia="宋体"/>
                <w:lang w:val="en-US" w:eastAsia="zh-CN"/>
              </w:rPr>
            </w:pPr>
            <w:r>
              <w:rPr>
                <w:rFonts w:hint="eastAsia" w:ascii="Times New Roman" w:hAnsi="宋体" w:eastAsia="宋体"/>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4</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hint="eastAsia" w:ascii="Times New Roman" w:hAnsi="宋体" w:eastAsia="宋体"/>
              </w:rPr>
              <w:t>计量泵</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hint="eastAsia" w:ascii="Times New Roman" w:hAnsi="宋体" w:eastAsia="宋体"/>
              </w:rPr>
              <w:t>'GM0050TP1MNNN</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ascii="Times New Roman" w:hAnsi="宋体" w:eastAsia="宋体"/>
              </w:rPr>
              <w:t>台</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int="eastAsia" w:ascii="Times New Roman" w:hAnsi="宋体" w:eastAsia="宋体"/>
                <w:lang w:val="en-US" w:eastAsia="zh-CN"/>
              </w:rPr>
            </w:pPr>
            <w:r>
              <w:rPr>
                <w:rFonts w:hint="eastAsia" w:ascii="Times New Roman" w:hAnsi="宋体" w:eastAsia="宋体"/>
              </w:rPr>
              <w:t>6</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Ansi="Times New Roman" w:eastAsia="宋体"/>
              </w:rPr>
            </w:pPr>
            <w:r>
              <w:rPr>
                <w:rFonts w:hAnsi="Times New Roman" w:eastAsia="宋体"/>
              </w:rPr>
              <w:t>5</w:t>
            </w:r>
          </w:p>
        </w:tc>
        <w:tc>
          <w:tcPr>
            <w:tcW w:w="83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hint="eastAsia" w:ascii="Times New Roman" w:hAnsi="宋体" w:eastAsia="宋体"/>
              </w:rPr>
              <w:t>流量计</w:t>
            </w:r>
          </w:p>
        </w:tc>
        <w:tc>
          <w:tcPr>
            <w:tcW w:w="1708"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hint="eastAsia" w:ascii="Times New Roman" w:hAnsi="宋体" w:eastAsia="宋体"/>
              </w:rPr>
              <w:t>'科隆 整体式DN10</w:t>
            </w:r>
          </w:p>
        </w:tc>
        <w:tc>
          <w:tcPr>
            <w:tcW w:w="527"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ascii="Times New Roman" w:hAnsi="宋体" w:eastAsia="宋体"/>
              </w:rPr>
              <w:t>个</w:t>
            </w:r>
          </w:p>
        </w:tc>
        <w:tc>
          <w:tcPr>
            <w:tcW w:w="1403" w:type="pct"/>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int="eastAsia" w:ascii="Times New Roman" w:hAnsi="宋体" w:eastAsia="宋体"/>
                <w:lang w:val="en-US" w:eastAsia="zh-CN"/>
              </w:rPr>
            </w:pPr>
            <w:r>
              <w:rPr>
                <w:rFonts w:hint="eastAsia" w:ascii="Times New Roman" w:hAnsi="宋体" w:eastAsia="宋体"/>
              </w:rPr>
              <w:t>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0" w:type="auto"/>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int="eastAsia" w:hAnsi="Times New Roman" w:eastAsia="宋体"/>
                <w:lang w:val="en-US" w:eastAsia="zh-CN"/>
              </w:rPr>
            </w:pPr>
            <w:r>
              <w:rPr>
                <w:rFonts w:hint="eastAsia" w:hAnsi="Times New Roman" w:eastAsia="宋体"/>
                <w:lang w:val="en-US" w:eastAsia="zh-CN"/>
              </w:rPr>
              <w:t>6</w:t>
            </w:r>
          </w:p>
        </w:tc>
        <w:tc>
          <w:tcPr>
            <w:tcW w:w="0" w:type="auto"/>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hint="eastAsia" w:ascii="Times New Roman" w:hAnsi="宋体" w:eastAsia="宋体"/>
              </w:rPr>
              <w:t>现场控制柜次钠机旁箱</w:t>
            </w:r>
          </w:p>
        </w:tc>
        <w:tc>
          <w:tcPr>
            <w:tcW w:w="0" w:type="auto"/>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hint="eastAsia" w:ascii="Times New Roman" w:hAnsi="宋体" w:eastAsia="宋体"/>
              </w:rPr>
              <w:t>'威图IP42</w:t>
            </w:r>
          </w:p>
        </w:tc>
        <w:tc>
          <w:tcPr>
            <w:tcW w:w="0" w:type="auto"/>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hint="eastAsia" w:ascii="Times New Roman" w:hAnsi="宋体" w:eastAsia="宋体"/>
                <w:lang w:val="en-US" w:eastAsia="zh-CN"/>
              </w:rPr>
            </w:pPr>
            <w:r>
              <w:rPr>
                <w:rFonts w:hint="eastAsia" w:ascii="Times New Roman" w:hAnsi="宋体" w:eastAsia="宋体"/>
              </w:rPr>
              <w:t>台</w:t>
            </w:r>
          </w:p>
        </w:tc>
        <w:tc>
          <w:tcPr>
            <w:tcW w:w="0" w:type="auto"/>
            <w:vAlign w:val="center"/>
          </w:tcPr>
          <w:p>
            <w:pPr>
              <w:pStyle w:val="38"/>
              <w:keepNext w:val="0"/>
              <w:keepLines w:val="0"/>
              <w:pageBreakBefore w:val="0"/>
              <w:widowControl w:val="0"/>
              <w:kinsoku/>
              <w:wordWrap/>
              <w:overflowPunct/>
              <w:topLinePunct w:val="0"/>
              <w:autoSpaceDE/>
              <w:autoSpaceDN/>
              <w:bidi w:val="0"/>
              <w:adjustRightInd/>
              <w:snapToGrid w:val="0"/>
              <w:spacing w:before="93" w:line="240" w:lineRule="auto"/>
              <w:ind w:firstLine="0" w:firstLineChars="0"/>
              <w:textAlignment w:val="auto"/>
              <w:rPr>
                <w:rFonts w:ascii="Times New Roman" w:hAnsi="宋体" w:eastAsia="宋体"/>
                <w:lang w:val="en-US" w:eastAsia="zh-CN"/>
              </w:rPr>
            </w:pPr>
            <w:r>
              <w:rPr>
                <w:rFonts w:ascii="Times New Roman" w:hAnsi="宋体" w:eastAsia="宋体"/>
              </w:rPr>
              <w:t>1</w:t>
            </w:r>
          </w:p>
        </w:tc>
      </w:tr>
    </w:tbl>
    <w:p>
      <w:pPr>
        <w:pStyle w:val="6"/>
        <w:numPr>
          <w:ilvl w:val="2"/>
          <w:numId w:val="0"/>
        </w:numPr>
        <w:bidi w:val="0"/>
        <w:ind w:leftChars="0"/>
      </w:pPr>
      <w:r>
        <w:rPr>
          <w:rFonts w:hint="eastAsia"/>
          <w:lang w:val="en-US" w:eastAsia="zh-CN"/>
        </w:rPr>
        <w:t>3.4.3</w:t>
      </w:r>
      <w:r>
        <w:rPr>
          <w:rFonts w:hint="eastAsia"/>
        </w:rPr>
        <w:t>生产工艺评估</w:t>
      </w:r>
      <w:bookmarkEnd w:id="230"/>
    </w:p>
    <w:p>
      <w:pPr>
        <w:ind w:firstLine="560"/>
      </w:pPr>
      <w:bookmarkStart w:id="231" w:name="_Hlk526950694"/>
      <w:r>
        <w:rPr>
          <w:rFonts w:hint="eastAsia"/>
        </w:rPr>
        <w:t>根据《企业突发环境事件风险分级办法》（HJ</w:t>
      </w:r>
      <w:r>
        <w:t xml:space="preserve"> </w:t>
      </w:r>
      <w:r>
        <w:rPr>
          <w:rFonts w:hint="eastAsia"/>
        </w:rPr>
        <w:t>941-2018）中表1，企业生产工艺过程评估依据及得分情况见</w:t>
      </w:r>
      <w:r>
        <w:fldChar w:fldCharType="begin"/>
      </w:r>
      <w:r>
        <w:instrText xml:space="preserve"> </w:instrText>
      </w:r>
      <w:r>
        <w:rPr>
          <w:rFonts w:hint="eastAsia"/>
        </w:rPr>
        <w:instrText xml:space="preserve">REF _Ref526621948 \h</w:instrText>
      </w:r>
      <w:r>
        <w:instrText xml:space="preserve"> </w:instrText>
      </w:r>
      <w:r>
        <w:fldChar w:fldCharType="separate"/>
      </w:r>
      <w:r>
        <w:rPr>
          <w:rFonts w:hint="eastAsia"/>
        </w:rPr>
        <w:t xml:space="preserve">表 </w:t>
      </w:r>
      <w:r>
        <w:t>3</w:t>
      </w:r>
      <w:r>
        <w:noBreakHyphen/>
      </w:r>
      <w:r>
        <w:t>11</w:t>
      </w:r>
      <w:r>
        <w:fldChar w:fldCharType="end"/>
      </w:r>
      <w:r>
        <w:rPr>
          <w:rFonts w:hint="eastAsia"/>
        </w:rPr>
        <w:t>。</w:t>
      </w:r>
    </w:p>
    <w:p>
      <w:pPr>
        <w:pStyle w:val="8"/>
        <w:keepNext/>
      </w:pPr>
      <w:bookmarkStart w:id="232" w:name="_Ref526621948"/>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3</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11</w:t>
      </w:r>
      <w:r>
        <w:fldChar w:fldCharType="end"/>
      </w:r>
      <w:bookmarkEnd w:id="232"/>
      <w:r>
        <w:rPr>
          <w:rFonts w:hint="eastAsia"/>
        </w:rPr>
        <w:t>企业生产工艺过程评估</w:t>
      </w:r>
    </w:p>
    <w:tbl>
      <w:tblPr>
        <w:tblStyle w:val="15"/>
        <w:tblW w:w="5000"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6043"/>
        <w:gridCol w:w="1067"/>
        <w:gridCol w:w="1361"/>
        <w:gridCol w:w="22"/>
        <w:gridCol w:w="655"/>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trPr>
        <w:tc>
          <w:tcPr>
            <w:tcW w:w="3303" w:type="pct"/>
            <w:tcBorders>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评估依据</w:t>
            </w:r>
          </w:p>
        </w:tc>
        <w:tc>
          <w:tcPr>
            <w:tcW w:w="583" w:type="pct"/>
            <w:tcBorders>
              <w:left w:val="single" w:color="000000" w:sz="4" w:space="0"/>
              <w:bottom w:val="single" w:color="000000" w:sz="4" w:space="0"/>
              <w:right w:val="single" w:color="auto"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分值</w:t>
            </w:r>
          </w:p>
        </w:tc>
        <w:tc>
          <w:tcPr>
            <w:tcW w:w="744" w:type="pct"/>
            <w:tcBorders>
              <w:left w:val="single" w:color="auto" w:sz="4" w:space="0"/>
              <w:bottom w:val="single" w:color="000000" w:sz="4" w:space="0"/>
              <w:right w:val="single" w:color="auto"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说明</w:t>
            </w:r>
          </w:p>
        </w:tc>
        <w:tc>
          <w:tcPr>
            <w:tcW w:w="370" w:type="pct"/>
            <w:gridSpan w:val="2"/>
            <w:tcBorders>
              <w:left w:val="single" w:color="auto" w:sz="4" w:space="0"/>
              <w:bottom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得分</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trPr>
        <w:tc>
          <w:tcPr>
            <w:tcW w:w="3303" w:type="pct"/>
            <w:tcBorders>
              <w:top w:val="single" w:color="000000" w:sz="4" w:space="0"/>
              <w:bottom w:val="single" w:color="000000" w:sz="4" w:space="0"/>
              <w:right w:val="single" w:color="000000" w:sz="4" w:space="0"/>
            </w:tcBorders>
            <w:vAlign w:val="center"/>
          </w:tcPr>
          <w:p>
            <w:pPr>
              <w:widowControl/>
              <w:spacing w:line="240" w:lineRule="auto"/>
              <w:ind w:firstLine="0" w:firstLineChars="0"/>
              <w:rPr>
                <w:rFonts w:cs="Times New Roman"/>
                <w:color w:val="000000"/>
                <w:kern w:val="0"/>
                <w:sz w:val="21"/>
                <w:szCs w:val="21"/>
              </w:rPr>
            </w:pPr>
            <w:r>
              <w:rPr>
                <w:rFonts w:cs="Times New Roman"/>
                <w:color w:val="000000"/>
                <w:kern w:val="0"/>
                <w:sz w:val="21"/>
                <w:szCs w:val="21"/>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583" w:type="pct"/>
            <w:tcBorders>
              <w:top w:val="single" w:color="000000" w:sz="4" w:space="0"/>
              <w:left w:val="single" w:color="000000" w:sz="4" w:space="0"/>
              <w:bottom w:val="single" w:color="000000" w:sz="4" w:space="0"/>
              <w:right w:val="single" w:color="auto"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10/每套</w:t>
            </w:r>
          </w:p>
        </w:tc>
        <w:tc>
          <w:tcPr>
            <w:tcW w:w="744" w:type="pct"/>
            <w:tcBorders>
              <w:top w:val="single" w:color="000000" w:sz="4" w:space="0"/>
              <w:left w:val="single" w:color="auto" w:sz="4" w:space="0"/>
              <w:bottom w:val="single" w:color="000000" w:sz="4" w:space="0"/>
              <w:right w:val="single" w:color="auto" w:sz="4" w:space="0"/>
            </w:tcBorders>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不涉及</w:t>
            </w:r>
          </w:p>
        </w:tc>
        <w:tc>
          <w:tcPr>
            <w:tcW w:w="370" w:type="pct"/>
            <w:gridSpan w:val="2"/>
            <w:tcBorders>
              <w:top w:val="single" w:color="000000" w:sz="4" w:space="0"/>
              <w:left w:val="single" w:color="auto" w:sz="4" w:space="0"/>
              <w:bottom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trPr>
        <w:tc>
          <w:tcPr>
            <w:tcW w:w="3303" w:type="pct"/>
            <w:tcBorders>
              <w:top w:val="single" w:color="000000" w:sz="4" w:space="0"/>
              <w:bottom w:val="single" w:color="000000" w:sz="4" w:space="0"/>
              <w:right w:val="single" w:color="000000" w:sz="4" w:space="0"/>
            </w:tcBorders>
            <w:vAlign w:val="center"/>
          </w:tcPr>
          <w:p>
            <w:pPr>
              <w:widowControl/>
              <w:spacing w:line="240" w:lineRule="auto"/>
              <w:ind w:firstLine="0" w:firstLineChars="0"/>
              <w:rPr>
                <w:rFonts w:cs="Times New Roman"/>
                <w:color w:val="000000"/>
                <w:kern w:val="0"/>
                <w:sz w:val="21"/>
                <w:szCs w:val="21"/>
              </w:rPr>
            </w:pPr>
            <w:r>
              <w:rPr>
                <w:rFonts w:cs="Times New Roman"/>
                <w:color w:val="000000"/>
                <w:kern w:val="0"/>
                <w:sz w:val="21"/>
                <w:szCs w:val="21"/>
              </w:rPr>
              <w:t>其他高温或高压、涉及易燃易爆等物质的工艺过程</w:t>
            </w:r>
            <w:r>
              <w:rPr>
                <w:rFonts w:cs="Times New Roman"/>
                <w:color w:val="000000"/>
                <w:kern w:val="0"/>
                <w:sz w:val="21"/>
                <w:szCs w:val="21"/>
                <w:vertAlign w:val="superscript"/>
              </w:rPr>
              <w:t>a</w:t>
            </w:r>
          </w:p>
        </w:tc>
        <w:tc>
          <w:tcPr>
            <w:tcW w:w="583" w:type="pct"/>
            <w:tcBorders>
              <w:top w:val="single" w:color="000000" w:sz="4" w:space="0"/>
              <w:left w:val="single" w:color="000000" w:sz="4" w:space="0"/>
              <w:bottom w:val="single" w:color="000000" w:sz="4" w:space="0"/>
              <w:right w:val="single" w:color="auto"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5/每套</w:t>
            </w:r>
          </w:p>
        </w:tc>
        <w:tc>
          <w:tcPr>
            <w:tcW w:w="744" w:type="pct"/>
            <w:tcBorders>
              <w:top w:val="single" w:color="000000" w:sz="4" w:space="0"/>
              <w:left w:val="single" w:color="auto" w:sz="4" w:space="0"/>
              <w:bottom w:val="single" w:color="000000" w:sz="4" w:space="0"/>
              <w:right w:val="single" w:color="auto" w:sz="4" w:space="0"/>
            </w:tcBorders>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不涉及</w:t>
            </w:r>
          </w:p>
        </w:tc>
        <w:tc>
          <w:tcPr>
            <w:tcW w:w="370" w:type="pct"/>
            <w:gridSpan w:val="2"/>
            <w:tcBorders>
              <w:top w:val="single" w:color="000000" w:sz="4" w:space="0"/>
              <w:left w:val="single" w:color="auto" w:sz="4" w:space="0"/>
              <w:bottom w:val="single" w:color="000000" w:sz="4" w:space="0"/>
            </w:tcBorders>
            <w:vAlign w:val="center"/>
          </w:tcPr>
          <w:p>
            <w:pPr>
              <w:widowControl/>
              <w:spacing w:line="240" w:lineRule="auto"/>
              <w:ind w:firstLine="0" w:firstLineChars="0"/>
              <w:jc w:val="center"/>
              <w:rPr>
                <w:rFonts w:hint="eastAsia" w:eastAsia="宋体" w:cs="Times New Roman"/>
                <w:color w:val="000000"/>
                <w:kern w:val="0"/>
                <w:sz w:val="21"/>
                <w:szCs w:val="21"/>
                <w:lang w:eastAsia="zh-CN"/>
              </w:rPr>
            </w:pPr>
            <w:r>
              <w:rPr>
                <w:rFonts w:hint="eastAsia" w:cs="Times New Roman"/>
                <w:color w:val="000000"/>
                <w:kern w:val="0"/>
                <w:sz w:val="21"/>
                <w:szCs w:val="21"/>
                <w:lang w:val="en-US" w:eastAsia="zh-CN"/>
              </w:rPr>
              <w:t>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trPr>
        <w:tc>
          <w:tcPr>
            <w:tcW w:w="3303" w:type="pct"/>
            <w:tcBorders>
              <w:top w:val="single" w:color="000000" w:sz="4" w:space="0"/>
              <w:bottom w:val="single" w:color="000000" w:sz="4" w:space="0"/>
              <w:right w:val="single" w:color="000000" w:sz="4" w:space="0"/>
            </w:tcBorders>
            <w:vAlign w:val="center"/>
          </w:tcPr>
          <w:p>
            <w:pPr>
              <w:widowControl/>
              <w:spacing w:line="240" w:lineRule="auto"/>
              <w:ind w:firstLine="0" w:firstLineChars="0"/>
              <w:rPr>
                <w:rFonts w:cs="Times New Roman"/>
                <w:color w:val="000000"/>
                <w:kern w:val="0"/>
                <w:sz w:val="21"/>
                <w:szCs w:val="21"/>
              </w:rPr>
            </w:pPr>
            <w:r>
              <w:rPr>
                <w:rFonts w:cs="Times New Roman"/>
                <w:color w:val="000000"/>
                <w:kern w:val="0"/>
                <w:sz w:val="21"/>
                <w:szCs w:val="21"/>
              </w:rPr>
              <w:t>具有国家规定限期淘汰的工艺名录和设备</w:t>
            </w:r>
            <w:r>
              <w:rPr>
                <w:rFonts w:cs="Times New Roman"/>
                <w:color w:val="000000"/>
                <w:kern w:val="0"/>
                <w:sz w:val="21"/>
                <w:szCs w:val="21"/>
                <w:vertAlign w:val="superscript"/>
              </w:rPr>
              <w:t>b</w:t>
            </w:r>
          </w:p>
        </w:tc>
        <w:tc>
          <w:tcPr>
            <w:tcW w:w="583" w:type="pct"/>
            <w:tcBorders>
              <w:top w:val="single" w:color="000000" w:sz="4" w:space="0"/>
              <w:left w:val="single" w:color="000000" w:sz="4" w:space="0"/>
              <w:bottom w:val="single" w:color="000000" w:sz="4" w:space="0"/>
              <w:right w:val="single" w:color="auto"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5/每套</w:t>
            </w:r>
          </w:p>
        </w:tc>
        <w:tc>
          <w:tcPr>
            <w:tcW w:w="744" w:type="pct"/>
            <w:tcBorders>
              <w:top w:val="single" w:color="000000" w:sz="4" w:space="0"/>
              <w:left w:val="single" w:color="auto" w:sz="4" w:space="0"/>
              <w:bottom w:val="single" w:color="000000" w:sz="4" w:space="0"/>
              <w:right w:val="single" w:color="auto" w:sz="4" w:space="0"/>
            </w:tcBorders>
            <w:vAlign w:val="center"/>
          </w:tcPr>
          <w:p>
            <w:pPr>
              <w:widowControl/>
              <w:spacing w:line="240" w:lineRule="auto"/>
              <w:ind w:firstLine="0" w:firstLineChars="0"/>
              <w:jc w:val="center"/>
              <w:rPr>
                <w:rFonts w:cs="Times New Roman"/>
                <w:color w:val="000000"/>
                <w:kern w:val="0"/>
                <w:sz w:val="21"/>
                <w:szCs w:val="21"/>
              </w:rPr>
            </w:pPr>
          </w:p>
        </w:tc>
        <w:tc>
          <w:tcPr>
            <w:tcW w:w="370" w:type="pct"/>
            <w:gridSpan w:val="2"/>
            <w:tcBorders>
              <w:top w:val="single" w:color="000000" w:sz="4" w:space="0"/>
              <w:left w:val="single" w:color="auto" w:sz="4" w:space="0"/>
              <w:bottom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trPr>
        <w:tc>
          <w:tcPr>
            <w:tcW w:w="3303" w:type="pct"/>
            <w:tcBorders>
              <w:top w:val="single" w:color="000000" w:sz="4" w:space="0"/>
              <w:bottom w:val="single" w:color="000000" w:sz="4" w:space="0"/>
              <w:right w:val="single" w:color="000000" w:sz="4" w:space="0"/>
            </w:tcBorders>
            <w:vAlign w:val="center"/>
          </w:tcPr>
          <w:p>
            <w:pPr>
              <w:widowControl/>
              <w:spacing w:line="240" w:lineRule="auto"/>
              <w:ind w:firstLine="0" w:firstLineChars="0"/>
              <w:rPr>
                <w:rFonts w:cs="Times New Roman"/>
                <w:color w:val="000000"/>
                <w:kern w:val="0"/>
                <w:sz w:val="21"/>
                <w:szCs w:val="21"/>
              </w:rPr>
            </w:pPr>
            <w:r>
              <w:rPr>
                <w:rFonts w:cs="Times New Roman"/>
                <w:color w:val="000000"/>
                <w:kern w:val="0"/>
                <w:sz w:val="21"/>
                <w:szCs w:val="21"/>
              </w:rPr>
              <w:t>不涉及以上危险工艺过程或国家规定的禁用工艺/设备</w:t>
            </w:r>
          </w:p>
        </w:tc>
        <w:tc>
          <w:tcPr>
            <w:tcW w:w="583" w:type="pct"/>
            <w:tcBorders>
              <w:top w:val="single" w:color="000000" w:sz="4" w:space="0"/>
              <w:left w:val="single" w:color="000000" w:sz="4" w:space="0"/>
              <w:bottom w:val="single" w:color="000000" w:sz="4" w:space="0"/>
              <w:right w:val="single" w:color="auto"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0</w:t>
            </w:r>
          </w:p>
        </w:tc>
        <w:tc>
          <w:tcPr>
            <w:tcW w:w="744" w:type="pct"/>
            <w:tcBorders>
              <w:top w:val="single" w:color="000000" w:sz="4" w:space="0"/>
              <w:left w:val="single" w:color="auto" w:sz="4" w:space="0"/>
              <w:bottom w:val="single" w:color="000000" w:sz="4" w:space="0"/>
              <w:right w:val="single" w:color="auto" w:sz="4" w:space="0"/>
            </w:tcBorders>
            <w:vAlign w:val="center"/>
          </w:tcPr>
          <w:p>
            <w:pPr>
              <w:widowControl/>
              <w:spacing w:line="240" w:lineRule="auto"/>
              <w:ind w:firstLine="0" w:firstLineChars="0"/>
              <w:jc w:val="center"/>
              <w:rPr>
                <w:rFonts w:cs="Times New Roman"/>
                <w:color w:val="000000"/>
                <w:kern w:val="0"/>
                <w:sz w:val="21"/>
                <w:szCs w:val="21"/>
              </w:rPr>
            </w:pPr>
          </w:p>
        </w:tc>
        <w:tc>
          <w:tcPr>
            <w:tcW w:w="370" w:type="pct"/>
            <w:gridSpan w:val="2"/>
            <w:tcBorders>
              <w:top w:val="single" w:color="000000" w:sz="4" w:space="0"/>
              <w:left w:val="single" w:color="auto" w:sz="4" w:space="0"/>
              <w:bottom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trPr>
        <w:tc>
          <w:tcPr>
            <w:tcW w:w="5000" w:type="pct"/>
            <w:gridSpan w:val="5"/>
            <w:tcBorders>
              <w:top w:val="single" w:color="000000" w:sz="4" w:space="0"/>
              <w:bottom w:val="single" w:color="000000" w:sz="4" w:space="0"/>
            </w:tcBorders>
            <w:vAlign w:val="center"/>
          </w:tcPr>
          <w:p>
            <w:pPr>
              <w:widowControl/>
              <w:spacing w:line="240" w:lineRule="auto"/>
              <w:ind w:firstLine="0" w:firstLineChars="0"/>
              <w:rPr>
                <w:rFonts w:cs="Times New Roman"/>
                <w:color w:val="000000"/>
                <w:kern w:val="0"/>
                <w:sz w:val="21"/>
                <w:szCs w:val="21"/>
              </w:rPr>
            </w:pPr>
            <w:r>
              <w:rPr>
                <w:rFonts w:cs="Times New Roman"/>
                <w:color w:val="000000"/>
                <w:kern w:val="0"/>
                <w:sz w:val="21"/>
                <w:szCs w:val="21"/>
              </w:rPr>
              <w:t>注：a 高温指工艺温度≥300℃，高压指压力容器的设计压力（p）≥10.0MPa，易燃易爆等物质是指按照 GB30000.2 至 GB30000.13 所确定的化学物质；b 指《产业结构调整指导目录》中有淘汰期限的淘汰类落后生产工艺装备</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trPr>
        <w:tc>
          <w:tcPr>
            <w:tcW w:w="4642" w:type="pct"/>
            <w:gridSpan w:val="4"/>
            <w:tcBorders>
              <w:top w:val="single" w:color="000000" w:sz="4" w:space="0"/>
              <w:right w:val="single" w:color="auto"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合计</w:t>
            </w:r>
          </w:p>
        </w:tc>
        <w:tc>
          <w:tcPr>
            <w:tcW w:w="358" w:type="pct"/>
            <w:tcBorders>
              <w:top w:val="single" w:color="000000" w:sz="4" w:space="0"/>
              <w:left w:val="single" w:color="auto" w:sz="4" w:space="0"/>
            </w:tcBorders>
            <w:vAlign w:val="center"/>
          </w:tcPr>
          <w:p>
            <w:pPr>
              <w:widowControl/>
              <w:spacing w:line="240" w:lineRule="auto"/>
              <w:ind w:firstLine="0" w:firstLineChars="0"/>
              <w:jc w:val="center"/>
              <w:rPr>
                <w:rFonts w:hint="eastAsia" w:eastAsia="宋体" w:cs="Times New Roman"/>
                <w:color w:val="000000"/>
                <w:kern w:val="0"/>
                <w:sz w:val="21"/>
                <w:szCs w:val="21"/>
                <w:lang w:eastAsia="zh-CN"/>
              </w:rPr>
            </w:pPr>
            <w:r>
              <w:rPr>
                <w:rFonts w:hint="eastAsia" w:cs="Times New Roman"/>
                <w:color w:val="000000"/>
                <w:kern w:val="0"/>
                <w:sz w:val="21"/>
                <w:szCs w:val="21"/>
                <w:lang w:val="en-US" w:eastAsia="zh-CN"/>
              </w:rPr>
              <w:t>0</w:t>
            </w:r>
          </w:p>
        </w:tc>
      </w:tr>
      <w:bookmarkEnd w:id="231"/>
    </w:tbl>
    <w:p>
      <w:pPr>
        <w:pStyle w:val="5"/>
        <w:numPr>
          <w:ilvl w:val="1"/>
          <w:numId w:val="0"/>
        </w:numPr>
        <w:bidi w:val="0"/>
        <w:ind w:leftChars="0"/>
      </w:pPr>
      <w:bookmarkStart w:id="233" w:name="_Toc527104514"/>
      <w:bookmarkStart w:id="234" w:name="_Toc2227"/>
      <w:r>
        <w:rPr>
          <w:rFonts w:hint="eastAsia"/>
          <w:lang w:val="en-US" w:eastAsia="zh-CN"/>
        </w:rPr>
        <w:t>3.5</w:t>
      </w:r>
      <w:r>
        <w:rPr>
          <w:rFonts w:hint="eastAsia"/>
        </w:rPr>
        <w:t>安全生产管理</w:t>
      </w:r>
      <w:bookmarkEnd w:id="233"/>
      <w:bookmarkEnd w:id="234"/>
    </w:p>
    <w:p>
      <w:pPr>
        <w:ind w:firstLine="560"/>
      </w:pPr>
      <w:r>
        <w:rPr>
          <w:rFonts w:hint="eastAsia"/>
          <w:lang w:val="en-US" w:eastAsia="zh-CN"/>
        </w:rPr>
        <w:t>1</w:t>
      </w:r>
      <w:r>
        <w:rPr>
          <w:rFonts w:hint="eastAsia"/>
        </w:rPr>
        <w:t>、本公司属于非危险化学品生产企业；</w:t>
      </w:r>
    </w:p>
    <w:p>
      <w:pPr>
        <w:ind w:firstLine="560"/>
      </w:pPr>
      <w:r>
        <w:rPr>
          <w:rFonts w:hint="eastAsia"/>
          <w:lang w:val="en-US" w:eastAsia="zh-CN"/>
        </w:rPr>
        <w:t>2</w:t>
      </w:r>
      <w:r>
        <w:rPr>
          <w:rFonts w:hint="eastAsia"/>
        </w:rPr>
        <w:t>、本公司无重大危险源；</w:t>
      </w:r>
    </w:p>
    <w:p>
      <w:pPr>
        <w:ind w:firstLine="560"/>
      </w:pPr>
      <w:r>
        <w:rPr>
          <w:rFonts w:hint="eastAsia"/>
          <w:lang w:val="en-US" w:eastAsia="zh-CN"/>
        </w:rPr>
        <w:t>3</w:t>
      </w:r>
      <w:r>
        <w:rPr>
          <w:rFonts w:hint="eastAsia"/>
        </w:rPr>
        <w:t>、本公司制订了完善的安全生产管理制度，落实了主要负责人、安全管理人员以及各岗位的安全责任制，制订了各岗位安全生产操作规程，并认真抓各项规章制度的落实，确保落实岗位安全生产责任制。</w:t>
      </w:r>
    </w:p>
    <w:p>
      <w:pPr>
        <w:ind w:firstLine="560"/>
      </w:pPr>
      <w:r>
        <w:rPr>
          <w:rFonts w:hint="eastAsia"/>
        </w:rPr>
        <w:t>安全措施如下：</w:t>
      </w:r>
    </w:p>
    <w:p>
      <w:pPr>
        <w:ind w:firstLine="560"/>
      </w:pPr>
      <w:r>
        <w:rPr>
          <w:rFonts w:hint="eastAsia"/>
        </w:rPr>
        <w:t>（1）加强工艺管理，严格控制工艺指标。工厂应建立科学、严格的生产操作规程和安全管理体系，做到各车间、工段生产、安全都有专业人员专职负责。</w:t>
      </w:r>
    </w:p>
    <w:p>
      <w:pPr>
        <w:ind w:firstLine="560"/>
      </w:pPr>
      <w:r>
        <w:rPr>
          <w:rFonts w:hint="eastAsia"/>
        </w:rPr>
        <w:t>（2）加强安全生产教育。从事天然气使用的职工都必须先进行用气安全规范、工业卫生及消防等培训教育，并经考核合格才准予上岗操作。</w:t>
      </w:r>
    </w:p>
    <w:p>
      <w:pPr>
        <w:ind w:firstLine="560"/>
      </w:pPr>
      <w:r>
        <w:rPr>
          <w:rFonts w:hint="eastAsia"/>
        </w:rPr>
        <w:t>（3）把好设备进厂关，该打压的要打压，该试漏的要试漏，将隐患消灭在正式投入使用前。同时加强容器、设备、管道、阀门等密封检查与维护，发现问题及时解决，保证设备完好。</w:t>
      </w:r>
    </w:p>
    <w:p>
      <w:pPr>
        <w:ind w:firstLine="560"/>
      </w:pPr>
      <w:r>
        <w:rPr>
          <w:rFonts w:hint="eastAsia"/>
        </w:rPr>
        <w:t>（4）建立健全供气管道的技术档案，包括前期的可研文件、初步设计文件、施工图、整套施工资料、相关部门的审批手续及文件等。制定详细的岗位操作规程等。建立可靠的燃气供应工程安全运行的自动控制系统。</w:t>
      </w:r>
    </w:p>
    <w:p>
      <w:pPr>
        <w:ind w:firstLine="560"/>
      </w:pPr>
      <w:r>
        <w:rPr>
          <w:rFonts w:hint="eastAsia"/>
        </w:rPr>
        <w:t>（5）严格执行《化学工业部安全生产禁令》。</w:t>
      </w:r>
    </w:p>
    <w:p>
      <w:pPr>
        <w:pStyle w:val="5"/>
        <w:numPr>
          <w:ilvl w:val="1"/>
          <w:numId w:val="0"/>
        </w:numPr>
        <w:bidi w:val="0"/>
        <w:ind w:leftChars="0"/>
      </w:pPr>
      <w:bookmarkStart w:id="235" w:name="_Toc11654"/>
      <w:bookmarkStart w:id="236" w:name="_Toc527104515"/>
      <w:r>
        <w:rPr>
          <w:rFonts w:hint="eastAsia"/>
          <w:lang w:val="en-US" w:eastAsia="zh-CN"/>
        </w:rPr>
        <w:t>3.6</w:t>
      </w:r>
      <w:r>
        <w:rPr>
          <w:rFonts w:hint="eastAsia"/>
        </w:rPr>
        <w:t>现有环境风险防控与突发环境事件发生情况</w:t>
      </w:r>
      <w:bookmarkEnd w:id="235"/>
      <w:bookmarkEnd w:id="236"/>
    </w:p>
    <w:p>
      <w:pPr>
        <w:pStyle w:val="6"/>
        <w:numPr>
          <w:ilvl w:val="2"/>
          <w:numId w:val="0"/>
        </w:numPr>
        <w:bidi w:val="0"/>
        <w:ind w:leftChars="0"/>
      </w:pPr>
      <w:r>
        <w:rPr>
          <w:rFonts w:hint="eastAsia"/>
          <w:lang w:val="en-US" w:eastAsia="zh-CN"/>
        </w:rPr>
        <w:t>3.6.1</w:t>
      </w:r>
      <w:r>
        <w:rPr>
          <w:rFonts w:hint="eastAsia"/>
        </w:rPr>
        <w:t>环境风险防控与突发大气环境事件发生情况</w:t>
      </w:r>
    </w:p>
    <w:p>
      <w:pPr>
        <w:pStyle w:val="7"/>
        <w:numPr>
          <w:ilvl w:val="3"/>
          <w:numId w:val="0"/>
        </w:numPr>
        <w:bidi w:val="0"/>
        <w:ind w:leftChars="0"/>
      </w:pPr>
      <w:r>
        <w:rPr>
          <w:rFonts w:hint="eastAsia"/>
          <w:lang w:val="en-US" w:eastAsia="zh-CN"/>
        </w:rPr>
        <w:t>3.6.1.1</w:t>
      </w:r>
      <w:r>
        <w:rPr>
          <w:rFonts w:hint="eastAsia"/>
        </w:rPr>
        <w:t>毒性气体泄漏紧急处置装置及监控预警措施</w:t>
      </w:r>
    </w:p>
    <w:p>
      <w:pPr>
        <w:ind w:firstLine="560"/>
      </w:pPr>
      <w:bookmarkStart w:id="237" w:name="_Hlk526950852"/>
      <w:r>
        <w:t>1</w:t>
      </w:r>
      <w:r>
        <w:rPr>
          <w:rFonts w:hint="eastAsia"/>
        </w:rPr>
        <w:t>、本公司生产经营过程中不涉及《企业突发环境事件风险分级办法》（HJ</w:t>
      </w:r>
      <w:r>
        <w:t xml:space="preserve"> </w:t>
      </w:r>
      <w:r>
        <w:rPr>
          <w:rFonts w:hint="eastAsia"/>
        </w:rPr>
        <w:t>941-2018）附录A中有毒有害气体；</w:t>
      </w:r>
    </w:p>
    <w:p>
      <w:pPr>
        <w:ind w:firstLine="560"/>
      </w:pPr>
      <w:r>
        <w:t>2</w:t>
      </w:r>
      <w:r>
        <w:rPr>
          <w:rFonts w:hint="eastAsia"/>
        </w:rPr>
        <w:t>、公司主道路、生产车间和存储区等重点及关键部位安装了摄像头监控。</w:t>
      </w:r>
    </w:p>
    <w:bookmarkEnd w:id="237"/>
    <w:p>
      <w:pPr>
        <w:pStyle w:val="7"/>
        <w:numPr>
          <w:ilvl w:val="3"/>
          <w:numId w:val="0"/>
        </w:numPr>
        <w:bidi w:val="0"/>
        <w:ind w:leftChars="0"/>
      </w:pPr>
      <w:r>
        <w:rPr>
          <w:rFonts w:hint="eastAsia"/>
          <w:lang w:val="en-US" w:eastAsia="zh-CN"/>
        </w:rPr>
        <w:t>3.6.1.2</w:t>
      </w:r>
      <w:r>
        <w:rPr>
          <w:rFonts w:hint="eastAsia"/>
        </w:rPr>
        <w:t>符合防护距离情况</w:t>
      </w:r>
    </w:p>
    <w:p>
      <w:pPr>
        <w:ind w:firstLine="560"/>
      </w:pPr>
      <w:bookmarkStart w:id="238" w:name="_Hlk526950857"/>
      <w:r>
        <w:rPr>
          <w:rFonts w:hint="eastAsia"/>
        </w:rPr>
        <w:t>本公司环评报告</w:t>
      </w:r>
      <w:r>
        <w:rPr>
          <w:rFonts w:hint="eastAsia"/>
          <w:lang w:eastAsia="zh-CN"/>
        </w:rPr>
        <w:t>中及</w:t>
      </w:r>
      <w:r>
        <w:rPr>
          <w:rFonts w:hint="eastAsia"/>
        </w:rPr>
        <w:t>环评批复对</w:t>
      </w:r>
      <w:r>
        <w:rPr>
          <w:rFonts w:hint="eastAsia"/>
          <w:lang w:eastAsia="zh-CN"/>
        </w:rPr>
        <w:t>卫生</w:t>
      </w:r>
      <w:r>
        <w:rPr>
          <w:rFonts w:hint="eastAsia"/>
        </w:rPr>
        <w:t>防护距离未做要求，公司边界外</w:t>
      </w:r>
      <w:r>
        <w:rPr>
          <w:rFonts w:hint="eastAsia"/>
          <w:lang w:val="en-US" w:eastAsia="zh-CN"/>
        </w:rPr>
        <w:t>2</w:t>
      </w:r>
      <w:r>
        <w:rPr>
          <w:rFonts w:hint="eastAsia"/>
        </w:rPr>
        <w:t>0米范围内无敏感点。</w:t>
      </w:r>
    </w:p>
    <w:bookmarkEnd w:id="238"/>
    <w:p>
      <w:pPr>
        <w:pStyle w:val="7"/>
        <w:numPr>
          <w:ilvl w:val="3"/>
          <w:numId w:val="0"/>
        </w:numPr>
        <w:bidi w:val="0"/>
        <w:ind w:leftChars="0"/>
      </w:pPr>
      <w:r>
        <w:rPr>
          <w:rFonts w:hint="eastAsia"/>
          <w:lang w:val="en-US" w:eastAsia="zh-CN"/>
        </w:rPr>
        <w:t>3.6.1.3</w:t>
      </w:r>
      <w:r>
        <w:rPr>
          <w:rFonts w:hint="eastAsia"/>
        </w:rPr>
        <w:t>近3年内突发大气环境事件发生情况</w:t>
      </w:r>
    </w:p>
    <w:p>
      <w:pPr>
        <w:ind w:firstLine="560"/>
      </w:pPr>
      <w:bookmarkStart w:id="239" w:name="_Hlk526950868"/>
      <w:r>
        <w:rPr>
          <w:rFonts w:hint="eastAsia"/>
        </w:rPr>
        <w:t>本公司近3年内未发生过突发大气环境事件。如若发生突发大气环境事件，立即启动公司应急预案，指挥中心做好事件报警、通报及处置工作。向周边企业、村落提供本单位有关危险物质特性、应急救援、救援知识等；根据现场情况判断是否需要人员紧急疏散和抢救物资，如需紧急疏散须及时规定疏散路线和疏散路口，并及时协助厂内员工和周围人员及居民的紧急疏散工作。</w:t>
      </w:r>
    </w:p>
    <w:bookmarkEnd w:id="239"/>
    <w:p>
      <w:pPr>
        <w:pStyle w:val="6"/>
        <w:numPr>
          <w:ilvl w:val="2"/>
          <w:numId w:val="0"/>
        </w:numPr>
        <w:bidi w:val="0"/>
        <w:ind w:leftChars="0"/>
      </w:pPr>
      <w:r>
        <w:rPr>
          <w:rFonts w:hint="eastAsia"/>
          <w:lang w:val="en-US" w:eastAsia="zh-CN"/>
        </w:rPr>
        <w:t>3.6.2</w:t>
      </w:r>
      <w:r>
        <w:rPr>
          <w:rFonts w:hint="eastAsia"/>
        </w:rPr>
        <w:t>环境风险防控与突发水环境事件发生情况</w:t>
      </w:r>
    </w:p>
    <w:p>
      <w:pPr>
        <w:pStyle w:val="7"/>
        <w:numPr>
          <w:ilvl w:val="3"/>
          <w:numId w:val="0"/>
        </w:numPr>
        <w:bidi w:val="0"/>
        <w:ind w:leftChars="0"/>
      </w:pPr>
      <w:r>
        <w:rPr>
          <w:rFonts w:hint="eastAsia"/>
          <w:lang w:val="en-US" w:eastAsia="zh-CN"/>
        </w:rPr>
        <w:t>3.6.2.1</w:t>
      </w:r>
      <w:r>
        <w:rPr>
          <w:rFonts w:hint="eastAsia"/>
        </w:rPr>
        <w:t>截流措施</w:t>
      </w:r>
    </w:p>
    <w:p>
      <w:pPr>
        <w:ind w:firstLine="560"/>
      </w:pPr>
      <w:bookmarkStart w:id="240" w:name="_Hlk526950879"/>
      <w:r>
        <w:rPr>
          <w:rFonts w:hint="eastAsia"/>
        </w:rPr>
        <w:t>本公司实际生产过程中，原材料均为</w:t>
      </w:r>
      <w:r>
        <w:rPr>
          <w:rFonts w:hint="eastAsia"/>
          <w:lang w:eastAsia="zh-CN"/>
        </w:rPr>
        <w:t>赣江原水，不需要存放</w:t>
      </w:r>
      <w:r>
        <w:rPr>
          <w:rFonts w:hint="eastAsia"/>
        </w:rPr>
        <w:t>。辅料为液体（</w:t>
      </w:r>
      <w:r>
        <w:rPr>
          <w:rFonts w:hint="eastAsia"/>
          <w:lang w:eastAsia="zh-CN"/>
        </w:rPr>
        <w:t>次氯酸钠溶液</w:t>
      </w:r>
      <w:r>
        <w:rPr>
          <w:rFonts w:hint="eastAsia"/>
        </w:rPr>
        <w:t>），存放在</w:t>
      </w:r>
      <w:r>
        <w:rPr>
          <w:rFonts w:hint="eastAsia"/>
          <w:lang w:eastAsia="zh-CN"/>
        </w:rPr>
        <w:t>次氯酸钠间；辅料为固体（聚合氯化铝），存放在净化系统；辅料为固体（</w:t>
      </w:r>
      <w:r>
        <w:rPr>
          <w:rFonts w:hint="eastAsia"/>
          <w:lang w:val="en-US" w:eastAsia="zh-CN"/>
        </w:rPr>
        <w:t>PAM</w:t>
      </w:r>
      <w:r>
        <w:rPr>
          <w:rFonts w:hint="eastAsia"/>
          <w:lang w:eastAsia="zh-CN"/>
        </w:rPr>
        <w:t>），存放在脱水车间</w:t>
      </w:r>
      <w:r>
        <w:rPr>
          <w:rFonts w:hint="eastAsia"/>
        </w:rPr>
        <w:t>。辅材料均储存于车间及仓库内，地面均为水泥硬化地面，具有一定的防渗作用。</w:t>
      </w:r>
    </w:p>
    <w:bookmarkEnd w:id="240"/>
    <w:p>
      <w:pPr>
        <w:pStyle w:val="7"/>
        <w:numPr>
          <w:ilvl w:val="3"/>
          <w:numId w:val="0"/>
        </w:numPr>
        <w:bidi w:val="0"/>
        <w:ind w:leftChars="0"/>
      </w:pPr>
      <w:r>
        <w:rPr>
          <w:rFonts w:hint="eastAsia"/>
          <w:lang w:val="en-US" w:eastAsia="zh-CN"/>
        </w:rPr>
        <w:t>3.6.2.2</w:t>
      </w:r>
      <w:r>
        <w:rPr>
          <w:rFonts w:hint="eastAsia"/>
        </w:rPr>
        <w:t>事故废水收集措施</w:t>
      </w:r>
    </w:p>
    <w:p>
      <w:pPr>
        <w:ind w:firstLine="560"/>
      </w:pPr>
      <w:bookmarkStart w:id="241" w:name="_Hlk526950889"/>
      <w:r>
        <w:rPr>
          <w:rFonts w:hint="eastAsia"/>
        </w:rPr>
        <w:t>本公司在</w:t>
      </w:r>
      <w:r>
        <w:rPr>
          <w:rFonts w:hint="eastAsia"/>
          <w:lang w:eastAsia="zh-CN"/>
        </w:rPr>
        <w:t>次氯酸钠卸料口</w:t>
      </w:r>
      <w:r>
        <w:rPr>
          <w:rFonts w:hint="eastAsia"/>
        </w:rPr>
        <w:t>处安装有管道连接到事故池，能有效地将</w:t>
      </w:r>
      <w:r>
        <w:rPr>
          <w:rFonts w:hint="eastAsia"/>
          <w:lang w:eastAsia="zh-CN"/>
        </w:rPr>
        <w:t>卸料时泄漏</w:t>
      </w:r>
      <w:r>
        <w:rPr>
          <w:rFonts w:hint="eastAsia"/>
        </w:rPr>
        <w:t>的</w:t>
      </w:r>
      <w:r>
        <w:rPr>
          <w:rFonts w:hint="eastAsia"/>
          <w:lang w:eastAsia="zh-CN"/>
        </w:rPr>
        <w:t>物料</w:t>
      </w:r>
      <w:r>
        <w:rPr>
          <w:rFonts w:hint="eastAsia"/>
        </w:rPr>
        <w:t>充分回收到事故池内。</w:t>
      </w:r>
    </w:p>
    <w:bookmarkEnd w:id="241"/>
    <w:p>
      <w:pPr>
        <w:pStyle w:val="7"/>
        <w:numPr>
          <w:ilvl w:val="3"/>
          <w:numId w:val="0"/>
        </w:numPr>
        <w:bidi w:val="0"/>
        <w:ind w:leftChars="0"/>
      </w:pPr>
      <w:r>
        <w:rPr>
          <w:rFonts w:hint="eastAsia"/>
          <w:lang w:val="en-US" w:eastAsia="zh-CN"/>
        </w:rPr>
        <w:t>3.6.2.3</w:t>
      </w:r>
      <w:r>
        <w:rPr>
          <w:rFonts w:hint="eastAsia"/>
        </w:rPr>
        <w:t>雨水排水系统风险防控措施</w:t>
      </w:r>
    </w:p>
    <w:p>
      <w:pPr>
        <w:ind w:firstLine="560"/>
      </w:pPr>
      <w:bookmarkStart w:id="242" w:name="_Hlk526950904"/>
      <w:r>
        <w:rPr>
          <w:rFonts w:hint="eastAsia"/>
        </w:rPr>
        <w:t>厂区排水系统采用雨污分流制，雨水采用重力流，经管网收集后就近排</w:t>
      </w:r>
      <w:r>
        <w:rPr>
          <w:rFonts w:hint="eastAsia"/>
          <w:lang w:eastAsia="zh-CN"/>
        </w:rPr>
        <w:t>入赣江</w:t>
      </w:r>
      <w:r>
        <w:rPr>
          <w:rFonts w:hint="eastAsia"/>
        </w:rPr>
        <w:t>。</w:t>
      </w:r>
    </w:p>
    <w:bookmarkEnd w:id="242"/>
    <w:p>
      <w:pPr>
        <w:pStyle w:val="7"/>
        <w:numPr>
          <w:ilvl w:val="3"/>
          <w:numId w:val="0"/>
        </w:numPr>
        <w:bidi w:val="0"/>
        <w:ind w:leftChars="0"/>
      </w:pPr>
      <w:r>
        <w:rPr>
          <w:rFonts w:hint="eastAsia"/>
          <w:lang w:val="en-US" w:eastAsia="zh-CN"/>
        </w:rPr>
        <w:t>3.6.2.4</w:t>
      </w:r>
      <w:r>
        <w:rPr>
          <w:rFonts w:hint="eastAsia"/>
        </w:rPr>
        <w:t>废水排放去向</w:t>
      </w:r>
    </w:p>
    <w:p>
      <w:pPr>
        <w:ind w:firstLine="560"/>
      </w:pPr>
      <w:bookmarkStart w:id="243" w:name="_Hlk526950952"/>
      <w:r>
        <w:rPr>
          <w:rFonts w:hint="eastAsia"/>
        </w:rPr>
        <w:t>本公司沉淀池排泥水和滤池的反冲洗废水直排入赣江</w:t>
      </w:r>
      <w:r>
        <w:rPr>
          <w:rFonts w:hint="eastAsia"/>
          <w:lang w:eastAsia="zh-CN"/>
        </w:rPr>
        <w:t>，</w:t>
      </w:r>
      <w:r>
        <w:rPr>
          <w:rFonts w:hint="eastAsia"/>
        </w:rPr>
        <w:t>生活污水</w:t>
      </w:r>
      <w:r>
        <w:rPr>
          <w:rFonts w:hint="eastAsia"/>
          <w:lang w:eastAsia="zh-CN"/>
        </w:rPr>
        <w:t>、化验室检测仪器的清洗废水</w:t>
      </w:r>
      <w:r>
        <w:rPr>
          <w:rFonts w:hint="eastAsia"/>
        </w:rPr>
        <w:t>直排入市政污水管网排到经开区白水湖污水处理厂处理达标后，尾水排入赣江。</w:t>
      </w:r>
    </w:p>
    <w:bookmarkEnd w:id="243"/>
    <w:p>
      <w:pPr>
        <w:pStyle w:val="7"/>
        <w:numPr>
          <w:ilvl w:val="3"/>
          <w:numId w:val="0"/>
        </w:numPr>
        <w:bidi w:val="0"/>
        <w:ind w:leftChars="0"/>
      </w:pPr>
      <w:r>
        <w:rPr>
          <w:rFonts w:hint="eastAsia"/>
          <w:lang w:val="en-US" w:eastAsia="zh-CN"/>
        </w:rPr>
        <w:t>3.6.2.5</w:t>
      </w:r>
      <w:r>
        <w:rPr>
          <w:rFonts w:hint="eastAsia"/>
        </w:rPr>
        <w:t>厂区危险废物环境管理</w:t>
      </w:r>
    </w:p>
    <w:p>
      <w:pPr>
        <w:ind w:firstLine="560"/>
        <w:rPr>
          <w:rFonts w:hint="eastAsia"/>
        </w:rPr>
      </w:pPr>
      <w:bookmarkStart w:id="244" w:name="_Hlk526950961"/>
      <w:r>
        <w:rPr>
          <w:rFonts w:hint="eastAsia"/>
        </w:rPr>
        <w:t>本公司产生的危险废物包括：废紫外灯管</w:t>
      </w:r>
      <w:r>
        <w:rPr>
          <w:rFonts w:hint="eastAsia"/>
          <w:lang w:eastAsia="zh-CN"/>
        </w:rPr>
        <w:t>、</w:t>
      </w:r>
      <w:r>
        <w:rPr>
          <w:rFonts w:hint="eastAsia"/>
        </w:rPr>
        <w:t>废化验试剂、废试剂瓶。</w:t>
      </w:r>
    </w:p>
    <w:p>
      <w:pPr>
        <w:ind w:firstLine="560"/>
      </w:pPr>
      <w:r>
        <w:rPr>
          <w:rFonts w:hint="eastAsia"/>
        </w:rPr>
        <w:t>厂区</w:t>
      </w:r>
      <w:r>
        <w:rPr>
          <w:rFonts w:hint="eastAsia"/>
          <w:lang w:eastAsia="zh-CN"/>
        </w:rPr>
        <w:t>在化验室</w:t>
      </w:r>
      <w:r>
        <w:rPr>
          <w:rFonts w:hint="eastAsia"/>
        </w:rPr>
        <w:t>设置了危废暂存</w:t>
      </w:r>
      <w:r>
        <w:rPr>
          <w:rFonts w:hint="eastAsia"/>
          <w:lang w:eastAsia="zh-CN"/>
        </w:rPr>
        <w:t>间</w:t>
      </w:r>
      <w:r>
        <w:rPr>
          <w:rFonts w:hint="eastAsia"/>
        </w:rPr>
        <w:t>并做了地面防渗，完全封闭做到“三防”（防风、防雨、防晒），危废暂存</w:t>
      </w:r>
      <w:r>
        <w:rPr>
          <w:rFonts w:hint="eastAsia"/>
          <w:lang w:eastAsia="zh-CN"/>
        </w:rPr>
        <w:t>间</w:t>
      </w:r>
      <w:r>
        <w:rPr>
          <w:rFonts w:hint="eastAsia"/>
        </w:rPr>
        <w:t>外面墙上已做标识。并按照国家有关规定制定危险废物管理计划，并向当地环保主管部门申报危险废物种类、产生量、流向、暂存及处置措施等相关资料。</w:t>
      </w:r>
      <w:r>
        <w:rPr>
          <w:rFonts w:hint="eastAsia"/>
          <w:lang w:eastAsia="zh-CN"/>
        </w:rPr>
        <w:t>由于危废年产生量很小，目前危险废物储存在危废暂存间内，未做</w:t>
      </w:r>
      <w:r>
        <w:rPr>
          <w:rFonts w:hint="eastAsia"/>
        </w:rPr>
        <w:t>处置。</w:t>
      </w:r>
      <w:r>
        <w:rPr>
          <w:rFonts w:hint="eastAsia"/>
          <w:lang w:eastAsia="zh-CN"/>
        </w:rPr>
        <w:t>存储一定量后委托</w:t>
      </w:r>
      <w:r>
        <w:rPr>
          <w:rFonts w:hint="eastAsia"/>
        </w:rPr>
        <w:t>有资质的单位</w:t>
      </w:r>
      <w:r>
        <w:rPr>
          <w:rFonts w:hint="eastAsia"/>
          <w:lang w:eastAsia="zh-CN"/>
        </w:rPr>
        <w:t>进行</w:t>
      </w:r>
      <w:r>
        <w:rPr>
          <w:rFonts w:hint="eastAsia"/>
        </w:rPr>
        <w:t>处置</w:t>
      </w:r>
      <w:r>
        <w:rPr>
          <w:rFonts w:hint="eastAsia"/>
          <w:lang w:eastAsia="zh-CN"/>
        </w:rPr>
        <w:t>，并按要求办理转移联单</w:t>
      </w:r>
      <w:r>
        <w:rPr>
          <w:rFonts w:hint="eastAsia"/>
        </w:rPr>
        <w:t>。</w:t>
      </w:r>
    </w:p>
    <w:bookmarkEnd w:id="244"/>
    <w:p>
      <w:pPr>
        <w:pStyle w:val="7"/>
        <w:numPr>
          <w:ilvl w:val="3"/>
          <w:numId w:val="0"/>
        </w:numPr>
        <w:bidi w:val="0"/>
        <w:ind w:leftChars="0"/>
      </w:pPr>
      <w:r>
        <w:rPr>
          <w:rFonts w:hint="eastAsia"/>
          <w:lang w:val="en-US" w:eastAsia="zh-CN"/>
        </w:rPr>
        <w:t>3.6.2.6</w:t>
      </w:r>
      <w:r>
        <w:rPr>
          <w:rFonts w:hint="eastAsia"/>
        </w:rPr>
        <w:t>近3年内突发水环境事件发生情况</w:t>
      </w:r>
    </w:p>
    <w:p>
      <w:pPr>
        <w:ind w:firstLine="560"/>
      </w:pPr>
      <w:r>
        <w:rPr>
          <w:rFonts w:hint="eastAsia"/>
        </w:rPr>
        <w:t>本公司近3年内未发生过突发水环境事件。如若发生突发水环境事件，立即启动公司应急预案，指挥中心做好事件报警、通报及处置工作。</w:t>
      </w:r>
    </w:p>
    <w:p>
      <w:pPr>
        <w:pStyle w:val="6"/>
        <w:numPr>
          <w:ilvl w:val="2"/>
          <w:numId w:val="0"/>
        </w:numPr>
        <w:bidi w:val="0"/>
        <w:ind w:leftChars="0"/>
      </w:pPr>
      <w:r>
        <w:rPr>
          <w:rFonts w:hint="eastAsia"/>
          <w:lang w:val="en-US" w:eastAsia="zh-CN"/>
        </w:rPr>
        <w:t>3.6.3</w:t>
      </w:r>
      <w:r>
        <w:rPr>
          <w:rFonts w:hint="eastAsia"/>
        </w:rPr>
        <w:t>环境风险防控措施评估</w:t>
      </w:r>
    </w:p>
    <w:p>
      <w:pPr>
        <w:pStyle w:val="7"/>
        <w:numPr>
          <w:ilvl w:val="3"/>
          <w:numId w:val="0"/>
        </w:numPr>
        <w:bidi w:val="0"/>
        <w:ind w:leftChars="0"/>
      </w:pPr>
      <w:bookmarkStart w:id="245" w:name="_Ref526862891"/>
      <w:r>
        <w:rPr>
          <w:rFonts w:hint="eastAsia"/>
          <w:lang w:val="en-US" w:eastAsia="zh-CN"/>
        </w:rPr>
        <w:t>3.6.3.1</w:t>
      </w:r>
      <w:r>
        <w:rPr>
          <w:rFonts w:hint="eastAsia"/>
        </w:rPr>
        <w:t>大气环境风险防控措施评估</w:t>
      </w:r>
      <w:bookmarkEnd w:id="245"/>
    </w:p>
    <w:p>
      <w:pPr>
        <w:ind w:firstLine="560"/>
      </w:pPr>
      <w:bookmarkStart w:id="246" w:name="_Hlk526950982"/>
      <w:r>
        <w:rPr>
          <w:rFonts w:hint="eastAsia"/>
        </w:rPr>
        <w:t>对照《企业突发环境事件风险分级方法》（HJ 941-2018）中表2，对企业大气环境风险防控措施及突发大气环境事件发生情况进行评估。对各项评估指标分别平分，计算总和，评估结果</w:t>
      </w:r>
      <w:bookmarkEnd w:id="246"/>
      <w:r>
        <w:rPr>
          <w:rFonts w:hint="eastAsia"/>
        </w:rPr>
        <w:t>详见</w:t>
      </w:r>
      <w:r>
        <w:fldChar w:fldCharType="begin"/>
      </w:r>
      <w:r>
        <w:instrText xml:space="preserve"> </w:instrText>
      </w:r>
      <w:r>
        <w:rPr>
          <w:rFonts w:hint="eastAsia"/>
        </w:rPr>
        <w:instrText xml:space="preserve">REF _Ref526686000 \h</w:instrText>
      </w:r>
      <w:r>
        <w:instrText xml:space="preserve"> </w:instrText>
      </w:r>
      <w:r>
        <w:fldChar w:fldCharType="separate"/>
      </w:r>
      <w:r>
        <w:rPr>
          <w:rFonts w:hint="eastAsia"/>
        </w:rPr>
        <w:t xml:space="preserve">表 </w:t>
      </w:r>
      <w:r>
        <w:t>3</w:t>
      </w:r>
      <w:r>
        <w:noBreakHyphen/>
      </w:r>
      <w:r>
        <w:t>12</w:t>
      </w:r>
      <w:r>
        <w:fldChar w:fldCharType="end"/>
      </w:r>
      <w:r>
        <w:rPr>
          <w:rFonts w:hint="eastAsia"/>
        </w:rPr>
        <w:t>。</w:t>
      </w:r>
    </w:p>
    <w:p>
      <w:pPr>
        <w:pStyle w:val="8"/>
        <w:keepNext/>
      </w:pPr>
      <w:bookmarkStart w:id="247" w:name="_Ref526686000"/>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3</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12</w:t>
      </w:r>
      <w:r>
        <w:fldChar w:fldCharType="end"/>
      </w:r>
      <w:bookmarkEnd w:id="247"/>
      <w:r>
        <w:rPr>
          <w:rFonts w:hint="eastAsia"/>
        </w:rPr>
        <w:t>大气环境风险防控措施及突发大气环境事件发生情况评估表</w:t>
      </w:r>
    </w:p>
    <w:tbl>
      <w:tblPr>
        <w:tblStyle w:val="15"/>
        <w:tblW w:w="5000" w:type="pct"/>
        <w:jc w:val="center"/>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Layout w:type="autofit"/>
        <w:tblCellMar>
          <w:top w:w="0" w:type="dxa"/>
          <w:left w:w="28" w:type="dxa"/>
          <w:bottom w:w="0" w:type="dxa"/>
          <w:right w:w="28" w:type="dxa"/>
        </w:tblCellMar>
      </w:tblPr>
      <w:tblGrid>
        <w:gridCol w:w="1848"/>
        <w:gridCol w:w="5503"/>
        <w:gridCol w:w="845"/>
        <w:gridCol w:w="988"/>
      </w:tblGrid>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25" w:hRule="atLeast"/>
          <w:tblHeader/>
          <w:jc w:val="center"/>
        </w:trPr>
        <w:tc>
          <w:tcPr>
            <w:tcW w:w="1006" w:type="pct"/>
            <w:vAlign w:val="center"/>
          </w:tcPr>
          <w:p>
            <w:pPr>
              <w:autoSpaceDE w:val="0"/>
              <w:autoSpaceDN w:val="0"/>
              <w:adjustRightInd w:val="0"/>
              <w:snapToGrid w:val="0"/>
              <w:spacing w:line="240" w:lineRule="auto"/>
              <w:ind w:firstLine="0" w:firstLineChars="0"/>
              <w:jc w:val="center"/>
              <w:rPr>
                <w:rFonts w:cs="Times New Roman"/>
                <w:bCs/>
                <w:sz w:val="21"/>
                <w:szCs w:val="21"/>
              </w:rPr>
            </w:pPr>
            <w:r>
              <w:rPr>
                <w:rFonts w:cs="Times New Roman"/>
                <w:bCs/>
                <w:sz w:val="21"/>
                <w:szCs w:val="21"/>
              </w:rPr>
              <w:t>评估指标</w:t>
            </w:r>
          </w:p>
        </w:tc>
        <w:tc>
          <w:tcPr>
            <w:tcW w:w="2996" w:type="pct"/>
            <w:vAlign w:val="center"/>
          </w:tcPr>
          <w:p>
            <w:pPr>
              <w:autoSpaceDE w:val="0"/>
              <w:autoSpaceDN w:val="0"/>
              <w:adjustRightInd w:val="0"/>
              <w:snapToGrid w:val="0"/>
              <w:spacing w:line="240" w:lineRule="auto"/>
              <w:ind w:firstLine="0" w:firstLineChars="0"/>
              <w:jc w:val="center"/>
              <w:rPr>
                <w:rFonts w:cs="Times New Roman"/>
                <w:bCs/>
                <w:sz w:val="21"/>
                <w:szCs w:val="21"/>
              </w:rPr>
            </w:pPr>
            <w:r>
              <w:rPr>
                <w:rFonts w:cs="Times New Roman"/>
                <w:bCs/>
                <w:sz w:val="21"/>
                <w:szCs w:val="21"/>
              </w:rPr>
              <w:t>评估依据</w:t>
            </w:r>
          </w:p>
        </w:tc>
        <w:tc>
          <w:tcPr>
            <w:tcW w:w="460" w:type="pct"/>
            <w:vAlign w:val="center"/>
          </w:tcPr>
          <w:p>
            <w:pPr>
              <w:autoSpaceDE w:val="0"/>
              <w:autoSpaceDN w:val="0"/>
              <w:adjustRightInd w:val="0"/>
              <w:snapToGrid w:val="0"/>
              <w:spacing w:line="240" w:lineRule="auto"/>
              <w:ind w:firstLine="0" w:firstLineChars="0"/>
              <w:jc w:val="center"/>
              <w:rPr>
                <w:rFonts w:cs="Times New Roman"/>
                <w:bCs/>
                <w:sz w:val="21"/>
                <w:szCs w:val="21"/>
              </w:rPr>
            </w:pPr>
            <w:r>
              <w:rPr>
                <w:rFonts w:cs="Times New Roman"/>
                <w:bCs/>
                <w:sz w:val="21"/>
                <w:szCs w:val="21"/>
              </w:rPr>
              <w:t>分值</w:t>
            </w:r>
          </w:p>
        </w:tc>
        <w:tc>
          <w:tcPr>
            <w:tcW w:w="538" w:type="pct"/>
            <w:vAlign w:val="center"/>
          </w:tcPr>
          <w:p>
            <w:pPr>
              <w:autoSpaceDE w:val="0"/>
              <w:autoSpaceDN w:val="0"/>
              <w:adjustRightInd w:val="0"/>
              <w:snapToGrid w:val="0"/>
              <w:spacing w:line="240" w:lineRule="auto"/>
              <w:ind w:firstLine="0" w:firstLineChars="0"/>
              <w:jc w:val="center"/>
              <w:rPr>
                <w:rFonts w:cs="Times New Roman"/>
                <w:bCs/>
                <w:sz w:val="21"/>
                <w:szCs w:val="21"/>
              </w:rPr>
            </w:pPr>
            <w:r>
              <w:rPr>
                <w:rFonts w:cs="Times New Roman"/>
                <w:bCs/>
                <w:sz w:val="21"/>
                <w:szCs w:val="21"/>
              </w:rPr>
              <w:t>评分分数</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25" w:hRule="atLeast"/>
          <w:jc w:val="center"/>
        </w:trPr>
        <w:tc>
          <w:tcPr>
            <w:tcW w:w="1006" w:type="pct"/>
            <w:vMerge w:val="restar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毒性气体泄漏监控预警措施</w:t>
            </w:r>
          </w:p>
        </w:tc>
        <w:tc>
          <w:tcPr>
            <w:tcW w:w="2996" w:type="pct"/>
            <w:vAlign w:val="center"/>
          </w:tcPr>
          <w:p>
            <w:pPr>
              <w:autoSpaceDE w:val="0"/>
              <w:autoSpaceDN w:val="0"/>
              <w:adjustRightInd w:val="0"/>
              <w:snapToGrid w:val="0"/>
              <w:spacing w:line="240" w:lineRule="auto"/>
              <w:ind w:firstLine="0" w:firstLineChars="0"/>
              <w:rPr>
                <w:rFonts w:cs="Times New Roman"/>
                <w:sz w:val="21"/>
                <w:szCs w:val="21"/>
              </w:rPr>
            </w:pPr>
            <w:r>
              <w:rPr>
                <w:rFonts w:hint="eastAsia" w:cs="Times New Roman"/>
                <w:sz w:val="21"/>
                <w:szCs w:val="21"/>
              </w:rPr>
              <w:t>（1）</w:t>
            </w:r>
            <w:r>
              <w:rPr>
                <w:rFonts w:cs="Times New Roman"/>
                <w:sz w:val="21"/>
                <w:szCs w:val="21"/>
              </w:rPr>
              <w:t>不涉及有毒有害气体的；或</w:t>
            </w:r>
          </w:p>
          <w:p>
            <w:pPr>
              <w:autoSpaceDE w:val="0"/>
              <w:autoSpaceDN w:val="0"/>
              <w:adjustRightInd w:val="0"/>
              <w:snapToGrid w:val="0"/>
              <w:spacing w:line="240" w:lineRule="auto"/>
              <w:ind w:firstLine="0" w:firstLineChars="0"/>
              <w:rPr>
                <w:rFonts w:cs="Times New Roman"/>
                <w:sz w:val="21"/>
                <w:szCs w:val="21"/>
              </w:rPr>
            </w:pPr>
            <w:r>
              <w:rPr>
                <w:rFonts w:hint="eastAsia" w:cs="Times New Roman"/>
                <w:sz w:val="21"/>
                <w:szCs w:val="21"/>
              </w:rPr>
              <w:t>（2）</w:t>
            </w:r>
            <w:r>
              <w:rPr>
                <w:rFonts w:cs="Times New Roman"/>
                <w:sz w:val="21"/>
                <w:szCs w:val="21"/>
              </w:rPr>
              <w:t>根据实际情况，具有针对有毒有害气体（如硫化氢、氰化氢、氯化氢、光气、氯气、氨气、苯等）厂界泄漏监控预警</w:t>
            </w:r>
            <w:r>
              <w:rPr>
                <w:rFonts w:hint="eastAsia" w:cs="Times New Roman"/>
                <w:sz w:val="21"/>
                <w:szCs w:val="21"/>
              </w:rPr>
              <w:t>系统的</w:t>
            </w:r>
            <w:r>
              <w:rPr>
                <w:rFonts w:cs="Times New Roman"/>
                <w:sz w:val="21"/>
                <w:szCs w:val="21"/>
              </w:rPr>
              <w:t>。</w:t>
            </w:r>
          </w:p>
        </w:tc>
        <w:tc>
          <w:tcPr>
            <w:tcW w:w="460" w:type="pc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538" w:type="pct"/>
            <w:vMerge w:val="restar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0</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25" w:hRule="atLeast"/>
          <w:jc w:val="center"/>
        </w:trPr>
        <w:tc>
          <w:tcPr>
            <w:tcW w:w="1006" w:type="pct"/>
            <w:vMerge w:val="continue"/>
            <w:vAlign w:val="center"/>
          </w:tcPr>
          <w:p>
            <w:pPr>
              <w:autoSpaceDE w:val="0"/>
              <w:autoSpaceDN w:val="0"/>
              <w:adjustRightInd w:val="0"/>
              <w:snapToGrid w:val="0"/>
              <w:spacing w:line="240" w:lineRule="auto"/>
              <w:ind w:firstLine="0" w:firstLineChars="0"/>
              <w:jc w:val="center"/>
              <w:rPr>
                <w:rFonts w:cs="Times New Roman"/>
                <w:sz w:val="21"/>
                <w:szCs w:val="21"/>
              </w:rPr>
            </w:pPr>
          </w:p>
        </w:tc>
        <w:tc>
          <w:tcPr>
            <w:tcW w:w="2996" w:type="pct"/>
            <w:vAlign w:val="center"/>
          </w:tcPr>
          <w:p>
            <w:pPr>
              <w:autoSpaceDE w:val="0"/>
              <w:autoSpaceDN w:val="0"/>
              <w:adjustRightInd w:val="0"/>
              <w:snapToGrid w:val="0"/>
              <w:spacing w:line="240" w:lineRule="auto"/>
              <w:ind w:firstLine="0" w:firstLineChars="0"/>
              <w:rPr>
                <w:rFonts w:cs="Times New Roman"/>
                <w:sz w:val="21"/>
                <w:szCs w:val="21"/>
              </w:rPr>
            </w:pPr>
            <w:r>
              <w:rPr>
                <w:rFonts w:cs="Times New Roman"/>
                <w:sz w:val="21"/>
                <w:szCs w:val="21"/>
              </w:rPr>
              <w:t>不具备生产区域或厂界有毒有害气体泄漏监控预警措施的。</w:t>
            </w:r>
          </w:p>
        </w:tc>
        <w:tc>
          <w:tcPr>
            <w:tcW w:w="460" w:type="pc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25</w:t>
            </w:r>
          </w:p>
        </w:tc>
        <w:tc>
          <w:tcPr>
            <w:tcW w:w="538" w:type="pct"/>
            <w:vMerge w:val="continue"/>
            <w:vAlign w:val="center"/>
          </w:tcPr>
          <w:p>
            <w:pPr>
              <w:autoSpaceDE w:val="0"/>
              <w:autoSpaceDN w:val="0"/>
              <w:adjustRightInd w:val="0"/>
              <w:snapToGrid w:val="0"/>
              <w:spacing w:line="240" w:lineRule="auto"/>
              <w:ind w:firstLine="0" w:firstLineChars="0"/>
              <w:jc w:val="center"/>
              <w:rPr>
                <w:rFonts w:cs="Times New Roman"/>
                <w:sz w:val="21"/>
                <w:szCs w:val="21"/>
              </w:rPr>
            </w:pP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25" w:hRule="atLeast"/>
          <w:jc w:val="center"/>
        </w:trPr>
        <w:tc>
          <w:tcPr>
            <w:tcW w:w="1006" w:type="pct"/>
            <w:vMerge w:val="restar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符合防护距离情况</w:t>
            </w:r>
          </w:p>
        </w:tc>
        <w:tc>
          <w:tcPr>
            <w:tcW w:w="2996" w:type="pct"/>
            <w:vAlign w:val="center"/>
          </w:tcPr>
          <w:p>
            <w:pPr>
              <w:autoSpaceDE w:val="0"/>
              <w:autoSpaceDN w:val="0"/>
              <w:adjustRightInd w:val="0"/>
              <w:snapToGrid w:val="0"/>
              <w:spacing w:line="240" w:lineRule="auto"/>
              <w:ind w:firstLine="0" w:firstLineChars="0"/>
              <w:rPr>
                <w:rFonts w:cs="Times New Roman"/>
                <w:sz w:val="21"/>
                <w:szCs w:val="21"/>
              </w:rPr>
            </w:pPr>
            <w:r>
              <w:rPr>
                <w:rFonts w:cs="Times New Roman"/>
                <w:sz w:val="21"/>
                <w:szCs w:val="21"/>
              </w:rPr>
              <w:t>符合环评及批复防护距离要求的</w:t>
            </w:r>
          </w:p>
        </w:tc>
        <w:tc>
          <w:tcPr>
            <w:tcW w:w="460" w:type="pc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538" w:type="pct"/>
            <w:vMerge w:val="restar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0</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25" w:hRule="atLeast"/>
          <w:jc w:val="center"/>
        </w:trPr>
        <w:tc>
          <w:tcPr>
            <w:tcW w:w="1006" w:type="pct"/>
            <w:vMerge w:val="continue"/>
            <w:vAlign w:val="center"/>
          </w:tcPr>
          <w:p>
            <w:pPr>
              <w:autoSpaceDE w:val="0"/>
              <w:autoSpaceDN w:val="0"/>
              <w:adjustRightInd w:val="0"/>
              <w:snapToGrid w:val="0"/>
              <w:spacing w:line="240" w:lineRule="auto"/>
              <w:ind w:firstLine="0" w:firstLineChars="0"/>
              <w:jc w:val="center"/>
              <w:rPr>
                <w:rFonts w:cs="Times New Roman"/>
                <w:sz w:val="21"/>
                <w:szCs w:val="21"/>
              </w:rPr>
            </w:pPr>
          </w:p>
        </w:tc>
        <w:tc>
          <w:tcPr>
            <w:tcW w:w="2996" w:type="pct"/>
            <w:vAlign w:val="center"/>
          </w:tcPr>
          <w:p>
            <w:pPr>
              <w:autoSpaceDE w:val="0"/>
              <w:autoSpaceDN w:val="0"/>
              <w:adjustRightInd w:val="0"/>
              <w:snapToGrid w:val="0"/>
              <w:spacing w:line="240" w:lineRule="auto"/>
              <w:ind w:firstLine="0" w:firstLineChars="0"/>
              <w:rPr>
                <w:rFonts w:cs="Times New Roman"/>
                <w:sz w:val="21"/>
                <w:szCs w:val="21"/>
              </w:rPr>
            </w:pPr>
            <w:r>
              <w:rPr>
                <w:rFonts w:cs="Times New Roman"/>
                <w:sz w:val="21"/>
                <w:szCs w:val="21"/>
              </w:rPr>
              <w:t>不符合环评及批复防护距离要求的</w:t>
            </w:r>
          </w:p>
        </w:tc>
        <w:tc>
          <w:tcPr>
            <w:tcW w:w="460" w:type="pc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25</w:t>
            </w:r>
          </w:p>
        </w:tc>
        <w:tc>
          <w:tcPr>
            <w:tcW w:w="538" w:type="pct"/>
            <w:vMerge w:val="continue"/>
            <w:vAlign w:val="center"/>
          </w:tcPr>
          <w:p>
            <w:pPr>
              <w:autoSpaceDE w:val="0"/>
              <w:autoSpaceDN w:val="0"/>
              <w:adjustRightInd w:val="0"/>
              <w:snapToGrid w:val="0"/>
              <w:spacing w:line="240" w:lineRule="auto"/>
              <w:ind w:firstLine="0" w:firstLineChars="0"/>
              <w:jc w:val="center"/>
              <w:rPr>
                <w:rFonts w:cs="Times New Roman"/>
                <w:sz w:val="21"/>
                <w:szCs w:val="21"/>
              </w:rPr>
            </w:pP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25" w:hRule="atLeast"/>
          <w:jc w:val="center"/>
        </w:trPr>
        <w:tc>
          <w:tcPr>
            <w:tcW w:w="1006" w:type="pct"/>
            <w:vMerge w:val="restar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近3年内突发大气环境事件情况</w:t>
            </w:r>
          </w:p>
        </w:tc>
        <w:tc>
          <w:tcPr>
            <w:tcW w:w="2996" w:type="pct"/>
            <w:vAlign w:val="center"/>
          </w:tcPr>
          <w:p>
            <w:pPr>
              <w:autoSpaceDE w:val="0"/>
              <w:autoSpaceDN w:val="0"/>
              <w:adjustRightInd w:val="0"/>
              <w:snapToGrid w:val="0"/>
              <w:spacing w:line="240" w:lineRule="auto"/>
              <w:ind w:firstLine="0" w:firstLineChars="0"/>
              <w:rPr>
                <w:rFonts w:cs="Times New Roman"/>
                <w:sz w:val="21"/>
                <w:szCs w:val="21"/>
              </w:rPr>
            </w:pPr>
            <w:r>
              <w:rPr>
                <w:rFonts w:cs="Times New Roman"/>
                <w:sz w:val="21"/>
                <w:szCs w:val="21"/>
              </w:rPr>
              <w:t>发生过特别重大或重大</w:t>
            </w:r>
            <w:r>
              <w:rPr>
                <w:rFonts w:hint="eastAsia" w:cs="Times New Roman"/>
                <w:sz w:val="21"/>
                <w:szCs w:val="21"/>
              </w:rPr>
              <w:t>等</w:t>
            </w:r>
            <w:r>
              <w:rPr>
                <w:rFonts w:cs="Times New Roman"/>
                <w:sz w:val="21"/>
                <w:szCs w:val="21"/>
              </w:rPr>
              <w:t>级突发大气事件的</w:t>
            </w:r>
          </w:p>
        </w:tc>
        <w:tc>
          <w:tcPr>
            <w:tcW w:w="460" w:type="pc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20</w:t>
            </w:r>
          </w:p>
        </w:tc>
        <w:tc>
          <w:tcPr>
            <w:tcW w:w="538" w:type="pct"/>
            <w:vMerge w:val="restart"/>
            <w:vAlign w:val="center"/>
          </w:tcPr>
          <w:p>
            <w:pPr>
              <w:autoSpaceDE w:val="0"/>
              <w:autoSpaceDN w:val="0"/>
              <w:adjustRightInd w:val="0"/>
              <w:snapToGrid w:val="0"/>
              <w:spacing w:line="240" w:lineRule="auto"/>
              <w:ind w:firstLine="0" w:firstLineChars="0"/>
              <w:jc w:val="center"/>
              <w:rPr>
                <w:rFonts w:cs="Times New Roman"/>
                <w:sz w:val="21"/>
                <w:szCs w:val="21"/>
              </w:rPr>
            </w:pPr>
            <w:r>
              <w:rPr>
                <w:rFonts w:hint="eastAsia" w:cs="Times New Roman"/>
                <w:sz w:val="21"/>
                <w:szCs w:val="21"/>
              </w:rPr>
              <w:t>0</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25" w:hRule="atLeast"/>
          <w:jc w:val="center"/>
        </w:trPr>
        <w:tc>
          <w:tcPr>
            <w:tcW w:w="1006" w:type="pct"/>
            <w:vMerge w:val="continue"/>
            <w:vAlign w:val="center"/>
          </w:tcPr>
          <w:p>
            <w:pPr>
              <w:autoSpaceDE w:val="0"/>
              <w:autoSpaceDN w:val="0"/>
              <w:adjustRightInd w:val="0"/>
              <w:snapToGrid w:val="0"/>
              <w:spacing w:line="240" w:lineRule="auto"/>
              <w:ind w:firstLine="0" w:firstLineChars="0"/>
              <w:jc w:val="center"/>
              <w:rPr>
                <w:rFonts w:cs="Times New Roman"/>
                <w:sz w:val="21"/>
                <w:szCs w:val="21"/>
              </w:rPr>
            </w:pPr>
          </w:p>
        </w:tc>
        <w:tc>
          <w:tcPr>
            <w:tcW w:w="2996" w:type="pct"/>
            <w:vAlign w:val="center"/>
          </w:tcPr>
          <w:p>
            <w:pPr>
              <w:autoSpaceDE w:val="0"/>
              <w:autoSpaceDN w:val="0"/>
              <w:adjustRightInd w:val="0"/>
              <w:snapToGrid w:val="0"/>
              <w:spacing w:line="240" w:lineRule="auto"/>
              <w:ind w:firstLine="0" w:firstLineChars="0"/>
              <w:rPr>
                <w:rFonts w:cs="Times New Roman"/>
                <w:sz w:val="21"/>
                <w:szCs w:val="21"/>
              </w:rPr>
            </w:pPr>
            <w:r>
              <w:rPr>
                <w:rFonts w:cs="Times New Roman"/>
                <w:sz w:val="21"/>
                <w:szCs w:val="21"/>
              </w:rPr>
              <w:t>发生过较大</w:t>
            </w:r>
            <w:r>
              <w:rPr>
                <w:rFonts w:hint="eastAsia" w:cs="Times New Roman"/>
                <w:sz w:val="21"/>
                <w:szCs w:val="21"/>
              </w:rPr>
              <w:t>等级2</w:t>
            </w:r>
            <w:r>
              <w:rPr>
                <w:rFonts w:cs="Times New Roman"/>
                <w:sz w:val="21"/>
                <w:szCs w:val="21"/>
              </w:rPr>
              <w:t>突发大气事件的</w:t>
            </w:r>
          </w:p>
        </w:tc>
        <w:tc>
          <w:tcPr>
            <w:tcW w:w="460" w:type="pc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15</w:t>
            </w:r>
          </w:p>
        </w:tc>
        <w:tc>
          <w:tcPr>
            <w:tcW w:w="538" w:type="pct"/>
            <w:vMerge w:val="continue"/>
            <w:vAlign w:val="center"/>
          </w:tcPr>
          <w:p>
            <w:pPr>
              <w:autoSpaceDE w:val="0"/>
              <w:autoSpaceDN w:val="0"/>
              <w:adjustRightInd w:val="0"/>
              <w:snapToGrid w:val="0"/>
              <w:spacing w:line="240" w:lineRule="auto"/>
              <w:ind w:firstLine="0" w:firstLineChars="0"/>
              <w:jc w:val="center"/>
              <w:rPr>
                <w:rFonts w:cs="Times New Roman"/>
                <w:sz w:val="21"/>
                <w:szCs w:val="21"/>
              </w:rPr>
            </w:pP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25" w:hRule="atLeast"/>
          <w:jc w:val="center"/>
        </w:trPr>
        <w:tc>
          <w:tcPr>
            <w:tcW w:w="1006" w:type="pct"/>
            <w:vMerge w:val="continue"/>
            <w:vAlign w:val="center"/>
          </w:tcPr>
          <w:p>
            <w:pPr>
              <w:autoSpaceDE w:val="0"/>
              <w:autoSpaceDN w:val="0"/>
              <w:adjustRightInd w:val="0"/>
              <w:snapToGrid w:val="0"/>
              <w:spacing w:line="240" w:lineRule="auto"/>
              <w:ind w:firstLine="0" w:firstLineChars="0"/>
              <w:jc w:val="center"/>
              <w:rPr>
                <w:rFonts w:cs="Times New Roman"/>
                <w:sz w:val="21"/>
                <w:szCs w:val="21"/>
              </w:rPr>
            </w:pPr>
          </w:p>
        </w:tc>
        <w:tc>
          <w:tcPr>
            <w:tcW w:w="2996" w:type="pct"/>
            <w:vAlign w:val="center"/>
          </w:tcPr>
          <w:p>
            <w:pPr>
              <w:autoSpaceDE w:val="0"/>
              <w:autoSpaceDN w:val="0"/>
              <w:adjustRightInd w:val="0"/>
              <w:snapToGrid w:val="0"/>
              <w:spacing w:line="240" w:lineRule="auto"/>
              <w:ind w:firstLine="0" w:firstLineChars="0"/>
              <w:rPr>
                <w:rFonts w:cs="Times New Roman"/>
                <w:sz w:val="21"/>
                <w:szCs w:val="21"/>
              </w:rPr>
            </w:pPr>
            <w:r>
              <w:rPr>
                <w:rFonts w:cs="Times New Roman"/>
                <w:sz w:val="21"/>
                <w:szCs w:val="21"/>
              </w:rPr>
              <w:t>发生过一般等级突发大气事件的</w:t>
            </w:r>
          </w:p>
        </w:tc>
        <w:tc>
          <w:tcPr>
            <w:tcW w:w="460" w:type="pc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10</w:t>
            </w:r>
          </w:p>
        </w:tc>
        <w:tc>
          <w:tcPr>
            <w:tcW w:w="538" w:type="pct"/>
            <w:vMerge w:val="continue"/>
            <w:vAlign w:val="center"/>
          </w:tcPr>
          <w:p>
            <w:pPr>
              <w:autoSpaceDE w:val="0"/>
              <w:autoSpaceDN w:val="0"/>
              <w:adjustRightInd w:val="0"/>
              <w:snapToGrid w:val="0"/>
              <w:spacing w:line="240" w:lineRule="auto"/>
              <w:ind w:firstLine="0" w:firstLineChars="0"/>
              <w:jc w:val="center"/>
              <w:rPr>
                <w:rFonts w:cs="Times New Roman"/>
                <w:sz w:val="21"/>
                <w:szCs w:val="21"/>
              </w:rPr>
            </w:pP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25" w:hRule="atLeast"/>
          <w:jc w:val="center"/>
        </w:trPr>
        <w:tc>
          <w:tcPr>
            <w:tcW w:w="1006" w:type="pct"/>
            <w:vMerge w:val="continue"/>
            <w:vAlign w:val="center"/>
          </w:tcPr>
          <w:p>
            <w:pPr>
              <w:autoSpaceDE w:val="0"/>
              <w:autoSpaceDN w:val="0"/>
              <w:adjustRightInd w:val="0"/>
              <w:snapToGrid w:val="0"/>
              <w:spacing w:line="240" w:lineRule="auto"/>
              <w:ind w:firstLine="0" w:firstLineChars="0"/>
              <w:jc w:val="center"/>
              <w:rPr>
                <w:rFonts w:cs="Times New Roman"/>
                <w:sz w:val="21"/>
                <w:szCs w:val="21"/>
              </w:rPr>
            </w:pPr>
          </w:p>
        </w:tc>
        <w:tc>
          <w:tcPr>
            <w:tcW w:w="2996" w:type="pct"/>
            <w:vAlign w:val="center"/>
          </w:tcPr>
          <w:p>
            <w:pPr>
              <w:autoSpaceDE w:val="0"/>
              <w:autoSpaceDN w:val="0"/>
              <w:adjustRightInd w:val="0"/>
              <w:snapToGrid w:val="0"/>
              <w:spacing w:line="240" w:lineRule="auto"/>
              <w:ind w:firstLine="0" w:firstLineChars="0"/>
              <w:rPr>
                <w:rFonts w:cs="Times New Roman"/>
                <w:sz w:val="21"/>
                <w:szCs w:val="21"/>
              </w:rPr>
            </w:pPr>
            <w:r>
              <w:rPr>
                <w:rFonts w:cs="Times New Roman"/>
                <w:sz w:val="21"/>
                <w:szCs w:val="21"/>
              </w:rPr>
              <w:t>未发生过突发大气环境事件的</w:t>
            </w:r>
          </w:p>
        </w:tc>
        <w:tc>
          <w:tcPr>
            <w:tcW w:w="460" w:type="pc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538" w:type="pct"/>
            <w:vMerge w:val="continue"/>
            <w:vAlign w:val="center"/>
          </w:tcPr>
          <w:p>
            <w:pPr>
              <w:autoSpaceDE w:val="0"/>
              <w:autoSpaceDN w:val="0"/>
              <w:adjustRightInd w:val="0"/>
              <w:snapToGrid w:val="0"/>
              <w:spacing w:line="240" w:lineRule="auto"/>
              <w:ind w:firstLine="0" w:firstLineChars="0"/>
              <w:jc w:val="center"/>
              <w:rPr>
                <w:rFonts w:cs="Times New Roman"/>
                <w:sz w:val="21"/>
                <w:szCs w:val="21"/>
              </w:rPr>
            </w:pP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25" w:hRule="atLeast"/>
          <w:jc w:val="center"/>
        </w:trPr>
        <w:tc>
          <w:tcPr>
            <w:tcW w:w="4462" w:type="pct"/>
            <w:gridSpan w:val="3"/>
            <w:vAlign w:val="center"/>
          </w:tcPr>
          <w:p>
            <w:pPr>
              <w:autoSpaceDE w:val="0"/>
              <w:autoSpaceDN w:val="0"/>
              <w:adjustRightInd w:val="0"/>
              <w:snapToGrid w:val="0"/>
              <w:spacing w:line="240" w:lineRule="auto"/>
              <w:ind w:firstLine="0" w:firstLineChars="0"/>
              <w:jc w:val="center"/>
              <w:rPr>
                <w:rFonts w:cs="Times New Roman"/>
                <w:sz w:val="21"/>
                <w:szCs w:val="21"/>
              </w:rPr>
            </w:pPr>
            <w:r>
              <w:rPr>
                <w:rFonts w:hint="eastAsia" w:cs="Times New Roman"/>
                <w:sz w:val="21"/>
                <w:szCs w:val="21"/>
              </w:rPr>
              <w:t>合计</w:t>
            </w:r>
          </w:p>
        </w:tc>
        <w:tc>
          <w:tcPr>
            <w:tcW w:w="538" w:type="pct"/>
            <w:vAlign w:val="center"/>
          </w:tcPr>
          <w:p>
            <w:pPr>
              <w:autoSpaceDE w:val="0"/>
              <w:autoSpaceDN w:val="0"/>
              <w:adjustRightInd w:val="0"/>
              <w:snapToGrid w:val="0"/>
              <w:spacing w:line="240" w:lineRule="auto"/>
              <w:ind w:firstLine="0" w:firstLineChars="0"/>
              <w:jc w:val="center"/>
              <w:rPr>
                <w:rFonts w:cs="Times New Roman"/>
                <w:sz w:val="21"/>
                <w:szCs w:val="21"/>
              </w:rPr>
            </w:pPr>
            <w:r>
              <w:rPr>
                <w:rFonts w:hint="eastAsia" w:cs="Times New Roman"/>
                <w:sz w:val="21"/>
                <w:szCs w:val="21"/>
              </w:rPr>
              <w:t>0</w:t>
            </w:r>
          </w:p>
        </w:tc>
      </w:tr>
    </w:tbl>
    <w:p>
      <w:pPr>
        <w:pStyle w:val="7"/>
        <w:numPr>
          <w:ilvl w:val="3"/>
          <w:numId w:val="0"/>
        </w:numPr>
        <w:bidi w:val="0"/>
        <w:ind w:leftChars="0"/>
      </w:pPr>
      <w:bookmarkStart w:id="248" w:name="_Ref526864575"/>
      <w:r>
        <w:rPr>
          <w:rFonts w:hint="eastAsia"/>
          <w:lang w:val="en-US" w:eastAsia="zh-CN"/>
        </w:rPr>
        <w:t>3.6.3.2</w:t>
      </w:r>
      <w:r>
        <w:rPr>
          <w:rFonts w:hint="eastAsia"/>
        </w:rPr>
        <w:t>水环境风险防控措施评估</w:t>
      </w:r>
      <w:bookmarkEnd w:id="248"/>
    </w:p>
    <w:p>
      <w:pPr>
        <w:ind w:firstLine="560"/>
      </w:pPr>
      <w:bookmarkStart w:id="249" w:name="_Hlk526951007"/>
      <w:r>
        <w:rPr>
          <w:rFonts w:hint="eastAsia"/>
        </w:rPr>
        <w:t>对照《企业突发环境事件风险分级方法》（HJ 941-2018）中表6，对企业水环境风险防控措施及突发水环境事件发生情况进行评估。对各项评估指标分别平分，计算总和，评估结果</w:t>
      </w:r>
      <w:bookmarkEnd w:id="249"/>
      <w:r>
        <w:rPr>
          <w:rFonts w:hint="eastAsia"/>
        </w:rPr>
        <w:t>详见</w:t>
      </w:r>
      <w:r>
        <w:fldChar w:fldCharType="begin"/>
      </w:r>
      <w:r>
        <w:instrText xml:space="preserve"> </w:instrText>
      </w:r>
      <w:r>
        <w:rPr>
          <w:rFonts w:hint="eastAsia"/>
        </w:rPr>
        <w:instrText xml:space="preserve">REF _Ref526864681 \h</w:instrText>
      </w:r>
      <w:r>
        <w:instrText xml:space="preserve"> </w:instrText>
      </w:r>
      <w:r>
        <w:fldChar w:fldCharType="separate"/>
      </w:r>
      <w:r>
        <w:rPr>
          <w:rFonts w:hint="eastAsia"/>
        </w:rPr>
        <w:t xml:space="preserve">表 </w:t>
      </w:r>
      <w:r>
        <w:t>3</w:t>
      </w:r>
      <w:r>
        <w:noBreakHyphen/>
      </w:r>
      <w:r>
        <w:t>13</w:t>
      </w:r>
      <w:r>
        <w:fldChar w:fldCharType="end"/>
      </w:r>
      <w:r>
        <w:rPr>
          <w:rFonts w:hint="eastAsia"/>
        </w:rPr>
        <w:t>。</w:t>
      </w:r>
    </w:p>
    <w:p>
      <w:pPr>
        <w:pStyle w:val="8"/>
        <w:keepNext/>
      </w:pPr>
      <w:bookmarkStart w:id="250" w:name="_Ref526864681"/>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3</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13</w:t>
      </w:r>
      <w:r>
        <w:fldChar w:fldCharType="end"/>
      </w:r>
      <w:bookmarkEnd w:id="250"/>
      <w:r>
        <w:rPr>
          <w:rFonts w:hint="eastAsia"/>
        </w:rPr>
        <w:t>水环境风险防控措施及突发大气环境事件发生情况评估表</w:t>
      </w:r>
    </w:p>
    <w:tbl>
      <w:tblPr>
        <w:tblStyle w:val="15"/>
        <w:tblW w:w="5000" w:type="pct"/>
        <w:jc w:val="center"/>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Layout w:type="autofit"/>
        <w:tblCellMar>
          <w:top w:w="0" w:type="dxa"/>
          <w:left w:w="28" w:type="dxa"/>
          <w:bottom w:w="0" w:type="dxa"/>
          <w:right w:w="28" w:type="dxa"/>
        </w:tblCellMar>
      </w:tblPr>
      <w:tblGrid>
        <w:gridCol w:w="1272"/>
        <w:gridCol w:w="6150"/>
        <w:gridCol w:w="858"/>
        <w:gridCol w:w="904"/>
      </w:tblGrid>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25" w:hRule="atLeast"/>
          <w:tblHeader/>
          <w:jc w:val="center"/>
        </w:trPr>
        <w:tc>
          <w:tcPr>
            <w:tcW w:w="693" w:type="pc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评估指标</w:t>
            </w:r>
          </w:p>
        </w:tc>
        <w:tc>
          <w:tcPr>
            <w:tcW w:w="3348" w:type="pc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评估依据</w:t>
            </w:r>
          </w:p>
        </w:tc>
        <w:tc>
          <w:tcPr>
            <w:tcW w:w="467" w:type="pc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分值</w:t>
            </w:r>
          </w:p>
        </w:tc>
        <w:tc>
          <w:tcPr>
            <w:tcW w:w="492" w:type="pc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评分分值</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25" w:hRule="atLeast"/>
          <w:jc w:val="center"/>
        </w:trPr>
        <w:tc>
          <w:tcPr>
            <w:tcW w:w="693" w:type="pct"/>
            <w:vMerge w:val="restar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截流措施</w:t>
            </w:r>
          </w:p>
        </w:tc>
        <w:tc>
          <w:tcPr>
            <w:tcW w:w="3348" w:type="pct"/>
            <w:vAlign w:val="center"/>
          </w:tcPr>
          <w:p>
            <w:pPr>
              <w:autoSpaceDE w:val="0"/>
              <w:autoSpaceDN w:val="0"/>
              <w:adjustRightInd w:val="0"/>
              <w:snapToGrid w:val="0"/>
              <w:spacing w:line="240" w:lineRule="auto"/>
              <w:ind w:firstLine="0" w:firstLineChars="0"/>
              <w:rPr>
                <w:rFonts w:cs="Times New Roman"/>
                <w:sz w:val="21"/>
                <w:szCs w:val="21"/>
              </w:rPr>
            </w:pPr>
            <w:r>
              <w:rPr>
                <w:rFonts w:hint="eastAsia" w:cs="Times New Roman"/>
                <w:sz w:val="21"/>
                <w:szCs w:val="21"/>
              </w:rPr>
              <w:t>（</w:t>
            </w:r>
            <w:r>
              <w:rPr>
                <w:rFonts w:cs="Times New Roman"/>
                <w:sz w:val="21"/>
                <w:szCs w:val="21"/>
              </w:rPr>
              <w:t>1</w:t>
            </w:r>
            <w:r>
              <w:rPr>
                <w:rFonts w:hint="eastAsia" w:cs="Times New Roman"/>
                <w:sz w:val="21"/>
                <w:szCs w:val="21"/>
              </w:rPr>
              <w:t>）</w:t>
            </w:r>
            <w:r>
              <w:rPr>
                <w:rFonts w:cs="Times New Roman"/>
                <w:sz w:val="21"/>
                <w:szCs w:val="21"/>
              </w:rPr>
              <w:t>环境风险单元设防渗漏、防腐蚀、防淋溶、防流失措施</w:t>
            </w:r>
            <w:r>
              <w:rPr>
                <w:rFonts w:hint="eastAsia" w:cs="Times New Roman"/>
                <w:sz w:val="21"/>
                <w:szCs w:val="21"/>
              </w:rPr>
              <w:t>；且</w:t>
            </w:r>
          </w:p>
          <w:p>
            <w:pPr>
              <w:autoSpaceDE w:val="0"/>
              <w:autoSpaceDN w:val="0"/>
              <w:adjustRightInd w:val="0"/>
              <w:snapToGrid w:val="0"/>
              <w:spacing w:line="240" w:lineRule="auto"/>
              <w:ind w:firstLine="0" w:firstLineChars="0"/>
              <w:rPr>
                <w:rFonts w:cs="Times New Roman"/>
                <w:sz w:val="21"/>
                <w:szCs w:val="21"/>
              </w:rPr>
            </w:pPr>
            <w:r>
              <w:rPr>
                <w:rFonts w:hint="eastAsia" w:cs="Times New Roman"/>
                <w:sz w:val="21"/>
                <w:szCs w:val="21"/>
              </w:rPr>
              <w:t>（2）</w:t>
            </w:r>
            <w:r>
              <w:rPr>
                <w:rFonts w:cs="Times New Roman"/>
                <w:sz w:val="21"/>
                <w:szCs w:val="21"/>
              </w:rPr>
              <w:t>装置围堰与罐区防火堤（围堰）外设排水切换阀，正常情况下通向雨水系统的阀门关闭，通向事故存液池、应急事故水池、清净</w:t>
            </w:r>
            <w:r>
              <w:rPr>
                <w:rFonts w:hint="eastAsia" w:cs="Times New Roman"/>
                <w:sz w:val="21"/>
                <w:szCs w:val="21"/>
              </w:rPr>
              <w:t>废水</w:t>
            </w:r>
            <w:r>
              <w:rPr>
                <w:rFonts w:cs="Times New Roman"/>
                <w:sz w:val="21"/>
                <w:szCs w:val="21"/>
              </w:rPr>
              <w:t>排放缓冲池或污水处理系统的阀门打开；且</w:t>
            </w:r>
          </w:p>
          <w:p>
            <w:pPr>
              <w:autoSpaceDE w:val="0"/>
              <w:autoSpaceDN w:val="0"/>
              <w:adjustRightInd w:val="0"/>
              <w:snapToGrid w:val="0"/>
              <w:spacing w:line="240" w:lineRule="auto"/>
              <w:ind w:firstLine="0" w:firstLineChars="0"/>
              <w:rPr>
                <w:rFonts w:cs="Times New Roman"/>
                <w:sz w:val="21"/>
                <w:szCs w:val="21"/>
              </w:rPr>
            </w:pPr>
            <w:r>
              <w:rPr>
                <w:rFonts w:hint="eastAsia" w:cs="Times New Roman"/>
                <w:sz w:val="21"/>
                <w:szCs w:val="21"/>
              </w:rPr>
              <w:t>（3）</w:t>
            </w:r>
            <w:r>
              <w:rPr>
                <w:rFonts w:cs="Times New Roman"/>
                <w:sz w:val="21"/>
                <w:szCs w:val="21"/>
              </w:rPr>
              <w:t>前述措施日常管理及维护良好，有专人负责阀门切换</w:t>
            </w:r>
            <w:r>
              <w:rPr>
                <w:rFonts w:hint="eastAsia" w:cs="Times New Roman"/>
                <w:sz w:val="21"/>
                <w:szCs w:val="21"/>
              </w:rPr>
              <w:t>或设置自动切换设施</w:t>
            </w:r>
            <w:r>
              <w:rPr>
                <w:rFonts w:cs="Times New Roman"/>
                <w:sz w:val="21"/>
                <w:szCs w:val="21"/>
              </w:rPr>
              <w:t>，保证初期雨水、泄漏物和受污染的消防水排入污水系统。</w:t>
            </w:r>
          </w:p>
        </w:tc>
        <w:tc>
          <w:tcPr>
            <w:tcW w:w="467" w:type="pc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492" w:type="pct"/>
            <w:vMerge w:val="restart"/>
            <w:vAlign w:val="center"/>
          </w:tcPr>
          <w:p>
            <w:pPr>
              <w:autoSpaceDE w:val="0"/>
              <w:autoSpaceDN w:val="0"/>
              <w:adjustRightInd w:val="0"/>
              <w:snapToGrid w:val="0"/>
              <w:spacing w:line="240" w:lineRule="auto"/>
              <w:ind w:firstLine="0" w:firstLineChars="0"/>
              <w:jc w:val="center"/>
              <w:rPr>
                <w:rFonts w:cs="Times New Roman"/>
                <w:sz w:val="21"/>
                <w:szCs w:val="21"/>
              </w:rPr>
            </w:pPr>
            <w:r>
              <w:rPr>
                <w:rFonts w:hint="eastAsia" w:cs="Times New Roman"/>
                <w:sz w:val="21"/>
                <w:szCs w:val="21"/>
              </w:rPr>
              <w:t>0</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25" w:hRule="atLeast"/>
          <w:jc w:val="center"/>
        </w:trPr>
        <w:tc>
          <w:tcPr>
            <w:tcW w:w="693" w:type="pct"/>
            <w:vMerge w:val="continue"/>
            <w:vAlign w:val="center"/>
          </w:tcPr>
          <w:p>
            <w:pPr>
              <w:autoSpaceDE w:val="0"/>
              <w:autoSpaceDN w:val="0"/>
              <w:adjustRightInd w:val="0"/>
              <w:snapToGrid w:val="0"/>
              <w:spacing w:line="240" w:lineRule="auto"/>
              <w:ind w:firstLine="0" w:firstLineChars="0"/>
              <w:jc w:val="center"/>
              <w:rPr>
                <w:rFonts w:cs="Times New Roman"/>
                <w:sz w:val="21"/>
                <w:szCs w:val="21"/>
              </w:rPr>
            </w:pPr>
          </w:p>
        </w:tc>
        <w:tc>
          <w:tcPr>
            <w:tcW w:w="3348" w:type="pct"/>
            <w:vAlign w:val="center"/>
          </w:tcPr>
          <w:p>
            <w:pPr>
              <w:autoSpaceDE w:val="0"/>
              <w:autoSpaceDN w:val="0"/>
              <w:adjustRightInd w:val="0"/>
              <w:snapToGrid w:val="0"/>
              <w:spacing w:line="240" w:lineRule="auto"/>
              <w:ind w:firstLine="0" w:firstLineChars="0"/>
              <w:rPr>
                <w:rFonts w:cs="Times New Roman"/>
                <w:sz w:val="21"/>
                <w:szCs w:val="21"/>
              </w:rPr>
            </w:pPr>
            <w:r>
              <w:rPr>
                <w:rFonts w:hint="eastAsia" w:cs="Times New Roman"/>
                <w:sz w:val="21"/>
                <w:szCs w:val="21"/>
              </w:rPr>
              <w:t>有任意一个环境风险单元（包括可能发生液体泄漏或产生液体泄漏物的危险废物贮存场所）的截流措施不符合上述任意一条要求的</w:t>
            </w:r>
          </w:p>
        </w:tc>
        <w:tc>
          <w:tcPr>
            <w:tcW w:w="467" w:type="pc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8</w:t>
            </w:r>
          </w:p>
        </w:tc>
        <w:tc>
          <w:tcPr>
            <w:tcW w:w="492" w:type="pct"/>
            <w:vMerge w:val="continue"/>
            <w:vAlign w:val="center"/>
          </w:tcPr>
          <w:p>
            <w:pPr>
              <w:autoSpaceDE w:val="0"/>
              <w:autoSpaceDN w:val="0"/>
              <w:adjustRightInd w:val="0"/>
              <w:snapToGrid w:val="0"/>
              <w:spacing w:line="240" w:lineRule="auto"/>
              <w:ind w:firstLine="0" w:firstLineChars="0"/>
              <w:jc w:val="center"/>
              <w:rPr>
                <w:rFonts w:cs="Times New Roman"/>
                <w:sz w:val="21"/>
                <w:szCs w:val="21"/>
              </w:rPr>
            </w:pP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25" w:hRule="atLeast"/>
          <w:jc w:val="center"/>
        </w:trPr>
        <w:tc>
          <w:tcPr>
            <w:tcW w:w="693" w:type="pct"/>
            <w:vMerge w:val="restar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事故排水收集措施</w:t>
            </w:r>
          </w:p>
        </w:tc>
        <w:tc>
          <w:tcPr>
            <w:tcW w:w="3348" w:type="pct"/>
            <w:vAlign w:val="center"/>
          </w:tcPr>
          <w:p>
            <w:pPr>
              <w:autoSpaceDE w:val="0"/>
              <w:autoSpaceDN w:val="0"/>
              <w:adjustRightInd w:val="0"/>
              <w:snapToGrid w:val="0"/>
              <w:spacing w:line="240" w:lineRule="auto"/>
              <w:ind w:firstLine="0" w:firstLineChars="0"/>
              <w:rPr>
                <w:rFonts w:cs="Times New Roman"/>
                <w:sz w:val="21"/>
                <w:szCs w:val="21"/>
              </w:rPr>
            </w:pPr>
            <w:r>
              <w:rPr>
                <w:rFonts w:hint="eastAsia" w:cs="Times New Roman"/>
                <w:sz w:val="21"/>
                <w:szCs w:val="21"/>
              </w:rPr>
              <w:t>（1）按相关设计规范设置应急事故水池、事故存液池或清净废水排放缓冲池等事故排水收集设施，并根据相关设计规范、下游环境风险受体敏感程度和易发生极端天气情况，设计事故排水收集设施的容量；且</w:t>
            </w:r>
          </w:p>
          <w:p>
            <w:pPr>
              <w:autoSpaceDE w:val="0"/>
              <w:autoSpaceDN w:val="0"/>
              <w:adjustRightInd w:val="0"/>
              <w:snapToGrid w:val="0"/>
              <w:spacing w:line="240" w:lineRule="auto"/>
              <w:ind w:firstLine="0" w:firstLineChars="0"/>
              <w:rPr>
                <w:rFonts w:cs="Times New Roman"/>
                <w:sz w:val="21"/>
                <w:szCs w:val="21"/>
              </w:rPr>
            </w:pPr>
            <w:r>
              <w:rPr>
                <w:rFonts w:hint="eastAsia" w:cs="Times New Roman"/>
                <w:sz w:val="21"/>
                <w:szCs w:val="21"/>
              </w:rPr>
              <w:t>（2）确保事故排水收集设施在事故状态下能顺利收集泄漏物和消防水，日常保持足够的事故排水缓冲容量；且</w:t>
            </w:r>
          </w:p>
          <w:p>
            <w:pPr>
              <w:autoSpaceDE w:val="0"/>
              <w:autoSpaceDN w:val="0"/>
              <w:adjustRightInd w:val="0"/>
              <w:snapToGrid w:val="0"/>
              <w:spacing w:line="240" w:lineRule="auto"/>
              <w:ind w:firstLine="0" w:firstLineChars="0"/>
              <w:rPr>
                <w:rFonts w:cs="Times New Roman"/>
                <w:sz w:val="21"/>
                <w:szCs w:val="21"/>
              </w:rPr>
            </w:pPr>
            <w:r>
              <w:rPr>
                <w:rFonts w:hint="eastAsia" w:cs="Times New Roman"/>
                <w:sz w:val="21"/>
                <w:szCs w:val="21"/>
              </w:rPr>
              <w:t>（3）通过协议单位或自建管线，能将所收集废水送至厂区内污水处理设施处理</w:t>
            </w:r>
            <w:r>
              <w:rPr>
                <w:rFonts w:cs="Times New Roman"/>
                <w:sz w:val="21"/>
                <w:szCs w:val="21"/>
              </w:rPr>
              <w:t>。</w:t>
            </w:r>
          </w:p>
        </w:tc>
        <w:tc>
          <w:tcPr>
            <w:tcW w:w="467" w:type="pc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492" w:type="pct"/>
            <w:vMerge w:val="restart"/>
            <w:vAlign w:val="center"/>
          </w:tcPr>
          <w:p>
            <w:pPr>
              <w:autoSpaceDE w:val="0"/>
              <w:autoSpaceDN w:val="0"/>
              <w:adjustRightInd w:val="0"/>
              <w:snapToGrid w:val="0"/>
              <w:spacing w:line="240" w:lineRule="auto"/>
              <w:ind w:firstLine="0" w:firstLineChars="0"/>
              <w:jc w:val="center"/>
              <w:rPr>
                <w:rFonts w:cs="Times New Roman"/>
                <w:sz w:val="21"/>
                <w:szCs w:val="21"/>
              </w:rPr>
            </w:pPr>
            <w:r>
              <w:rPr>
                <w:rFonts w:hint="eastAsia" w:cs="Times New Roman"/>
                <w:sz w:val="21"/>
                <w:szCs w:val="21"/>
              </w:rPr>
              <w:t>0</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25" w:hRule="atLeast"/>
          <w:jc w:val="center"/>
        </w:trPr>
        <w:tc>
          <w:tcPr>
            <w:tcW w:w="693" w:type="pct"/>
            <w:vMerge w:val="continue"/>
            <w:vAlign w:val="center"/>
          </w:tcPr>
          <w:p>
            <w:pPr>
              <w:autoSpaceDE w:val="0"/>
              <w:autoSpaceDN w:val="0"/>
              <w:adjustRightInd w:val="0"/>
              <w:snapToGrid w:val="0"/>
              <w:spacing w:line="240" w:lineRule="auto"/>
              <w:ind w:firstLine="0" w:firstLineChars="0"/>
              <w:jc w:val="center"/>
              <w:rPr>
                <w:rFonts w:cs="Times New Roman"/>
                <w:sz w:val="21"/>
                <w:szCs w:val="21"/>
              </w:rPr>
            </w:pPr>
          </w:p>
        </w:tc>
        <w:tc>
          <w:tcPr>
            <w:tcW w:w="3348" w:type="pct"/>
            <w:vAlign w:val="center"/>
          </w:tcPr>
          <w:p>
            <w:pPr>
              <w:autoSpaceDE w:val="0"/>
              <w:autoSpaceDN w:val="0"/>
              <w:adjustRightInd w:val="0"/>
              <w:snapToGrid w:val="0"/>
              <w:spacing w:line="240" w:lineRule="auto"/>
              <w:ind w:firstLine="0" w:firstLineChars="0"/>
              <w:rPr>
                <w:rFonts w:cs="Times New Roman"/>
                <w:sz w:val="21"/>
                <w:szCs w:val="21"/>
              </w:rPr>
            </w:pPr>
            <w:r>
              <w:rPr>
                <w:rFonts w:hint="eastAsia" w:cs="Times New Roman"/>
                <w:sz w:val="21"/>
                <w:szCs w:val="21"/>
              </w:rPr>
              <w:t>有任意一个环境风险单元（包括可能发生液体泄漏或产生液体泄漏物的危险废物贮存场所）的事故排水收集措施不符合上述任意一条要求的</w:t>
            </w:r>
            <w:r>
              <w:rPr>
                <w:rFonts w:cs="Times New Roman"/>
                <w:sz w:val="21"/>
                <w:szCs w:val="21"/>
              </w:rPr>
              <w:t>。</w:t>
            </w:r>
          </w:p>
        </w:tc>
        <w:tc>
          <w:tcPr>
            <w:tcW w:w="467" w:type="pc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8</w:t>
            </w:r>
          </w:p>
        </w:tc>
        <w:tc>
          <w:tcPr>
            <w:tcW w:w="492" w:type="pct"/>
            <w:vMerge w:val="continue"/>
            <w:vAlign w:val="center"/>
          </w:tcPr>
          <w:p>
            <w:pPr>
              <w:autoSpaceDE w:val="0"/>
              <w:autoSpaceDN w:val="0"/>
              <w:adjustRightInd w:val="0"/>
              <w:snapToGrid w:val="0"/>
              <w:spacing w:line="240" w:lineRule="auto"/>
              <w:ind w:firstLine="0" w:firstLineChars="0"/>
              <w:jc w:val="center"/>
              <w:rPr>
                <w:rFonts w:cs="Times New Roman"/>
                <w:sz w:val="21"/>
                <w:szCs w:val="21"/>
              </w:rPr>
            </w:pP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25" w:hRule="atLeast"/>
          <w:jc w:val="center"/>
        </w:trPr>
        <w:tc>
          <w:tcPr>
            <w:tcW w:w="693" w:type="pct"/>
            <w:vMerge w:val="restar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清净下水系统防控措施</w:t>
            </w:r>
          </w:p>
        </w:tc>
        <w:tc>
          <w:tcPr>
            <w:tcW w:w="3348" w:type="pct"/>
            <w:vAlign w:val="center"/>
          </w:tcPr>
          <w:p>
            <w:pPr>
              <w:autoSpaceDE w:val="0"/>
              <w:autoSpaceDN w:val="0"/>
              <w:adjustRightInd w:val="0"/>
              <w:snapToGrid w:val="0"/>
              <w:spacing w:line="240" w:lineRule="auto"/>
              <w:ind w:firstLine="0" w:firstLineChars="0"/>
              <w:rPr>
                <w:rFonts w:cs="Times New Roman"/>
                <w:sz w:val="21"/>
                <w:szCs w:val="21"/>
              </w:rPr>
            </w:pPr>
            <w:r>
              <w:rPr>
                <w:rFonts w:hint="eastAsia" w:cs="Times New Roman"/>
                <w:sz w:val="21"/>
                <w:szCs w:val="21"/>
              </w:rPr>
              <w:t>（1）</w:t>
            </w:r>
            <w:r>
              <w:rPr>
                <w:rFonts w:cs="Times New Roman"/>
                <w:sz w:val="21"/>
                <w:szCs w:val="21"/>
              </w:rPr>
              <w:t>不涉及清净</w:t>
            </w:r>
            <w:r>
              <w:rPr>
                <w:rFonts w:hint="eastAsia" w:cs="Times New Roman"/>
                <w:sz w:val="21"/>
                <w:szCs w:val="21"/>
              </w:rPr>
              <w:t>废水</w:t>
            </w:r>
            <w:r>
              <w:rPr>
                <w:rFonts w:cs="Times New Roman"/>
                <w:sz w:val="21"/>
                <w:szCs w:val="21"/>
              </w:rPr>
              <w:t>；或</w:t>
            </w:r>
          </w:p>
          <w:p>
            <w:pPr>
              <w:autoSpaceDE w:val="0"/>
              <w:autoSpaceDN w:val="0"/>
              <w:adjustRightInd w:val="0"/>
              <w:snapToGrid w:val="0"/>
              <w:spacing w:line="240" w:lineRule="auto"/>
              <w:ind w:firstLine="0" w:firstLineChars="0"/>
              <w:rPr>
                <w:rFonts w:cs="Times New Roman"/>
                <w:sz w:val="21"/>
                <w:szCs w:val="21"/>
              </w:rPr>
            </w:pPr>
            <w:r>
              <w:rPr>
                <w:rFonts w:hint="eastAsia" w:cs="Times New Roman"/>
                <w:sz w:val="21"/>
                <w:szCs w:val="21"/>
              </w:rPr>
              <w:t>（2）厂区内清净废水均可排入废水处理系统；或清污分流，且清净废水系统具有下述所有措施：</w:t>
            </w:r>
          </w:p>
          <w:p>
            <w:pPr>
              <w:autoSpaceDE w:val="0"/>
              <w:autoSpaceDN w:val="0"/>
              <w:adjustRightInd w:val="0"/>
              <w:snapToGrid w:val="0"/>
              <w:spacing w:line="240" w:lineRule="auto"/>
              <w:ind w:firstLine="399" w:firstLineChars="190"/>
              <w:rPr>
                <w:rFonts w:cs="Times New Roman"/>
                <w:sz w:val="21"/>
                <w:szCs w:val="21"/>
              </w:rPr>
            </w:pPr>
            <w:r>
              <w:rPr>
                <w:rFonts w:hint="eastAsia" w:cs="Times New Roman"/>
                <w:sz w:val="21"/>
                <w:szCs w:val="21"/>
              </w:rPr>
              <w:t>①具有收集受污染的清净废水的缓冲池（或收集池），池内日常保持足够的事故排水缓冲容量；池内设有提升设施或通过自流，能将所收集物送至厂区内污水处理设施处理；且</w:t>
            </w:r>
          </w:p>
          <w:p>
            <w:pPr>
              <w:autoSpaceDE w:val="0"/>
              <w:autoSpaceDN w:val="0"/>
              <w:adjustRightInd w:val="0"/>
              <w:snapToGrid w:val="0"/>
              <w:spacing w:line="240" w:lineRule="auto"/>
              <w:ind w:firstLine="399" w:firstLineChars="190"/>
              <w:rPr>
                <w:rFonts w:cs="Times New Roman"/>
                <w:sz w:val="21"/>
                <w:szCs w:val="21"/>
              </w:rPr>
            </w:pPr>
            <w:r>
              <w:rPr>
                <w:rFonts w:hint="eastAsia" w:cs="Times New Roman"/>
                <w:sz w:val="21"/>
                <w:szCs w:val="21"/>
              </w:rPr>
              <w:t>②具有清净废水系统的总排口监视及关闭设施，有专人负责在紧急情况下关闭清净废水总排口，防止受污染的清净废水和泄漏物进入外环境。</w:t>
            </w:r>
          </w:p>
        </w:tc>
        <w:tc>
          <w:tcPr>
            <w:tcW w:w="467" w:type="pc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492" w:type="pct"/>
            <w:vMerge w:val="restar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0</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25" w:hRule="atLeast"/>
          <w:jc w:val="center"/>
        </w:trPr>
        <w:tc>
          <w:tcPr>
            <w:tcW w:w="693" w:type="pct"/>
            <w:vMerge w:val="continue"/>
            <w:vAlign w:val="center"/>
          </w:tcPr>
          <w:p>
            <w:pPr>
              <w:autoSpaceDE w:val="0"/>
              <w:autoSpaceDN w:val="0"/>
              <w:adjustRightInd w:val="0"/>
              <w:snapToGrid w:val="0"/>
              <w:spacing w:line="240" w:lineRule="auto"/>
              <w:ind w:firstLine="0" w:firstLineChars="0"/>
              <w:jc w:val="center"/>
              <w:rPr>
                <w:rFonts w:cs="Times New Roman"/>
                <w:sz w:val="21"/>
                <w:szCs w:val="21"/>
              </w:rPr>
            </w:pPr>
          </w:p>
        </w:tc>
        <w:tc>
          <w:tcPr>
            <w:tcW w:w="3348" w:type="pct"/>
            <w:vAlign w:val="center"/>
          </w:tcPr>
          <w:p>
            <w:pPr>
              <w:autoSpaceDE w:val="0"/>
              <w:autoSpaceDN w:val="0"/>
              <w:adjustRightInd w:val="0"/>
              <w:snapToGrid w:val="0"/>
              <w:spacing w:line="240" w:lineRule="auto"/>
              <w:ind w:firstLine="0" w:firstLineChars="0"/>
              <w:rPr>
                <w:rFonts w:cs="Times New Roman"/>
                <w:sz w:val="21"/>
                <w:szCs w:val="21"/>
              </w:rPr>
            </w:pPr>
            <w:r>
              <w:rPr>
                <w:rFonts w:hint="eastAsia" w:cs="Times New Roman"/>
                <w:sz w:val="21"/>
                <w:szCs w:val="21"/>
              </w:rPr>
              <w:t>涉及清净废水，有任意一个环境风险单元的清净废水系统风险防控措施不符合上述（2）要求的。</w:t>
            </w:r>
          </w:p>
        </w:tc>
        <w:tc>
          <w:tcPr>
            <w:tcW w:w="467" w:type="pc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8</w:t>
            </w:r>
          </w:p>
        </w:tc>
        <w:tc>
          <w:tcPr>
            <w:tcW w:w="492" w:type="pct"/>
            <w:vMerge w:val="continue"/>
            <w:vAlign w:val="center"/>
          </w:tcPr>
          <w:p>
            <w:pPr>
              <w:autoSpaceDE w:val="0"/>
              <w:autoSpaceDN w:val="0"/>
              <w:adjustRightInd w:val="0"/>
              <w:snapToGrid w:val="0"/>
              <w:spacing w:line="240" w:lineRule="auto"/>
              <w:ind w:firstLine="0" w:firstLineChars="0"/>
              <w:jc w:val="center"/>
              <w:rPr>
                <w:rFonts w:cs="Times New Roman"/>
                <w:sz w:val="21"/>
                <w:szCs w:val="21"/>
              </w:rPr>
            </w:pP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25" w:hRule="atLeast"/>
          <w:jc w:val="center"/>
        </w:trPr>
        <w:tc>
          <w:tcPr>
            <w:tcW w:w="693" w:type="pct"/>
            <w:vMerge w:val="restar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雨排水系统防控措施</w:t>
            </w:r>
          </w:p>
        </w:tc>
        <w:tc>
          <w:tcPr>
            <w:tcW w:w="3348" w:type="pct"/>
            <w:vAlign w:val="center"/>
          </w:tcPr>
          <w:p>
            <w:pPr>
              <w:autoSpaceDE w:val="0"/>
              <w:autoSpaceDN w:val="0"/>
              <w:adjustRightInd w:val="0"/>
              <w:snapToGrid w:val="0"/>
              <w:spacing w:line="240" w:lineRule="auto"/>
              <w:ind w:firstLine="0" w:firstLineChars="0"/>
              <w:rPr>
                <w:rFonts w:cs="Times New Roman"/>
                <w:sz w:val="21"/>
                <w:szCs w:val="21"/>
              </w:rPr>
            </w:pPr>
            <w:r>
              <w:rPr>
                <w:rFonts w:hint="eastAsia" w:cs="Times New Roman"/>
                <w:sz w:val="21"/>
                <w:szCs w:val="21"/>
              </w:rPr>
              <w:t>（1）厂区内雨水均进入废水处理系统；或雨污分流，且雨水排水系统具有下述所有措施：</w:t>
            </w:r>
          </w:p>
          <w:p>
            <w:pPr>
              <w:autoSpaceDE w:val="0"/>
              <w:autoSpaceDN w:val="0"/>
              <w:adjustRightInd w:val="0"/>
              <w:snapToGrid w:val="0"/>
              <w:spacing w:line="240" w:lineRule="auto"/>
              <w:ind w:firstLine="399" w:firstLineChars="190"/>
              <w:rPr>
                <w:rFonts w:cs="Times New Roman"/>
                <w:sz w:val="21"/>
                <w:szCs w:val="21"/>
              </w:rPr>
            </w:pPr>
            <w:r>
              <w:rPr>
                <w:rFonts w:hint="eastAsia" w:cs="Times New Roman"/>
                <w:sz w:val="21"/>
                <w:szCs w:val="21"/>
              </w:rPr>
              <w:t>①具有收集初期雨水的收集池或雨水监控池；池出水管上设置切断阀，正常情况下阀门关闭，防止受污染的雨水外排；池内设有提升设施或通过自流，能将所收集物送至厂区内污水处理设施处理；</w:t>
            </w:r>
          </w:p>
          <w:p>
            <w:pPr>
              <w:autoSpaceDE w:val="0"/>
              <w:autoSpaceDN w:val="0"/>
              <w:adjustRightInd w:val="0"/>
              <w:snapToGrid w:val="0"/>
              <w:spacing w:line="240" w:lineRule="auto"/>
              <w:ind w:firstLine="399" w:firstLineChars="190"/>
              <w:rPr>
                <w:rFonts w:cs="Times New Roman"/>
                <w:sz w:val="21"/>
                <w:szCs w:val="21"/>
              </w:rPr>
            </w:pPr>
            <w:r>
              <w:rPr>
                <w:rFonts w:hint="eastAsia" w:cs="Times New Roman"/>
                <w:sz w:val="21"/>
                <w:szCs w:val="21"/>
              </w:rPr>
              <w:t>②具有雨水系统总排口（含泄洪渠）监视及关闭设施，在紧急情况下有专人负责关闭雨水系统总排口（含与清净废水共用一套排水系统情况），防止雨水、消防水和泄漏物进入外环境。</w:t>
            </w:r>
          </w:p>
          <w:p>
            <w:pPr>
              <w:autoSpaceDE w:val="0"/>
              <w:autoSpaceDN w:val="0"/>
              <w:adjustRightInd w:val="0"/>
              <w:snapToGrid w:val="0"/>
              <w:spacing w:line="240" w:lineRule="auto"/>
              <w:ind w:firstLine="0" w:firstLineChars="0"/>
              <w:rPr>
                <w:rFonts w:cs="Times New Roman"/>
                <w:sz w:val="21"/>
                <w:szCs w:val="21"/>
              </w:rPr>
            </w:pPr>
            <w:r>
              <w:rPr>
                <w:rFonts w:hint="eastAsia" w:cs="Times New Roman"/>
                <w:sz w:val="21"/>
                <w:szCs w:val="21"/>
              </w:rPr>
              <w:t>（2）如果有排洪沟，排洪沟不得通过生产区和罐区，或具有防止泄漏物和受污染的消防水等流入区域排洪沟的措施。</w:t>
            </w:r>
          </w:p>
        </w:tc>
        <w:tc>
          <w:tcPr>
            <w:tcW w:w="467" w:type="pc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492" w:type="pct"/>
            <w:vMerge w:val="restart"/>
            <w:vAlign w:val="center"/>
          </w:tcPr>
          <w:p>
            <w:pPr>
              <w:autoSpaceDE w:val="0"/>
              <w:autoSpaceDN w:val="0"/>
              <w:adjustRightInd w:val="0"/>
              <w:snapToGrid w:val="0"/>
              <w:spacing w:line="240" w:lineRule="auto"/>
              <w:ind w:firstLine="0" w:firstLineChars="0"/>
              <w:jc w:val="center"/>
              <w:rPr>
                <w:rFonts w:cs="Times New Roman"/>
                <w:sz w:val="21"/>
                <w:szCs w:val="21"/>
              </w:rPr>
            </w:pPr>
            <w:r>
              <w:rPr>
                <w:rFonts w:hint="eastAsia" w:cs="Times New Roman"/>
                <w:sz w:val="21"/>
                <w:szCs w:val="21"/>
              </w:rPr>
              <w:t>0</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25" w:hRule="atLeast"/>
          <w:jc w:val="center"/>
        </w:trPr>
        <w:tc>
          <w:tcPr>
            <w:tcW w:w="693" w:type="pct"/>
            <w:vMerge w:val="continue"/>
            <w:vAlign w:val="center"/>
          </w:tcPr>
          <w:p>
            <w:pPr>
              <w:autoSpaceDE w:val="0"/>
              <w:autoSpaceDN w:val="0"/>
              <w:adjustRightInd w:val="0"/>
              <w:snapToGrid w:val="0"/>
              <w:spacing w:line="240" w:lineRule="auto"/>
              <w:ind w:firstLine="0" w:firstLineChars="0"/>
              <w:jc w:val="center"/>
              <w:rPr>
                <w:rFonts w:cs="Times New Roman"/>
                <w:sz w:val="21"/>
                <w:szCs w:val="21"/>
              </w:rPr>
            </w:pPr>
          </w:p>
        </w:tc>
        <w:tc>
          <w:tcPr>
            <w:tcW w:w="3348" w:type="pct"/>
            <w:vAlign w:val="center"/>
          </w:tcPr>
          <w:p>
            <w:pPr>
              <w:autoSpaceDE w:val="0"/>
              <w:autoSpaceDN w:val="0"/>
              <w:adjustRightInd w:val="0"/>
              <w:snapToGrid w:val="0"/>
              <w:spacing w:line="240" w:lineRule="auto"/>
              <w:ind w:firstLine="0" w:firstLineChars="0"/>
              <w:rPr>
                <w:rFonts w:cs="Times New Roman"/>
                <w:sz w:val="21"/>
                <w:szCs w:val="21"/>
              </w:rPr>
            </w:pPr>
            <w:r>
              <w:rPr>
                <w:rFonts w:cs="Times New Roman"/>
                <w:sz w:val="21"/>
                <w:szCs w:val="21"/>
              </w:rPr>
              <w:t>不符合上述要求的。</w:t>
            </w:r>
          </w:p>
        </w:tc>
        <w:tc>
          <w:tcPr>
            <w:tcW w:w="467" w:type="pc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8</w:t>
            </w:r>
          </w:p>
        </w:tc>
        <w:tc>
          <w:tcPr>
            <w:tcW w:w="492" w:type="pct"/>
            <w:vMerge w:val="continue"/>
            <w:vAlign w:val="center"/>
          </w:tcPr>
          <w:p>
            <w:pPr>
              <w:autoSpaceDE w:val="0"/>
              <w:autoSpaceDN w:val="0"/>
              <w:adjustRightInd w:val="0"/>
              <w:snapToGrid w:val="0"/>
              <w:spacing w:line="240" w:lineRule="auto"/>
              <w:ind w:firstLine="0" w:firstLineChars="0"/>
              <w:jc w:val="center"/>
              <w:rPr>
                <w:rFonts w:cs="Times New Roman"/>
                <w:sz w:val="21"/>
                <w:szCs w:val="21"/>
              </w:rPr>
            </w:pP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25" w:hRule="atLeast"/>
          <w:jc w:val="center"/>
        </w:trPr>
        <w:tc>
          <w:tcPr>
            <w:tcW w:w="693" w:type="pct"/>
            <w:vMerge w:val="restar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生产废水处理系统防控措施</w:t>
            </w:r>
          </w:p>
        </w:tc>
        <w:tc>
          <w:tcPr>
            <w:tcW w:w="3348" w:type="pct"/>
            <w:vAlign w:val="center"/>
          </w:tcPr>
          <w:p>
            <w:pPr>
              <w:autoSpaceDE w:val="0"/>
              <w:autoSpaceDN w:val="0"/>
              <w:adjustRightInd w:val="0"/>
              <w:snapToGrid w:val="0"/>
              <w:spacing w:line="240" w:lineRule="auto"/>
              <w:ind w:firstLine="0" w:firstLineChars="0"/>
              <w:rPr>
                <w:rFonts w:cs="Times New Roman"/>
                <w:sz w:val="21"/>
                <w:szCs w:val="21"/>
              </w:rPr>
            </w:pPr>
            <w:r>
              <w:rPr>
                <w:rFonts w:hint="eastAsia" w:cs="Times New Roman"/>
                <w:sz w:val="21"/>
                <w:szCs w:val="21"/>
              </w:rPr>
              <w:t>（1）无生产废水产生或外排；或</w:t>
            </w:r>
          </w:p>
          <w:p>
            <w:pPr>
              <w:autoSpaceDE w:val="0"/>
              <w:autoSpaceDN w:val="0"/>
              <w:adjustRightInd w:val="0"/>
              <w:snapToGrid w:val="0"/>
              <w:spacing w:line="240" w:lineRule="auto"/>
              <w:ind w:firstLine="0" w:firstLineChars="0"/>
              <w:rPr>
                <w:rFonts w:cs="Times New Roman"/>
                <w:sz w:val="21"/>
                <w:szCs w:val="21"/>
              </w:rPr>
            </w:pPr>
            <w:r>
              <w:rPr>
                <w:rFonts w:hint="eastAsia" w:cs="Times New Roman"/>
                <w:sz w:val="21"/>
                <w:szCs w:val="21"/>
              </w:rPr>
              <w:t>（2）有废水外排时：</w:t>
            </w:r>
          </w:p>
          <w:p>
            <w:pPr>
              <w:autoSpaceDE w:val="0"/>
              <w:autoSpaceDN w:val="0"/>
              <w:adjustRightInd w:val="0"/>
              <w:snapToGrid w:val="0"/>
              <w:spacing w:line="240" w:lineRule="auto"/>
              <w:ind w:firstLine="539" w:firstLineChars="257"/>
              <w:rPr>
                <w:rFonts w:cs="Times New Roman"/>
                <w:sz w:val="21"/>
                <w:szCs w:val="21"/>
              </w:rPr>
            </w:pPr>
            <w:r>
              <w:rPr>
                <w:rFonts w:hint="eastAsia" w:cs="Times New Roman"/>
                <w:sz w:val="21"/>
                <w:szCs w:val="21"/>
              </w:rPr>
              <w:t>①受污染的循环冷却水、雨水、消防水等排入生产废水系统或独立处理系统；</w:t>
            </w:r>
          </w:p>
          <w:p>
            <w:pPr>
              <w:autoSpaceDE w:val="0"/>
              <w:autoSpaceDN w:val="0"/>
              <w:adjustRightInd w:val="0"/>
              <w:snapToGrid w:val="0"/>
              <w:spacing w:line="240" w:lineRule="auto"/>
              <w:ind w:firstLine="539" w:firstLineChars="257"/>
              <w:rPr>
                <w:rFonts w:cs="Times New Roman"/>
                <w:sz w:val="21"/>
                <w:szCs w:val="21"/>
              </w:rPr>
            </w:pPr>
            <w:r>
              <w:rPr>
                <w:rFonts w:hint="eastAsia" w:cs="Times New Roman"/>
                <w:sz w:val="21"/>
                <w:szCs w:val="21"/>
              </w:rPr>
              <w:t>②生产废水排放前设监控池，能够将不合格废水送废水处理设施处理；</w:t>
            </w:r>
          </w:p>
          <w:p>
            <w:pPr>
              <w:autoSpaceDE w:val="0"/>
              <w:autoSpaceDN w:val="0"/>
              <w:adjustRightInd w:val="0"/>
              <w:snapToGrid w:val="0"/>
              <w:spacing w:line="240" w:lineRule="auto"/>
              <w:ind w:firstLine="539" w:firstLineChars="257"/>
              <w:rPr>
                <w:rFonts w:cs="Times New Roman"/>
                <w:sz w:val="21"/>
                <w:szCs w:val="21"/>
              </w:rPr>
            </w:pPr>
            <w:r>
              <w:rPr>
                <w:rFonts w:hint="eastAsia" w:cs="Times New Roman"/>
                <w:sz w:val="21"/>
                <w:szCs w:val="21"/>
              </w:rPr>
              <w:t>③如企业受污染的清净废水或雨水进入废水处理系统处理，则废水处理系统应设置事故水缓冲设施；</w:t>
            </w:r>
          </w:p>
          <w:p>
            <w:pPr>
              <w:autoSpaceDE w:val="0"/>
              <w:autoSpaceDN w:val="0"/>
              <w:adjustRightInd w:val="0"/>
              <w:snapToGrid w:val="0"/>
              <w:spacing w:line="240" w:lineRule="auto"/>
              <w:ind w:firstLine="539" w:firstLineChars="257"/>
              <w:rPr>
                <w:rFonts w:cs="Times New Roman"/>
                <w:sz w:val="21"/>
                <w:szCs w:val="21"/>
              </w:rPr>
            </w:pPr>
            <w:r>
              <w:rPr>
                <w:rFonts w:hint="eastAsia" w:cs="Times New Roman"/>
                <w:sz w:val="21"/>
                <w:szCs w:val="21"/>
              </w:rPr>
              <w:t>④具有生产废水总排口监视及关闭设施，有专人负责启闭，确保泄漏物、受污染的消防水、不合格废水不排出厂外。</w:t>
            </w:r>
          </w:p>
        </w:tc>
        <w:tc>
          <w:tcPr>
            <w:tcW w:w="467" w:type="pc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492" w:type="pct"/>
            <w:vMerge w:val="restart"/>
            <w:vAlign w:val="center"/>
          </w:tcPr>
          <w:p>
            <w:pPr>
              <w:autoSpaceDE w:val="0"/>
              <w:autoSpaceDN w:val="0"/>
              <w:adjustRightInd w:val="0"/>
              <w:snapToGrid w:val="0"/>
              <w:spacing w:line="240" w:lineRule="auto"/>
              <w:ind w:firstLine="0" w:firstLineChars="0"/>
              <w:jc w:val="center"/>
              <w:rPr>
                <w:rFonts w:hint="eastAsia" w:eastAsia="宋体" w:cs="Times New Roman"/>
                <w:sz w:val="21"/>
                <w:szCs w:val="21"/>
                <w:lang w:eastAsia="zh-CN"/>
              </w:rPr>
            </w:pPr>
            <w:r>
              <w:rPr>
                <w:rFonts w:hint="eastAsia" w:cs="Times New Roman"/>
                <w:sz w:val="21"/>
                <w:szCs w:val="21"/>
                <w:lang w:val="en-US" w:eastAsia="zh-CN"/>
              </w:rPr>
              <w:t>8</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25" w:hRule="atLeast"/>
          <w:jc w:val="center"/>
        </w:trPr>
        <w:tc>
          <w:tcPr>
            <w:tcW w:w="693" w:type="pct"/>
            <w:vMerge w:val="continue"/>
            <w:vAlign w:val="center"/>
          </w:tcPr>
          <w:p>
            <w:pPr>
              <w:autoSpaceDE w:val="0"/>
              <w:autoSpaceDN w:val="0"/>
              <w:adjustRightInd w:val="0"/>
              <w:snapToGrid w:val="0"/>
              <w:spacing w:line="240" w:lineRule="auto"/>
              <w:ind w:firstLine="0" w:firstLineChars="0"/>
              <w:jc w:val="center"/>
              <w:rPr>
                <w:rFonts w:cs="Times New Roman"/>
                <w:sz w:val="21"/>
                <w:szCs w:val="21"/>
              </w:rPr>
            </w:pPr>
          </w:p>
        </w:tc>
        <w:tc>
          <w:tcPr>
            <w:tcW w:w="3348" w:type="pct"/>
            <w:vAlign w:val="center"/>
          </w:tcPr>
          <w:p>
            <w:pPr>
              <w:autoSpaceDE w:val="0"/>
              <w:autoSpaceDN w:val="0"/>
              <w:adjustRightInd w:val="0"/>
              <w:snapToGrid w:val="0"/>
              <w:spacing w:line="240" w:lineRule="auto"/>
              <w:ind w:firstLine="0" w:firstLineChars="0"/>
              <w:rPr>
                <w:rFonts w:cs="Times New Roman"/>
                <w:sz w:val="21"/>
                <w:szCs w:val="21"/>
              </w:rPr>
            </w:pPr>
            <w:r>
              <w:rPr>
                <w:rFonts w:hint="eastAsia" w:cs="Times New Roman"/>
                <w:sz w:val="21"/>
                <w:szCs w:val="21"/>
              </w:rPr>
              <w:t>涉及废水外排，且不符合上述（2）中任意一条要求的</w:t>
            </w:r>
          </w:p>
        </w:tc>
        <w:tc>
          <w:tcPr>
            <w:tcW w:w="467" w:type="pc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8</w:t>
            </w:r>
          </w:p>
        </w:tc>
        <w:tc>
          <w:tcPr>
            <w:tcW w:w="492" w:type="pct"/>
            <w:vMerge w:val="continue"/>
            <w:vAlign w:val="center"/>
          </w:tcPr>
          <w:p>
            <w:pPr>
              <w:autoSpaceDE w:val="0"/>
              <w:autoSpaceDN w:val="0"/>
              <w:adjustRightInd w:val="0"/>
              <w:snapToGrid w:val="0"/>
              <w:spacing w:line="240" w:lineRule="auto"/>
              <w:ind w:firstLine="0" w:firstLineChars="0"/>
              <w:jc w:val="center"/>
              <w:rPr>
                <w:rFonts w:cs="Times New Roman"/>
                <w:sz w:val="21"/>
                <w:szCs w:val="21"/>
              </w:rPr>
            </w:pP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25" w:hRule="atLeast"/>
          <w:jc w:val="center"/>
        </w:trPr>
        <w:tc>
          <w:tcPr>
            <w:tcW w:w="693" w:type="pct"/>
            <w:vMerge w:val="restar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废水排放去向</w:t>
            </w:r>
          </w:p>
        </w:tc>
        <w:tc>
          <w:tcPr>
            <w:tcW w:w="3348" w:type="pct"/>
            <w:vAlign w:val="center"/>
          </w:tcPr>
          <w:p>
            <w:pPr>
              <w:autoSpaceDE w:val="0"/>
              <w:autoSpaceDN w:val="0"/>
              <w:adjustRightInd w:val="0"/>
              <w:snapToGrid w:val="0"/>
              <w:spacing w:line="240" w:lineRule="auto"/>
              <w:ind w:firstLine="0" w:firstLineChars="0"/>
              <w:rPr>
                <w:rFonts w:cs="Times New Roman"/>
                <w:sz w:val="21"/>
                <w:szCs w:val="21"/>
              </w:rPr>
            </w:pPr>
            <w:r>
              <w:rPr>
                <w:rFonts w:cs="Times New Roman"/>
                <w:sz w:val="21"/>
                <w:szCs w:val="21"/>
              </w:rPr>
              <w:t>无产生废水或外排</w:t>
            </w:r>
          </w:p>
        </w:tc>
        <w:tc>
          <w:tcPr>
            <w:tcW w:w="467" w:type="pc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492" w:type="pct"/>
            <w:vMerge w:val="restart"/>
            <w:vAlign w:val="center"/>
          </w:tcPr>
          <w:p>
            <w:pPr>
              <w:autoSpaceDE w:val="0"/>
              <w:autoSpaceDN w:val="0"/>
              <w:adjustRightInd w:val="0"/>
              <w:snapToGrid w:val="0"/>
              <w:spacing w:line="240" w:lineRule="auto"/>
              <w:ind w:firstLine="0" w:firstLineChars="0"/>
              <w:jc w:val="center"/>
              <w:rPr>
                <w:rFonts w:hint="default" w:eastAsia="宋体" w:cs="Times New Roman"/>
                <w:sz w:val="21"/>
                <w:szCs w:val="21"/>
                <w:lang w:val="en-US" w:eastAsia="zh-CN"/>
              </w:rPr>
            </w:pPr>
            <w:r>
              <w:rPr>
                <w:rFonts w:hint="eastAsia" w:cs="Times New Roman"/>
                <w:sz w:val="21"/>
                <w:szCs w:val="21"/>
                <w:lang w:val="en-US" w:eastAsia="zh-CN"/>
              </w:rPr>
              <w:t>12</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25" w:hRule="atLeast"/>
          <w:jc w:val="center"/>
        </w:trPr>
        <w:tc>
          <w:tcPr>
            <w:tcW w:w="693" w:type="pct"/>
            <w:vMerge w:val="continue"/>
            <w:vAlign w:val="center"/>
          </w:tcPr>
          <w:p>
            <w:pPr>
              <w:autoSpaceDE w:val="0"/>
              <w:autoSpaceDN w:val="0"/>
              <w:adjustRightInd w:val="0"/>
              <w:snapToGrid w:val="0"/>
              <w:spacing w:line="240" w:lineRule="auto"/>
              <w:ind w:firstLine="0" w:firstLineChars="0"/>
              <w:jc w:val="center"/>
              <w:rPr>
                <w:rFonts w:cs="Times New Roman"/>
                <w:sz w:val="21"/>
                <w:szCs w:val="21"/>
              </w:rPr>
            </w:pPr>
          </w:p>
        </w:tc>
        <w:tc>
          <w:tcPr>
            <w:tcW w:w="3348" w:type="pct"/>
            <w:vAlign w:val="center"/>
          </w:tcPr>
          <w:p>
            <w:pPr>
              <w:autoSpaceDE w:val="0"/>
              <w:autoSpaceDN w:val="0"/>
              <w:adjustRightInd w:val="0"/>
              <w:snapToGrid w:val="0"/>
              <w:spacing w:line="240" w:lineRule="auto"/>
              <w:ind w:firstLine="0" w:firstLineChars="0"/>
              <w:rPr>
                <w:rFonts w:cs="Times New Roman"/>
                <w:sz w:val="21"/>
                <w:szCs w:val="21"/>
              </w:rPr>
            </w:pPr>
            <w:r>
              <w:rPr>
                <w:rFonts w:hint="eastAsia" w:cs="Times New Roman"/>
                <w:sz w:val="21"/>
                <w:szCs w:val="21"/>
              </w:rPr>
              <w:t>（1）依法获取污水排入排水管网许可，进入城镇污水处理厂；或</w:t>
            </w:r>
          </w:p>
          <w:p>
            <w:pPr>
              <w:autoSpaceDE w:val="0"/>
              <w:autoSpaceDN w:val="0"/>
              <w:adjustRightInd w:val="0"/>
              <w:snapToGrid w:val="0"/>
              <w:spacing w:line="240" w:lineRule="auto"/>
              <w:ind w:firstLine="0" w:firstLineChars="0"/>
              <w:rPr>
                <w:rFonts w:cs="Times New Roman"/>
                <w:sz w:val="21"/>
                <w:szCs w:val="21"/>
              </w:rPr>
            </w:pPr>
            <w:r>
              <w:rPr>
                <w:rFonts w:hint="eastAsia" w:cs="Times New Roman"/>
                <w:sz w:val="21"/>
                <w:szCs w:val="21"/>
              </w:rPr>
              <w:t>（2）进入工业废水集中处理厂；或</w:t>
            </w:r>
          </w:p>
          <w:p>
            <w:pPr>
              <w:autoSpaceDE w:val="0"/>
              <w:autoSpaceDN w:val="0"/>
              <w:adjustRightInd w:val="0"/>
              <w:snapToGrid w:val="0"/>
              <w:spacing w:line="240" w:lineRule="auto"/>
              <w:ind w:firstLine="0" w:firstLineChars="0"/>
              <w:rPr>
                <w:rFonts w:cs="Times New Roman"/>
                <w:sz w:val="21"/>
                <w:szCs w:val="21"/>
              </w:rPr>
            </w:pPr>
            <w:r>
              <w:rPr>
                <w:rFonts w:hint="eastAsia" w:cs="Times New Roman"/>
                <w:sz w:val="21"/>
                <w:szCs w:val="21"/>
              </w:rPr>
              <w:t>（3）进入其他单位</w:t>
            </w:r>
          </w:p>
        </w:tc>
        <w:tc>
          <w:tcPr>
            <w:tcW w:w="467" w:type="pc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6</w:t>
            </w:r>
          </w:p>
        </w:tc>
        <w:tc>
          <w:tcPr>
            <w:tcW w:w="492" w:type="pct"/>
            <w:vMerge w:val="continue"/>
            <w:vAlign w:val="center"/>
          </w:tcPr>
          <w:p>
            <w:pPr>
              <w:autoSpaceDE w:val="0"/>
              <w:autoSpaceDN w:val="0"/>
              <w:adjustRightInd w:val="0"/>
              <w:snapToGrid w:val="0"/>
              <w:spacing w:line="240" w:lineRule="auto"/>
              <w:ind w:firstLine="0" w:firstLineChars="0"/>
              <w:jc w:val="center"/>
              <w:rPr>
                <w:rFonts w:cs="Times New Roman"/>
                <w:sz w:val="21"/>
                <w:szCs w:val="21"/>
              </w:rPr>
            </w:pP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25" w:hRule="atLeast"/>
          <w:jc w:val="center"/>
        </w:trPr>
        <w:tc>
          <w:tcPr>
            <w:tcW w:w="693" w:type="pct"/>
            <w:vMerge w:val="continue"/>
            <w:vAlign w:val="center"/>
          </w:tcPr>
          <w:p>
            <w:pPr>
              <w:autoSpaceDE w:val="0"/>
              <w:autoSpaceDN w:val="0"/>
              <w:adjustRightInd w:val="0"/>
              <w:snapToGrid w:val="0"/>
              <w:spacing w:line="240" w:lineRule="auto"/>
              <w:ind w:firstLine="0" w:firstLineChars="0"/>
              <w:jc w:val="center"/>
              <w:rPr>
                <w:rFonts w:cs="Times New Roman"/>
                <w:sz w:val="21"/>
                <w:szCs w:val="21"/>
              </w:rPr>
            </w:pPr>
          </w:p>
        </w:tc>
        <w:tc>
          <w:tcPr>
            <w:tcW w:w="3348" w:type="pct"/>
            <w:vAlign w:val="center"/>
          </w:tcPr>
          <w:p>
            <w:pPr>
              <w:autoSpaceDE w:val="0"/>
              <w:autoSpaceDN w:val="0"/>
              <w:adjustRightInd w:val="0"/>
              <w:snapToGrid w:val="0"/>
              <w:spacing w:line="240" w:lineRule="auto"/>
              <w:ind w:firstLine="0" w:firstLineChars="0"/>
              <w:rPr>
                <w:rFonts w:cs="Times New Roman"/>
                <w:sz w:val="21"/>
                <w:szCs w:val="21"/>
              </w:rPr>
            </w:pPr>
            <w:r>
              <w:rPr>
                <w:rFonts w:cs="Times New Roman"/>
                <w:sz w:val="21"/>
                <w:szCs w:val="21"/>
              </w:rPr>
              <w:t>1）直接进入海域，或进入江、河、湖、库等水环境；或</w:t>
            </w:r>
          </w:p>
          <w:p>
            <w:pPr>
              <w:autoSpaceDE w:val="0"/>
              <w:autoSpaceDN w:val="0"/>
              <w:adjustRightInd w:val="0"/>
              <w:snapToGrid w:val="0"/>
              <w:spacing w:line="240" w:lineRule="auto"/>
              <w:ind w:firstLine="0" w:firstLineChars="0"/>
              <w:rPr>
                <w:rFonts w:cs="Times New Roman"/>
                <w:sz w:val="21"/>
                <w:szCs w:val="21"/>
              </w:rPr>
            </w:pPr>
            <w:r>
              <w:rPr>
                <w:rFonts w:cs="Times New Roman"/>
                <w:sz w:val="21"/>
                <w:szCs w:val="21"/>
              </w:rPr>
              <w:t>2）进入城市下水道再入江、河、湖、库或在进入海域；或</w:t>
            </w:r>
          </w:p>
          <w:p>
            <w:pPr>
              <w:autoSpaceDE w:val="0"/>
              <w:autoSpaceDN w:val="0"/>
              <w:adjustRightInd w:val="0"/>
              <w:snapToGrid w:val="0"/>
              <w:spacing w:line="240" w:lineRule="auto"/>
              <w:ind w:firstLine="0" w:firstLineChars="0"/>
              <w:rPr>
                <w:rFonts w:cs="Times New Roman"/>
                <w:sz w:val="21"/>
                <w:szCs w:val="21"/>
              </w:rPr>
            </w:pPr>
            <w:r>
              <w:rPr>
                <w:rFonts w:cs="Times New Roman"/>
                <w:sz w:val="21"/>
                <w:szCs w:val="21"/>
              </w:rPr>
              <w:t>3）未依法取得污水排入排水管网许可，进入城镇污水处理厂；或</w:t>
            </w:r>
          </w:p>
          <w:p>
            <w:pPr>
              <w:autoSpaceDE w:val="0"/>
              <w:autoSpaceDN w:val="0"/>
              <w:adjustRightInd w:val="0"/>
              <w:snapToGrid w:val="0"/>
              <w:spacing w:line="240" w:lineRule="auto"/>
              <w:ind w:firstLine="0" w:firstLineChars="0"/>
              <w:rPr>
                <w:rFonts w:cs="Times New Roman"/>
                <w:sz w:val="21"/>
                <w:szCs w:val="21"/>
              </w:rPr>
            </w:pPr>
            <w:r>
              <w:rPr>
                <w:rFonts w:cs="Times New Roman"/>
                <w:sz w:val="21"/>
                <w:szCs w:val="21"/>
              </w:rPr>
              <w:t>4）直接进入污灌农田或蒸发地</w:t>
            </w:r>
          </w:p>
        </w:tc>
        <w:tc>
          <w:tcPr>
            <w:tcW w:w="467" w:type="pct"/>
            <w:vAlign w:val="center"/>
          </w:tcPr>
          <w:p>
            <w:pPr>
              <w:autoSpaceDE w:val="0"/>
              <w:autoSpaceDN w:val="0"/>
              <w:adjustRightInd w:val="0"/>
              <w:snapToGrid w:val="0"/>
              <w:spacing w:line="240" w:lineRule="auto"/>
              <w:ind w:firstLine="0" w:firstLineChars="0"/>
              <w:jc w:val="center"/>
              <w:rPr>
                <w:rFonts w:cs="Times New Roman"/>
                <w:sz w:val="21"/>
                <w:szCs w:val="21"/>
              </w:rPr>
            </w:pPr>
            <w:r>
              <w:rPr>
                <w:rFonts w:hint="eastAsia" w:cs="Times New Roman"/>
                <w:sz w:val="21"/>
                <w:szCs w:val="21"/>
              </w:rPr>
              <w:t>12</w:t>
            </w:r>
          </w:p>
        </w:tc>
        <w:tc>
          <w:tcPr>
            <w:tcW w:w="492" w:type="pct"/>
            <w:vMerge w:val="continue"/>
            <w:vAlign w:val="center"/>
          </w:tcPr>
          <w:p>
            <w:pPr>
              <w:autoSpaceDE w:val="0"/>
              <w:autoSpaceDN w:val="0"/>
              <w:adjustRightInd w:val="0"/>
              <w:snapToGrid w:val="0"/>
              <w:spacing w:line="240" w:lineRule="auto"/>
              <w:ind w:firstLine="0" w:firstLineChars="0"/>
              <w:jc w:val="center"/>
              <w:rPr>
                <w:rFonts w:cs="Times New Roman"/>
                <w:sz w:val="21"/>
                <w:szCs w:val="21"/>
              </w:rPr>
            </w:pP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25" w:hRule="atLeast"/>
          <w:jc w:val="center"/>
        </w:trPr>
        <w:tc>
          <w:tcPr>
            <w:tcW w:w="693" w:type="pct"/>
            <w:vMerge w:val="restar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厂内危险废物环境管理</w:t>
            </w:r>
          </w:p>
        </w:tc>
        <w:tc>
          <w:tcPr>
            <w:tcW w:w="3348" w:type="pct"/>
            <w:vAlign w:val="center"/>
          </w:tcPr>
          <w:p>
            <w:pPr>
              <w:autoSpaceDE w:val="0"/>
              <w:autoSpaceDN w:val="0"/>
              <w:adjustRightInd w:val="0"/>
              <w:snapToGrid w:val="0"/>
              <w:spacing w:line="240" w:lineRule="auto"/>
              <w:ind w:firstLine="0" w:firstLineChars="0"/>
              <w:rPr>
                <w:rFonts w:cs="Times New Roman"/>
                <w:sz w:val="21"/>
                <w:szCs w:val="21"/>
              </w:rPr>
            </w:pPr>
            <w:r>
              <w:rPr>
                <w:rFonts w:hint="eastAsia" w:cs="Times New Roman"/>
                <w:sz w:val="21"/>
                <w:szCs w:val="21"/>
              </w:rPr>
              <w:t>（1）不涉及危险废物的；或</w:t>
            </w:r>
          </w:p>
          <w:p>
            <w:pPr>
              <w:autoSpaceDE w:val="0"/>
              <w:autoSpaceDN w:val="0"/>
              <w:adjustRightInd w:val="0"/>
              <w:snapToGrid w:val="0"/>
              <w:spacing w:line="240" w:lineRule="auto"/>
              <w:ind w:firstLine="0" w:firstLineChars="0"/>
              <w:rPr>
                <w:rFonts w:cs="Times New Roman"/>
                <w:sz w:val="21"/>
                <w:szCs w:val="21"/>
              </w:rPr>
            </w:pPr>
            <w:r>
              <w:rPr>
                <w:rFonts w:hint="eastAsia" w:cs="Times New Roman"/>
                <w:sz w:val="21"/>
                <w:szCs w:val="21"/>
              </w:rPr>
              <w:t>（2）针对危险废物分区贮存、运输、利用、处置具有完善的专业设施和风险防控措施。</w:t>
            </w:r>
          </w:p>
        </w:tc>
        <w:tc>
          <w:tcPr>
            <w:tcW w:w="467" w:type="pc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492" w:type="pct"/>
            <w:vMerge w:val="restar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0</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25" w:hRule="atLeast"/>
          <w:jc w:val="center"/>
        </w:trPr>
        <w:tc>
          <w:tcPr>
            <w:tcW w:w="693" w:type="pct"/>
            <w:vMerge w:val="continue"/>
            <w:vAlign w:val="center"/>
          </w:tcPr>
          <w:p>
            <w:pPr>
              <w:autoSpaceDE w:val="0"/>
              <w:autoSpaceDN w:val="0"/>
              <w:adjustRightInd w:val="0"/>
              <w:snapToGrid w:val="0"/>
              <w:spacing w:line="240" w:lineRule="auto"/>
              <w:ind w:firstLine="0" w:firstLineChars="0"/>
              <w:jc w:val="center"/>
              <w:rPr>
                <w:rFonts w:cs="Times New Roman"/>
                <w:sz w:val="21"/>
                <w:szCs w:val="21"/>
              </w:rPr>
            </w:pPr>
          </w:p>
        </w:tc>
        <w:tc>
          <w:tcPr>
            <w:tcW w:w="3348" w:type="pct"/>
            <w:vAlign w:val="center"/>
          </w:tcPr>
          <w:p>
            <w:pPr>
              <w:autoSpaceDE w:val="0"/>
              <w:autoSpaceDN w:val="0"/>
              <w:adjustRightInd w:val="0"/>
              <w:snapToGrid w:val="0"/>
              <w:spacing w:line="240" w:lineRule="auto"/>
              <w:ind w:firstLine="0" w:firstLineChars="0"/>
              <w:rPr>
                <w:rFonts w:cs="Times New Roman"/>
                <w:sz w:val="21"/>
                <w:szCs w:val="21"/>
              </w:rPr>
            </w:pPr>
            <w:r>
              <w:rPr>
                <w:rFonts w:cs="Times New Roman"/>
                <w:sz w:val="21"/>
                <w:szCs w:val="21"/>
              </w:rPr>
              <w:t>不具备完善的危险废物贮存、运输、利用、处置设施和风险防控措施</w:t>
            </w:r>
            <w:r>
              <w:rPr>
                <w:rFonts w:hint="eastAsia" w:cs="Times New Roman"/>
                <w:sz w:val="21"/>
                <w:szCs w:val="21"/>
              </w:rPr>
              <w:t>。</w:t>
            </w:r>
          </w:p>
        </w:tc>
        <w:tc>
          <w:tcPr>
            <w:tcW w:w="467" w:type="pc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10</w:t>
            </w:r>
          </w:p>
        </w:tc>
        <w:tc>
          <w:tcPr>
            <w:tcW w:w="492" w:type="pct"/>
            <w:vMerge w:val="continue"/>
            <w:vAlign w:val="center"/>
          </w:tcPr>
          <w:p>
            <w:pPr>
              <w:autoSpaceDE w:val="0"/>
              <w:autoSpaceDN w:val="0"/>
              <w:adjustRightInd w:val="0"/>
              <w:snapToGrid w:val="0"/>
              <w:spacing w:line="240" w:lineRule="auto"/>
              <w:ind w:firstLine="0" w:firstLineChars="0"/>
              <w:jc w:val="center"/>
              <w:rPr>
                <w:rFonts w:cs="Times New Roman"/>
                <w:sz w:val="21"/>
                <w:szCs w:val="21"/>
              </w:rPr>
            </w:pP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25" w:hRule="atLeast"/>
          <w:jc w:val="center"/>
        </w:trPr>
        <w:tc>
          <w:tcPr>
            <w:tcW w:w="693" w:type="pct"/>
            <w:vMerge w:val="restar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近3年内突发水环境事件情况</w:t>
            </w:r>
          </w:p>
        </w:tc>
        <w:tc>
          <w:tcPr>
            <w:tcW w:w="3348" w:type="pct"/>
            <w:vAlign w:val="center"/>
          </w:tcPr>
          <w:p>
            <w:pPr>
              <w:autoSpaceDE w:val="0"/>
              <w:autoSpaceDN w:val="0"/>
              <w:adjustRightInd w:val="0"/>
              <w:snapToGrid w:val="0"/>
              <w:spacing w:line="240" w:lineRule="auto"/>
              <w:ind w:firstLine="0" w:firstLineChars="0"/>
              <w:rPr>
                <w:rFonts w:cs="Times New Roman"/>
                <w:sz w:val="21"/>
                <w:szCs w:val="21"/>
              </w:rPr>
            </w:pPr>
            <w:r>
              <w:rPr>
                <w:rFonts w:cs="Times New Roman"/>
                <w:sz w:val="21"/>
                <w:szCs w:val="21"/>
              </w:rPr>
              <w:t>发生过特别重大或重大等级突发水环境事件的</w:t>
            </w:r>
          </w:p>
        </w:tc>
        <w:tc>
          <w:tcPr>
            <w:tcW w:w="467" w:type="pc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8</w:t>
            </w:r>
          </w:p>
        </w:tc>
        <w:tc>
          <w:tcPr>
            <w:tcW w:w="492" w:type="pct"/>
            <w:vMerge w:val="restar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0</w:t>
            </w:r>
          </w:p>
          <w:p>
            <w:pPr>
              <w:autoSpaceDE w:val="0"/>
              <w:autoSpaceDN w:val="0"/>
              <w:adjustRightInd w:val="0"/>
              <w:snapToGrid w:val="0"/>
              <w:spacing w:line="240" w:lineRule="auto"/>
              <w:ind w:firstLine="0" w:firstLineChars="0"/>
              <w:jc w:val="center"/>
              <w:rPr>
                <w:rFonts w:cs="Times New Roman"/>
                <w:sz w:val="21"/>
                <w:szCs w:val="21"/>
              </w:rPr>
            </w:pP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25" w:hRule="atLeast"/>
          <w:jc w:val="center"/>
        </w:trPr>
        <w:tc>
          <w:tcPr>
            <w:tcW w:w="693" w:type="pct"/>
            <w:vMerge w:val="continue"/>
            <w:vAlign w:val="center"/>
          </w:tcPr>
          <w:p>
            <w:pPr>
              <w:autoSpaceDE w:val="0"/>
              <w:autoSpaceDN w:val="0"/>
              <w:adjustRightInd w:val="0"/>
              <w:snapToGrid w:val="0"/>
              <w:spacing w:line="240" w:lineRule="auto"/>
              <w:ind w:firstLine="0" w:firstLineChars="0"/>
              <w:jc w:val="center"/>
              <w:rPr>
                <w:rFonts w:cs="Times New Roman"/>
                <w:sz w:val="21"/>
                <w:szCs w:val="21"/>
              </w:rPr>
            </w:pPr>
          </w:p>
        </w:tc>
        <w:tc>
          <w:tcPr>
            <w:tcW w:w="3348" w:type="pct"/>
            <w:vAlign w:val="center"/>
          </w:tcPr>
          <w:p>
            <w:pPr>
              <w:autoSpaceDE w:val="0"/>
              <w:autoSpaceDN w:val="0"/>
              <w:adjustRightInd w:val="0"/>
              <w:snapToGrid w:val="0"/>
              <w:spacing w:line="240" w:lineRule="auto"/>
              <w:ind w:firstLine="0" w:firstLineChars="0"/>
              <w:rPr>
                <w:rFonts w:cs="Times New Roman"/>
                <w:sz w:val="21"/>
                <w:szCs w:val="21"/>
              </w:rPr>
            </w:pPr>
            <w:r>
              <w:rPr>
                <w:rFonts w:cs="Times New Roman"/>
                <w:sz w:val="21"/>
                <w:szCs w:val="21"/>
              </w:rPr>
              <w:t>发生过较大等级突发水环境事件的</w:t>
            </w:r>
          </w:p>
        </w:tc>
        <w:tc>
          <w:tcPr>
            <w:tcW w:w="467" w:type="pc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6</w:t>
            </w:r>
          </w:p>
        </w:tc>
        <w:tc>
          <w:tcPr>
            <w:tcW w:w="492" w:type="pct"/>
            <w:vMerge w:val="continue"/>
            <w:vAlign w:val="center"/>
          </w:tcPr>
          <w:p>
            <w:pPr>
              <w:autoSpaceDE w:val="0"/>
              <w:autoSpaceDN w:val="0"/>
              <w:adjustRightInd w:val="0"/>
              <w:snapToGrid w:val="0"/>
              <w:spacing w:line="240" w:lineRule="auto"/>
              <w:ind w:firstLine="0" w:firstLineChars="0"/>
              <w:jc w:val="center"/>
              <w:rPr>
                <w:rFonts w:cs="Times New Roman"/>
                <w:sz w:val="21"/>
                <w:szCs w:val="21"/>
              </w:rPr>
            </w:pP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25" w:hRule="atLeast"/>
          <w:jc w:val="center"/>
        </w:trPr>
        <w:tc>
          <w:tcPr>
            <w:tcW w:w="693" w:type="pct"/>
            <w:vMerge w:val="continue"/>
            <w:vAlign w:val="center"/>
          </w:tcPr>
          <w:p>
            <w:pPr>
              <w:autoSpaceDE w:val="0"/>
              <w:autoSpaceDN w:val="0"/>
              <w:adjustRightInd w:val="0"/>
              <w:snapToGrid w:val="0"/>
              <w:spacing w:line="240" w:lineRule="auto"/>
              <w:ind w:firstLine="0" w:firstLineChars="0"/>
              <w:jc w:val="center"/>
              <w:rPr>
                <w:rFonts w:cs="Times New Roman"/>
                <w:sz w:val="21"/>
                <w:szCs w:val="21"/>
              </w:rPr>
            </w:pPr>
          </w:p>
        </w:tc>
        <w:tc>
          <w:tcPr>
            <w:tcW w:w="3348" w:type="pct"/>
            <w:vAlign w:val="center"/>
          </w:tcPr>
          <w:p>
            <w:pPr>
              <w:autoSpaceDE w:val="0"/>
              <w:autoSpaceDN w:val="0"/>
              <w:adjustRightInd w:val="0"/>
              <w:snapToGrid w:val="0"/>
              <w:spacing w:line="240" w:lineRule="auto"/>
              <w:ind w:firstLine="0" w:firstLineChars="0"/>
              <w:rPr>
                <w:rFonts w:cs="Times New Roman"/>
                <w:sz w:val="21"/>
                <w:szCs w:val="21"/>
              </w:rPr>
            </w:pPr>
            <w:r>
              <w:rPr>
                <w:rFonts w:cs="Times New Roman"/>
                <w:sz w:val="21"/>
                <w:szCs w:val="21"/>
              </w:rPr>
              <w:t>发生过一般等级突发水环境事件的</w:t>
            </w:r>
          </w:p>
        </w:tc>
        <w:tc>
          <w:tcPr>
            <w:tcW w:w="467" w:type="pc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4</w:t>
            </w:r>
          </w:p>
        </w:tc>
        <w:tc>
          <w:tcPr>
            <w:tcW w:w="492" w:type="pct"/>
            <w:vMerge w:val="continue"/>
            <w:vAlign w:val="center"/>
          </w:tcPr>
          <w:p>
            <w:pPr>
              <w:autoSpaceDE w:val="0"/>
              <w:autoSpaceDN w:val="0"/>
              <w:adjustRightInd w:val="0"/>
              <w:snapToGrid w:val="0"/>
              <w:spacing w:line="240" w:lineRule="auto"/>
              <w:ind w:firstLine="0" w:firstLineChars="0"/>
              <w:jc w:val="center"/>
              <w:rPr>
                <w:rFonts w:cs="Times New Roman"/>
                <w:sz w:val="21"/>
                <w:szCs w:val="21"/>
              </w:rPr>
            </w:pP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25" w:hRule="atLeast"/>
          <w:jc w:val="center"/>
        </w:trPr>
        <w:tc>
          <w:tcPr>
            <w:tcW w:w="693" w:type="pct"/>
            <w:vMerge w:val="continue"/>
            <w:vAlign w:val="center"/>
          </w:tcPr>
          <w:p>
            <w:pPr>
              <w:autoSpaceDE w:val="0"/>
              <w:autoSpaceDN w:val="0"/>
              <w:adjustRightInd w:val="0"/>
              <w:snapToGrid w:val="0"/>
              <w:spacing w:line="240" w:lineRule="auto"/>
              <w:ind w:firstLine="0" w:firstLineChars="0"/>
              <w:jc w:val="center"/>
              <w:rPr>
                <w:rFonts w:cs="Times New Roman"/>
                <w:sz w:val="21"/>
                <w:szCs w:val="21"/>
              </w:rPr>
            </w:pPr>
          </w:p>
        </w:tc>
        <w:tc>
          <w:tcPr>
            <w:tcW w:w="3348" w:type="pct"/>
            <w:vAlign w:val="center"/>
          </w:tcPr>
          <w:p>
            <w:pPr>
              <w:autoSpaceDE w:val="0"/>
              <w:autoSpaceDN w:val="0"/>
              <w:adjustRightInd w:val="0"/>
              <w:snapToGrid w:val="0"/>
              <w:spacing w:line="240" w:lineRule="auto"/>
              <w:ind w:firstLine="0" w:firstLineChars="0"/>
              <w:rPr>
                <w:rFonts w:cs="Times New Roman"/>
                <w:sz w:val="21"/>
                <w:szCs w:val="21"/>
              </w:rPr>
            </w:pPr>
            <w:r>
              <w:rPr>
                <w:rFonts w:cs="Times New Roman"/>
                <w:sz w:val="21"/>
                <w:szCs w:val="21"/>
              </w:rPr>
              <w:t>未发生过突发水环境事件的</w:t>
            </w:r>
          </w:p>
        </w:tc>
        <w:tc>
          <w:tcPr>
            <w:tcW w:w="467" w:type="pct"/>
            <w:vAlign w:val="center"/>
          </w:tcPr>
          <w:p>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0</w:t>
            </w:r>
          </w:p>
        </w:tc>
        <w:tc>
          <w:tcPr>
            <w:tcW w:w="492" w:type="pct"/>
            <w:vMerge w:val="continue"/>
            <w:vAlign w:val="center"/>
          </w:tcPr>
          <w:p>
            <w:pPr>
              <w:autoSpaceDE w:val="0"/>
              <w:autoSpaceDN w:val="0"/>
              <w:adjustRightInd w:val="0"/>
              <w:snapToGrid w:val="0"/>
              <w:spacing w:line="240" w:lineRule="auto"/>
              <w:ind w:firstLine="0" w:firstLineChars="0"/>
              <w:jc w:val="center"/>
              <w:rPr>
                <w:rFonts w:cs="Times New Roman"/>
                <w:sz w:val="21"/>
                <w:szCs w:val="21"/>
              </w:rPr>
            </w:pP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25" w:hRule="atLeast"/>
          <w:jc w:val="center"/>
        </w:trPr>
        <w:tc>
          <w:tcPr>
            <w:tcW w:w="4508" w:type="pct"/>
            <w:gridSpan w:val="3"/>
            <w:vAlign w:val="center"/>
          </w:tcPr>
          <w:p>
            <w:pPr>
              <w:autoSpaceDE w:val="0"/>
              <w:autoSpaceDN w:val="0"/>
              <w:adjustRightInd w:val="0"/>
              <w:snapToGrid w:val="0"/>
              <w:spacing w:line="240" w:lineRule="auto"/>
              <w:ind w:firstLine="0" w:firstLineChars="0"/>
              <w:jc w:val="center"/>
              <w:rPr>
                <w:rFonts w:cs="Times New Roman"/>
                <w:sz w:val="21"/>
                <w:szCs w:val="21"/>
              </w:rPr>
            </w:pPr>
            <w:r>
              <w:rPr>
                <w:rFonts w:hint="eastAsia" w:cs="Times New Roman"/>
                <w:sz w:val="21"/>
                <w:szCs w:val="21"/>
              </w:rPr>
              <w:t>合计</w:t>
            </w:r>
          </w:p>
        </w:tc>
        <w:tc>
          <w:tcPr>
            <w:tcW w:w="492" w:type="pct"/>
            <w:vAlign w:val="center"/>
          </w:tcPr>
          <w:p>
            <w:pPr>
              <w:autoSpaceDE w:val="0"/>
              <w:autoSpaceDN w:val="0"/>
              <w:adjustRightInd w:val="0"/>
              <w:snapToGrid w:val="0"/>
              <w:spacing w:line="240" w:lineRule="auto"/>
              <w:ind w:firstLine="0" w:firstLineChars="0"/>
              <w:jc w:val="center"/>
              <w:rPr>
                <w:rFonts w:hint="default" w:eastAsia="宋体" w:cs="Times New Roman"/>
                <w:sz w:val="21"/>
                <w:szCs w:val="21"/>
                <w:lang w:val="en-US" w:eastAsia="zh-CN"/>
              </w:rPr>
            </w:pPr>
            <w:r>
              <w:rPr>
                <w:rFonts w:hint="eastAsia" w:cs="Times New Roman"/>
                <w:sz w:val="21"/>
                <w:szCs w:val="21"/>
                <w:lang w:val="en-US" w:eastAsia="zh-CN"/>
              </w:rPr>
              <w:t>20</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25" w:hRule="atLeast"/>
          <w:jc w:val="center"/>
        </w:trPr>
        <w:tc>
          <w:tcPr>
            <w:tcW w:w="5000" w:type="pct"/>
            <w:gridSpan w:val="4"/>
            <w:vAlign w:val="center"/>
          </w:tcPr>
          <w:p>
            <w:pPr>
              <w:autoSpaceDE w:val="0"/>
              <w:autoSpaceDN w:val="0"/>
              <w:adjustRightInd w:val="0"/>
              <w:snapToGrid w:val="0"/>
              <w:spacing w:line="240" w:lineRule="auto"/>
              <w:ind w:firstLine="0" w:firstLineChars="0"/>
              <w:rPr>
                <w:rFonts w:cs="Times New Roman"/>
                <w:sz w:val="21"/>
                <w:szCs w:val="21"/>
              </w:rPr>
            </w:pPr>
            <w:r>
              <w:rPr>
                <w:rFonts w:hint="eastAsia" w:cs="Times New Roman"/>
                <w:sz w:val="21"/>
                <w:szCs w:val="21"/>
              </w:rPr>
              <w:t>注：本表中相关规范具体指GB 50483、GB 50160、GB 50351、GB 50747、SH 3015</w:t>
            </w:r>
          </w:p>
        </w:tc>
      </w:tr>
    </w:tbl>
    <w:p>
      <w:pPr>
        <w:autoSpaceDE w:val="0"/>
        <w:autoSpaceDN w:val="0"/>
        <w:adjustRightInd w:val="0"/>
        <w:snapToGrid w:val="0"/>
        <w:spacing w:line="240" w:lineRule="auto"/>
        <w:ind w:firstLine="0" w:firstLineChars="0"/>
        <w:jc w:val="center"/>
        <w:rPr>
          <w:rFonts w:cs="Times New Roman"/>
          <w:sz w:val="21"/>
          <w:szCs w:val="21"/>
        </w:rPr>
      </w:pPr>
    </w:p>
    <w:p>
      <w:pPr>
        <w:pStyle w:val="5"/>
        <w:numPr>
          <w:ilvl w:val="1"/>
          <w:numId w:val="0"/>
        </w:numPr>
        <w:bidi w:val="0"/>
        <w:ind w:leftChars="0"/>
      </w:pPr>
      <w:bookmarkStart w:id="251" w:name="_Toc527104516"/>
      <w:bookmarkStart w:id="252" w:name="_Toc14152"/>
      <w:r>
        <w:rPr>
          <w:rFonts w:hint="eastAsia"/>
          <w:lang w:val="en-US" w:eastAsia="zh-CN"/>
        </w:rPr>
        <w:t>3.7</w:t>
      </w:r>
      <w:r>
        <w:rPr>
          <w:rFonts w:hint="eastAsia"/>
        </w:rPr>
        <w:t>现有应急物资与装备、救援队伍情况</w:t>
      </w:r>
      <w:bookmarkEnd w:id="251"/>
      <w:bookmarkEnd w:id="252"/>
    </w:p>
    <w:p>
      <w:pPr>
        <w:ind w:firstLine="560"/>
      </w:pPr>
      <w:r>
        <w:rPr>
          <w:rFonts w:hint="eastAsia"/>
        </w:rPr>
        <w:t>本公司现有应急物资与装备、救援队伍情况详见《</w:t>
      </w:r>
      <w:r>
        <w:rPr>
          <w:rFonts w:hint="eastAsia"/>
          <w:lang w:eastAsia="zh-CN"/>
        </w:rPr>
        <w:t>南昌双港供水有限公司</w:t>
      </w:r>
      <w:r>
        <w:rPr>
          <w:rFonts w:hint="eastAsia"/>
        </w:rPr>
        <w:t>应急资源调查报告》。</w:t>
      </w:r>
    </w:p>
    <w:p>
      <w:pPr>
        <w:ind w:firstLine="0" w:firstLineChars="0"/>
        <w:jc w:val="left"/>
      </w:pPr>
    </w:p>
    <w:p>
      <w:pPr>
        <w:ind w:firstLine="0" w:firstLineChars="0"/>
        <w:jc w:val="left"/>
        <w:sectPr>
          <w:pgSz w:w="11906" w:h="16838"/>
          <w:pgMar w:top="1304" w:right="1247" w:bottom="1304" w:left="1531" w:header="851" w:footer="851" w:gutter="0"/>
          <w:pgBorders>
            <w:top w:val="none" w:sz="0" w:space="0"/>
            <w:left w:val="none" w:sz="0" w:space="0"/>
            <w:bottom w:val="none" w:sz="0" w:space="0"/>
            <w:right w:val="none" w:sz="0" w:space="0"/>
          </w:pgBorders>
          <w:pgNumType w:fmt="decimal"/>
          <w:cols w:space="425" w:num="1"/>
          <w:docGrid w:type="lines" w:linePitch="312" w:charSpace="0"/>
        </w:sectPr>
      </w:pPr>
    </w:p>
    <w:p>
      <w:pPr>
        <w:pStyle w:val="4"/>
        <w:numPr>
          <w:ilvl w:val="0"/>
          <w:numId w:val="0"/>
        </w:numPr>
        <w:bidi w:val="0"/>
        <w:ind w:leftChars="0"/>
      </w:pPr>
      <w:bookmarkStart w:id="253" w:name="_Toc527104517"/>
      <w:bookmarkStart w:id="254" w:name="_Toc31933"/>
      <w:r>
        <w:rPr>
          <w:rFonts w:hint="eastAsia"/>
          <w:lang w:val="en-US" w:eastAsia="zh-CN"/>
        </w:rPr>
        <w:t>4</w:t>
      </w:r>
      <w:r>
        <w:rPr>
          <w:rFonts w:hint="eastAsia"/>
        </w:rPr>
        <w:t>突发环境事件及后果分析</w:t>
      </w:r>
      <w:bookmarkEnd w:id="253"/>
      <w:bookmarkEnd w:id="254"/>
    </w:p>
    <w:p>
      <w:pPr>
        <w:pStyle w:val="5"/>
        <w:numPr>
          <w:ilvl w:val="1"/>
          <w:numId w:val="0"/>
        </w:numPr>
        <w:bidi w:val="0"/>
        <w:ind w:leftChars="0"/>
      </w:pPr>
      <w:bookmarkStart w:id="255" w:name="_Toc527104518"/>
      <w:bookmarkStart w:id="256" w:name="_Toc25052"/>
      <w:r>
        <w:rPr>
          <w:rFonts w:hint="eastAsia"/>
          <w:lang w:val="en-US" w:eastAsia="zh-CN"/>
        </w:rPr>
        <w:t>4.1</w:t>
      </w:r>
      <w:r>
        <w:rPr>
          <w:rFonts w:hint="eastAsia"/>
        </w:rPr>
        <w:t>突发环境事件情景分析</w:t>
      </w:r>
      <w:bookmarkEnd w:id="255"/>
      <w:bookmarkEnd w:id="256"/>
    </w:p>
    <w:p>
      <w:pPr>
        <w:ind w:firstLine="560"/>
      </w:pPr>
      <w:r>
        <w:rPr>
          <w:rFonts w:hint="eastAsia"/>
        </w:rPr>
        <w:t>企业突发环境事件情景分析情况如下。</w:t>
      </w:r>
    </w:p>
    <w:p>
      <w:pPr>
        <w:pStyle w:val="8"/>
        <w:keepNext/>
      </w:pPr>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1</w:t>
      </w:r>
      <w:r>
        <w:fldChar w:fldCharType="end"/>
      </w:r>
      <w:r>
        <w:rPr>
          <w:rFonts w:hint="eastAsia"/>
        </w:rPr>
        <w:t>企业突发环境事件情景分析表</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1985"/>
        <w:gridCol w:w="64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5" w:hRule="atLeast"/>
        </w:trPr>
        <w:tc>
          <w:tcPr>
            <w:tcW w:w="2689" w:type="dxa"/>
            <w:gridSpan w:val="2"/>
            <w:vAlign w:val="center"/>
          </w:tcPr>
          <w:p>
            <w:pPr>
              <w:spacing w:line="240" w:lineRule="auto"/>
              <w:ind w:firstLine="0" w:firstLineChars="0"/>
              <w:jc w:val="center"/>
              <w:rPr>
                <w:rFonts w:cs="Times New Roman"/>
                <w:sz w:val="21"/>
              </w:rPr>
            </w:pPr>
            <w:r>
              <w:rPr>
                <w:rFonts w:hint="eastAsia" w:cs="Times New Roman"/>
                <w:sz w:val="21"/>
              </w:rPr>
              <w:t>风险单元</w:t>
            </w:r>
          </w:p>
        </w:tc>
        <w:tc>
          <w:tcPr>
            <w:tcW w:w="6429" w:type="dxa"/>
            <w:vAlign w:val="center"/>
          </w:tcPr>
          <w:p>
            <w:pPr>
              <w:spacing w:line="240" w:lineRule="auto"/>
              <w:ind w:firstLine="0" w:firstLineChars="0"/>
              <w:jc w:val="center"/>
              <w:rPr>
                <w:rFonts w:cs="Times New Roman"/>
                <w:sz w:val="21"/>
              </w:rPr>
            </w:pPr>
            <w:r>
              <w:rPr>
                <w:rFonts w:hint="eastAsia" w:cs="Times New Roman"/>
                <w:sz w:val="21"/>
              </w:rPr>
              <w:t>突发环境事件情景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04" w:type="dxa"/>
            <w:vMerge w:val="restart"/>
            <w:vAlign w:val="center"/>
          </w:tcPr>
          <w:p>
            <w:pPr>
              <w:spacing w:line="240" w:lineRule="auto"/>
              <w:ind w:firstLine="0" w:firstLineChars="0"/>
              <w:jc w:val="center"/>
              <w:rPr>
                <w:rFonts w:cs="Times New Roman"/>
                <w:sz w:val="21"/>
              </w:rPr>
            </w:pPr>
            <w:r>
              <w:rPr>
                <w:rFonts w:hint="eastAsia" w:cs="Times New Roman"/>
                <w:sz w:val="21"/>
              </w:rPr>
              <w:t>辅助生产区域</w:t>
            </w:r>
          </w:p>
        </w:tc>
        <w:tc>
          <w:tcPr>
            <w:tcW w:w="1985" w:type="dxa"/>
            <w:vAlign w:val="center"/>
          </w:tcPr>
          <w:p>
            <w:pPr>
              <w:spacing w:line="240" w:lineRule="auto"/>
              <w:ind w:firstLine="0" w:firstLineChars="0"/>
              <w:jc w:val="center"/>
              <w:rPr>
                <w:rFonts w:cs="Times New Roman"/>
                <w:sz w:val="21"/>
              </w:rPr>
            </w:pPr>
            <w:r>
              <w:rPr>
                <w:rFonts w:hint="eastAsia" w:cs="Times New Roman"/>
                <w:sz w:val="21"/>
                <w:lang w:eastAsia="zh-CN"/>
              </w:rPr>
              <w:t>配电</w:t>
            </w:r>
            <w:r>
              <w:rPr>
                <w:rFonts w:hint="eastAsia" w:cs="Times New Roman"/>
                <w:sz w:val="21"/>
              </w:rPr>
              <w:t>间</w:t>
            </w:r>
          </w:p>
        </w:tc>
        <w:tc>
          <w:tcPr>
            <w:tcW w:w="6429" w:type="dxa"/>
            <w:vAlign w:val="center"/>
          </w:tcPr>
          <w:p>
            <w:pPr>
              <w:spacing w:line="240" w:lineRule="auto"/>
              <w:ind w:firstLine="0" w:firstLineChars="0"/>
              <w:jc w:val="left"/>
              <w:rPr>
                <w:rFonts w:hint="eastAsia" w:eastAsia="宋体" w:cs="Times New Roman"/>
                <w:sz w:val="21"/>
                <w:lang w:eastAsia="zh-CN"/>
              </w:rPr>
            </w:pPr>
            <w:r>
              <w:rPr>
                <w:rFonts w:hint="eastAsia" w:cs="Times New Roman"/>
                <w:sz w:val="21"/>
              </w:rPr>
              <w:t>1、</w:t>
            </w:r>
            <w:r>
              <w:rPr>
                <w:rFonts w:hint="eastAsia" w:cs="Times New Roman"/>
                <w:sz w:val="21"/>
                <w:lang w:eastAsia="zh-CN"/>
              </w:rPr>
              <w:t>火灾</w:t>
            </w:r>
          </w:p>
          <w:p>
            <w:pPr>
              <w:spacing w:line="240" w:lineRule="auto"/>
              <w:ind w:firstLine="312" w:firstLineChars="149"/>
              <w:jc w:val="left"/>
              <w:rPr>
                <w:rFonts w:cs="Times New Roman"/>
                <w:sz w:val="21"/>
              </w:rPr>
            </w:pPr>
            <w:r>
              <w:rPr>
                <w:rFonts w:hint="eastAsia" w:cs="Times New Roman"/>
                <w:sz w:val="21"/>
              </w:rPr>
              <w:t>电气、电缆、电线等因负荷过载、绝缘老化，异物侵入等引起电气火灾。</w:t>
            </w:r>
          </w:p>
          <w:p>
            <w:pPr>
              <w:spacing w:line="240" w:lineRule="auto"/>
              <w:ind w:firstLine="312" w:firstLineChars="149"/>
              <w:jc w:val="left"/>
              <w:rPr>
                <w:rFonts w:cs="Times New Roman"/>
                <w:sz w:val="21"/>
              </w:rPr>
            </w:pPr>
            <w:r>
              <w:rPr>
                <w:rFonts w:hint="eastAsia" w:cs="Times New Roman"/>
                <w:sz w:val="21"/>
              </w:rPr>
              <w:t>火灾、爆炸产生的消防水进入雨水管污染水体。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04" w:type="dxa"/>
            <w:vMerge w:val="continue"/>
            <w:vAlign w:val="center"/>
          </w:tcPr>
          <w:p>
            <w:pPr>
              <w:spacing w:line="240" w:lineRule="auto"/>
              <w:ind w:firstLine="0" w:firstLineChars="0"/>
              <w:jc w:val="center"/>
              <w:rPr>
                <w:rFonts w:cs="Times New Roman"/>
                <w:sz w:val="21"/>
              </w:rPr>
            </w:pPr>
          </w:p>
        </w:tc>
        <w:tc>
          <w:tcPr>
            <w:tcW w:w="1985" w:type="dxa"/>
            <w:vAlign w:val="center"/>
          </w:tcPr>
          <w:p>
            <w:pPr>
              <w:spacing w:line="240" w:lineRule="auto"/>
              <w:ind w:firstLine="0" w:firstLineChars="0"/>
              <w:jc w:val="center"/>
              <w:rPr>
                <w:rFonts w:cs="Times New Roman"/>
                <w:sz w:val="21"/>
              </w:rPr>
            </w:pPr>
            <w:r>
              <w:rPr>
                <w:rFonts w:hint="eastAsia" w:cs="Times New Roman"/>
                <w:sz w:val="21"/>
                <w:lang w:eastAsia="zh-CN"/>
              </w:rPr>
              <w:t>次氯酸钠</w:t>
            </w:r>
            <w:r>
              <w:rPr>
                <w:rFonts w:hint="eastAsia" w:cs="Times New Roman"/>
                <w:sz w:val="21"/>
              </w:rPr>
              <w:t>间</w:t>
            </w:r>
          </w:p>
        </w:tc>
        <w:tc>
          <w:tcPr>
            <w:tcW w:w="6429" w:type="dxa"/>
            <w:vAlign w:val="center"/>
          </w:tcPr>
          <w:p>
            <w:pPr>
              <w:spacing w:line="240" w:lineRule="auto"/>
              <w:ind w:firstLine="0" w:firstLineChars="0"/>
              <w:jc w:val="left"/>
              <w:rPr>
                <w:rFonts w:hint="eastAsia" w:cs="Times New Roman"/>
                <w:sz w:val="21"/>
                <w:lang w:eastAsia="zh-CN"/>
              </w:rPr>
            </w:pPr>
            <w:r>
              <w:rPr>
                <w:rFonts w:hint="eastAsia" w:cs="Times New Roman"/>
                <w:sz w:val="21"/>
              </w:rPr>
              <w:t>1、</w:t>
            </w:r>
            <w:r>
              <w:rPr>
                <w:rFonts w:hint="eastAsia" w:cs="Times New Roman"/>
                <w:sz w:val="21"/>
                <w:lang w:eastAsia="zh-CN"/>
              </w:rPr>
              <w:t>腐蚀</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eastAsia" w:cs="Times New Roman"/>
                <w:sz w:val="21"/>
              </w:rPr>
            </w:pPr>
            <w:r>
              <w:rPr>
                <w:rFonts w:hint="eastAsia" w:cs="Times New Roman"/>
                <w:sz w:val="21"/>
                <w:lang w:eastAsia="zh-CN"/>
              </w:rPr>
              <w:t>次氯酸钠溶液泄漏时，若人员接触可能会腐蚀皮肤或者导致皮肤过敏，</w:t>
            </w:r>
            <w:r>
              <w:rPr>
                <w:rFonts w:hint="eastAsia" w:cs="Times New Roman"/>
                <w:sz w:val="21"/>
              </w:rPr>
              <w:t>手掌大量出汗，指甲变薄，毛发脱落</w:t>
            </w:r>
            <w:r>
              <w:rPr>
                <w:rFonts w:hint="eastAsia" w:cs="Times New Roman"/>
                <w:sz w:val="21"/>
                <w:lang w:eastAsia="zh-CN"/>
              </w:rPr>
              <w:t>等</w:t>
            </w:r>
            <w:r>
              <w:rPr>
                <w:rFonts w:hint="eastAsia" w:cs="Times New Roman"/>
                <w:sz w:val="21"/>
              </w:rPr>
              <w:t>。</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eastAsia" w:cs="Times New Roman"/>
                <w:sz w:val="21"/>
                <w:lang w:val="en-US" w:eastAsia="zh-CN"/>
              </w:rPr>
            </w:pPr>
            <w:r>
              <w:rPr>
                <w:rFonts w:hint="eastAsia" w:cs="Times New Roman"/>
                <w:sz w:val="21"/>
                <w:lang w:val="en-US" w:eastAsia="zh-CN"/>
              </w:rPr>
              <w:t>次氯酸钠溶液泄漏时，进入雨水管网，污染水体。</w:t>
            </w:r>
          </w:p>
          <w:p>
            <w:pPr>
              <w:spacing w:line="240" w:lineRule="auto"/>
              <w:ind w:firstLine="0" w:firstLineChars="0"/>
              <w:jc w:val="left"/>
              <w:rPr>
                <w:rFonts w:hint="eastAsia" w:cs="Times New Roman"/>
                <w:sz w:val="21"/>
                <w:lang w:val="en-US" w:eastAsia="zh-CN"/>
              </w:rPr>
            </w:pPr>
            <w:r>
              <w:rPr>
                <w:rFonts w:hint="eastAsia" w:cs="Times New Roman"/>
                <w:sz w:val="21"/>
                <w:lang w:val="en-US" w:eastAsia="zh-CN"/>
              </w:rPr>
              <w:t>2、中毒</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lang w:val="en-US" w:eastAsia="zh-CN"/>
              </w:rPr>
            </w:pPr>
            <w:r>
              <w:rPr>
                <w:rFonts w:hint="eastAsia" w:cs="Times New Roman"/>
                <w:sz w:val="21"/>
                <w:lang w:eastAsia="zh-CN"/>
              </w:rPr>
              <w:t>次氯酸钠</w:t>
            </w:r>
            <w:r>
              <w:rPr>
                <w:rFonts w:hint="default" w:cs="Times New Roman"/>
                <w:sz w:val="21"/>
              </w:rPr>
              <w:t>受高热分解产生有毒的腐蚀性烟气</w:t>
            </w:r>
            <w:r>
              <w:rPr>
                <w:rFonts w:hint="eastAsia" w:cs="Times New Roman"/>
                <w:sz w:val="21"/>
                <w:lang w:eastAsia="zh-CN"/>
              </w:rPr>
              <w:t>吸入体内，导致人员中毒</w:t>
            </w:r>
            <w:r>
              <w:rPr>
                <w:rFonts w:hint="default" w:cs="Times New Roman"/>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04" w:type="dxa"/>
            <w:vMerge w:val="continue"/>
            <w:vAlign w:val="center"/>
          </w:tcPr>
          <w:p>
            <w:pPr>
              <w:spacing w:line="240" w:lineRule="auto"/>
              <w:ind w:firstLine="0" w:firstLineChars="0"/>
              <w:jc w:val="center"/>
              <w:rPr>
                <w:rFonts w:cs="Times New Roman"/>
                <w:sz w:val="21"/>
              </w:rPr>
            </w:pPr>
          </w:p>
        </w:tc>
        <w:tc>
          <w:tcPr>
            <w:tcW w:w="1985" w:type="dxa"/>
            <w:vAlign w:val="center"/>
          </w:tcPr>
          <w:p>
            <w:pPr>
              <w:spacing w:line="240" w:lineRule="auto"/>
              <w:ind w:firstLine="0" w:firstLineChars="0"/>
              <w:jc w:val="center"/>
              <w:rPr>
                <w:rFonts w:hint="eastAsia" w:eastAsia="宋体" w:cs="Times New Roman"/>
                <w:sz w:val="21"/>
                <w:lang w:eastAsia="zh-CN"/>
              </w:rPr>
            </w:pPr>
            <w:r>
              <w:rPr>
                <w:rFonts w:hint="eastAsia" w:cs="Times New Roman"/>
                <w:sz w:val="21"/>
                <w:lang w:eastAsia="zh-CN"/>
              </w:rPr>
              <w:t>加药间</w:t>
            </w:r>
          </w:p>
        </w:tc>
        <w:tc>
          <w:tcPr>
            <w:tcW w:w="6429" w:type="dxa"/>
            <w:vAlign w:val="center"/>
          </w:tcPr>
          <w:p>
            <w:pPr>
              <w:spacing w:line="240" w:lineRule="auto"/>
              <w:ind w:firstLine="0" w:firstLineChars="0"/>
              <w:rPr>
                <w:rFonts w:hint="eastAsia" w:eastAsia="宋体" w:cs="Times New Roman"/>
                <w:sz w:val="21"/>
                <w:lang w:eastAsia="zh-CN"/>
              </w:rPr>
            </w:pPr>
            <w:r>
              <w:rPr>
                <w:rFonts w:hint="eastAsia" w:cs="Times New Roman"/>
                <w:sz w:val="21"/>
              </w:rPr>
              <w:t>1、</w:t>
            </w:r>
            <w:r>
              <w:rPr>
                <w:rFonts w:hint="eastAsia" w:cs="Times New Roman"/>
                <w:sz w:val="21"/>
                <w:lang w:eastAsia="zh-CN"/>
              </w:rPr>
              <w:t>腐蚀</w:t>
            </w:r>
          </w:p>
          <w:p>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textAlignment w:val="auto"/>
              <w:rPr>
                <w:rFonts w:hint="eastAsia" w:cs="Times New Roman"/>
                <w:sz w:val="21"/>
              </w:rPr>
            </w:pPr>
            <w:r>
              <w:rPr>
                <w:rFonts w:hint="eastAsia" w:cs="Times New Roman"/>
                <w:sz w:val="21"/>
                <w:lang w:eastAsia="zh-CN"/>
              </w:rPr>
              <w:t>次氯酸钠溶液泄漏时，若人员接触可能会腐蚀皮肤或者导致皮肤过敏，</w:t>
            </w:r>
            <w:r>
              <w:rPr>
                <w:rFonts w:hint="eastAsia" w:cs="Times New Roman"/>
                <w:sz w:val="21"/>
              </w:rPr>
              <w:t>手掌大量出汗，指甲变薄，毛发脱落</w:t>
            </w:r>
            <w:r>
              <w:rPr>
                <w:rFonts w:hint="eastAsia" w:cs="Times New Roman"/>
                <w:sz w:val="21"/>
                <w:lang w:eastAsia="zh-CN"/>
              </w:rPr>
              <w:t>等</w:t>
            </w:r>
            <w:r>
              <w:rPr>
                <w:rFonts w:hint="eastAsia" w:cs="Times New Roman"/>
                <w:sz w:val="21"/>
              </w:rPr>
              <w:t>。</w:t>
            </w:r>
          </w:p>
          <w:p>
            <w:pPr>
              <w:spacing w:line="240" w:lineRule="auto"/>
              <w:ind w:firstLine="312" w:firstLineChars="149"/>
              <w:jc w:val="left"/>
              <w:rPr>
                <w:rFonts w:hint="eastAsia" w:cs="Times New Roman"/>
                <w:sz w:val="21"/>
                <w:lang w:eastAsia="zh-CN"/>
              </w:rPr>
            </w:pPr>
            <w:r>
              <w:rPr>
                <w:rFonts w:hint="eastAsia" w:cs="Times New Roman"/>
                <w:sz w:val="21"/>
                <w:lang w:val="en-US" w:eastAsia="zh-CN"/>
              </w:rPr>
              <w:t>次氯酸钠溶液泄漏时，进入雨水管网，污染水体。</w:t>
            </w:r>
          </w:p>
        </w:tc>
      </w:tr>
    </w:tbl>
    <w:p>
      <w:pPr>
        <w:pStyle w:val="5"/>
        <w:numPr>
          <w:ilvl w:val="1"/>
          <w:numId w:val="0"/>
        </w:numPr>
        <w:bidi w:val="0"/>
        <w:ind w:leftChars="0"/>
      </w:pPr>
      <w:bookmarkStart w:id="257" w:name="_Toc14586"/>
      <w:bookmarkStart w:id="258" w:name="_Toc527104519"/>
      <w:r>
        <w:rPr>
          <w:rFonts w:hint="eastAsia"/>
          <w:lang w:val="en-US" w:eastAsia="zh-CN"/>
        </w:rPr>
        <w:t>4.2</w:t>
      </w:r>
      <w:r>
        <w:rPr>
          <w:rFonts w:hint="eastAsia"/>
        </w:rPr>
        <w:t>突发环境事件情景源强分析</w:t>
      </w:r>
      <w:bookmarkEnd w:id="257"/>
      <w:bookmarkEnd w:id="258"/>
    </w:p>
    <w:p>
      <w:pPr>
        <w:ind w:firstLine="560"/>
      </w:pPr>
      <w:r>
        <w:rPr>
          <w:rFonts w:hint="eastAsia"/>
        </w:rPr>
        <w:t>本公司风险物质</w:t>
      </w:r>
      <w:r>
        <w:rPr>
          <w:rFonts w:hint="eastAsia"/>
          <w:lang w:val="en-US" w:eastAsia="zh-CN"/>
        </w:rPr>
        <w:t>铬酸钾</w:t>
      </w:r>
      <w:r>
        <w:rPr>
          <w:rFonts w:hint="eastAsia"/>
          <w:lang w:eastAsia="zh-CN"/>
        </w:rPr>
        <w:t>、乙二胺</w:t>
      </w:r>
      <w:r>
        <w:rPr>
          <w:rFonts w:hint="eastAsia"/>
        </w:rPr>
        <w:t>使用量较小，且分别贮存在瓶中，发生泄漏时源强也比较小，不做定量分析。</w:t>
      </w:r>
    </w:p>
    <w:p>
      <w:pPr>
        <w:ind w:firstLine="560"/>
      </w:pPr>
      <w:r>
        <w:rPr>
          <w:rFonts w:hint="eastAsia"/>
        </w:rPr>
        <w:t>本次评价以</w:t>
      </w:r>
      <w:r>
        <w:rPr>
          <w:rFonts w:hint="eastAsia"/>
          <w:lang w:eastAsia="zh-CN"/>
        </w:rPr>
        <w:t>次氯酸钠溶液</w:t>
      </w:r>
      <w:r>
        <w:rPr>
          <w:rFonts w:hint="eastAsia"/>
        </w:rPr>
        <w:t>发生泄漏进行分析。</w:t>
      </w:r>
    </w:p>
    <w:p>
      <w:pPr>
        <w:ind w:firstLine="560"/>
      </w:pPr>
      <w:r>
        <w:rPr>
          <w:rFonts w:hint="eastAsia"/>
          <w:lang w:eastAsia="zh-CN"/>
        </w:rPr>
        <w:t>次氯酸钠溶液</w:t>
      </w:r>
      <w:r>
        <w:rPr>
          <w:rFonts w:hint="eastAsia"/>
        </w:rPr>
        <w:t>的理化性质详见</w:t>
      </w:r>
      <w:r>
        <w:fldChar w:fldCharType="begin"/>
      </w:r>
      <w:r>
        <w:instrText xml:space="preserve"> </w:instrText>
      </w:r>
      <w:r>
        <w:rPr>
          <w:rFonts w:hint="eastAsia"/>
        </w:rPr>
        <w:instrText xml:space="preserve">REF _Ref526866008 \h</w:instrText>
      </w:r>
      <w:r>
        <w:instrText xml:space="preserve"> </w:instrText>
      </w:r>
      <w:r>
        <w:fldChar w:fldCharType="separate"/>
      </w:r>
      <w:r>
        <w:rPr>
          <w:rFonts w:hint="eastAsia"/>
        </w:rPr>
        <w:t xml:space="preserve">表 </w:t>
      </w:r>
      <w:r>
        <w:t>4</w:t>
      </w:r>
      <w:r>
        <w:noBreakHyphen/>
      </w:r>
      <w:r>
        <w:t>2</w:t>
      </w:r>
      <w:r>
        <w:fldChar w:fldCharType="end"/>
      </w:r>
      <w:r>
        <w:rPr>
          <w:rFonts w:hint="eastAsia"/>
        </w:rPr>
        <w:t>。</w:t>
      </w:r>
    </w:p>
    <w:p>
      <w:pPr>
        <w:widowControl/>
        <w:spacing w:line="240" w:lineRule="auto"/>
        <w:ind w:firstLine="0" w:firstLineChars="0"/>
        <w:jc w:val="center"/>
      </w:pPr>
      <w:bookmarkStart w:id="259" w:name="_Ref526866008"/>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2</w:t>
      </w:r>
      <w:r>
        <w:fldChar w:fldCharType="end"/>
      </w:r>
      <w:bookmarkEnd w:id="259"/>
      <w:r>
        <w:rPr>
          <w:rFonts w:hint="eastAsia"/>
          <w:lang w:eastAsia="zh-CN"/>
        </w:rPr>
        <w:t>次氯酸钠溶液的</w:t>
      </w:r>
      <w:r>
        <w:rPr>
          <w:rFonts w:hint="eastAsia"/>
        </w:rPr>
        <w:t>理化性质</w:t>
      </w:r>
    </w:p>
    <w:tbl>
      <w:tblPr>
        <w:tblStyle w:val="15"/>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56"/>
        <w:gridCol w:w="3454"/>
        <w:gridCol w:w="2687"/>
        <w:gridCol w:w="268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6" w:type="dxa"/>
            <w:vMerge w:val="restart"/>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标识</w:t>
            </w:r>
          </w:p>
        </w:tc>
        <w:tc>
          <w:tcPr>
            <w:tcW w:w="3454" w:type="dxa"/>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中文名：次氯酸钠溶液</w:t>
            </w:r>
          </w:p>
        </w:tc>
        <w:tc>
          <w:tcPr>
            <w:tcW w:w="5376" w:type="dxa"/>
            <w:gridSpan w:val="2"/>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英文名：sodium hypochlorite solution</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6" w:type="dxa"/>
            <w:vMerge w:val="continue"/>
            <w:noWrap w:val="0"/>
            <w:vAlign w:val="top"/>
          </w:tcPr>
          <w:p>
            <w:pPr>
              <w:tabs>
                <w:tab w:val="right" w:pos="8306"/>
              </w:tabs>
              <w:spacing w:line="0" w:lineRule="atLeast"/>
              <w:rPr>
                <w:rFonts w:hint="default" w:ascii="Times New Roman" w:hAnsi="Times New Roman" w:cs="Times New Roman"/>
                <w:color w:val="000000"/>
                <w:sz w:val="21"/>
                <w:szCs w:val="21"/>
              </w:rPr>
            </w:pPr>
          </w:p>
        </w:tc>
        <w:tc>
          <w:tcPr>
            <w:tcW w:w="3454" w:type="dxa"/>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分子式：NaClO</w:t>
            </w:r>
          </w:p>
        </w:tc>
        <w:tc>
          <w:tcPr>
            <w:tcW w:w="2687" w:type="dxa"/>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分子量：74.44</w:t>
            </w:r>
          </w:p>
        </w:tc>
        <w:tc>
          <w:tcPr>
            <w:tcW w:w="2689" w:type="dxa"/>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UN编号：1791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6" w:type="dxa"/>
            <w:vMerge w:val="continue"/>
            <w:noWrap w:val="0"/>
            <w:vAlign w:val="top"/>
          </w:tcPr>
          <w:p>
            <w:pPr>
              <w:tabs>
                <w:tab w:val="right" w:pos="8306"/>
              </w:tabs>
              <w:spacing w:line="0" w:lineRule="atLeast"/>
              <w:rPr>
                <w:rFonts w:hint="default" w:ascii="Times New Roman" w:hAnsi="Times New Roman" w:cs="Times New Roman"/>
                <w:color w:val="000000"/>
                <w:sz w:val="21"/>
                <w:szCs w:val="21"/>
              </w:rPr>
            </w:pPr>
          </w:p>
        </w:tc>
        <w:tc>
          <w:tcPr>
            <w:tcW w:w="3454" w:type="dxa"/>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危规号：83501</w:t>
            </w:r>
          </w:p>
        </w:tc>
        <w:tc>
          <w:tcPr>
            <w:tcW w:w="2687" w:type="dxa"/>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 xml:space="preserve">RTECS号：NH3486000    </w:t>
            </w:r>
          </w:p>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NH3486300</w:t>
            </w:r>
          </w:p>
        </w:tc>
        <w:tc>
          <w:tcPr>
            <w:tcW w:w="2689" w:type="dxa"/>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CAS编号：7681-52-9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6" w:type="dxa"/>
            <w:vMerge w:val="restart"/>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理化性质</w:t>
            </w:r>
          </w:p>
        </w:tc>
        <w:tc>
          <w:tcPr>
            <w:tcW w:w="8830" w:type="dxa"/>
            <w:gridSpan w:val="3"/>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外观与性状：微黄色液体，有似氯气的气味。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6" w:type="dxa"/>
            <w:vMerge w:val="continue"/>
            <w:noWrap w:val="0"/>
            <w:vAlign w:val="top"/>
          </w:tcPr>
          <w:p>
            <w:pPr>
              <w:tabs>
                <w:tab w:val="right" w:pos="8306"/>
              </w:tabs>
              <w:spacing w:line="0" w:lineRule="atLeast"/>
              <w:rPr>
                <w:rFonts w:hint="default" w:ascii="Times New Roman" w:hAnsi="Times New Roman" w:cs="Times New Roman"/>
                <w:color w:val="000000"/>
                <w:sz w:val="21"/>
                <w:szCs w:val="21"/>
              </w:rPr>
            </w:pPr>
          </w:p>
        </w:tc>
        <w:tc>
          <w:tcPr>
            <w:tcW w:w="3454" w:type="dxa"/>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熔点(℃)：-6</w:t>
            </w:r>
          </w:p>
        </w:tc>
        <w:tc>
          <w:tcPr>
            <w:tcW w:w="5376" w:type="dxa"/>
            <w:gridSpan w:val="2"/>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相对密度（水=1）：1.10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6" w:type="dxa"/>
            <w:vMerge w:val="continue"/>
            <w:noWrap w:val="0"/>
            <w:vAlign w:val="top"/>
          </w:tcPr>
          <w:p>
            <w:pPr>
              <w:tabs>
                <w:tab w:val="right" w:pos="8306"/>
              </w:tabs>
              <w:spacing w:line="0" w:lineRule="atLeast"/>
              <w:rPr>
                <w:rFonts w:hint="default" w:ascii="Times New Roman" w:hAnsi="Times New Roman" w:cs="Times New Roman"/>
                <w:color w:val="000000"/>
                <w:sz w:val="21"/>
                <w:szCs w:val="21"/>
              </w:rPr>
            </w:pPr>
          </w:p>
        </w:tc>
        <w:tc>
          <w:tcPr>
            <w:tcW w:w="3454" w:type="dxa"/>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沸点(℃)：102.2</w:t>
            </w:r>
          </w:p>
        </w:tc>
        <w:tc>
          <w:tcPr>
            <w:tcW w:w="5376" w:type="dxa"/>
            <w:gridSpan w:val="2"/>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相对密度（空气=1）：无资料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6" w:type="dxa"/>
            <w:vMerge w:val="continue"/>
            <w:noWrap w:val="0"/>
            <w:vAlign w:val="top"/>
          </w:tcPr>
          <w:p>
            <w:pPr>
              <w:tabs>
                <w:tab w:val="right" w:pos="8306"/>
              </w:tabs>
              <w:spacing w:line="0" w:lineRule="atLeast"/>
              <w:rPr>
                <w:rFonts w:hint="default" w:ascii="Times New Roman" w:hAnsi="Times New Roman" w:cs="Times New Roman"/>
                <w:color w:val="000000"/>
                <w:sz w:val="21"/>
                <w:szCs w:val="21"/>
              </w:rPr>
            </w:pPr>
          </w:p>
        </w:tc>
        <w:tc>
          <w:tcPr>
            <w:tcW w:w="3454" w:type="dxa"/>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饱和蒸气压(kPa)：无资料</w:t>
            </w:r>
          </w:p>
        </w:tc>
        <w:tc>
          <w:tcPr>
            <w:tcW w:w="5376" w:type="dxa"/>
            <w:gridSpan w:val="2"/>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辛醇/水分配系数的对数值：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6" w:type="dxa"/>
            <w:vMerge w:val="continue"/>
            <w:noWrap w:val="0"/>
            <w:vAlign w:val="top"/>
          </w:tcPr>
          <w:p>
            <w:pPr>
              <w:tabs>
                <w:tab w:val="right" w:pos="8306"/>
              </w:tabs>
              <w:spacing w:line="0" w:lineRule="atLeast"/>
              <w:rPr>
                <w:rFonts w:hint="default" w:ascii="Times New Roman" w:hAnsi="Times New Roman" w:cs="Times New Roman"/>
                <w:color w:val="000000"/>
                <w:sz w:val="21"/>
                <w:szCs w:val="21"/>
              </w:rPr>
            </w:pPr>
          </w:p>
        </w:tc>
        <w:tc>
          <w:tcPr>
            <w:tcW w:w="3454" w:type="dxa"/>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临界温度(℃)：</w:t>
            </w:r>
          </w:p>
        </w:tc>
        <w:tc>
          <w:tcPr>
            <w:tcW w:w="5376" w:type="dxa"/>
            <w:gridSpan w:val="2"/>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燃烧热(kJ/mol)：无意义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6" w:type="dxa"/>
            <w:vMerge w:val="continue"/>
            <w:noWrap w:val="0"/>
            <w:vAlign w:val="top"/>
          </w:tcPr>
          <w:p>
            <w:pPr>
              <w:tabs>
                <w:tab w:val="right" w:pos="8306"/>
              </w:tabs>
              <w:spacing w:line="0" w:lineRule="atLeast"/>
              <w:rPr>
                <w:rFonts w:hint="default" w:ascii="Times New Roman" w:hAnsi="Times New Roman" w:cs="Times New Roman"/>
                <w:color w:val="000000"/>
                <w:sz w:val="21"/>
                <w:szCs w:val="21"/>
              </w:rPr>
            </w:pPr>
          </w:p>
        </w:tc>
        <w:tc>
          <w:tcPr>
            <w:tcW w:w="3454" w:type="dxa"/>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临界压力(MPa)：</w:t>
            </w:r>
          </w:p>
        </w:tc>
        <w:tc>
          <w:tcPr>
            <w:tcW w:w="5376" w:type="dxa"/>
            <w:gridSpan w:val="2"/>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折射率：无资料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6" w:type="dxa"/>
            <w:vMerge w:val="continue"/>
            <w:noWrap w:val="0"/>
            <w:vAlign w:val="top"/>
          </w:tcPr>
          <w:p>
            <w:pPr>
              <w:tabs>
                <w:tab w:val="right" w:pos="8306"/>
              </w:tabs>
              <w:spacing w:line="0" w:lineRule="atLeast"/>
              <w:rPr>
                <w:rFonts w:hint="default" w:ascii="Times New Roman" w:hAnsi="Times New Roman" w:cs="Times New Roman"/>
                <w:color w:val="000000"/>
                <w:sz w:val="21"/>
                <w:szCs w:val="21"/>
              </w:rPr>
            </w:pPr>
          </w:p>
        </w:tc>
        <w:tc>
          <w:tcPr>
            <w:tcW w:w="3454" w:type="dxa"/>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最小点火能(mJ)：无意义</w:t>
            </w:r>
          </w:p>
        </w:tc>
        <w:tc>
          <w:tcPr>
            <w:tcW w:w="5376" w:type="dxa"/>
            <w:gridSpan w:val="2"/>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溶解性：溶于水。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6" w:type="dxa"/>
            <w:vMerge w:val="restart"/>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燃爆性及消防</w:t>
            </w:r>
          </w:p>
        </w:tc>
        <w:tc>
          <w:tcPr>
            <w:tcW w:w="3454" w:type="dxa"/>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燃烧性：不燃</w:t>
            </w:r>
          </w:p>
        </w:tc>
        <w:tc>
          <w:tcPr>
            <w:tcW w:w="5376" w:type="dxa"/>
            <w:gridSpan w:val="2"/>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 xml:space="preserve">稳定性：不稳定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6" w:type="dxa"/>
            <w:vMerge w:val="continue"/>
            <w:noWrap w:val="0"/>
            <w:vAlign w:val="center"/>
          </w:tcPr>
          <w:p>
            <w:pPr>
              <w:tabs>
                <w:tab w:val="right" w:pos="8306"/>
              </w:tabs>
              <w:spacing w:line="0" w:lineRule="atLeast"/>
              <w:rPr>
                <w:rFonts w:hint="default" w:ascii="Times New Roman" w:hAnsi="Times New Roman" w:cs="Times New Roman"/>
                <w:color w:val="000000"/>
                <w:sz w:val="21"/>
                <w:szCs w:val="21"/>
              </w:rPr>
            </w:pPr>
          </w:p>
        </w:tc>
        <w:tc>
          <w:tcPr>
            <w:tcW w:w="3454" w:type="dxa"/>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引燃温度：无意义</w:t>
            </w:r>
          </w:p>
        </w:tc>
        <w:tc>
          <w:tcPr>
            <w:tcW w:w="5376" w:type="dxa"/>
            <w:gridSpan w:val="2"/>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聚合危害：不聚合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6" w:type="dxa"/>
            <w:vMerge w:val="continue"/>
            <w:noWrap w:val="0"/>
            <w:vAlign w:val="top"/>
          </w:tcPr>
          <w:p>
            <w:pPr>
              <w:tabs>
                <w:tab w:val="right" w:pos="8306"/>
              </w:tabs>
              <w:spacing w:line="0" w:lineRule="atLeast"/>
              <w:rPr>
                <w:rFonts w:hint="default" w:ascii="Times New Roman" w:hAnsi="Times New Roman" w:cs="Times New Roman"/>
                <w:color w:val="000000"/>
                <w:sz w:val="21"/>
                <w:szCs w:val="21"/>
              </w:rPr>
            </w:pPr>
          </w:p>
        </w:tc>
        <w:tc>
          <w:tcPr>
            <w:tcW w:w="3454" w:type="dxa"/>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 xml:space="preserve">闪点(℃)：无意义   </w:t>
            </w:r>
          </w:p>
        </w:tc>
        <w:tc>
          <w:tcPr>
            <w:tcW w:w="5376" w:type="dxa"/>
            <w:gridSpan w:val="2"/>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避免接触的条件：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6" w:type="dxa"/>
            <w:vMerge w:val="continue"/>
            <w:noWrap w:val="0"/>
            <w:vAlign w:val="top"/>
          </w:tcPr>
          <w:p>
            <w:pPr>
              <w:tabs>
                <w:tab w:val="right" w:pos="8306"/>
              </w:tabs>
              <w:spacing w:line="0" w:lineRule="atLeast"/>
              <w:rPr>
                <w:rFonts w:hint="default" w:ascii="Times New Roman" w:hAnsi="Times New Roman" w:cs="Times New Roman"/>
                <w:color w:val="000000"/>
                <w:sz w:val="21"/>
                <w:szCs w:val="21"/>
              </w:rPr>
            </w:pPr>
          </w:p>
        </w:tc>
        <w:tc>
          <w:tcPr>
            <w:tcW w:w="3454" w:type="dxa"/>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爆炸极限(V%)：无意义</w:t>
            </w:r>
          </w:p>
        </w:tc>
        <w:tc>
          <w:tcPr>
            <w:tcW w:w="5376" w:type="dxa"/>
            <w:gridSpan w:val="2"/>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禁忌物：碱类。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6" w:type="dxa"/>
            <w:vMerge w:val="continue"/>
            <w:noWrap w:val="0"/>
            <w:vAlign w:val="top"/>
          </w:tcPr>
          <w:p>
            <w:pPr>
              <w:tabs>
                <w:tab w:val="right" w:pos="8306"/>
              </w:tabs>
              <w:spacing w:line="0" w:lineRule="atLeast"/>
              <w:rPr>
                <w:rFonts w:hint="default" w:ascii="Times New Roman" w:hAnsi="Times New Roman" w:cs="Times New Roman"/>
                <w:color w:val="000000"/>
                <w:sz w:val="21"/>
                <w:szCs w:val="21"/>
              </w:rPr>
            </w:pPr>
          </w:p>
        </w:tc>
        <w:tc>
          <w:tcPr>
            <w:tcW w:w="3454" w:type="dxa"/>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最大爆炸压力(MPa)：无意义</w:t>
            </w:r>
          </w:p>
        </w:tc>
        <w:tc>
          <w:tcPr>
            <w:tcW w:w="5376" w:type="dxa"/>
            <w:gridSpan w:val="2"/>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燃烧(分解)产物：氯化物。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6" w:type="dxa"/>
            <w:vMerge w:val="continue"/>
            <w:noWrap w:val="0"/>
            <w:vAlign w:val="top"/>
          </w:tcPr>
          <w:p>
            <w:pPr>
              <w:tabs>
                <w:tab w:val="right" w:pos="8306"/>
              </w:tabs>
              <w:spacing w:line="0" w:lineRule="atLeast"/>
              <w:rPr>
                <w:rFonts w:hint="default" w:ascii="Times New Roman" w:hAnsi="Times New Roman" w:cs="Times New Roman"/>
                <w:color w:val="000000"/>
                <w:sz w:val="21"/>
                <w:szCs w:val="21"/>
              </w:rPr>
            </w:pPr>
          </w:p>
        </w:tc>
        <w:tc>
          <w:tcPr>
            <w:tcW w:w="8830" w:type="dxa"/>
            <w:gridSpan w:val="3"/>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危险特性：受高热分解产生有毒的腐蚀性烟气。具有腐蚀性。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6" w:type="dxa"/>
            <w:vMerge w:val="continue"/>
            <w:noWrap w:val="0"/>
            <w:vAlign w:val="top"/>
          </w:tcPr>
          <w:p>
            <w:pPr>
              <w:tabs>
                <w:tab w:val="right" w:pos="8306"/>
              </w:tabs>
              <w:spacing w:line="0" w:lineRule="atLeast"/>
              <w:rPr>
                <w:rFonts w:hint="default" w:ascii="Times New Roman" w:hAnsi="Times New Roman" w:cs="Times New Roman"/>
                <w:color w:val="000000"/>
                <w:sz w:val="21"/>
                <w:szCs w:val="21"/>
              </w:rPr>
            </w:pPr>
          </w:p>
        </w:tc>
        <w:tc>
          <w:tcPr>
            <w:tcW w:w="8830" w:type="dxa"/>
            <w:gridSpan w:val="3"/>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灭火方法：灭火剂：雾状水、二氧化碳、砂土。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6" w:type="dxa"/>
            <w:vMerge w:val="restart"/>
            <w:noWrap w:val="0"/>
            <w:vAlign w:val="top"/>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毒性及健康危害</w:t>
            </w:r>
          </w:p>
        </w:tc>
        <w:tc>
          <w:tcPr>
            <w:tcW w:w="8830" w:type="dxa"/>
            <w:gridSpan w:val="3"/>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接触限值：中国：未制定标准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6" w:type="dxa"/>
            <w:vMerge w:val="continue"/>
            <w:noWrap w:val="0"/>
            <w:vAlign w:val="top"/>
          </w:tcPr>
          <w:p>
            <w:pPr>
              <w:tabs>
                <w:tab w:val="right" w:pos="8306"/>
              </w:tabs>
              <w:spacing w:line="0" w:lineRule="atLeast"/>
              <w:rPr>
                <w:rFonts w:hint="default" w:ascii="Times New Roman" w:hAnsi="Times New Roman" w:cs="Times New Roman"/>
                <w:color w:val="000000"/>
                <w:sz w:val="21"/>
                <w:szCs w:val="21"/>
              </w:rPr>
            </w:pPr>
          </w:p>
        </w:tc>
        <w:tc>
          <w:tcPr>
            <w:tcW w:w="8830" w:type="dxa"/>
            <w:gridSpan w:val="3"/>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 xml:space="preserve">急性毒性：LD50 8500mg/kg(小鼠经口)     </w:t>
            </w:r>
          </w:p>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LC50 无资料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6" w:type="dxa"/>
            <w:vMerge w:val="continue"/>
            <w:noWrap w:val="0"/>
            <w:vAlign w:val="top"/>
          </w:tcPr>
          <w:p>
            <w:pPr>
              <w:tabs>
                <w:tab w:val="right" w:pos="8306"/>
              </w:tabs>
              <w:spacing w:line="0" w:lineRule="atLeast"/>
              <w:rPr>
                <w:rFonts w:hint="default" w:ascii="Times New Roman" w:hAnsi="Times New Roman" w:cs="Times New Roman"/>
                <w:color w:val="000000"/>
                <w:sz w:val="21"/>
                <w:szCs w:val="21"/>
              </w:rPr>
            </w:pPr>
          </w:p>
        </w:tc>
        <w:tc>
          <w:tcPr>
            <w:tcW w:w="8830" w:type="dxa"/>
            <w:gridSpan w:val="3"/>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侵入途径：吸入、食入。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6" w:type="dxa"/>
            <w:vMerge w:val="continue"/>
            <w:noWrap w:val="0"/>
            <w:vAlign w:val="top"/>
          </w:tcPr>
          <w:p>
            <w:pPr>
              <w:tabs>
                <w:tab w:val="right" w:pos="8306"/>
              </w:tabs>
              <w:spacing w:line="0" w:lineRule="atLeast"/>
              <w:rPr>
                <w:rFonts w:hint="default" w:ascii="Times New Roman" w:hAnsi="Times New Roman" w:cs="Times New Roman"/>
                <w:color w:val="000000"/>
                <w:sz w:val="21"/>
                <w:szCs w:val="21"/>
              </w:rPr>
            </w:pPr>
          </w:p>
        </w:tc>
        <w:tc>
          <w:tcPr>
            <w:tcW w:w="8830" w:type="dxa"/>
            <w:gridSpan w:val="3"/>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健康危害：经常用手接触本品的工人，手掌大量出汗，指甲变薄，毛发脱落。本品有致敏作用。本品放出的游离氯有可能引起中毒。</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6" w:type="dxa"/>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急救</w:t>
            </w:r>
          </w:p>
        </w:tc>
        <w:tc>
          <w:tcPr>
            <w:tcW w:w="8830" w:type="dxa"/>
            <w:gridSpan w:val="3"/>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皮肤接触：脱去被污染的衣着，用大量流动清水冲洗。</w:t>
            </w:r>
          </w:p>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眼睛接触：提起眼睑，用流动清水或生理盐水冲洗。就医。</w:t>
            </w:r>
          </w:p>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 xml:space="preserve">吸入：迅速脱离现场至空气新鲜处。保持呼吸道通畅。如呼吸有困难，给输氧。如呼吸停止，立即进行人工呼吸。就医。  </w:t>
            </w:r>
          </w:p>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食入：饮足量温水，催吐。就医。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6" w:type="dxa"/>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防护</w:t>
            </w:r>
          </w:p>
        </w:tc>
        <w:tc>
          <w:tcPr>
            <w:tcW w:w="8830" w:type="dxa"/>
            <w:gridSpan w:val="3"/>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 xml:space="preserve">检测方法：         </w:t>
            </w:r>
          </w:p>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工程控制：生产过程密闭，全面通风。提供安全淋浴和洗眼设备。</w:t>
            </w:r>
          </w:p>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呼吸系统防护：高浓度环境中，应该佩戴直接式防毒面具（半面罩）。</w:t>
            </w:r>
          </w:p>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眼睛防护：戴化学安全防护眼镜。</w:t>
            </w:r>
          </w:p>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身体防护：穿防腐工作服。</w:t>
            </w:r>
          </w:p>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手防护：戴橡胶手套。</w:t>
            </w:r>
          </w:p>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其它：工作现场禁止吸烟、进食和饮水。工作毕，淋浴更衣。注意个人清洁卫生。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6" w:type="dxa"/>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泄漏处理</w:t>
            </w:r>
          </w:p>
        </w:tc>
        <w:tc>
          <w:tcPr>
            <w:tcW w:w="8830" w:type="dxa"/>
            <w:gridSpan w:val="3"/>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迅速撤离泄漏污染区人员至安全区，并进行隔离，严格限制出入。建议应急处理人员戴自给正压式呼吸器，穿一般作业工作服。不要直接接触泄漏物，尽可能切断泄漏源，防止进入下水道、排洪沟等限制性空间。小量泄漏：用砂土、蛭石或其它惰性材料吸收。大量泄漏：构筑围堤或挖坑收容；用泡沫覆盖，降低蒸气灾害。用泵转移至槽车或专用收集器内，回收或运至废物处理场所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6" w:type="dxa"/>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储运</w:t>
            </w:r>
          </w:p>
        </w:tc>
        <w:tc>
          <w:tcPr>
            <w:tcW w:w="8830" w:type="dxa"/>
            <w:gridSpan w:val="3"/>
            <w:noWrap w:val="0"/>
            <w:vAlign w:val="center"/>
          </w:tcPr>
          <w:p>
            <w:pPr>
              <w:tabs>
                <w:tab w:val="right" w:pos="8306"/>
              </w:tabs>
              <w:spacing w:line="0" w:lineRule="atLeas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储存于阴凉、干燥、通风良好的库房。远离火种和热源。防止阳光直射。应与还原剂、易燃或可燃物、酸类、碱类等分开存放。分装和搬运作业要注意个人防护。搬运时要轻装轻卸，防止包装及容器损坏。</w:t>
            </w:r>
          </w:p>
        </w:tc>
      </w:tr>
    </w:tbl>
    <w:p>
      <w:pPr>
        <w:ind w:firstLine="560"/>
        <w:rPr>
          <w:rFonts w:hint="eastAsia" w:eastAsia="宋体"/>
          <w:b/>
          <w:bCs/>
          <w:highlight w:val="none"/>
          <w:lang w:eastAsia="zh-CN"/>
        </w:rPr>
      </w:pPr>
      <w:r>
        <w:rPr>
          <w:rFonts w:hint="eastAsia"/>
          <w:b/>
          <w:bCs/>
          <w:highlight w:val="none"/>
          <w:lang w:eastAsia="zh-CN"/>
        </w:rPr>
        <w:t>次氯酸钠溶液</w:t>
      </w:r>
      <w:r>
        <w:rPr>
          <w:rFonts w:hint="eastAsia"/>
          <w:b/>
          <w:bCs/>
          <w:highlight w:val="none"/>
        </w:rPr>
        <w:t>泄漏源强分析</w:t>
      </w:r>
      <w:r>
        <w:rPr>
          <w:rFonts w:hint="eastAsia"/>
          <w:b/>
          <w:bCs/>
          <w:highlight w:val="none"/>
          <w:lang w:eastAsia="zh-CN"/>
        </w:rPr>
        <w:t>：</w:t>
      </w:r>
    </w:p>
    <w:p>
      <w:pPr>
        <w:ind w:firstLine="560"/>
      </w:pPr>
      <w:bookmarkStart w:id="260" w:name="_Toc527104520"/>
      <w:r>
        <w:rPr>
          <w:rFonts w:hint="eastAsia"/>
          <w:lang w:eastAsia="zh-CN"/>
        </w:rPr>
        <w:t>次氯酸钠溶液</w:t>
      </w:r>
      <w:r>
        <w:rPr>
          <w:rFonts w:hint="eastAsia"/>
        </w:rPr>
        <w:t>泄漏采用液体泄漏速度Q</w:t>
      </w:r>
      <w:r>
        <w:rPr>
          <w:vertAlign w:val="subscript"/>
        </w:rPr>
        <w:t>L</w:t>
      </w:r>
      <w:r>
        <w:rPr>
          <w:rFonts w:hint="eastAsia"/>
        </w:rPr>
        <w:t>（用伯努利方程计算）进行源强计算。计算公式如下：</w:t>
      </w:r>
    </w:p>
    <w:p>
      <w:pPr>
        <w:ind w:firstLine="560"/>
      </w:pPr>
      <w:r>
        <w:drawing>
          <wp:inline distT="0" distB="0" distL="0" distR="0">
            <wp:extent cx="2091055" cy="499110"/>
            <wp:effectExtent l="0" t="0" r="4445" b="1524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50"/>
                    <a:stretch>
                      <a:fillRect/>
                    </a:stretch>
                  </pic:blipFill>
                  <pic:spPr>
                    <a:xfrm>
                      <a:off x="0" y="0"/>
                      <a:ext cx="2131985" cy="509020"/>
                    </a:xfrm>
                    <a:prstGeom prst="rect">
                      <a:avLst/>
                    </a:prstGeom>
                  </pic:spPr>
                </pic:pic>
              </a:graphicData>
            </a:graphic>
          </wp:inline>
        </w:drawing>
      </w:r>
    </w:p>
    <w:p>
      <w:pPr>
        <w:spacing w:line="240" w:lineRule="auto"/>
        <w:ind w:firstLine="560"/>
      </w:pPr>
      <w:r>
        <w:rPr>
          <w:rFonts w:hint="eastAsia"/>
        </w:rPr>
        <w:t>式中：Q</w:t>
      </w:r>
      <w:r>
        <w:rPr>
          <w:rFonts w:hint="eastAsia"/>
          <w:vertAlign w:val="subscript"/>
        </w:rPr>
        <w:t>L</w:t>
      </w:r>
      <w:r>
        <w:rPr>
          <w:rFonts w:hint="eastAsia"/>
        </w:rPr>
        <w:t>——液体泄漏速度，kg/s；</w:t>
      </w:r>
    </w:p>
    <w:p>
      <w:pPr>
        <w:spacing w:line="240" w:lineRule="auto"/>
        <w:ind w:firstLine="1416" w:firstLineChars="506"/>
      </w:pPr>
      <w:r>
        <w:rPr>
          <w:rFonts w:hint="eastAsia"/>
        </w:rPr>
        <w:t>C</w:t>
      </w:r>
      <w:r>
        <w:rPr>
          <w:rFonts w:hint="eastAsia"/>
          <w:vertAlign w:val="subscript"/>
        </w:rPr>
        <w:t>d</w:t>
      </w:r>
      <w:r>
        <w:rPr>
          <w:rFonts w:hint="eastAsia"/>
        </w:rPr>
        <w:t>——液体泄漏系数，此值常用0.6-0.64。</w:t>
      </w:r>
    </w:p>
    <w:p>
      <w:pPr>
        <w:spacing w:line="240" w:lineRule="auto"/>
        <w:ind w:firstLine="1416" w:firstLineChars="506"/>
      </w:pPr>
      <w:r>
        <w:rPr>
          <w:rFonts w:hint="eastAsia"/>
        </w:rPr>
        <w:t>A——裂口面积，m</w:t>
      </w:r>
      <w:r>
        <w:rPr>
          <w:rFonts w:hint="eastAsia"/>
          <w:vertAlign w:val="superscript"/>
        </w:rPr>
        <w:t>2</w:t>
      </w:r>
      <w:r>
        <w:rPr>
          <w:rFonts w:hint="eastAsia"/>
        </w:rPr>
        <w:t>；</w:t>
      </w:r>
    </w:p>
    <w:p>
      <w:pPr>
        <w:spacing w:line="240" w:lineRule="auto"/>
        <w:ind w:firstLine="1416" w:firstLineChars="506"/>
      </w:pPr>
      <w:r>
        <w:rPr>
          <w:rFonts w:hint="eastAsia"/>
        </w:rPr>
        <w:t>ρ——泄漏液体密度，kg/m</w:t>
      </w:r>
      <w:r>
        <w:rPr>
          <w:rFonts w:hint="eastAsia"/>
          <w:vertAlign w:val="superscript"/>
        </w:rPr>
        <w:t>3</w:t>
      </w:r>
      <w:r>
        <w:rPr>
          <w:rFonts w:hint="eastAsia"/>
        </w:rPr>
        <w:t>;</w:t>
      </w:r>
    </w:p>
    <w:p>
      <w:pPr>
        <w:spacing w:line="240" w:lineRule="auto"/>
        <w:ind w:firstLine="1416" w:firstLineChars="506"/>
      </w:pPr>
      <w:r>
        <w:rPr>
          <w:rFonts w:hint="eastAsia"/>
        </w:rPr>
        <w:t>P——容器内介质压力，Pa；</w:t>
      </w:r>
    </w:p>
    <w:p>
      <w:pPr>
        <w:spacing w:line="240" w:lineRule="auto"/>
        <w:ind w:firstLine="1416" w:firstLineChars="506"/>
      </w:pPr>
      <w:r>
        <w:rPr>
          <w:rFonts w:hint="eastAsia"/>
        </w:rPr>
        <w:t>P</w:t>
      </w:r>
      <w:r>
        <w:rPr>
          <w:rFonts w:hint="eastAsia"/>
          <w:vertAlign w:val="subscript"/>
        </w:rPr>
        <w:t>0</w:t>
      </w:r>
      <w:r>
        <w:rPr>
          <w:rFonts w:hint="eastAsia"/>
        </w:rPr>
        <w:t>——环境压力，Pa；</w:t>
      </w:r>
    </w:p>
    <w:p>
      <w:pPr>
        <w:spacing w:line="240" w:lineRule="auto"/>
        <w:ind w:firstLine="1416" w:firstLineChars="506"/>
      </w:pPr>
      <w:r>
        <w:rPr>
          <w:rFonts w:hint="eastAsia"/>
        </w:rPr>
        <w:t>g——重力加速度,9.8m/s</w:t>
      </w:r>
      <w:r>
        <w:rPr>
          <w:rFonts w:hint="eastAsia"/>
          <w:vertAlign w:val="superscript"/>
        </w:rPr>
        <w:t>2</w:t>
      </w:r>
      <w:r>
        <w:rPr>
          <w:rFonts w:hint="eastAsia"/>
        </w:rPr>
        <w:t>。</w:t>
      </w:r>
    </w:p>
    <w:p>
      <w:pPr>
        <w:spacing w:line="240" w:lineRule="auto"/>
        <w:ind w:firstLine="1416" w:firstLineChars="506"/>
      </w:pPr>
      <w:r>
        <w:rPr>
          <w:rFonts w:hint="eastAsia"/>
        </w:rPr>
        <w:t>h——裂口之上液位高度，m</w:t>
      </w:r>
    </w:p>
    <w:p>
      <w:pPr>
        <w:ind w:firstLine="560"/>
      </w:pPr>
      <w:r>
        <w:rPr>
          <w:rFonts w:hint="eastAsia"/>
        </w:rPr>
        <w:t>本法的限制条件</w:t>
      </w:r>
      <w:r>
        <w:rPr>
          <w:rFonts w:hint="eastAsia"/>
          <w:lang w:eastAsia="zh-CN"/>
        </w:rPr>
        <w:t>：</w:t>
      </w:r>
      <w:r>
        <w:rPr>
          <w:rFonts w:hint="eastAsia"/>
        </w:rPr>
        <w:t>液体在喷口内不应有急剧蒸发。</w:t>
      </w:r>
    </w:p>
    <w:p>
      <w:pPr>
        <w:ind w:firstLine="560"/>
      </w:pPr>
      <w:r>
        <w:rPr>
          <w:rFonts w:hint="eastAsia"/>
        </w:rPr>
        <w:t>计算结果为：</w:t>
      </w:r>
      <w:r>
        <w:rPr>
          <w:rFonts w:hint="eastAsia"/>
          <w:lang w:eastAsia="zh-CN"/>
        </w:rPr>
        <w:t>次氯酸钠溶液</w:t>
      </w:r>
      <w:r>
        <w:rPr>
          <w:rFonts w:hint="eastAsia"/>
        </w:rPr>
        <w:t>泄漏速度为</w:t>
      </w:r>
      <w:r>
        <w:rPr>
          <w:rFonts w:hint="eastAsia"/>
          <w:lang w:val="en-US" w:eastAsia="zh-CN"/>
        </w:rPr>
        <w:t>1.40</w:t>
      </w:r>
      <w:r>
        <w:rPr>
          <w:rFonts w:hint="eastAsia"/>
        </w:rPr>
        <w:t>kg/s，按照每</w:t>
      </w:r>
      <w:r>
        <w:rPr>
          <w:rFonts w:hint="eastAsia"/>
          <w:lang w:eastAsia="zh-CN"/>
        </w:rPr>
        <w:t>罐次氯酸钠溶液</w:t>
      </w:r>
      <w:r>
        <w:rPr>
          <w:rFonts w:hint="eastAsia"/>
          <w:lang w:val="en-US" w:eastAsia="zh-CN"/>
        </w:rPr>
        <w:t>8t</w:t>
      </w:r>
      <w:r>
        <w:rPr>
          <w:rFonts w:hint="eastAsia"/>
        </w:rPr>
        <w:t>计算，泄漏持续时间为</w:t>
      </w:r>
      <w:r>
        <w:rPr>
          <w:rFonts w:hint="eastAsia"/>
          <w:lang w:val="en-US" w:eastAsia="zh-CN"/>
        </w:rPr>
        <w:t>95</w:t>
      </w:r>
      <w:r>
        <w:t>.</w:t>
      </w:r>
      <w:r>
        <w:rPr>
          <w:rFonts w:hint="eastAsia"/>
          <w:lang w:val="en-US" w:eastAsia="zh-CN"/>
        </w:rPr>
        <w:t>2</w:t>
      </w:r>
      <w:r>
        <w:rPr>
          <w:rFonts w:hint="eastAsia"/>
        </w:rPr>
        <w:t>min。假设所有</w:t>
      </w:r>
      <w:r>
        <w:rPr>
          <w:rFonts w:hint="eastAsia"/>
          <w:lang w:eastAsia="zh-CN"/>
        </w:rPr>
        <w:t>储罐</w:t>
      </w:r>
      <w:r>
        <w:rPr>
          <w:rFonts w:hint="eastAsia"/>
        </w:rPr>
        <w:t>同时泄漏预计在</w:t>
      </w:r>
      <w:r>
        <w:rPr>
          <w:rFonts w:hint="eastAsia"/>
          <w:lang w:val="en-US" w:eastAsia="zh-CN"/>
        </w:rPr>
        <w:t>96</w:t>
      </w:r>
      <w:r>
        <w:rPr>
          <w:rFonts w:hint="eastAsia"/>
        </w:rPr>
        <w:t>min内泄漏完成，泄漏量约</w:t>
      </w:r>
      <w:r>
        <w:rPr>
          <w:rFonts w:hint="eastAsia"/>
          <w:lang w:val="en-US" w:eastAsia="zh-CN"/>
        </w:rPr>
        <w:t>32</w:t>
      </w:r>
      <w:r>
        <w:rPr>
          <w:rFonts w:hint="eastAsia"/>
        </w:rPr>
        <w:t>t。</w:t>
      </w:r>
    </w:p>
    <w:p>
      <w:pPr>
        <w:pStyle w:val="8"/>
        <w:keepNext/>
      </w:pPr>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4</w:t>
      </w:r>
      <w:r>
        <w:fldChar w:fldCharType="end"/>
      </w:r>
      <w:r>
        <w:rPr>
          <w:rFonts w:hint="eastAsia"/>
          <w:lang w:eastAsia="zh-CN"/>
        </w:rPr>
        <w:t>次氯酸钠溶液</w:t>
      </w:r>
      <w:r>
        <w:rPr>
          <w:rFonts w:hint="eastAsia"/>
        </w:rPr>
        <w:t>泄漏计算结果</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4"/>
        <w:gridCol w:w="834"/>
        <w:gridCol w:w="704"/>
        <w:gridCol w:w="965"/>
        <w:gridCol w:w="877"/>
        <w:gridCol w:w="792"/>
        <w:gridCol w:w="835"/>
        <w:gridCol w:w="783"/>
        <w:gridCol w:w="1310"/>
        <w:gridCol w:w="14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84" w:type="dxa"/>
            <w:vAlign w:val="center"/>
          </w:tcPr>
          <w:p>
            <w:pPr>
              <w:spacing w:line="240" w:lineRule="auto"/>
              <w:ind w:firstLine="0" w:firstLineChars="0"/>
              <w:jc w:val="center"/>
              <w:rPr>
                <w:sz w:val="21"/>
              </w:rPr>
            </w:pPr>
            <w:r>
              <w:rPr>
                <w:rFonts w:hint="eastAsia"/>
                <w:sz w:val="21"/>
              </w:rPr>
              <w:t>C</w:t>
            </w:r>
            <w:r>
              <w:rPr>
                <w:sz w:val="21"/>
              </w:rPr>
              <w:t>d</w:t>
            </w:r>
          </w:p>
        </w:tc>
        <w:tc>
          <w:tcPr>
            <w:tcW w:w="834" w:type="dxa"/>
            <w:vAlign w:val="center"/>
          </w:tcPr>
          <w:p>
            <w:pPr>
              <w:spacing w:line="240" w:lineRule="auto"/>
              <w:ind w:firstLine="0" w:firstLineChars="0"/>
              <w:jc w:val="center"/>
              <w:rPr>
                <w:sz w:val="21"/>
              </w:rPr>
            </w:pPr>
            <w:r>
              <w:rPr>
                <w:rFonts w:hint="eastAsia"/>
                <w:sz w:val="21"/>
              </w:rPr>
              <w:t>A</w:t>
            </w:r>
          </w:p>
        </w:tc>
        <w:tc>
          <w:tcPr>
            <w:tcW w:w="704" w:type="dxa"/>
            <w:vAlign w:val="center"/>
          </w:tcPr>
          <w:p>
            <w:pPr>
              <w:spacing w:line="240" w:lineRule="auto"/>
              <w:ind w:firstLine="0" w:firstLineChars="0"/>
              <w:jc w:val="center"/>
              <w:rPr>
                <w:sz w:val="21"/>
              </w:rPr>
            </w:pPr>
            <w:r>
              <w:rPr>
                <w:rFonts w:hint="eastAsia"/>
                <w:sz w:val="21"/>
              </w:rPr>
              <w:t>ρ</w:t>
            </w:r>
          </w:p>
        </w:tc>
        <w:tc>
          <w:tcPr>
            <w:tcW w:w="965" w:type="dxa"/>
            <w:vAlign w:val="center"/>
          </w:tcPr>
          <w:p>
            <w:pPr>
              <w:spacing w:line="240" w:lineRule="auto"/>
              <w:ind w:firstLine="0" w:firstLineChars="0"/>
              <w:jc w:val="center"/>
              <w:rPr>
                <w:sz w:val="21"/>
              </w:rPr>
            </w:pPr>
            <w:r>
              <w:rPr>
                <w:sz w:val="21"/>
              </w:rPr>
              <w:t>P</w:t>
            </w:r>
          </w:p>
        </w:tc>
        <w:tc>
          <w:tcPr>
            <w:tcW w:w="877" w:type="dxa"/>
            <w:vAlign w:val="center"/>
          </w:tcPr>
          <w:p>
            <w:pPr>
              <w:spacing w:line="240" w:lineRule="auto"/>
              <w:ind w:firstLine="0" w:firstLineChars="0"/>
              <w:jc w:val="center"/>
              <w:rPr>
                <w:sz w:val="21"/>
              </w:rPr>
            </w:pPr>
            <w:r>
              <w:rPr>
                <w:sz w:val="21"/>
              </w:rPr>
              <w:t>P</w:t>
            </w:r>
            <w:r>
              <w:rPr>
                <w:sz w:val="21"/>
                <w:vertAlign w:val="subscript"/>
              </w:rPr>
              <w:t>0</w:t>
            </w:r>
          </w:p>
        </w:tc>
        <w:tc>
          <w:tcPr>
            <w:tcW w:w="792" w:type="dxa"/>
            <w:vAlign w:val="center"/>
          </w:tcPr>
          <w:p>
            <w:pPr>
              <w:spacing w:line="240" w:lineRule="auto"/>
              <w:ind w:firstLine="0" w:firstLineChars="0"/>
              <w:jc w:val="center"/>
              <w:rPr>
                <w:sz w:val="21"/>
              </w:rPr>
            </w:pPr>
            <w:r>
              <w:rPr>
                <w:sz w:val="21"/>
              </w:rPr>
              <w:t>g</w:t>
            </w:r>
          </w:p>
        </w:tc>
        <w:tc>
          <w:tcPr>
            <w:tcW w:w="835" w:type="dxa"/>
            <w:vAlign w:val="center"/>
          </w:tcPr>
          <w:p>
            <w:pPr>
              <w:spacing w:line="240" w:lineRule="auto"/>
              <w:ind w:firstLine="0" w:firstLineChars="0"/>
              <w:jc w:val="center"/>
              <w:rPr>
                <w:sz w:val="21"/>
              </w:rPr>
            </w:pPr>
            <w:r>
              <w:rPr>
                <w:rFonts w:hint="eastAsia"/>
                <w:sz w:val="21"/>
              </w:rPr>
              <w:t>h</w:t>
            </w:r>
          </w:p>
        </w:tc>
        <w:tc>
          <w:tcPr>
            <w:tcW w:w="783" w:type="dxa"/>
            <w:vAlign w:val="center"/>
          </w:tcPr>
          <w:p>
            <w:pPr>
              <w:spacing w:line="240" w:lineRule="auto"/>
              <w:ind w:firstLine="0" w:firstLineChars="0"/>
              <w:jc w:val="center"/>
              <w:rPr>
                <w:sz w:val="21"/>
              </w:rPr>
            </w:pPr>
            <w:r>
              <w:rPr>
                <w:sz w:val="21"/>
              </w:rPr>
              <w:t>Q</w:t>
            </w:r>
            <w:r>
              <w:rPr>
                <w:sz w:val="21"/>
                <w:vertAlign w:val="subscript"/>
              </w:rPr>
              <w:t>L</w:t>
            </w:r>
          </w:p>
        </w:tc>
        <w:tc>
          <w:tcPr>
            <w:tcW w:w="1310" w:type="dxa"/>
            <w:vAlign w:val="center"/>
          </w:tcPr>
          <w:p>
            <w:pPr>
              <w:spacing w:line="240" w:lineRule="auto"/>
              <w:ind w:firstLine="0" w:firstLineChars="0"/>
              <w:jc w:val="center"/>
              <w:rPr>
                <w:sz w:val="21"/>
              </w:rPr>
            </w:pPr>
            <w:r>
              <w:rPr>
                <w:rFonts w:hint="eastAsia"/>
                <w:sz w:val="21"/>
              </w:rPr>
              <w:t>扩散范围</w:t>
            </w:r>
          </w:p>
        </w:tc>
        <w:tc>
          <w:tcPr>
            <w:tcW w:w="1434" w:type="dxa"/>
            <w:vAlign w:val="center"/>
          </w:tcPr>
          <w:p>
            <w:pPr>
              <w:spacing w:line="240" w:lineRule="auto"/>
              <w:ind w:firstLine="0" w:firstLineChars="0"/>
              <w:jc w:val="center"/>
              <w:rPr>
                <w:sz w:val="21"/>
              </w:rPr>
            </w:pPr>
            <w:r>
              <w:rPr>
                <w:rFonts w:hint="eastAsia"/>
                <w:sz w:val="21"/>
              </w:rPr>
              <w:t>泄漏持续时间（min）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84" w:type="dxa"/>
            <w:vAlign w:val="center"/>
          </w:tcPr>
          <w:p>
            <w:pPr>
              <w:spacing w:line="240" w:lineRule="auto"/>
              <w:ind w:firstLine="0" w:firstLineChars="0"/>
              <w:jc w:val="center"/>
              <w:rPr>
                <w:sz w:val="21"/>
              </w:rPr>
            </w:pPr>
            <w:r>
              <w:rPr>
                <w:rFonts w:hint="eastAsia"/>
                <w:sz w:val="21"/>
              </w:rPr>
              <w:t>0</w:t>
            </w:r>
            <w:r>
              <w:rPr>
                <w:sz w:val="21"/>
              </w:rPr>
              <w:t>.64</w:t>
            </w:r>
          </w:p>
        </w:tc>
        <w:tc>
          <w:tcPr>
            <w:tcW w:w="834" w:type="dxa"/>
            <w:vAlign w:val="center"/>
          </w:tcPr>
          <w:p>
            <w:pPr>
              <w:spacing w:line="240" w:lineRule="auto"/>
              <w:ind w:firstLine="0" w:firstLineChars="0"/>
              <w:jc w:val="center"/>
              <w:rPr>
                <w:sz w:val="21"/>
              </w:rPr>
            </w:pPr>
            <w:r>
              <w:rPr>
                <w:rFonts w:hint="eastAsia"/>
                <w:sz w:val="21"/>
              </w:rPr>
              <w:t>0</w:t>
            </w:r>
            <w:r>
              <w:rPr>
                <w:sz w:val="21"/>
              </w:rPr>
              <w:t>.0003</w:t>
            </w:r>
          </w:p>
        </w:tc>
        <w:tc>
          <w:tcPr>
            <w:tcW w:w="704" w:type="dxa"/>
            <w:vAlign w:val="center"/>
          </w:tcPr>
          <w:p>
            <w:pPr>
              <w:spacing w:line="240" w:lineRule="auto"/>
              <w:ind w:firstLine="0" w:firstLineChars="0"/>
              <w:jc w:val="center"/>
              <w:rPr>
                <w:rFonts w:hint="default" w:eastAsia="宋体"/>
                <w:sz w:val="21"/>
                <w:lang w:val="en-US" w:eastAsia="zh-CN"/>
              </w:rPr>
            </w:pPr>
            <w:r>
              <w:rPr>
                <w:rFonts w:hint="eastAsia"/>
                <w:sz w:val="21"/>
                <w:highlight w:val="none"/>
                <w:lang w:val="en-US" w:eastAsia="zh-CN"/>
              </w:rPr>
              <w:t>1005</w:t>
            </w:r>
          </w:p>
        </w:tc>
        <w:tc>
          <w:tcPr>
            <w:tcW w:w="965" w:type="dxa"/>
            <w:vAlign w:val="center"/>
          </w:tcPr>
          <w:p>
            <w:pPr>
              <w:spacing w:line="240" w:lineRule="auto"/>
              <w:ind w:firstLine="0" w:firstLineChars="0"/>
              <w:jc w:val="center"/>
              <w:rPr>
                <w:sz w:val="21"/>
              </w:rPr>
            </w:pPr>
            <w:r>
              <w:rPr>
                <w:rFonts w:hint="eastAsia"/>
                <w:sz w:val="21"/>
              </w:rPr>
              <w:t>1</w:t>
            </w:r>
            <w:r>
              <w:rPr>
                <w:sz w:val="21"/>
              </w:rPr>
              <w:t>01080</w:t>
            </w:r>
          </w:p>
        </w:tc>
        <w:tc>
          <w:tcPr>
            <w:tcW w:w="877" w:type="dxa"/>
            <w:vAlign w:val="center"/>
          </w:tcPr>
          <w:p>
            <w:pPr>
              <w:spacing w:line="240" w:lineRule="auto"/>
              <w:ind w:firstLine="0" w:firstLineChars="0"/>
              <w:jc w:val="center"/>
              <w:rPr>
                <w:sz w:val="21"/>
              </w:rPr>
            </w:pPr>
            <w:r>
              <w:rPr>
                <w:rFonts w:hint="eastAsia"/>
                <w:sz w:val="21"/>
              </w:rPr>
              <w:t>1</w:t>
            </w:r>
            <w:r>
              <w:rPr>
                <w:sz w:val="21"/>
              </w:rPr>
              <w:t>01080</w:t>
            </w:r>
          </w:p>
        </w:tc>
        <w:tc>
          <w:tcPr>
            <w:tcW w:w="792" w:type="dxa"/>
            <w:vAlign w:val="center"/>
          </w:tcPr>
          <w:p>
            <w:pPr>
              <w:spacing w:line="240" w:lineRule="auto"/>
              <w:ind w:firstLine="0" w:firstLineChars="0"/>
              <w:jc w:val="center"/>
              <w:rPr>
                <w:sz w:val="21"/>
              </w:rPr>
            </w:pPr>
            <w:r>
              <w:rPr>
                <w:rFonts w:hint="eastAsia"/>
                <w:sz w:val="21"/>
              </w:rPr>
              <w:t>9</w:t>
            </w:r>
            <w:r>
              <w:rPr>
                <w:sz w:val="21"/>
              </w:rPr>
              <w:t>.8</w:t>
            </w:r>
          </w:p>
        </w:tc>
        <w:tc>
          <w:tcPr>
            <w:tcW w:w="835" w:type="dxa"/>
            <w:vAlign w:val="center"/>
          </w:tcPr>
          <w:p>
            <w:pPr>
              <w:spacing w:line="240" w:lineRule="auto"/>
              <w:ind w:firstLine="0" w:firstLineChars="0"/>
              <w:jc w:val="center"/>
              <w:rPr>
                <w:rFonts w:hint="default" w:eastAsia="宋体"/>
                <w:sz w:val="21"/>
                <w:lang w:val="en-US" w:eastAsia="zh-CN"/>
              </w:rPr>
            </w:pPr>
            <w:r>
              <w:rPr>
                <w:rFonts w:hint="eastAsia"/>
                <w:sz w:val="21"/>
                <w:highlight w:val="none"/>
                <w:lang w:val="en-US" w:eastAsia="zh-CN"/>
              </w:rPr>
              <w:t>2.7</w:t>
            </w:r>
          </w:p>
        </w:tc>
        <w:tc>
          <w:tcPr>
            <w:tcW w:w="783" w:type="dxa"/>
            <w:vAlign w:val="center"/>
          </w:tcPr>
          <w:p>
            <w:pPr>
              <w:spacing w:line="240" w:lineRule="auto"/>
              <w:ind w:firstLine="0" w:firstLineChars="0"/>
              <w:jc w:val="center"/>
              <w:rPr>
                <w:sz w:val="21"/>
              </w:rPr>
            </w:pPr>
            <w:r>
              <w:rPr>
                <w:sz w:val="21"/>
              </w:rPr>
              <w:t>0.66</w:t>
            </w:r>
          </w:p>
        </w:tc>
        <w:tc>
          <w:tcPr>
            <w:tcW w:w="1310" w:type="dxa"/>
            <w:vAlign w:val="center"/>
          </w:tcPr>
          <w:p>
            <w:pPr>
              <w:spacing w:line="240" w:lineRule="auto"/>
              <w:ind w:firstLine="0" w:firstLineChars="0"/>
              <w:jc w:val="center"/>
              <w:rPr>
                <w:rFonts w:hint="eastAsia" w:eastAsia="宋体"/>
                <w:sz w:val="21"/>
                <w:lang w:eastAsia="zh-CN"/>
              </w:rPr>
            </w:pPr>
            <w:r>
              <w:rPr>
                <w:rFonts w:hint="eastAsia"/>
                <w:sz w:val="21"/>
                <w:lang w:eastAsia="zh-CN"/>
              </w:rPr>
              <w:t>次氯酸钠间</w:t>
            </w:r>
          </w:p>
        </w:tc>
        <w:tc>
          <w:tcPr>
            <w:tcW w:w="1434" w:type="dxa"/>
            <w:vAlign w:val="center"/>
          </w:tcPr>
          <w:p>
            <w:pPr>
              <w:spacing w:line="240" w:lineRule="auto"/>
              <w:ind w:firstLine="0" w:firstLineChars="0"/>
              <w:jc w:val="center"/>
              <w:rPr>
                <w:rFonts w:hint="default" w:eastAsia="宋体"/>
                <w:sz w:val="21"/>
                <w:lang w:val="en-US" w:eastAsia="zh-CN"/>
              </w:rPr>
            </w:pPr>
            <w:r>
              <w:rPr>
                <w:rFonts w:hint="eastAsia"/>
                <w:sz w:val="21"/>
                <w:lang w:val="en-US" w:eastAsia="zh-CN"/>
              </w:rPr>
              <w:t>95.2</w:t>
            </w:r>
          </w:p>
        </w:tc>
      </w:tr>
    </w:tbl>
    <w:p>
      <w:pPr>
        <w:pStyle w:val="5"/>
        <w:numPr>
          <w:ilvl w:val="1"/>
          <w:numId w:val="0"/>
        </w:numPr>
        <w:bidi w:val="0"/>
        <w:ind w:leftChars="0"/>
      </w:pPr>
      <w:bookmarkStart w:id="261" w:name="_Toc27492"/>
      <w:r>
        <w:rPr>
          <w:rFonts w:hint="eastAsia"/>
          <w:lang w:val="en-US" w:eastAsia="zh-CN"/>
        </w:rPr>
        <w:t>4.3</w:t>
      </w:r>
      <w:r>
        <w:rPr>
          <w:rFonts w:hint="eastAsia"/>
        </w:rPr>
        <w:t>释放环境风险物质的扩散途径、涉及环境风险防控与应急措施、应急资源情况分析</w:t>
      </w:r>
      <w:bookmarkEnd w:id="260"/>
      <w:bookmarkEnd w:id="261"/>
    </w:p>
    <w:p>
      <w:pPr>
        <w:pStyle w:val="6"/>
        <w:numPr>
          <w:ilvl w:val="2"/>
          <w:numId w:val="0"/>
        </w:numPr>
        <w:bidi w:val="0"/>
        <w:ind w:leftChars="0"/>
      </w:pPr>
      <w:r>
        <w:rPr>
          <w:rFonts w:hint="eastAsia"/>
          <w:lang w:val="en-US" w:eastAsia="zh-CN"/>
        </w:rPr>
        <w:t>4.3.1</w:t>
      </w:r>
      <w:r>
        <w:rPr>
          <w:rFonts w:hint="eastAsia"/>
        </w:rPr>
        <w:t>释放环境风险物质的扩散途径分析</w:t>
      </w:r>
    </w:p>
    <w:p>
      <w:pPr>
        <w:ind w:firstLine="560"/>
      </w:pPr>
      <w:r>
        <w:t>1</w:t>
      </w:r>
      <w:r>
        <w:rPr>
          <w:rFonts w:hint="eastAsia"/>
        </w:rPr>
        <w:t>、</w:t>
      </w:r>
      <w:r>
        <w:rPr>
          <w:rFonts w:hint="eastAsia"/>
          <w:lang w:eastAsia="zh-CN"/>
        </w:rPr>
        <w:t>次氯酸钠</w:t>
      </w:r>
      <w:r>
        <w:rPr>
          <w:rFonts w:hint="eastAsia"/>
        </w:rPr>
        <w:t>泄漏途径分析</w:t>
      </w:r>
    </w:p>
    <w:p>
      <w:pPr>
        <w:ind w:firstLine="560"/>
      </w:pPr>
      <w:r>
        <w:rPr>
          <w:rFonts w:hint="eastAsia"/>
          <w:lang w:eastAsia="zh-CN"/>
        </w:rPr>
        <w:t>次氯酸钠</w:t>
      </w:r>
      <w:r>
        <w:rPr>
          <w:rFonts w:hint="eastAsia"/>
        </w:rPr>
        <w:t>暂存在</w:t>
      </w:r>
      <w:r>
        <w:rPr>
          <w:rFonts w:hint="eastAsia"/>
          <w:lang w:eastAsia="zh-CN"/>
        </w:rPr>
        <w:t>次氯酸钠间</w:t>
      </w:r>
      <w:r>
        <w:rPr>
          <w:rFonts w:hint="eastAsia"/>
        </w:rPr>
        <w:t>内。</w:t>
      </w:r>
      <w:r>
        <w:rPr>
          <w:rFonts w:hint="eastAsia"/>
          <w:lang w:eastAsia="zh-CN"/>
        </w:rPr>
        <w:t>次氯酸钠间</w:t>
      </w:r>
      <w:r>
        <w:rPr>
          <w:rFonts w:hint="eastAsia"/>
        </w:rPr>
        <w:t>内的</w:t>
      </w:r>
      <w:r>
        <w:rPr>
          <w:rFonts w:hint="eastAsia"/>
          <w:lang w:eastAsia="zh-CN"/>
        </w:rPr>
        <w:t>次氯酸钠</w:t>
      </w:r>
      <w:r>
        <w:rPr>
          <w:rFonts w:hint="eastAsia"/>
        </w:rPr>
        <w:t>如果发生泄漏，</w:t>
      </w:r>
      <w:r>
        <w:rPr>
          <w:rFonts w:hint="eastAsia"/>
          <w:lang w:eastAsia="zh-CN"/>
        </w:rPr>
        <w:t>未挥发的</w:t>
      </w:r>
      <w:r>
        <w:rPr>
          <w:rFonts w:hint="eastAsia"/>
        </w:rPr>
        <w:t>泄漏液可能进入雨水管网或者地表下，污染地表水和土壤。</w:t>
      </w:r>
    </w:p>
    <w:p>
      <w:pPr>
        <w:ind w:firstLine="560"/>
      </w:pPr>
      <w:r>
        <w:rPr>
          <w:rFonts w:hint="eastAsia"/>
          <w:lang w:val="en-US" w:eastAsia="zh-CN"/>
        </w:rPr>
        <w:t>2</w:t>
      </w:r>
      <w:r>
        <w:rPr>
          <w:rFonts w:hint="eastAsia"/>
        </w:rPr>
        <w:t>、事故废水扩散途径分析</w:t>
      </w:r>
    </w:p>
    <w:p>
      <w:pPr>
        <w:ind w:firstLine="560"/>
      </w:pPr>
      <w:r>
        <w:rPr>
          <w:rFonts w:hint="eastAsia"/>
          <w:lang w:eastAsia="zh-CN"/>
        </w:rPr>
        <w:t>次氯酸钠溶液卸车时发生泄漏，泄漏液</w:t>
      </w:r>
      <w:r>
        <w:rPr>
          <w:rFonts w:hint="eastAsia"/>
        </w:rPr>
        <w:t>进入雨水管网后，未能收集到事故池，直接通过雨水排口进入地表水，影响水环境风险受体。</w:t>
      </w:r>
    </w:p>
    <w:p>
      <w:pPr>
        <w:pStyle w:val="6"/>
        <w:numPr>
          <w:ilvl w:val="2"/>
          <w:numId w:val="0"/>
        </w:numPr>
        <w:bidi w:val="0"/>
        <w:ind w:leftChars="0"/>
      </w:pPr>
      <w:r>
        <w:rPr>
          <w:rFonts w:hint="eastAsia"/>
          <w:lang w:val="en-US" w:eastAsia="zh-CN"/>
        </w:rPr>
        <w:t>4.3.2</w:t>
      </w:r>
      <w:r>
        <w:rPr>
          <w:rFonts w:hint="eastAsia"/>
        </w:rPr>
        <w:t>涉及环境风险防控与应急措施、应急资源情况分析</w:t>
      </w:r>
    </w:p>
    <w:p>
      <w:pPr>
        <w:ind w:firstLine="560"/>
      </w:pPr>
      <w:r>
        <w:rPr>
          <w:rFonts w:hint="eastAsia"/>
        </w:rPr>
        <w:t>1、危废仓库</w:t>
      </w:r>
    </w:p>
    <w:p>
      <w:pPr>
        <w:ind w:firstLine="560"/>
      </w:pPr>
      <w:r>
        <w:rPr>
          <w:rFonts w:hint="eastAsia"/>
          <w:color w:val="000000" w:themeColor="text1"/>
          <w:highlight w:val="none"/>
          <w:lang w:eastAsia="zh-CN"/>
          <w14:textFill>
            <w14:solidFill>
              <w14:schemeClr w14:val="tx1"/>
            </w14:solidFill>
          </w14:textFill>
        </w:rPr>
        <w:t>危废暂存库</w:t>
      </w:r>
      <w:r>
        <w:rPr>
          <w:rFonts w:hint="eastAsia"/>
        </w:rPr>
        <w:t>已经按照做好防渗、防腐措施，对周边环境影响较小。</w:t>
      </w:r>
    </w:p>
    <w:p>
      <w:pPr>
        <w:ind w:firstLine="560"/>
        <w:rPr>
          <w:rFonts w:hint="eastAsia" w:eastAsia="宋体"/>
          <w:lang w:eastAsia="zh-CN"/>
        </w:rPr>
      </w:pPr>
      <w:r>
        <w:rPr>
          <w:rFonts w:hint="eastAsia"/>
        </w:rPr>
        <w:t>2、</w:t>
      </w:r>
      <w:r>
        <w:rPr>
          <w:rFonts w:hint="eastAsia"/>
          <w:lang w:eastAsia="zh-CN"/>
        </w:rPr>
        <w:t>次氯酸钠间</w:t>
      </w:r>
    </w:p>
    <w:p>
      <w:pPr>
        <w:ind w:firstLine="560"/>
      </w:pPr>
      <w:r>
        <w:rPr>
          <w:rFonts w:hint="eastAsia"/>
          <w:lang w:eastAsia="zh-CN"/>
        </w:rPr>
        <w:t>次氯酸钠间</w:t>
      </w:r>
      <w:r>
        <w:rPr>
          <w:rFonts w:hint="eastAsia"/>
        </w:rPr>
        <w:t>已经按照做好防渗、防腐措施，且设置有围堰，泄露的</w:t>
      </w:r>
      <w:r>
        <w:rPr>
          <w:rFonts w:hint="eastAsia"/>
          <w:lang w:eastAsia="zh-CN"/>
        </w:rPr>
        <w:t>次氯酸钠溶液</w:t>
      </w:r>
      <w:r>
        <w:rPr>
          <w:rFonts w:hint="eastAsia"/>
        </w:rPr>
        <w:t>不会扩散到环境外，对周边环境影响较小，同时在</w:t>
      </w:r>
      <w:r>
        <w:rPr>
          <w:rFonts w:hint="eastAsia"/>
          <w:lang w:eastAsia="zh-CN"/>
        </w:rPr>
        <w:t>次氯酸钠间</w:t>
      </w:r>
      <w:r>
        <w:rPr>
          <w:rFonts w:hint="eastAsia"/>
        </w:rPr>
        <w:t>内配置灭火器，可以防止火灾事故产生的次生和衍生污染物进入大气。</w:t>
      </w:r>
    </w:p>
    <w:p>
      <w:pPr>
        <w:ind w:firstLine="560"/>
        <w:rPr>
          <w:rFonts w:hint="eastAsia" w:eastAsia="宋体"/>
          <w:lang w:eastAsia="zh-CN"/>
        </w:rPr>
      </w:pPr>
      <w:r>
        <w:rPr>
          <w:rFonts w:hint="eastAsia"/>
        </w:rPr>
        <w:t>3、</w:t>
      </w:r>
      <w:r>
        <w:rPr>
          <w:rFonts w:hint="eastAsia"/>
          <w:lang w:eastAsia="zh-CN"/>
        </w:rPr>
        <w:t>次氯酸钠卸车</w:t>
      </w:r>
    </w:p>
    <w:p>
      <w:pPr>
        <w:ind w:firstLine="560"/>
      </w:pPr>
      <w:r>
        <w:rPr>
          <w:rFonts w:hint="eastAsia"/>
        </w:rPr>
        <w:t>在</w:t>
      </w:r>
      <w:r>
        <w:rPr>
          <w:rFonts w:hint="eastAsia"/>
          <w:lang w:eastAsia="zh-CN"/>
        </w:rPr>
        <w:t>次氯酸钠卸料口</w:t>
      </w:r>
      <w:r>
        <w:rPr>
          <w:rFonts w:hint="eastAsia"/>
        </w:rPr>
        <w:t>处安装有管道连接到事故池，能有效地将</w:t>
      </w:r>
      <w:r>
        <w:rPr>
          <w:rFonts w:hint="eastAsia"/>
          <w:lang w:eastAsia="zh-CN"/>
        </w:rPr>
        <w:t>卸料时泄漏</w:t>
      </w:r>
      <w:r>
        <w:rPr>
          <w:rFonts w:hint="eastAsia"/>
        </w:rPr>
        <w:t>的</w:t>
      </w:r>
      <w:r>
        <w:rPr>
          <w:rFonts w:hint="eastAsia"/>
          <w:lang w:eastAsia="zh-CN"/>
        </w:rPr>
        <w:t>物料</w:t>
      </w:r>
      <w:r>
        <w:rPr>
          <w:rFonts w:hint="eastAsia"/>
        </w:rPr>
        <w:t>充分回收到事故池内。</w:t>
      </w:r>
    </w:p>
    <w:p>
      <w:pPr>
        <w:widowControl/>
        <w:spacing w:line="240" w:lineRule="auto"/>
        <w:ind w:firstLine="0" w:firstLineChars="0"/>
        <w:jc w:val="left"/>
      </w:pPr>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7</w:t>
      </w:r>
      <w:r>
        <w:fldChar w:fldCharType="end"/>
      </w:r>
      <w:r>
        <w:rPr>
          <w:rFonts w:hint="eastAsia"/>
        </w:rPr>
        <w:t>环境风险物质扩散途径、环境风险防控与应急措施及应急资源情况</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39"/>
        <w:gridCol w:w="3039"/>
        <w:gridCol w:w="30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3039" w:type="dxa"/>
            <w:vAlign w:val="center"/>
          </w:tcPr>
          <w:p>
            <w:pPr>
              <w:spacing w:line="240" w:lineRule="auto"/>
              <w:ind w:firstLine="0" w:firstLineChars="0"/>
              <w:jc w:val="center"/>
              <w:rPr>
                <w:sz w:val="21"/>
              </w:rPr>
            </w:pPr>
            <w:r>
              <w:rPr>
                <w:rFonts w:hint="eastAsia"/>
                <w:sz w:val="21"/>
              </w:rPr>
              <w:t>环境风险物质扩散途径</w:t>
            </w:r>
          </w:p>
        </w:tc>
        <w:tc>
          <w:tcPr>
            <w:tcW w:w="3039" w:type="dxa"/>
            <w:vAlign w:val="center"/>
          </w:tcPr>
          <w:p>
            <w:pPr>
              <w:spacing w:line="240" w:lineRule="auto"/>
              <w:ind w:firstLine="0" w:firstLineChars="0"/>
              <w:jc w:val="center"/>
              <w:rPr>
                <w:sz w:val="21"/>
              </w:rPr>
            </w:pPr>
            <w:r>
              <w:rPr>
                <w:rFonts w:hint="eastAsia"/>
                <w:sz w:val="21"/>
              </w:rPr>
              <w:t>涉及环境风险防控与应急措施</w:t>
            </w:r>
          </w:p>
        </w:tc>
        <w:tc>
          <w:tcPr>
            <w:tcW w:w="3040" w:type="dxa"/>
            <w:vAlign w:val="center"/>
          </w:tcPr>
          <w:p>
            <w:pPr>
              <w:spacing w:line="240" w:lineRule="auto"/>
              <w:ind w:firstLine="0" w:firstLineChars="0"/>
              <w:jc w:val="center"/>
              <w:rPr>
                <w:sz w:val="21"/>
              </w:rPr>
            </w:pPr>
            <w:r>
              <w:rPr>
                <w:rFonts w:hint="eastAsia"/>
                <w:sz w:val="21"/>
              </w:rPr>
              <w:t>应急资源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3039" w:type="dxa"/>
            <w:vAlign w:val="center"/>
          </w:tcPr>
          <w:p>
            <w:pPr>
              <w:spacing w:line="240" w:lineRule="auto"/>
              <w:ind w:firstLine="0" w:firstLineChars="0"/>
              <w:rPr>
                <w:sz w:val="21"/>
              </w:rPr>
            </w:pPr>
            <w:r>
              <w:rPr>
                <w:rFonts w:hint="eastAsia"/>
                <w:sz w:val="21"/>
              </w:rPr>
              <w:t>危险废物仓库内</w:t>
            </w:r>
            <w:r>
              <w:rPr>
                <w:rFonts w:hint="eastAsia"/>
                <w:sz w:val="21"/>
                <w:lang w:eastAsia="zh-CN"/>
              </w:rPr>
              <w:t>废液</w:t>
            </w:r>
            <w:r>
              <w:rPr>
                <w:rFonts w:hint="eastAsia"/>
                <w:sz w:val="21"/>
              </w:rPr>
              <w:t>发生泄漏进入水体</w:t>
            </w:r>
          </w:p>
        </w:tc>
        <w:tc>
          <w:tcPr>
            <w:tcW w:w="3039" w:type="dxa"/>
            <w:vAlign w:val="center"/>
          </w:tcPr>
          <w:p>
            <w:pPr>
              <w:spacing w:line="240" w:lineRule="auto"/>
              <w:ind w:firstLine="0" w:firstLineChars="0"/>
              <w:rPr>
                <w:sz w:val="21"/>
              </w:rPr>
            </w:pPr>
            <w:r>
              <w:rPr>
                <w:rFonts w:hint="eastAsia"/>
                <w:sz w:val="21"/>
              </w:rPr>
              <w:t>防腐、防渗措施</w:t>
            </w:r>
          </w:p>
        </w:tc>
        <w:tc>
          <w:tcPr>
            <w:tcW w:w="3040" w:type="dxa"/>
            <w:vAlign w:val="center"/>
          </w:tcPr>
          <w:p>
            <w:pPr>
              <w:spacing w:line="240" w:lineRule="auto"/>
              <w:ind w:firstLine="0" w:firstLineChars="0"/>
              <w:rPr>
                <w:sz w:val="21"/>
              </w:rPr>
            </w:pPr>
            <w:r>
              <w:rPr>
                <w:rFonts w:hint="eastAsia"/>
                <w:sz w:val="21"/>
              </w:rPr>
              <w:t>泄漏物收集容器、泄漏物清理工具。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3039" w:type="dxa"/>
            <w:vAlign w:val="center"/>
          </w:tcPr>
          <w:p>
            <w:pPr>
              <w:spacing w:line="240" w:lineRule="auto"/>
              <w:ind w:firstLine="0" w:firstLineChars="0"/>
              <w:rPr>
                <w:sz w:val="21"/>
              </w:rPr>
            </w:pPr>
            <w:r>
              <w:rPr>
                <w:rFonts w:hint="eastAsia"/>
                <w:sz w:val="21"/>
                <w:lang w:eastAsia="zh-CN"/>
              </w:rPr>
              <w:t>次氯酸钠</w:t>
            </w:r>
            <w:r>
              <w:rPr>
                <w:rFonts w:hint="eastAsia"/>
                <w:sz w:val="21"/>
              </w:rPr>
              <w:t>泄露可能发生火灾产生次生和衍生污染物进入大气</w:t>
            </w:r>
          </w:p>
        </w:tc>
        <w:tc>
          <w:tcPr>
            <w:tcW w:w="3039" w:type="dxa"/>
            <w:vAlign w:val="center"/>
          </w:tcPr>
          <w:p>
            <w:pPr>
              <w:spacing w:line="240" w:lineRule="auto"/>
              <w:ind w:firstLine="0" w:firstLineChars="0"/>
              <w:rPr>
                <w:rFonts w:hint="eastAsia" w:eastAsia="宋体"/>
                <w:sz w:val="21"/>
                <w:lang w:eastAsia="zh-CN"/>
              </w:rPr>
            </w:pPr>
            <w:r>
              <w:rPr>
                <w:rFonts w:hint="eastAsia"/>
                <w:sz w:val="21"/>
                <w:lang w:eastAsia="zh-CN"/>
              </w:rPr>
              <w:t>消防、报警措施</w:t>
            </w:r>
          </w:p>
        </w:tc>
        <w:tc>
          <w:tcPr>
            <w:tcW w:w="3040" w:type="dxa"/>
            <w:vAlign w:val="center"/>
          </w:tcPr>
          <w:p>
            <w:pPr>
              <w:spacing w:line="240" w:lineRule="auto"/>
              <w:ind w:firstLine="0" w:firstLineChars="0"/>
              <w:rPr>
                <w:sz w:val="21"/>
              </w:rPr>
            </w:pPr>
            <w:r>
              <w:rPr>
                <w:rFonts w:hint="eastAsia"/>
                <w:sz w:val="21"/>
              </w:rPr>
              <w:t>灭火器、防护服、防护手套等。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3039" w:type="dxa"/>
            <w:vAlign w:val="center"/>
          </w:tcPr>
          <w:p>
            <w:pPr>
              <w:spacing w:line="240" w:lineRule="auto"/>
              <w:ind w:firstLine="0" w:firstLineChars="0"/>
              <w:rPr>
                <w:rFonts w:hint="eastAsia" w:eastAsia="宋体"/>
                <w:sz w:val="21"/>
                <w:lang w:eastAsia="zh-CN"/>
              </w:rPr>
            </w:pPr>
            <w:r>
              <w:rPr>
                <w:rFonts w:hint="eastAsia"/>
                <w:sz w:val="21"/>
                <w:lang w:eastAsia="zh-CN"/>
              </w:rPr>
              <w:t>次氯酸钠卸料</w:t>
            </w:r>
            <w:r>
              <w:rPr>
                <w:rFonts w:hint="eastAsia"/>
                <w:sz w:val="21"/>
              </w:rPr>
              <w:t>泄漏进入</w:t>
            </w:r>
            <w:r>
              <w:rPr>
                <w:rFonts w:hint="eastAsia"/>
                <w:sz w:val="21"/>
                <w:lang w:eastAsia="zh-CN"/>
              </w:rPr>
              <w:t>水体</w:t>
            </w:r>
          </w:p>
        </w:tc>
        <w:tc>
          <w:tcPr>
            <w:tcW w:w="3039" w:type="dxa"/>
            <w:vAlign w:val="center"/>
          </w:tcPr>
          <w:p>
            <w:pPr>
              <w:spacing w:line="240" w:lineRule="auto"/>
              <w:ind w:firstLine="0" w:firstLineChars="0"/>
              <w:rPr>
                <w:sz w:val="21"/>
              </w:rPr>
            </w:pPr>
            <w:r>
              <w:rPr>
                <w:rFonts w:hint="eastAsia"/>
                <w:sz w:val="21"/>
              </w:rPr>
              <w:t>事故池，</w:t>
            </w:r>
            <w:r>
              <w:rPr>
                <w:rFonts w:hint="eastAsia"/>
                <w:sz w:val="21"/>
                <w:lang w:eastAsia="zh-CN"/>
              </w:rPr>
              <w:t>卸料口</w:t>
            </w:r>
            <w:r>
              <w:rPr>
                <w:rFonts w:hint="eastAsia"/>
                <w:sz w:val="21"/>
              </w:rPr>
              <w:t>处安装有管道连接到事故池</w:t>
            </w:r>
          </w:p>
        </w:tc>
        <w:tc>
          <w:tcPr>
            <w:tcW w:w="3040" w:type="dxa"/>
            <w:vAlign w:val="center"/>
          </w:tcPr>
          <w:p>
            <w:pPr>
              <w:spacing w:line="240" w:lineRule="auto"/>
              <w:ind w:firstLine="0" w:firstLineChars="0"/>
              <w:rPr>
                <w:sz w:val="21"/>
              </w:rPr>
            </w:pPr>
            <w:r>
              <w:rPr>
                <w:rFonts w:hint="eastAsia"/>
                <w:sz w:val="21"/>
              </w:rPr>
              <w:t>应急收集管网等</w:t>
            </w:r>
          </w:p>
        </w:tc>
      </w:tr>
    </w:tbl>
    <w:p>
      <w:pPr>
        <w:pStyle w:val="5"/>
        <w:numPr>
          <w:ilvl w:val="1"/>
          <w:numId w:val="0"/>
        </w:numPr>
        <w:bidi w:val="0"/>
        <w:ind w:leftChars="0"/>
      </w:pPr>
      <w:bookmarkStart w:id="262" w:name="_Toc2886"/>
      <w:bookmarkStart w:id="263" w:name="_Toc527104521"/>
      <w:r>
        <w:rPr>
          <w:rFonts w:hint="eastAsia"/>
          <w:lang w:val="en-US" w:eastAsia="zh-CN"/>
        </w:rPr>
        <w:t>4.4</w:t>
      </w:r>
      <w:r>
        <w:rPr>
          <w:rFonts w:hint="eastAsia"/>
        </w:rPr>
        <w:t>突发环境事件危害后果分析</w:t>
      </w:r>
      <w:bookmarkEnd w:id="262"/>
      <w:bookmarkEnd w:id="263"/>
    </w:p>
    <w:p>
      <w:pPr>
        <w:ind w:firstLine="560"/>
      </w:pPr>
      <w:r>
        <w:t>1</w:t>
      </w:r>
      <w:r>
        <w:rPr>
          <w:rFonts w:hint="eastAsia"/>
        </w:rPr>
        <w:t>、泄漏危害后果分析</w:t>
      </w:r>
    </w:p>
    <w:p>
      <w:pPr>
        <w:ind w:firstLine="560"/>
      </w:pPr>
      <w:r>
        <w:rPr>
          <w:rFonts w:hint="eastAsia"/>
          <w:lang w:eastAsia="zh-CN"/>
        </w:rPr>
        <w:t>次氯酸钠溶液</w:t>
      </w:r>
      <w:r>
        <w:rPr>
          <w:rFonts w:hint="eastAsia"/>
        </w:rPr>
        <w:t>若有人为因素或者储罐系统密封接口不严或损坏等因素导致物料泄漏，将会污染周围的地表水环境。</w:t>
      </w:r>
    </w:p>
    <w:p>
      <w:pPr>
        <w:ind w:firstLine="560"/>
      </w:pPr>
      <w:r>
        <w:t>2</w:t>
      </w:r>
      <w:r>
        <w:rPr>
          <w:rFonts w:hint="eastAsia"/>
        </w:rPr>
        <w:t>、火灾事件危害后果分析</w:t>
      </w:r>
    </w:p>
    <w:p>
      <w:pPr>
        <w:ind w:firstLine="560"/>
      </w:pPr>
      <w:r>
        <w:rPr>
          <w:rFonts w:hint="eastAsia"/>
        </w:rPr>
        <w:t>为扑灭火灾而产生的消防废水处置不当、不及时而可能直接排入受纳河流，产生消防废水收集不及时将污染周围的地表水和地下水。同时火灾产生次生和衍生污染物进入大气，影响大气环境。</w:t>
      </w:r>
    </w:p>
    <w:p>
      <w:pPr>
        <w:ind w:firstLine="560"/>
      </w:pPr>
      <w:r>
        <w:rPr>
          <w:rFonts w:hint="eastAsia"/>
        </w:rPr>
        <w:t>3、运输过程中泄漏事件危害后果分析</w:t>
      </w:r>
    </w:p>
    <w:p>
      <w:pPr>
        <w:ind w:firstLine="560"/>
      </w:pPr>
      <w:r>
        <w:rPr>
          <w:rFonts w:hint="eastAsia"/>
          <w:lang w:eastAsia="zh-CN"/>
        </w:rPr>
        <w:t>次氯酸钠</w:t>
      </w:r>
      <w:r>
        <w:rPr>
          <w:rFonts w:hint="eastAsia"/>
        </w:rPr>
        <w:t>等在运输过程中若运输发生事故导致物料泄漏，将会污染周围的土壤及地表水。</w:t>
      </w:r>
    </w:p>
    <w:p>
      <w:pPr>
        <w:ind w:firstLine="560"/>
      </w:pPr>
      <w:r>
        <w:rPr>
          <w:rFonts w:hint="eastAsia"/>
        </w:rPr>
        <w:t>4、外界灾害事件危害后果分析</w:t>
      </w:r>
    </w:p>
    <w:p>
      <w:pPr>
        <w:ind w:firstLine="560"/>
      </w:pPr>
      <w:r>
        <w:rPr>
          <w:rFonts w:hint="eastAsia"/>
        </w:rPr>
        <w:t>1）、静电</w:t>
      </w:r>
    </w:p>
    <w:p>
      <w:pPr>
        <w:ind w:firstLine="560"/>
      </w:pPr>
      <w:r>
        <w:rPr>
          <w:rFonts w:hint="eastAsia"/>
        </w:rPr>
        <w:t>本单位使用的电力设备若在生产、储存过程中产生静电或电火花有可能引发火灾爆炸事故。</w:t>
      </w:r>
    </w:p>
    <w:p>
      <w:pPr>
        <w:ind w:firstLine="560"/>
      </w:pPr>
      <w:r>
        <w:rPr>
          <w:rFonts w:hint="eastAsia"/>
        </w:rPr>
        <w:t>2）、雷击</w:t>
      </w:r>
    </w:p>
    <w:p>
      <w:pPr>
        <w:ind w:firstLine="560"/>
      </w:pPr>
      <w:r>
        <w:rPr>
          <w:rFonts w:hint="eastAsia"/>
        </w:rPr>
        <w:t>雷击因素对储仓的威胁较大，如果防雷击措施和接地装置不到位，产生电火花就会可能导致火灾爆炸事故。其他自然灾害因素如暴雨和地震等自然灾害造成的电力设施、生产设施、生产设备损坏导致的生产事故，皆属不可抗力造成的风险，概率较小，危害程度较大。</w:t>
      </w:r>
    </w:p>
    <w:p>
      <w:pPr>
        <w:ind w:firstLine="560"/>
      </w:pPr>
      <w:r>
        <w:rPr>
          <w:rFonts w:hint="eastAsia"/>
        </w:rPr>
        <w:t>3）、人为因素</w:t>
      </w:r>
    </w:p>
    <w:p>
      <w:pPr>
        <w:ind w:firstLine="560"/>
      </w:pPr>
      <w:r>
        <w:rPr>
          <w:rFonts w:hint="eastAsia"/>
        </w:rPr>
        <w:t>人为因素包括操作失误、无意破坏和有意破坏。操作失误主要是人员不熟悉本岗位操作规程，不懂设备性能，盲目操作，导则线路及设备超压等事故引发火灾；无意破坏是指人们在从事生产活动时对用电线路造成无意破坏和损伤引发火灾；有意破坏主要是在厂区内吸烟、使用明火而引发火灾。</w:t>
      </w:r>
    </w:p>
    <w:p>
      <w:pPr>
        <w:ind w:firstLine="560"/>
      </w:pPr>
    </w:p>
    <w:p>
      <w:pPr>
        <w:ind w:left="0" w:leftChars="0" w:firstLine="0" w:firstLineChars="0"/>
        <w:sectPr>
          <w:pgSz w:w="11906" w:h="16838"/>
          <w:pgMar w:top="1304" w:right="1247" w:bottom="1304" w:left="1531" w:header="851" w:footer="851" w:gutter="0"/>
          <w:pgBorders>
            <w:top w:val="none" w:sz="0" w:space="0"/>
            <w:left w:val="none" w:sz="0" w:space="0"/>
            <w:bottom w:val="none" w:sz="0" w:space="0"/>
            <w:right w:val="none" w:sz="0" w:space="0"/>
          </w:pgBorders>
          <w:pgNumType w:fmt="decimal"/>
          <w:cols w:space="425" w:num="1"/>
          <w:docGrid w:type="lines" w:linePitch="312" w:charSpace="0"/>
        </w:sectPr>
      </w:pPr>
    </w:p>
    <w:p>
      <w:pPr>
        <w:pStyle w:val="4"/>
        <w:numPr>
          <w:ilvl w:val="0"/>
          <w:numId w:val="0"/>
        </w:numPr>
        <w:bidi w:val="0"/>
        <w:ind w:leftChars="0"/>
      </w:pPr>
      <w:bookmarkStart w:id="264" w:name="_Toc10989"/>
      <w:bookmarkStart w:id="265" w:name="_Toc527104522"/>
      <w:r>
        <w:rPr>
          <w:rFonts w:hint="eastAsia"/>
          <w:lang w:val="en-US" w:eastAsia="zh-CN"/>
        </w:rPr>
        <w:t>5</w:t>
      </w:r>
      <w:r>
        <w:rPr>
          <w:rFonts w:hint="eastAsia"/>
        </w:rPr>
        <w:t>现有环境风险防控和应急措施差距分析</w:t>
      </w:r>
      <w:bookmarkEnd w:id="264"/>
      <w:bookmarkEnd w:id="265"/>
    </w:p>
    <w:p>
      <w:pPr>
        <w:ind w:firstLine="560"/>
      </w:pPr>
      <w:r>
        <w:rPr>
          <w:rFonts w:hint="eastAsia"/>
        </w:rPr>
        <w:t>从环境风险管理制度、环境风险防控与应急措施、环境应急资源、历史经验教训总结等几方面对现有环境风险防控与应急措施的完备性、可靠性和有效性进行分析论证，找出差距、问题，提出需要整改的短期、中期和长期项目内容。</w:t>
      </w:r>
    </w:p>
    <w:p>
      <w:pPr>
        <w:pStyle w:val="5"/>
        <w:numPr>
          <w:ilvl w:val="1"/>
          <w:numId w:val="0"/>
        </w:numPr>
        <w:bidi w:val="0"/>
        <w:ind w:leftChars="0"/>
      </w:pPr>
      <w:bookmarkStart w:id="266" w:name="_Toc8196"/>
      <w:bookmarkStart w:id="267" w:name="_Toc527104523"/>
      <w:r>
        <w:rPr>
          <w:rFonts w:hint="eastAsia"/>
          <w:lang w:val="en-US" w:eastAsia="zh-CN"/>
        </w:rPr>
        <w:t>5.1</w:t>
      </w:r>
      <w:r>
        <w:rPr>
          <w:rFonts w:hint="eastAsia"/>
        </w:rPr>
        <w:t>环境风险管理制度</w:t>
      </w:r>
      <w:bookmarkEnd w:id="266"/>
      <w:bookmarkEnd w:id="267"/>
    </w:p>
    <w:p>
      <w:pPr>
        <w:ind w:firstLine="552"/>
        <w:rPr>
          <w:spacing w:val="-2"/>
          <w:kern w:val="0"/>
        </w:rPr>
      </w:pPr>
      <w:r>
        <w:rPr>
          <w:spacing w:val="-2"/>
          <w:kern w:val="0"/>
        </w:rPr>
        <w:t>1</w:t>
      </w:r>
      <w:r>
        <w:rPr>
          <w:rFonts w:hint="eastAsia"/>
          <w:spacing w:val="-2"/>
          <w:kern w:val="0"/>
        </w:rPr>
        <w:t>、本公司制定了《安全环保责任制度》，明确环保事故应急救援职责；制定有《环境保护管理制度》，明确环保事故应急处理方法；制定有《</w:t>
      </w:r>
      <w:r>
        <w:rPr>
          <w:rFonts w:hint="eastAsia"/>
          <w:spacing w:val="-2"/>
          <w:kern w:val="0"/>
          <w:lang w:eastAsia="zh-CN"/>
        </w:rPr>
        <w:t>南昌双港供水有限公司</w:t>
      </w:r>
      <w:r>
        <w:rPr>
          <w:rFonts w:hint="eastAsia"/>
          <w:spacing w:val="-2"/>
          <w:kern w:val="0"/>
        </w:rPr>
        <w:t>事故综合应急救援预案》，包含有部分环境事故救援内容，但是对突发环境风险事件的针对性不强，</w:t>
      </w:r>
      <w:r>
        <w:t>尚不能满足企业环境风险管理的需求，主要表现为：针对环境风险隐患排查治理、评估、监测、预警等的相关制度缺失，缺少环境风险自我评估制度。</w:t>
      </w:r>
    </w:p>
    <w:p>
      <w:pPr>
        <w:ind w:firstLine="552"/>
        <w:rPr>
          <w:spacing w:val="-2"/>
          <w:kern w:val="0"/>
        </w:rPr>
      </w:pPr>
      <w:r>
        <w:rPr>
          <w:rFonts w:hint="eastAsia"/>
          <w:spacing w:val="-2"/>
          <w:kern w:val="0"/>
        </w:rPr>
        <w:t>2、</w:t>
      </w:r>
      <w:r>
        <w:t>已开展的应急演练多为消防或安全生产事故演练，有针对性的突发环境污染事故演练欠缺。</w:t>
      </w:r>
    </w:p>
    <w:p>
      <w:pPr>
        <w:ind w:firstLine="552"/>
        <w:rPr>
          <w:spacing w:val="-2"/>
          <w:kern w:val="0"/>
        </w:rPr>
      </w:pPr>
      <w:r>
        <w:rPr>
          <w:spacing w:val="-2"/>
          <w:kern w:val="0"/>
        </w:rPr>
        <w:t>3</w:t>
      </w:r>
      <w:r>
        <w:rPr>
          <w:rFonts w:hint="eastAsia"/>
          <w:spacing w:val="-2"/>
          <w:kern w:val="0"/>
        </w:rPr>
        <w:t>、定期对职工开展环境风险和环境应急管理宣传和培训。</w:t>
      </w:r>
    </w:p>
    <w:p>
      <w:pPr>
        <w:ind w:firstLine="552"/>
        <w:rPr>
          <w:spacing w:val="-2"/>
          <w:kern w:val="0"/>
        </w:rPr>
      </w:pPr>
      <w:r>
        <w:rPr>
          <w:spacing w:val="-2"/>
          <w:kern w:val="0"/>
        </w:rPr>
        <w:t>4</w:t>
      </w:r>
      <w:r>
        <w:rPr>
          <w:rFonts w:hint="eastAsia"/>
          <w:spacing w:val="-2"/>
          <w:kern w:val="0"/>
        </w:rPr>
        <w:t>、建立有综合应急事件信息报告制度，缺乏专项的突发环境事件信息报告制度。</w:t>
      </w:r>
    </w:p>
    <w:p>
      <w:pPr>
        <w:pStyle w:val="5"/>
        <w:numPr>
          <w:ilvl w:val="1"/>
          <w:numId w:val="0"/>
        </w:numPr>
        <w:bidi w:val="0"/>
        <w:ind w:leftChars="0"/>
      </w:pPr>
      <w:bookmarkStart w:id="268" w:name="_Toc3784"/>
      <w:bookmarkStart w:id="269" w:name="_Toc527104524"/>
      <w:r>
        <w:rPr>
          <w:rFonts w:hint="eastAsia"/>
          <w:lang w:val="en-US" w:eastAsia="zh-CN"/>
        </w:rPr>
        <w:t>5.2</w:t>
      </w:r>
      <w:r>
        <w:rPr>
          <w:rFonts w:hint="eastAsia"/>
        </w:rPr>
        <w:t>环境风险防控与应急措施</w:t>
      </w:r>
      <w:bookmarkEnd w:id="268"/>
      <w:bookmarkEnd w:id="269"/>
    </w:p>
    <w:p>
      <w:pPr>
        <w:ind w:firstLine="560"/>
      </w:pPr>
      <w:r>
        <w:rPr>
          <w:rFonts w:hint="eastAsia"/>
        </w:rPr>
        <w:t>1、防泄漏措施</w:t>
      </w:r>
    </w:p>
    <w:p>
      <w:pPr>
        <w:ind w:firstLine="560"/>
      </w:pPr>
      <w:r>
        <w:rPr>
          <w:rFonts w:hint="eastAsia"/>
          <w:color w:val="000000" w:themeColor="text1"/>
          <w:highlight w:val="none"/>
          <w:lang w:eastAsia="zh-CN"/>
          <w14:textFill>
            <w14:solidFill>
              <w14:schemeClr w14:val="tx1"/>
            </w14:solidFill>
          </w14:textFill>
        </w:rPr>
        <w:t>危废暂存库</w:t>
      </w:r>
      <w:r>
        <w:rPr>
          <w:rFonts w:hint="eastAsia"/>
        </w:rPr>
        <w:t>已经按照做好防渗、防腐措施，对周边环境影响较小。</w:t>
      </w:r>
    </w:p>
    <w:p>
      <w:pPr>
        <w:ind w:firstLine="560"/>
      </w:pPr>
      <w:r>
        <w:rPr>
          <w:rFonts w:hint="eastAsia"/>
        </w:rPr>
        <w:t>2、废水事故池</w:t>
      </w:r>
    </w:p>
    <w:p>
      <w:pPr>
        <w:ind w:firstLine="560"/>
      </w:pPr>
      <w:r>
        <w:rPr>
          <w:rFonts w:hint="eastAsia"/>
        </w:rPr>
        <w:t>在</w:t>
      </w:r>
      <w:r>
        <w:rPr>
          <w:rFonts w:hint="eastAsia"/>
          <w:lang w:eastAsia="zh-CN"/>
        </w:rPr>
        <w:t>次氯酸钠卸料口</w:t>
      </w:r>
      <w:r>
        <w:rPr>
          <w:rFonts w:hint="eastAsia"/>
        </w:rPr>
        <w:t>处安装有管道连接到事故池，能有效地将</w:t>
      </w:r>
      <w:r>
        <w:rPr>
          <w:rFonts w:hint="eastAsia"/>
          <w:lang w:eastAsia="zh-CN"/>
        </w:rPr>
        <w:t>卸料时泄漏</w:t>
      </w:r>
      <w:r>
        <w:rPr>
          <w:rFonts w:hint="eastAsia"/>
        </w:rPr>
        <w:t>的</w:t>
      </w:r>
      <w:r>
        <w:rPr>
          <w:rFonts w:hint="eastAsia"/>
          <w:lang w:eastAsia="zh-CN"/>
        </w:rPr>
        <w:t>物料</w:t>
      </w:r>
      <w:r>
        <w:rPr>
          <w:rFonts w:hint="eastAsia"/>
        </w:rPr>
        <w:t>充分回收到事故池内。</w:t>
      </w:r>
    </w:p>
    <w:p>
      <w:pPr>
        <w:pStyle w:val="5"/>
        <w:numPr>
          <w:ilvl w:val="1"/>
          <w:numId w:val="0"/>
        </w:numPr>
        <w:bidi w:val="0"/>
        <w:ind w:leftChars="0"/>
      </w:pPr>
      <w:bookmarkStart w:id="270" w:name="_Toc14801"/>
      <w:bookmarkStart w:id="271" w:name="_Toc527104525"/>
      <w:r>
        <w:rPr>
          <w:rFonts w:hint="eastAsia"/>
          <w:lang w:val="en-US" w:eastAsia="zh-CN"/>
        </w:rPr>
        <w:t>5.3</w:t>
      </w:r>
      <w:r>
        <w:rPr>
          <w:rFonts w:hint="eastAsia"/>
        </w:rPr>
        <w:t>环境应急资源</w:t>
      </w:r>
      <w:bookmarkEnd w:id="270"/>
      <w:bookmarkEnd w:id="271"/>
    </w:p>
    <w:p>
      <w:pPr>
        <w:ind w:firstLine="560"/>
      </w:pPr>
      <w:r>
        <w:t>1</w:t>
      </w:r>
      <w:r>
        <w:rPr>
          <w:rFonts w:hint="eastAsia"/>
        </w:rPr>
        <w:t>、公司配备有必要的应急物资和应急装备；</w:t>
      </w:r>
    </w:p>
    <w:p>
      <w:pPr>
        <w:ind w:firstLine="560"/>
      </w:pPr>
      <w:r>
        <w:t>2</w:t>
      </w:r>
      <w:r>
        <w:rPr>
          <w:rFonts w:hint="eastAsia"/>
        </w:rPr>
        <w:t>、公司设置有专职以及兼职人员组成的应急救援队伍；</w:t>
      </w:r>
    </w:p>
    <w:p>
      <w:pPr>
        <w:pStyle w:val="8"/>
        <w:keepNext/>
      </w:pPr>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5</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1</w:t>
      </w:r>
      <w:r>
        <w:fldChar w:fldCharType="end"/>
      </w:r>
      <w:r>
        <w:rPr>
          <w:rFonts w:hint="eastAsia"/>
        </w:rPr>
        <w:t>现有应急设施装备一览表</w:t>
      </w:r>
    </w:p>
    <w:tbl>
      <w:tblPr>
        <w:tblStyle w:val="15"/>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1"/>
        <w:gridCol w:w="3223"/>
        <w:gridCol w:w="1364"/>
        <w:gridCol w:w="2840"/>
        <w:gridCol w:w="10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序号</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设施名称</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规格型号</w:t>
            </w: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设施位置</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耐酸碱手套</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应急柜</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2双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2</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防护面罩</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应急柜</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2个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3</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急救箱</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车间</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4</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推车式二氧化碳灭火器</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MFT20</w:t>
            </w: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原水泵房</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5</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手提式二氧化碳灭火器</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MT2</w:t>
            </w: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原水泵房</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18只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6</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手提式二氧化碳灭火器</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MT2</w:t>
            </w: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厂区</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30只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7</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室外消火栓</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SN-100</w:t>
            </w: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厂区</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10只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8</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室内消防栓</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SN-50</w:t>
            </w: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全场建筑</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3只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9</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喷淋洗眼器</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lang w:val="en-US" w:eastAsia="zh-CN"/>
              </w:rPr>
              <w:t>次氯酸钠间</w:t>
            </w:r>
            <w:r>
              <w:rPr>
                <w:rFonts w:hint="eastAsia" w:cs="Times New Roman"/>
                <w:color w:val="000000"/>
                <w:kern w:val="0"/>
                <w:sz w:val="21"/>
                <w:szCs w:val="21"/>
              </w:rPr>
              <w:t>、化验室</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7只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10</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防毒面具</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过滤式</w:t>
            </w:r>
          </w:p>
        </w:tc>
        <w:tc>
          <w:tcPr>
            <w:tcW w:w="1520" w:type="pct"/>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次氯酸钠间</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11</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漏氯报警仪</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lang w:val="en-US" w:eastAsia="zh-CN"/>
              </w:rPr>
              <w:t>次氯酸钠间</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4个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12</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风向标</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滤池上面</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exact"/>
          <w:jc w:val="center"/>
        </w:trPr>
        <w:tc>
          <w:tcPr>
            <w:tcW w:w="456"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13</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担架</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滤池</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exact"/>
          <w:jc w:val="center"/>
        </w:trPr>
        <w:tc>
          <w:tcPr>
            <w:tcW w:w="456"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14</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密闭式防护服</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lang w:val="en-US" w:eastAsia="zh-CN"/>
              </w:rPr>
              <w:t>次氯酸钠间</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3套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exact"/>
          <w:jc w:val="center"/>
        </w:trPr>
        <w:tc>
          <w:tcPr>
            <w:tcW w:w="456"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15</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耐酸碱手套</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lang w:val="en-US" w:eastAsia="zh-CN"/>
              </w:rPr>
              <w:t>次氯酸钠间</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5副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exact"/>
          <w:jc w:val="center"/>
        </w:trPr>
        <w:tc>
          <w:tcPr>
            <w:tcW w:w="456"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16</w:t>
            </w:r>
          </w:p>
        </w:tc>
        <w:tc>
          <w:tcPr>
            <w:tcW w:w="1725"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正压式呼吸器</w:t>
            </w:r>
          </w:p>
        </w:tc>
        <w:tc>
          <w:tcPr>
            <w:tcW w:w="730" w:type="pct"/>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lang w:val="en-US" w:eastAsia="zh-CN"/>
              </w:rPr>
              <w:t>次氯酸钠间</w:t>
            </w:r>
          </w:p>
        </w:tc>
        <w:tc>
          <w:tcPr>
            <w:tcW w:w="567"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2个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exact"/>
          <w:jc w:val="center"/>
        </w:trPr>
        <w:tc>
          <w:tcPr>
            <w:tcW w:w="456"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17</w:t>
            </w:r>
          </w:p>
        </w:tc>
        <w:tc>
          <w:tcPr>
            <w:tcW w:w="1725"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砂子</w:t>
            </w:r>
          </w:p>
        </w:tc>
        <w:tc>
          <w:tcPr>
            <w:tcW w:w="730" w:type="pct"/>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车间外</w:t>
            </w:r>
          </w:p>
        </w:tc>
        <w:tc>
          <w:tcPr>
            <w:tcW w:w="567"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500公斤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exact"/>
          <w:jc w:val="center"/>
        </w:trPr>
        <w:tc>
          <w:tcPr>
            <w:tcW w:w="456"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18</w:t>
            </w:r>
          </w:p>
        </w:tc>
        <w:tc>
          <w:tcPr>
            <w:tcW w:w="1725"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锹</w:t>
            </w:r>
          </w:p>
        </w:tc>
        <w:tc>
          <w:tcPr>
            <w:tcW w:w="730" w:type="pct"/>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车间外</w:t>
            </w:r>
          </w:p>
        </w:tc>
        <w:tc>
          <w:tcPr>
            <w:tcW w:w="567"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4把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exact"/>
          <w:jc w:val="center"/>
        </w:trPr>
        <w:tc>
          <w:tcPr>
            <w:tcW w:w="456"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19</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三脚架</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仓库</w:t>
            </w:r>
          </w:p>
        </w:tc>
        <w:tc>
          <w:tcPr>
            <w:tcW w:w="567" w:type="pct"/>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exact"/>
          <w:jc w:val="center"/>
        </w:trPr>
        <w:tc>
          <w:tcPr>
            <w:tcW w:w="456"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20</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鼓风机</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lang w:val="en-US" w:eastAsia="zh-CN"/>
              </w:rPr>
              <w:t>仓库</w:t>
            </w:r>
          </w:p>
        </w:tc>
        <w:tc>
          <w:tcPr>
            <w:tcW w:w="567" w:type="pct"/>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7" w:hRule="exact"/>
          <w:jc w:val="center"/>
        </w:trPr>
        <w:tc>
          <w:tcPr>
            <w:tcW w:w="456"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21</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便携式4合1气体报警器</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RAE PGM-2400P</w:t>
            </w: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lang w:val="en-US" w:eastAsia="zh-CN"/>
              </w:rPr>
              <w:t>仓库</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exact"/>
          <w:jc w:val="center"/>
        </w:trPr>
        <w:tc>
          <w:tcPr>
            <w:tcW w:w="456"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22</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担架</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仓库</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1套</w:t>
            </w:r>
          </w:p>
        </w:tc>
      </w:tr>
    </w:tbl>
    <w:p>
      <w:pPr>
        <w:pStyle w:val="8"/>
        <w:keepNext/>
        <w:rPr>
          <w:rFonts w:hint="eastAsia"/>
        </w:rPr>
      </w:pPr>
    </w:p>
    <w:p>
      <w:pPr>
        <w:pStyle w:val="8"/>
        <w:keepNext/>
      </w:pPr>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5</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2</w:t>
      </w:r>
      <w:r>
        <w:fldChar w:fldCharType="end"/>
      </w:r>
      <w:r>
        <w:rPr>
          <w:rFonts w:hint="eastAsia"/>
        </w:rPr>
        <w:t>公司应急指挥部成员联系方式</w:t>
      </w:r>
    </w:p>
    <w:tbl>
      <w:tblPr>
        <w:tblStyle w:val="15"/>
        <w:tblpPr w:leftFromText="180" w:rightFromText="180" w:vertAnchor="text" w:horzAnchor="margin" w:tblpY="15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7"/>
        <w:gridCol w:w="2321"/>
        <w:gridCol w:w="1886"/>
        <w:gridCol w:w="2160"/>
        <w:gridCol w:w="18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60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序号</w:t>
            </w:r>
          </w:p>
        </w:tc>
        <w:tc>
          <w:tcPr>
            <w:tcW w:w="124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姓  名</w:t>
            </w:r>
          </w:p>
        </w:tc>
        <w:tc>
          <w:tcPr>
            <w:tcW w:w="1009"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岗位</w:t>
            </w:r>
          </w:p>
        </w:tc>
        <w:tc>
          <w:tcPr>
            <w:tcW w:w="1156"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联系方式</w:t>
            </w:r>
          </w:p>
        </w:tc>
        <w:tc>
          <w:tcPr>
            <w:tcW w:w="98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60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w:t>
            </w:r>
          </w:p>
        </w:tc>
        <w:tc>
          <w:tcPr>
            <w:tcW w:w="124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唐</w:t>
            </w:r>
            <w:r>
              <w:rPr>
                <w:rFonts w:hint="eastAsia" w:cs="Times New Roman"/>
                <w:color w:val="000000"/>
                <w:kern w:val="0"/>
                <w:sz w:val="21"/>
                <w:szCs w:val="21"/>
                <w:lang w:val="en-US" w:eastAsia="zh-CN"/>
              </w:rPr>
              <w:tab/>
            </w:r>
            <w:r>
              <w:rPr>
                <w:rFonts w:hint="eastAsia" w:cs="Times New Roman"/>
                <w:color w:val="000000"/>
                <w:kern w:val="0"/>
                <w:sz w:val="21"/>
                <w:szCs w:val="21"/>
                <w:lang w:val="en-US" w:eastAsia="zh-CN"/>
              </w:rPr>
              <w:t xml:space="preserve"> 辉</w:t>
            </w:r>
          </w:p>
        </w:tc>
        <w:tc>
          <w:tcPr>
            <w:tcW w:w="1009"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组长</w:t>
            </w:r>
          </w:p>
        </w:tc>
        <w:tc>
          <w:tcPr>
            <w:tcW w:w="1156"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18720077818</w:t>
            </w:r>
          </w:p>
        </w:tc>
        <w:tc>
          <w:tcPr>
            <w:tcW w:w="98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60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2</w:t>
            </w:r>
          </w:p>
        </w:tc>
        <w:tc>
          <w:tcPr>
            <w:tcW w:w="124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邓江莉</w:t>
            </w:r>
          </w:p>
        </w:tc>
        <w:tc>
          <w:tcPr>
            <w:tcW w:w="1009"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组员</w:t>
            </w:r>
          </w:p>
        </w:tc>
        <w:tc>
          <w:tcPr>
            <w:tcW w:w="1156"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13970027701</w:t>
            </w:r>
          </w:p>
        </w:tc>
        <w:tc>
          <w:tcPr>
            <w:tcW w:w="98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60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3</w:t>
            </w:r>
          </w:p>
        </w:tc>
        <w:tc>
          <w:tcPr>
            <w:tcW w:w="124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李国平</w:t>
            </w:r>
          </w:p>
        </w:tc>
        <w:tc>
          <w:tcPr>
            <w:tcW w:w="1009"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组员</w:t>
            </w:r>
          </w:p>
        </w:tc>
        <w:tc>
          <w:tcPr>
            <w:tcW w:w="1156"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13870971365</w:t>
            </w:r>
          </w:p>
        </w:tc>
        <w:tc>
          <w:tcPr>
            <w:tcW w:w="98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60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4</w:t>
            </w:r>
          </w:p>
        </w:tc>
        <w:tc>
          <w:tcPr>
            <w:tcW w:w="124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吴华敏</w:t>
            </w:r>
          </w:p>
        </w:tc>
        <w:tc>
          <w:tcPr>
            <w:tcW w:w="1009"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组员</w:t>
            </w:r>
          </w:p>
        </w:tc>
        <w:tc>
          <w:tcPr>
            <w:tcW w:w="1156"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13330098266</w:t>
            </w:r>
          </w:p>
        </w:tc>
        <w:tc>
          <w:tcPr>
            <w:tcW w:w="98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60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5</w:t>
            </w:r>
          </w:p>
        </w:tc>
        <w:tc>
          <w:tcPr>
            <w:tcW w:w="124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李银保</w:t>
            </w:r>
          </w:p>
        </w:tc>
        <w:tc>
          <w:tcPr>
            <w:tcW w:w="1009"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组员</w:t>
            </w:r>
          </w:p>
        </w:tc>
        <w:tc>
          <w:tcPr>
            <w:tcW w:w="1156"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15879101929</w:t>
            </w:r>
          </w:p>
        </w:tc>
        <w:tc>
          <w:tcPr>
            <w:tcW w:w="98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60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6</w:t>
            </w:r>
          </w:p>
        </w:tc>
        <w:tc>
          <w:tcPr>
            <w:tcW w:w="124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范延辉</w:t>
            </w:r>
          </w:p>
        </w:tc>
        <w:tc>
          <w:tcPr>
            <w:tcW w:w="1009"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组员</w:t>
            </w:r>
          </w:p>
        </w:tc>
        <w:tc>
          <w:tcPr>
            <w:tcW w:w="1156"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13970997355</w:t>
            </w:r>
          </w:p>
        </w:tc>
        <w:tc>
          <w:tcPr>
            <w:tcW w:w="98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60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7</w:t>
            </w:r>
          </w:p>
        </w:tc>
        <w:tc>
          <w:tcPr>
            <w:tcW w:w="124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魏道钲</w:t>
            </w:r>
          </w:p>
        </w:tc>
        <w:tc>
          <w:tcPr>
            <w:tcW w:w="1009"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组员</w:t>
            </w:r>
          </w:p>
        </w:tc>
        <w:tc>
          <w:tcPr>
            <w:tcW w:w="1156"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18579068807</w:t>
            </w:r>
          </w:p>
        </w:tc>
        <w:tc>
          <w:tcPr>
            <w:tcW w:w="98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p>
        </w:tc>
      </w:tr>
    </w:tbl>
    <w:p>
      <w:pPr>
        <w:pStyle w:val="5"/>
        <w:numPr>
          <w:ilvl w:val="1"/>
          <w:numId w:val="0"/>
        </w:numPr>
        <w:bidi w:val="0"/>
        <w:ind w:leftChars="0"/>
      </w:pPr>
      <w:bookmarkStart w:id="272" w:name="_Toc527104526"/>
      <w:bookmarkStart w:id="273" w:name="_Toc28269"/>
      <w:r>
        <w:rPr>
          <w:rFonts w:hint="eastAsia"/>
          <w:lang w:val="en-US" w:eastAsia="zh-CN"/>
        </w:rPr>
        <w:t>5.4</w:t>
      </w:r>
      <w:r>
        <w:rPr>
          <w:rFonts w:hint="eastAsia"/>
        </w:rPr>
        <w:t>历史经验教训总结</w:t>
      </w:r>
      <w:bookmarkEnd w:id="272"/>
      <w:bookmarkEnd w:id="273"/>
    </w:p>
    <w:p>
      <w:pPr>
        <w:ind w:firstLine="560"/>
      </w:pPr>
      <w:r>
        <w:rPr>
          <w:rFonts w:hint="eastAsia"/>
        </w:rPr>
        <w:t>本公司引以为戒、吸取历史经验教训，针对上述可能造成的事故的原因，采取了如下相应对策：</w:t>
      </w:r>
    </w:p>
    <w:p>
      <w:pPr>
        <w:ind w:firstLine="560"/>
      </w:pPr>
      <w:r>
        <w:rPr>
          <w:rFonts w:hint="eastAsia"/>
        </w:rPr>
        <w:t xml:space="preserve">（1）强化环境安全责任主体的意识。企业要切实加强环境风险防范意识，平时加强环境安全隐患排查治理，将事故消除在萌芽状态。在发生安全生产事故后，应及时采取有效措施，严防泄漏物排入外环境。 </w:t>
      </w:r>
    </w:p>
    <w:p>
      <w:pPr>
        <w:ind w:firstLine="560"/>
      </w:pPr>
      <w:r>
        <w:rPr>
          <w:rFonts w:hint="eastAsia"/>
        </w:rPr>
        <w:t>（2）加强环境风险管理，提高应急管理水平。环境风险防范工作是预防突发环境事件发生的根本。企业应当开展经常性的风险隐患排查，在此基础上开展环境风险评估，根据评估结果有针对性的采取有效的环境风险防范措施。制订可操作性强的企业应急预案，及时上报与准确发布事故信息。企业应当加强厂区及厂界事故池、厂界雨污水排放口建设完善与监管，把厂界作为一个大围堰，防止极端情况下再次发生溢流出厂界污染情况发生。企业应当提高安全生产水平，从源头减少突发环境事件的发生概率。快速断源并切断环境风险传播途径是事件处置的关键所在，安全生产事故发生后，企业应当及时有效部署、快速阻断污染源，对总排口实施关闭、封堵等补救措施，避免事态进一步扩大。企业应当积极采取措施，加强对环境风险受体的防护，切实保护周边群众的大气环境安全。</w:t>
      </w:r>
    </w:p>
    <w:p>
      <w:pPr>
        <w:ind w:firstLine="560"/>
      </w:pPr>
      <w:r>
        <w:rPr>
          <w:rFonts w:hint="eastAsia"/>
        </w:rPr>
        <w:t>（3）加强环境应急能力建设。企业应当加强有毒有害气体防泄漏的预警监测设施建设，早发现、早预警、早撤离，防止周边及企业职工中毒情况的发生。企业应当加强装置区泄漏物料收集、导流、储存等事故池、厂区与厂界事故拦截系统、事故池的建设。企业应当储备必要的环境应急物资和装备，经常性开展对员工环境安全培训，对环境应急预案进行有效演练，提高应急队伍应急水平。</w:t>
      </w:r>
    </w:p>
    <w:p>
      <w:pPr>
        <w:pStyle w:val="5"/>
        <w:numPr>
          <w:ilvl w:val="1"/>
          <w:numId w:val="0"/>
        </w:numPr>
        <w:bidi w:val="0"/>
        <w:ind w:leftChars="0"/>
      </w:pPr>
      <w:bookmarkStart w:id="274" w:name="_Toc527104527"/>
      <w:bookmarkStart w:id="275" w:name="_Toc7268"/>
      <w:r>
        <w:rPr>
          <w:rFonts w:hint="eastAsia"/>
          <w:lang w:val="en-US" w:eastAsia="zh-CN"/>
        </w:rPr>
        <w:t>5.5</w:t>
      </w:r>
      <w:r>
        <w:rPr>
          <w:rFonts w:hint="eastAsia"/>
        </w:rPr>
        <w:t>需要整改的短期、中期和长期项目内容</w:t>
      </w:r>
      <w:bookmarkEnd w:id="274"/>
      <w:bookmarkEnd w:id="275"/>
    </w:p>
    <w:p>
      <w:pPr>
        <w:ind w:firstLine="560"/>
      </w:pPr>
      <w:r>
        <w:rPr>
          <w:rFonts w:hint="eastAsia"/>
        </w:rPr>
        <w:t>针对上述排查的每一项差距和隐患，根据其危害性、紧迫性和治理时间的长短，提出需要完成整改的期限，分别按短期（3个月以内）、中期（3-6个月）和长期（6个月以上）列表说明。</w:t>
      </w:r>
    </w:p>
    <w:p>
      <w:pPr>
        <w:pStyle w:val="8"/>
        <w:keepNext/>
      </w:pPr>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5</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3</w:t>
      </w:r>
      <w:r>
        <w:fldChar w:fldCharType="end"/>
      </w:r>
      <w:r>
        <w:rPr>
          <w:rFonts w:hint="eastAsia"/>
        </w:rPr>
        <w:t>在问题及整改内容和期限</w:t>
      </w:r>
    </w:p>
    <w:tbl>
      <w:tblPr>
        <w:tblStyle w:val="1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7"/>
        <w:gridCol w:w="2186"/>
        <w:gridCol w:w="2316"/>
        <w:gridCol w:w="2907"/>
        <w:gridCol w:w="7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19" w:type="pct"/>
            <w:vAlign w:val="center"/>
          </w:tcPr>
          <w:p>
            <w:pPr>
              <w:spacing w:line="240" w:lineRule="auto"/>
              <w:ind w:firstLine="0" w:firstLineChars="0"/>
              <w:jc w:val="center"/>
              <w:rPr>
                <w:sz w:val="21"/>
              </w:rPr>
            </w:pPr>
            <w:r>
              <w:rPr>
                <w:rFonts w:hint="eastAsia"/>
                <w:sz w:val="21"/>
              </w:rPr>
              <w:t>类别</w:t>
            </w:r>
          </w:p>
        </w:tc>
        <w:tc>
          <w:tcPr>
            <w:tcW w:w="1169" w:type="pct"/>
            <w:vAlign w:val="center"/>
          </w:tcPr>
          <w:p>
            <w:pPr>
              <w:spacing w:line="240" w:lineRule="auto"/>
              <w:ind w:firstLine="0" w:firstLineChars="0"/>
              <w:jc w:val="center"/>
              <w:rPr>
                <w:sz w:val="21"/>
              </w:rPr>
            </w:pPr>
            <w:r>
              <w:rPr>
                <w:rFonts w:hint="eastAsia"/>
                <w:sz w:val="21"/>
              </w:rPr>
              <w:t>措施</w:t>
            </w:r>
          </w:p>
        </w:tc>
        <w:tc>
          <w:tcPr>
            <w:tcW w:w="1239" w:type="pct"/>
            <w:vAlign w:val="center"/>
          </w:tcPr>
          <w:p>
            <w:pPr>
              <w:spacing w:line="240" w:lineRule="auto"/>
              <w:ind w:firstLine="0" w:firstLineChars="0"/>
              <w:jc w:val="center"/>
              <w:rPr>
                <w:sz w:val="21"/>
              </w:rPr>
            </w:pPr>
            <w:r>
              <w:rPr>
                <w:rFonts w:hint="eastAsia"/>
                <w:sz w:val="21"/>
              </w:rPr>
              <w:t>问题</w:t>
            </w:r>
          </w:p>
        </w:tc>
        <w:tc>
          <w:tcPr>
            <w:tcW w:w="1555" w:type="pct"/>
            <w:vAlign w:val="center"/>
          </w:tcPr>
          <w:p>
            <w:pPr>
              <w:spacing w:line="240" w:lineRule="auto"/>
              <w:ind w:firstLine="0" w:firstLineChars="0"/>
              <w:jc w:val="center"/>
              <w:rPr>
                <w:sz w:val="21"/>
              </w:rPr>
            </w:pPr>
            <w:r>
              <w:rPr>
                <w:rFonts w:hint="eastAsia"/>
                <w:sz w:val="21"/>
              </w:rPr>
              <w:t>整改内容</w:t>
            </w:r>
          </w:p>
        </w:tc>
        <w:tc>
          <w:tcPr>
            <w:tcW w:w="416" w:type="pct"/>
            <w:vAlign w:val="center"/>
          </w:tcPr>
          <w:p>
            <w:pPr>
              <w:spacing w:line="240" w:lineRule="auto"/>
              <w:ind w:firstLine="0" w:firstLineChars="0"/>
              <w:jc w:val="center"/>
              <w:rPr>
                <w:sz w:val="21"/>
              </w:rPr>
            </w:pPr>
            <w:r>
              <w:rPr>
                <w:rFonts w:hint="eastAsia"/>
                <w:sz w:val="21"/>
              </w:rPr>
              <w:t>完成期限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19" w:type="pct"/>
            <w:vAlign w:val="center"/>
          </w:tcPr>
          <w:p>
            <w:pPr>
              <w:spacing w:line="240" w:lineRule="auto"/>
              <w:ind w:firstLine="0" w:firstLineChars="0"/>
              <w:jc w:val="center"/>
              <w:rPr>
                <w:sz w:val="21"/>
              </w:rPr>
            </w:pPr>
            <w:r>
              <w:rPr>
                <w:rFonts w:hint="eastAsia"/>
                <w:sz w:val="21"/>
              </w:rPr>
              <w:t>危废仓库</w:t>
            </w:r>
          </w:p>
        </w:tc>
        <w:tc>
          <w:tcPr>
            <w:tcW w:w="1169" w:type="pct"/>
            <w:vAlign w:val="center"/>
          </w:tcPr>
          <w:p>
            <w:pPr>
              <w:spacing w:line="240" w:lineRule="auto"/>
              <w:ind w:firstLine="0" w:firstLineChars="0"/>
              <w:rPr>
                <w:sz w:val="21"/>
              </w:rPr>
            </w:pPr>
            <w:r>
              <w:rPr>
                <w:rFonts w:hint="eastAsia"/>
                <w:sz w:val="21"/>
              </w:rPr>
              <w:t>防腐、防渗</w:t>
            </w:r>
          </w:p>
        </w:tc>
        <w:tc>
          <w:tcPr>
            <w:tcW w:w="1239" w:type="pct"/>
            <w:vAlign w:val="center"/>
          </w:tcPr>
          <w:p>
            <w:pPr>
              <w:spacing w:line="240" w:lineRule="auto"/>
              <w:ind w:firstLine="0" w:firstLineChars="0"/>
              <w:rPr>
                <w:rFonts w:hint="eastAsia" w:eastAsia="宋体"/>
                <w:sz w:val="21"/>
                <w:lang w:eastAsia="zh-CN"/>
              </w:rPr>
            </w:pPr>
            <w:r>
              <w:rPr>
                <w:rFonts w:hint="eastAsia"/>
                <w:sz w:val="21"/>
                <w:lang w:eastAsia="zh-CN"/>
              </w:rPr>
              <w:t>未设置围堰</w:t>
            </w:r>
          </w:p>
        </w:tc>
        <w:tc>
          <w:tcPr>
            <w:tcW w:w="1555" w:type="pct"/>
            <w:vAlign w:val="center"/>
          </w:tcPr>
          <w:p>
            <w:pPr>
              <w:spacing w:line="240" w:lineRule="auto"/>
              <w:ind w:firstLine="0" w:firstLineChars="0"/>
              <w:rPr>
                <w:rFonts w:hint="eastAsia" w:eastAsia="宋体"/>
                <w:sz w:val="21"/>
                <w:lang w:eastAsia="zh-CN"/>
              </w:rPr>
            </w:pPr>
            <w:r>
              <w:rPr>
                <w:rFonts w:hint="eastAsia"/>
                <w:sz w:val="21"/>
              </w:rPr>
              <w:t>在危废仓库</w:t>
            </w:r>
            <w:r>
              <w:rPr>
                <w:rFonts w:hint="eastAsia"/>
                <w:sz w:val="21"/>
                <w:lang w:eastAsia="zh-CN"/>
              </w:rPr>
              <w:t>内设置围堰</w:t>
            </w:r>
          </w:p>
        </w:tc>
        <w:tc>
          <w:tcPr>
            <w:tcW w:w="416" w:type="pct"/>
            <w:vAlign w:val="center"/>
          </w:tcPr>
          <w:p>
            <w:pPr>
              <w:spacing w:line="240" w:lineRule="auto"/>
              <w:ind w:firstLine="0" w:firstLineChars="0"/>
              <w:jc w:val="center"/>
              <w:rPr>
                <w:sz w:val="21"/>
              </w:rPr>
            </w:pPr>
            <w:r>
              <w:rPr>
                <w:rFonts w:hint="eastAsia"/>
                <w:sz w:val="21"/>
              </w:rPr>
              <w:t>短期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788" w:type="pct"/>
            <w:gridSpan w:val="2"/>
            <w:vMerge w:val="restart"/>
            <w:vAlign w:val="center"/>
          </w:tcPr>
          <w:p>
            <w:pPr>
              <w:spacing w:line="240" w:lineRule="auto"/>
              <w:ind w:firstLine="0" w:firstLineChars="0"/>
              <w:jc w:val="center"/>
              <w:rPr>
                <w:sz w:val="21"/>
              </w:rPr>
            </w:pPr>
            <w:r>
              <w:rPr>
                <w:rFonts w:hint="eastAsia"/>
                <w:sz w:val="21"/>
              </w:rPr>
              <w:t>管理制度</w:t>
            </w:r>
          </w:p>
        </w:tc>
        <w:tc>
          <w:tcPr>
            <w:tcW w:w="1239" w:type="pct"/>
            <w:vAlign w:val="center"/>
          </w:tcPr>
          <w:p>
            <w:pPr>
              <w:spacing w:line="240" w:lineRule="auto"/>
              <w:ind w:firstLine="0" w:firstLineChars="0"/>
              <w:rPr>
                <w:sz w:val="21"/>
              </w:rPr>
            </w:pPr>
            <w:r>
              <w:rPr>
                <w:rFonts w:hint="eastAsia"/>
                <w:sz w:val="21"/>
              </w:rPr>
              <w:t>环境风险与环境应急管理培训力度需加强</w:t>
            </w:r>
          </w:p>
        </w:tc>
        <w:tc>
          <w:tcPr>
            <w:tcW w:w="1555" w:type="pct"/>
            <w:vAlign w:val="center"/>
          </w:tcPr>
          <w:p>
            <w:pPr>
              <w:spacing w:line="240" w:lineRule="auto"/>
              <w:ind w:firstLine="0" w:firstLineChars="0"/>
              <w:rPr>
                <w:sz w:val="21"/>
              </w:rPr>
            </w:pPr>
            <w:r>
              <w:rPr>
                <w:rFonts w:hint="eastAsia"/>
                <w:sz w:val="21"/>
              </w:rPr>
              <w:t>环境风险与环境应急管理培训力度需加强</w:t>
            </w:r>
          </w:p>
        </w:tc>
        <w:tc>
          <w:tcPr>
            <w:tcW w:w="416" w:type="pct"/>
            <w:vAlign w:val="center"/>
          </w:tcPr>
          <w:p>
            <w:pPr>
              <w:spacing w:line="240" w:lineRule="auto"/>
              <w:ind w:firstLine="0" w:firstLineChars="0"/>
              <w:jc w:val="center"/>
              <w:rPr>
                <w:sz w:val="21"/>
              </w:rPr>
            </w:pPr>
            <w:r>
              <w:rPr>
                <w:rFonts w:hint="eastAsia"/>
                <w:sz w:val="21"/>
              </w:rPr>
              <w:t>长期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788" w:type="pct"/>
            <w:gridSpan w:val="2"/>
            <w:vMerge w:val="continue"/>
            <w:vAlign w:val="center"/>
          </w:tcPr>
          <w:p>
            <w:pPr>
              <w:spacing w:line="240" w:lineRule="auto"/>
              <w:ind w:firstLine="0" w:firstLineChars="0"/>
              <w:jc w:val="center"/>
              <w:rPr>
                <w:sz w:val="21"/>
              </w:rPr>
            </w:pPr>
          </w:p>
        </w:tc>
        <w:tc>
          <w:tcPr>
            <w:tcW w:w="1239" w:type="pct"/>
            <w:vAlign w:val="center"/>
          </w:tcPr>
          <w:p>
            <w:pPr>
              <w:spacing w:line="240" w:lineRule="auto"/>
              <w:ind w:firstLine="0" w:firstLineChars="0"/>
              <w:rPr>
                <w:sz w:val="21"/>
              </w:rPr>
            </w:pPr>
            <w:r>
              <w:rPr>
                <w:rFonts w:hint="eastAsia"/>
                <w:sz w:val="21"/>
              </w:rPr>
              <w:t>突发环境污染事故演练欠缺</w:t>
            </w:r>
          </w:p>
        </w:tc>
        <w:tc>
          <w:tcPr>
            <w:tcW w:w="1555" w:type="pct"/>
            <w:vAlign w:val="center"/>
          </w:tcPr>
          <w:p>
            <w:pPr>
              <w:spacing w:line="240" w:lineRule="auto"/>
              <w:ind w:firstLine="0" w:firstLineChars="0"/>
              <w:rPr>
                <w:sz w:val="21"/>
              </w:rPr>
            </w:pPr>
            <w:r>
              <w:rPr>
                <w:rFonts w:hint="eastAsia"/>
                <w:sz w:val="21"/>
              </w:rPr>
              <w:t>定期组织突发环境污染事故演练</w:t>
            </w:r>
          </w:p>
        </w:tc>
        <w:tc>
          <w:tcPr>
            <w:tcW w:w="416" w:type="pct"/>
            <w:vAlign w:val="center"/>
          </w:tcPr>
          <w:p>
            <w:pPr>
              <w:spacing w:line="240" w:lineRule="auto"/>
              <w:ind w:firstLine="0" w:firstLineChars="0"/>
              <w:jc w:val="center"/>
              <w:rPr>
                <w:sz w:val="21"/>
              </w:rPr>
            </w:pPr>
            <w:r>
              <w:rPr>
                <w:rFonts w:hint="eastAsia"/>
                <w:sz w:val="21"/>
              </w:rPr>
              <w:t>长期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788" w:type="pct"/>
            <w:gridSpan w:val="2"/>
            <w:vAlign w:val="center"/>
          </w:tcPr>
          <w:p>
            <w:pPr>
              <w:spacing w:line="240" w:lineRule="auto"/>
              <w:ind w:firstLine="0" w:firstLineChars="0"/>
              <w:jc w:val="center"/>
              <w:rPr>
                <w:sz w:val="21"/>
              </w:rPr>
            </w:pPr>
            <w:r>
              <w:rPr>
                <w:rFonts w:hint="eastAsia"/>
                <w:sz w:val="21"/>
              </w:rPr>
              <w:t>应急物资</w:t>
            </w:r>
          </w:p>
        </w:tc>
        <w:tc>
          <w:tcPr>
            <w:tcW w:w="1239" w:type="pct"/>
            <w:vAlign w:val="center"/>
          </w:tcPr>
          <w:p>
            <w:pPr>
              <w:spacing w:line="240" w:lineRule="auto"/>
              <w:ind w:firstLine="0" w:firstLineChars="0"/>
              <w:rPr>
                <w:sz w:val="21"/>
              </w:rPr>
            </w:pPr>
            <w:r>
              <w:rPr>
                <w:rFonts w:hint="eastAsia"/>
                <w:sz w:val="21"/>
              </w:rPr>
              <w:t>现有应急物资不足</w:t>
            </w:r>
          </w:p>
        </w:tc>
        <w:tc>
          <w:tcPr>
            <w:tcW w:w="1555" w:type="pct"/>
            <w:vAlign w:val="center"/>
          </w:tcPr>
          <w:p>
            <w:pPr>
              <w:spacing w:line="240" w:lineRule="auto"/>
              <w:ind w:firstLine="0" w:firstLineChars="0"/>
              <w:rPr>
                <w:sz w:val="21"/>
              </w:rPr>
            </w:pPr>
            <w:r>
              <w:rPr>
                <w:rFonts w:hint="eastAsia"/>
                <w:sz w:val="21"/>
              </w:rPr>
              <w:t>补充泄漏物收集容器、泄漏物清理工具</w:t>
            </w:r>
          </w:p>
        </w:tc>
        <w:tc>
          <w:tcPr>
            <w:tcW w:w="416" w:type="pct"/>
            <w:vAlign w:val="center"/>
          </w:tcPr>
          <w:p>
            <w:pPr>
              <w:spacing w:line="240" w:lineRule="auto"/>
              <w:ind w:firstLine="0" w:firstLineChars="0"/>
              <w:jc w:val="center"/>
              <w:rPr>
                <w:sz w:val="21"/>
              </w:rPr>
            </w:pPr>
          </w:p>
        </w:tc>
      </w:tr>
    </w:tbl>
    <w:p>
      <w:pPr>
        <w:ind w:firstLine="560"/>
      </w:pPr>
    </w:p>
    <w:p>
      <w:pPr>
        <w:ind w:firstLine="0" w:firstLineChars="0"/>
        <w:jc w:val="left"/>
        <w:sectPr>
          <w:pgSz w:w="11906" w:h="16838"/>
          <w:pgMar w:top="1304" w:right="1247" w:bottom="1304" w:left="1531" w:header="851" w:footer="851" w:gutter="0"/>
          <w:pgBorders>
            <w:top w:val="none" w:sz="0" w:space="0"/>
            <w:left w:val="none" w:sz="0" w:space="0"/>
            <w:bottom w:val="none" w:sz="0" w:space="0"/>
            <w:right w:val="none" w:sz="0" w:space="0"/>
          </w:pgBorders>
          <w:pgNumType w:fmt="decimal"/>
          <w:cols w:space="425" w:num="1"/>
          <w:docGrid w:type="lines" w:linePitch="312" w:charSpace="0"/>
        </w:sectPr>
      </w:pPr>
    </w:p>
    <w:p>
      <w:pPr>
        <w:pStyle w:val="4"/>
        <w:numPr>
          <w:ilvl w:val="0"/>
          <w:numId w:val="0"/>
        </w:numPr>
        <w:bidi w:val="0"/>
        <w:ind w:leftChars="0"/>
      </w:pPr>
      <w:bookmarkStart w:id="276" w:name="_Toc10314"/>
      <w:bookmarkStart w:id="277" w:name="_Toc527104528"/>
      <w:r>
        <w:rPr>
          <w:rFonts w:hint="eastAsia"/>
          <w:lang w:val="en-US" w:eastAsia="zh-CN"/>
        </w:rPr>
        <w:t>6</w:t>
      </w:r>
      <w:r>
        <w:rPr>
          <w:rFonts w:hint="eastAsia"/>
        </w:rPr>
        <w:t>完善环境风险防控和应急措施的建议与实施计划</w:t>
      </w:r>
      <w:bookmarkEnd w:id="276"/>
      <w:bookmarkEnd w:id="277"/>
    </w:p>
    <w:p>
      <w:pPr>
        <w:ind w:firstLine="560"/>
      </w:pPr>
      <w:r>
        <w:rPr>
          <w:rFonts w:hint="eastAsia"/>
        </w:rPr>
        <w:t>根据评估结果，在系统分析</w:t>
      </w:r>
      <w:r>
        <w:rPr>
          <w:rFonts w:hint="eastAsia"/>
          <w:lang w:eastAsia="zh-CN"/>
        </w:rPr>
        <w:t>南昌双港供水有限公司</w:t>
      </w:r>
      <w:r>
        <w:rPr>
          <w:rFonts w:hint="eastAsia"/>
        </w:rPr>
        <w:t>环境风险防控现状的基础上，针对企业环境风险防控与应急措施的差距和存在问题，重点从加强源头控制、增强环境应急综合能力、健全企业环境风险管理体系等方面制订环境风险防控与应急措施差距与问题整改计划，详见</w:t>
      </w:r>
      <w:r>
        <w:fldChar w:fldCharType="begin"/>
      </w:r>
      <w:r>
        <w:instrText xml:space="preserve"> </w:instrText>
      </w:r>
      <w:r>
        <w:rPr>
          <w:rFonts w:hint="eastAsia"/>
        </w:rPr>
        <w:instrText xml:space="preserve">REF _Ref526860549 \h</w:instrText>
      </w:r>
      <w:r>
        <w:instrText xml:space="preserve"> </w:instrText>
      </w:r>
      <w:r>
        <w:fldChar w:fldCharType="separate"/>
      </w:r>
      <w:r>
        <w:rPr>
          <w:rFonts w:hint="eastAsia"/>
        </w:rPr>
        <w:t xml:space="preserve">表 </w:t>
      </w:r>
      <w:r>
        <w:t>6</w:t>
      </w:r>
      <w:r>
        <w:noBreakHyphen/>
      </w:r>
      <w:r>
        <w:t>1</w:t>
      </w:r>
      <w:r>
        <w:fldChar w:fldCharType="end"/>
      </w:r>
      <w:r>
        <w:rPr>
          <w:rFonts w:hint="eastAsia"/>
        </w:rPr>
        <w:t>。企业应在规定时限内完成各计划，切实提高企业的环境风险防控能力。企业每完成一次实施计划，都应将计划完成情况登记建档备查。</w:t>
      </w:r>
    </w:p>
    <w:p>
      <w:pPr>
        <w:pStyle w:val="8"/>
        <w:keepNext/>
      </w:pPr>
      <w:bookmarkStart w:id="278" w:name="_Ref526860549"/>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6</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1</w:t>
      </w:r>
      <w:r>
        <w:fldChar w:fldCharType="end"/>
      </w:r>
      <w:bookmarkEnd w:id="278"/>
      <w:r>
        <w:rPr>
          <w:rFonts w:hint="eastAsia"/>
        </w:rPr>
        <w:t>环境风险防控与应急措施差距与问题整改计划</w:t>
      </w:r>
    </w:p>
    <w:tbl>
      <w:tblPr>
        <w:tblStyle w:val="15"/>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84"/>
        <w:gridCol w:w="4683"/>
        <w:gridCol w:w="2758"/>
        <w:gridCol w:w="121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blHeader/>
        </w:trPr>
        <w:tc>
          <w:tcPr>
            <w:tcW w:w="366" w:type="pct"/>
            <w:tcBorders>
              <w:bottom w:val="single" w:color="000000" w:sz="4" w:space="0"/>
            </w:tcBorders>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序号</w:t>
            </w:r>
          </w:p>
        </w:tc>
        <w:tc>
          <w:tcPr>
            <w:tcW w:w="2506" w:type="pct"/>
            <w:tcBorders>
              <w:bottom w:val="single" w:color="000000" w:sz="4" w:space="0"/>
            </w:tcBorders>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具体防控措施</w:t>
            </w:r>
          </w:p>
        </w:tc>
        <w:tc>
          <w:tcPr>
            <w:tcW w:w="1476" w:type="pct"/>
            <w:tcBorders>
              <w:bottom w:val="single" w:color="000000" w:sz="4" w:space="0"/>
            </w:tcBorders>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实施效果</w:t>
            </w:r>
          </w:p>
        </w:tc>
        <w:tc>
          <w:tcPr>
            <w:tcW w:w="650" w:type="pct"/>
            <w:tcBorders>
              <w:bottom w:val="single" w:color="000000" w:sz="4" w:space="0"/>
            </w:tcBorders>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完成时限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5000" w:type="pct"/>
            <w:gridSpan w:val="4"/>
            <w:shd w:val="clear" w:color="auto" w:fill="auto"/>
            <w:vAlign w:val="center"/>
          </w:tcPr>
          <w:p>
            <w:pPr>
              <w:spacing w:line="240" w:lineRule="auto"/>
              <w:ind w:firstLine="0" w:firstLineChars="0"/>
              <w:jc w:val="left"/>
              <w:rPr>
                <w:rFonts w:cs="Times New Roman"/>
                <w:sz w:val="21"/>
                <w:szCs w:val="21"/>
              </w:rPr>
            </w:pPr>
            <w:r>
              <w:rPr>
                <w:rFonts w:cs="Times New Roman"/>
                <w:sz w:val="21"/>
                <w:szCs w:val="21"/>
              </w:rPr>
              <w:t>一、加强源头控制</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366"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1</w:t>
            </w:r>
          </w:p>
        </w:tc>
        <w:tc>
          <w:tcPr>
            <w:tcW w:w="2506" w:type="pct"/>
            <w:shd w:val="clear" w:color="auto" w:fill="auto"/>
            <w:vAlign w:val="center"/>
          </w:tcPr>
          <w:p>
            <w:pPr>
              <w:spacing w:line="240" w:lineRule="auto"/>
              <w:ind w:firstLine="0" w:firstLineChars="0"/>
              <w:rPr>
                <w:rFonts w:cs="Times New Roman"/>
                <w:sz w:val="21"/>
                <w:szCs w:val="21"/>
              </w:rPr>
            </w:pPr>
            <w:r>
              <w:rPr>
                <w:rFonts w:cs="Times New Roman"/>
                <w:sz w:val="21"/>
                <w:szCs w:val="21"/>
              </w:rPr>
              <w:t>建立生产装置定期检测制度：重点对管线盲板、接头、法兰、丝堵、控制阀门等管线连接处进行定期检查，及时采取堵漏、更换装置部件等措施。</w:t>
            </w:r>
          </w:p>
        </w:tc>
        <w:tc>
          <w:tcPr>
            <w:tcW w:w="1476" w:type="pct"/>
            <w:shd w:val="clear" w:color="auto" w:fill="auto"/>
            <w:vAlign w:val="center"/>
          </w:tcPr>
          <w:p>
            <w:pPr>
              <w:spacing w:line="240" w:lineRule="auto"/>
              <w:ind w:firstLine="0" w:firstLineChars="0"/>
              <w:rPr>
                <w:rFonts w:cs="Times New Roman"/>
                <w:sz w:val="21"/>
                <w:szCs w:val="21"/>
              </w:rPr>
            </w:pPr>
            <w:r>
              <w:rPr>
                <w:rFonts w:cs="Times New Roman"/>
                <w:sz w:val="21"/>
                <w:szCs w:val="21"/>
              </w:rPr>
              <w:t>降低装置设备损坏、老化等造成的危险事件</w:t>
            </w:r>
            <w:r>
              <w:rPr>
                <w:rFonts w:hint="eastAsia" w:cs="Times New Roman"/>
                <w:sz w:val="21"/>
                <w:szCs w:val="21"/>
              </w:rPr>
              <w:t>。</w:t>
            </w:r>
          </w:p>
        </w:tc>
        <w:tc>
          <w:tcPr>
            <w:tcW w:w="650"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长期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366"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2</w:t>
            </w:r>
          </w:p>
        </w:tc>
        <w:tc>
          <w:tcPr>
            <w:tcW w:w="2506" w:type="pct"/>
            <w:shd w:val="clear" w:color="auto" w:fill="auto"/>
            <w:vAlign w:val="center"/>
          </w:tcPr>
          <w:p>
            <w:pPr>
              <w:spacing w:line="240" w:lineRule="auto"/>
              <w:ind w:firstLine="0" w:firstLineChars="0"/>
              <w:rPr>
                <w:rFonts w:cs="Times New Roman"/>
                <w:sz w:val="21"/>
                <w:szCs w:val="21"/>
              </w:rPr>
            </w:pPr>
            <w:r>
              <w:rPr>
                <w:rFonts w:cs="Times New Roman"/>
                <w:sz w:val="21"/>
                <w:szCs w:val="21"/>
              </w:rPr>
              <w:t>提高操作水平，长周期运行；减少开停车次数和非正常工况排放；严格劳动纪律，杜绝人为忽视排放。</w:t>
            </w:r>
          </w:p>
        </w:tc>
        <w:tc>
          <w:tcPr>
            <w:tcW w:w="1476" w:type="pct"/>
            <w:shd w:val="clear" w:color="auto" w:fill="auto"/>
            <w:vAlign w:val="center"/>
          </w:tcPr>
          <w:p>
            <w:pPr>
              <w:spacing w:line="240" w:lineRule="auto"/>
              <w:ind w:firstLine="0" w:firstLineChars="0"/>
              <w:rPr>
                <w:rFonts w:cs="Times New Roman"/>
                <w:sz w:val="21"/>
                <w:szCs w:val="21"/>
              </w:rPr>
            </w:pPr>
            <w:r>
              <w:rPr>
                <w:rFonts w:cs="Times New Roman"/>
                <w:sz w:val="21"/>
                <w:szCs w:val="21"/>
              </w:rPr>
              <w:t>有效控制紧急情况下污染物排放水平</w:t>
            </w:r>
            <w:r>
              <w:rPr>
                <w:rFonts w:hint="eastAsia" w:cs="Times New Roman"/>
                <w:sz w:val="21"/>
                <w:szCs w:val="21"/>
              </w:rPr>
              <w:t>。</w:t>
            </w:r>
          </w:p>
        </w:tc>
        <w:tc>
          <w:tcPr>
            <w:tcW w:w="650"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长期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5000" w:type="pct"/>
            <w:gridSpan w:val="4"/>
            <w:shd w:val="clear" w:color="auto" w:fill="auto"/>
            <w:vAlign w:val="center"/>
          </w:tcPr>
          <w:p>
            <w:pPr>
              <w:spacing w:line="240" w:lineRule="auto"/>
              <w:ind w:firstLine="0" w:firstLineChars="0"/>
              <w:jc w:val="left"/>
              <w:rPr>
                <w:rFonts w:cs="Times New Roman"/>
                <w:sz w:val="21"/>
                <w:szCs w:val="21"/>
              </w:rPr>
            </w:pPr>
            <w:r>
              <w:rPr>
                <w:rFonts w:cs="Times New Roman"/>
                <w:sz w:val="21"/>
                <w:szCs w:val="21"/>
              </w:rPr>
              <w:t>二、增强环境应急综合能力</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366"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3</w:t>
            </w:r>
          </w:p>
        </w:tc>
        <w:tc>
          <w:tcPr>
            <w:tcW w:w="2506" w:type="pct"/>
            <w:shd w:val="clear" w:color="auto" w:fill="auto"/>
            <w:vAlign w:val="center"/>
          </w:tcPr>
          <w:p>
            <w:pPr>
              <w:spacing w:line="240" w:lineRule="auto"/>
              <w:ind w:firstLine="0" w:firstLineChars="0"/>
              <w:rPr>
                <w:rFonts w:cs="Times New Roman"/>
                <w:sz w:val="21"/>
                <w:szCs w:val="21"/>
              </w:rPr>
            </w:pPr>
            <w:r>
              <w:rPr>
                <w:rFonts w:cs="Times New Roman"/>
                <w:sz w:val="21"/>
                <w:szCs w:val="21"/>
              </w:rPr>
              <w:t>完善环境应急预案体系：针对泄漏、火灾等突发环境事件，进一步明确监测预警、应急处置与救援的职责分工、操作流程等内容；</w:t>
            </w:r>
            <w:r>
              <w:rPr>
                <w:rFonts w:hint="eastAsia" w:cs="Times New Roman"/>
                <w:sz w:val="21"/>
                <w:szCs w:val="21"/>
              </w:rPr>
              <w:t>定期</w:t>
            </w:r>
            <w:r>
              <w:rPr>
                <w:rFonts w:cs="Times New Roman"/>
                <w:sz w:val="21"/>
                <w:szCs w:val="21"/>
              </w:rPr>
              <w:t>组织实施环境应急</w:t>
            </w:r>
            <w:r>
              <w:rPr>
                <w:rFonts w:hint="eastAsia" w:cs="Times New Roman"/>
                <w:sz w:val="21"/>
                <w:szCs w:val="21"/>
              </w:rPr>
              <w:t>事件培训</w:t>
            </w:r>
            <w:r>
              <w:rPr>
                <w:rFonts w:cs="Times New Roman"/>
                <w:sz w:val="21"/>
                <w:szCs w:val="21"/>
              </w:rPr>
              <w:t>。</w:t>
            </w:r>
          </w:p>
        </w:tc>
        <w:tc>
          <w:tcPr>
            <w:tcW w:w="1476" w:type="pct"/>
            <w:shd w:val="clear" w:color="auto" w:fill="auto"/>
            <w:vAlign w:val="center"/>
          </w:tcPr>
          <w:p>
            <w:pPr>
              <w:spacing w:line="240" w:lineRule="auto"/>
              <w:ind w:firstLine="0" w:firstLineChars="0"/>
              <w:rPr>
                <w:rFonts w:cs="Times New Roman"/>
                <w:sz w:val="21"/>
                <w:szCs w:val="21"/>
              </w:rPr>
            </w:pPr>
            <w:r>
              <w:rPr>
                <w:rFonts w:cs="Times New Roman"/>
                <w:sz w:val="21"/>
                <w:szCs w:val="21"/>
              </w:rPr>
              <w:t>形成全面、有针对性、可操作的环境应急预案体系，有效预防、应对突发环境污染事件。</w:t>
            </w:r>
          </w:p>
        </w:tc>
        <w:tc>
          <w:tcPr>
            <w:tcW w:w="650"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中期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366"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4</w:t>
            </w:r>
          </w:p>
        </w:tc>
        <w:tc>
          <w:tcPr>
            <w:tcW w:w="2506" w:type="pct"/>
            <w:shd w:val="clear" w:color="auto" w:fill="auto"/>
            <w:vAlign w:val="center"/>
          </w:tcPr>
          <w:p>
            <w:pPr>
              <w:spacing w:line="240" w:lineRule="auto"/>
              <w:ind w:firstLine="0" w:firstLineChars="0"/>
              <w:rPr>
                <w:rFonts w:cs="Times New Roman"/>
                <w:sz w:val="21"/>
                <w:szCs w:val="21"/>
              </w:rPr>
            </w:pPr>
            <w:r>
              <w:rPr>
                <w:rFonts w:cs="Times New Roman"/>
                <w:sz w:val="21"/>
                <w:szCs w:val="21"/>
              </w:rPr>
              <w:t>强化应急物资储备与设施建设：编制</w:t>
            </w:r>
            <w:r>
              <w:rPr>
                <w:rFonts w:hint="eastAsia" w:cs="Times New Roman"/>
                <w:sz w:val="21"/>
                <w:szCs w:val="21"/>
                <w:lang w:eastAsia="zh-CN"/>
              </w:rPr>
              <w:t>南昌双港供水有限公司</w:t>
            </w:r>
            <w:r>
              <w:rPr>
                <w:rFonts w:cs="Times New Roman"/>
                <w:sz w:val="21"/>
                <w:szCs w:val="21"/>
              </w:rPr>
              <w:t>常备应急储备物资目录；配备必须的环境应急物资、装备。</w:t>
            </w:r>
          </w:p>
        </w:tc>
        <w:tc>
          <w:tcPr>
            <w:tcW w:w="1476" w:type="pct"/>
            <w:shd w:val="clear" w:color="auto" w:fill="auto"/>
            <w:vAlign w:val="center"/>
          </w:tcPr>
          <w:p>
            <w:pPr>
              <w:spacing w:line="240" w:lineRule="auto"/>
              <w:ind w:firstLine="0" w:firstLineChars="0"/>
              <w:rPr>
                <w:rFonts w:cs="Times New Roman"/>
                <w:sz w:val="21"/>
                <w:szCs w:val="21"/>
              </w:rPr>
            </w:pPr>
            <w:r>
              <w:rPr>
                <w:rFonts w:cs="Times New Roman"/>
                <w:sz w:val="21"/>
                <w:szCs w:val="21"/>
              </w:rPr>
              <w:t>实现应急物资储备管理标准化、信息化，提高应急物资储备管理水平，确保事故应急池专用、够用。</w:t>
            </w:r>
          </w:p>
        </w:tc>
        <w:tc>
          <w:tcPr>
            <w:tcW w:w="650"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中期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366" w:type="pct"/>
            <w:shd w:val="clear" w:color="auto" w:fill="auto"/>
            <w:vAlign w:val="center"/>
          </w:tcPr>
          <w:p>
            <w:pPr>
              <w:spacing w:line="240" w:lineRule="auto"/>
              <w:ind w:firstLine="0" w:firstLineChars="0"/>
              <w:jc w:val="center"/>
              <w:rPr>
                <w:rFonts w:hint="eastAsia" w:eastAsia="宋体" w:cs="Times New Roman"/>
                <w:sz w:val="21"/>
                <w:szCs w:val="21"/>
                <w:lang w:eastAsia="zh-CN"/>
              </w:rPr>
            </w:pPr>
            <w:r>
              <w:rPr>
                <w:rFonts w:hint="eastAsia" w:cs="Times New Roman"/>
                <w:sz w:val="21"/>
                <w:szCs w:val="21"/>
                <w:lang w:val="en-US" w:eastAsia="zh-CN"/>
              </w:rPr>
              <w:t>5</w:t>
            </w:r>
          </w:p>
        </w:tc>
        <w:tc>
          <w:tcPr>
            <w:tcW w:w="2506" w:type="pct"/>
            <w:shd w:val="clear" w:color="auto" w:fill="auto"/>
            <w:vAlign w:val="center"/>
          </w:tcPr>
          <w:p>
            <w:pPr>
              <w:spacing w:line="240" w:lineRule="auto"/>
              <w:ind w:firstLine="0" w:firstLineChars="0"/>
              <w:rPr>
                <w:rFonts w:cs="Times New Roman"/>
                <w:sz w:val="21"/>
                <w:szCs w:val="21"/>
              </w:rPr>
            </w:pPr>
            <w:r>
              <w:rPr>
                <w:rFonts w:cs="Times New Roman"/>
                <w:sz w:val="21"/>
                <w:szCs w:val="21"/>
              </w:rPr>
              <w:t>积极参与</w:t>
            </w:r>
            <w:r>
              <w:rPr>
                <w:rFonts w:hint="eastAsia" w:cs="Times New Roman"/>
                <w:sz w:val="21"/>
                <w:szCs w:val="21"/>
                <w:highlight w:val="none"/>
                <w:lang w:val="en-US" w:eastAsia="zh-CN"/>
              </w:rPr>
              <w:t>南昌经济技术开发区</w:t>
            </w:r>
            <w:r>
              <w:rPr>
                <w:rFonts w:cs="Times New Roman"/>
                <w:sz w:val="21"/>
                <w:szCs w:val="21"/>
              </w:rPr>
              <w:t>组织的环境应急演练，加强与环保、消防、安监、卫生等各相关部门的环境应急协调联动。加强与该地区其他企业的应急联动机制建设，联合签署应急联动协议。定期开展环境应急联合演练，联合政府相关部门、周边企业等各方每年至少开展一次典型环境污染事故应急演练，通过联合演练锻炼队伍、加强与周边可能受有毒气体泄漏影响范围的人群的沟通、积累经验、磨合机制。</w:t>
            </w:r>
          </w:p>
        </w:tc>
        <w:tc>
          <w:tcPr>
            <w:tcW w:w="1476" w:type="pct"/>
            <w:shd w:val="clear" w:color="auto" w:fill="auto"/>
            <w:vAlign w:val="center"/>
          </w:tcPr>
          <w:p>
            <w:pPr>
              <w:spacing w:line="240" w:lineRule="auto"/>
              <w:ind w:firstLine="0" w:firstLineChars="0"/>
              <w:rPr>
                <w:rFonts w:cs="Times New Roman"/>
                <w:sz w:val="21"/>
                <w:szCs w:val="21"/>
              </w:rPr>
            </w:pPr>
            <w:r>
              <w:rPr>
                <w:rFonts w:cs="Times New Roman"/>
                <w:sz w:val="21"/>
                <w:szCs w:val="21"/>
              </w:rPr>
              <w:t>增加应急联动能力</w:t>
            </w:r>
          </w:p>
        </w:tc>
        <w:tc>
          <w:tcPr>
            <w:tcW w:w="650"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长期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5000" w:type="pct"/>
            <w:gridSpan w:val="4"/>
            <w:shd w:val="clear" w:color="auto" w:fill="auto"/>
            <w:vAlign w:val="center"/>
          </w:tcPr>
          <w:p>
            <w:pPr>
              <w:spacing w:line="240" w:lineRule="auto"/>
              <w:ind w:firstLine="0" w:firstLineChars="0"/>
              <w:jc w:val="left"/>
              <w:rPr>
                <w:rFonts w:cs="Times New Roman"/>
                <w:sz w:val="21"/>
                <w:szCs w:val="21"/>
              </w:rPr>
            </w:pPr>
            <w:r>
              <w:rPr>
                <w:rFonts w:cs="Times New Roman"/>
                <w:sz w:val="21"/>
                <w:szCs w:val="21"/>
              </w:rPr>
              <w:t>三、健全企业环境风险管理体系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366"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7</w:t>
            </w:r>
          </w:p>
        </w:tc>
        <w:tc>
          <w:tcPr>
            <w:tcW w:w="2506" w:type="pct"/>
            <w:shd w:val="clear" w:color="auto" w:fill="auto"/>
            <w:vAlign w:val="center"/>
          </w:tcPr>
          <w:p>
            <w:pPr>
              <w:spacing w:line="240" w:lineRule="auto"/>
              <w:ind w:firstLine="0" w:firstLineChars="0"/>
              <w:rPr>
                <w:rFonts w:cs="Times New Roman"/>
                <w:sz w:val="21"/>
                <w:szCs w:val="21"/>
              </w:rPr>
            </w:pPr>
            <w:r>
              <w:rPr>
                <w:rFonts w:cs="Times New Roman"/>
                <w:sz w:val="21"/>
                <w:szCs w:val="21"/>
              </w:rPr>
              <w:t>完善环境风险隐患自查自纠制度：定期开展企业环境风险隐患自检、自查；建立自查自纠台账，通过台账审查、培训等多种形式提高责任人自查自纠能力。</w:t>
            </w:r>
          </w:p>
        </w:tc>
        <w:tc>
          <w:tcPr>
            <w:tcW w:w="1476" w:type="pct"/>
            <w:shd w:val="clear" w:color="auto" w:fill="auto"/>
            <w:vAlign w:val="center"/>
          </w:tcPr>
          <w:p>
            <w:pPr>
              <w:spacing w:line="240" w:lineRule="auto"/>
              <w:ind w:firstLine="0" w:firstLineChars="0"/>
              <w:rPr>
                <w:rFonts w:cs="Times New Roman"/>
                <w:sz w:val="21"/>
                <w:szCs w:val="21"/>
              </w:rPr>
            </w:pPr>
            <w:r>
              <w:rPr>
                <w:rFonts w:cs="Times New Roman"/>
                <w:sz w:val="21"/>
                <w:szCs w:val="21"/>
              </w:rPr>
              <w:t>提高企业自我发现、自我整改环境风险隐患能力，防患于未然。</w:t>
            </w:r>
          </w:p>
        </w:tc>
        <w:tc>
          <w:tcPr>
            <w:tcW w:w="650"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中期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366"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8</w:t>
            </w:r>
          </w:p>
        </w:tc>
        <w:tc>
          <w:tcPr>
            <w:tcW w:w="2506" w:type="pct"/>
            <w:shd w:val="clear" w:color="auto" w:fill="auto"/>
            <w:vAlign w:val="center"/>
          </w:tcPr>
          <w:p>
            <w:pPr>
              <w:spacing w:line="240" w:lineRule="auto"/>
              <w:ind w:firstLine="0" w:firstLineChars="0"/>
              <w:rPr>
                <w:rFonts w:cs="Times New Roman"/>
                <w:sz w:val="21"/>
                <w:szCs w:val="21"/>
              </w:rPr>
            </w:pPr>
            <w:r>
              <w:rPr>
                <w:rFonts w:cs="Times New Roman"/>
                <w:sz w:val="21"/>
                <w:szCs w:val="21"/>
              </w:rPr>
              <w:t>建立环境风险自我评估制度：制定《</w:t>
            </w:r>
            <w:r>
              <w:rPr>
                <w:rFonts w:hint="eastAsia" w:cs="Times New Roman"/>
                <w:sz w:val="21"/>
                <w:szCs w:val="21"/>
                <w:lang w:eastAsia="zh-CN"/>
              </w:rPr>
              <w:t>南昌双港供水有限公司</w:t>
            </w:r>
            <w:r>
              <w:rPr>
                <w:rFonts w:cs="Times New Roman"/>
                <w:sz w:val="21"/>
                <w:szCs w:val="21"/>
              </w:rPr>
              <w:t>环境风险评估办法》；在重点风险装置布设特征污染物监控点位。</w:t>
            </w:r>
          </w:p>
        </w:tc>
        <w:tc>
          <w:tcPr>
            <w:tcW w:w="1476" w:type="pct"/>
            <w:shd w:val="clear" w:color="auto" w:fill="auto"/>
            <w:vAlign w:val="center"/>
          </w:tcPr>
          <w:p>
            <w:pPr>
              <w:spacing w:line="240" w:lineRule="auto"/>
              <w:ind w:firstLine="0" w:firstLineChars="0"/>
              <w:rPr>
                <w:rFonts w:cs="Times New Roman"/>
                <w:sz w:val="21"/>
                <w:szCs w:val="21"/>
              </w:rPr>
            </w:pPr>
            <w:r>
              <w:rPr>
                <w:rFonts w:cs="Times New Roman"/>
                <w:sz w:val="21"/>
                <w:szCs w:val="21"/>
              </w:rPr>
              <w:t>总体把握企业环境风险问题，提高企业环境风险管理效率、效果。</w:t>
            </w:r>
          </w:p>
        </w:tc>
        <w:tc>
          <w:tcPr>
            <w:tcW w:w="650"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短期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366"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9</w:t>
            </w:r>
          </w:p>
        </w:tc>
        <w:tc>
          <w:tcPr>
            <w:tcW w:w="2506" w:type="pct"/>
            <w:shd w:val="clear" w:color="auto" w:fill="auto"/>
            <w:vAlign w:val="center"/>
          </w:tcPr>
          <w:p>
            <w:pPr>
              <w:spacing w:line="240" w:lineRule="auto"/>
              <w:ind w:firstLine="0" w:firstLineChars="0"/>
              <w:rPr>
                <w:rFonts w:cs="Times New Roman"/>
                <w:sz w:val="21"/>
                <w:szCs w:val="21"/>
              </w:rPr>
            </w:pPr>
            <w:r>
              <w:rPr>
                <w:rFonts w:cs="Times New Roman"/>
                <w:sz w:val="21"/>
                <w:szCs w:val="21"/>
              </w:rPr>
              <w:t>加强污染物动态监控：加强对报警装置的日常管理，一旦发生气体泄漏报警，尽快采取有效措施。</w:t>
            </w:r>
          </w:p>
        </w:tc>
        <w:tc>
          <w:tcPr>
            <w:tcW w:w="1476" w:type="pct"/>
            <w:shd w:val="clear" w:color="auto" w:fill="auto"/>
            <w:vAlign w:val="center"/>
          </w:tcPr>
          <w:p>
            <w:pPr>
              <w:spacing w:line="240" w:lineRule="auto"/>
              <w:ind w:firstLine="0" w:firstLineChars="0"/>
              <w:rPr>
                <w:rFonts w:cs="Times New Roman"/>
                <w:sz w:val="21"/>
                <w:szCs w:val="21"/>
              </w:rPr>
            </w:pPr>
            <w:r>
              <w:rPr>
                <w:rFonts w:cs="Times New Roman"/>
                <w:sz w:val="21"/>
                <w:szCs w:val="21"/>
              </w:rPr>
              <w:t>及时发现超标排放与事故排放的情况，防微杜渐，降低环境影响。</w:t>
            </w:r>
          </w:p>
        </w:tc>
        <w:tc>
          <w:tcPr>
            <w:tcW w:w="650"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中期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366"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10</w:t>
            </w:r>
          </w:p>
        </w:tc>
        <w:tc>
          <w:tcPr>
            <w:tcW w:w="2506" w:type="pct"/>
            <w:shd w:val="clear" w:color="auto" w:fill="auto"/>
            <w:vAlign w:val="center"/>
          </w:tcPr>
          <w:p>
            <w:pPr>
              <w:spacing w:line="240" w:lineRule="auto"/>
              <w:ind w:firstLine="0" w:firstLineChars="0"/>
              <w:rPr>
                <w:rFonts w:cs="Times New Roman"/>
                <w:sz w:val="21"/>
                <w:szCs w:val="21"/>
              </w:rPr>
            </w:pPr>
            <w:r>
              <w:rPr>
                <w:rFonts w:cs="Times New Roman"/>
                <w:sz w:val="21"/>
                <w:szCs w:val="21"/>
              </w:rPr>
              <w:t>实施环境风险预测预警：编制《</w:t>
            </w:r>
            <w:r>
              <w:rPr>
                <w:rFonts w:hint="eastAsia" w:cs="Times New Roman"/>
                <w:sz w:val="21"/>
                <w:szCs w:val="21"/>
                <w:lang w:eastAsia="zh-CN"/>
              </w:rPr>
              <w:t>南昌双港供水有限公司</w:t>
            </w:r>
            <w:r>
              <w:rPr>
                <w:rFonts w:cs="Times New Roman"/>
                <w:sz w:val="21"/>
                <w:szCs w:val="21"/>
              </w:rPr>
              <w:t>环境风险预测预警方案》；建立预测预警系统；根据需要及时对企业员工、周边企业、村民实施预警；提高与政府有关部门、周边企业的联合预测预警能力。</w:t>
            </w:r>
          </w:p>
        </w:tc>
        <w:tc>
          <w:tcPr>
            <w:tcW w:w="1476" w:type="pct"/>
            <w:shd w:val="clear" w:color="auto" w:fill="auto"/>
            <w:vAlign w:val="center"/>
          </w:tcPr>
          <w:p>
            <w:pPr>
              <w:spacing w:line="240" w:lineRule="auto"/>
              <w:ind w:firstLine="0" w:firstLineChars="0"/>
              <w:rPr>
                <w:rFonts w:cs="Times New Roman"/>
                <w:sz w:val="21"/>
                <w:szCs w:val="21"/>
              </w:rPr>
            </w:pPr>
            <w:r>
              <w:rPr>
                <w:rFonts w:cs="Times New Roman"/>
                <w:sz w:val="21"/>
                <w:szCs w:val="21"/>
              </w:rPr>
              <w:t>提高环境风险预测预警能力，有效预防环境风险事件发生，降低影响程度。</w:t>
            </w:r>
          </w:p>
        </w:tc>
        <w:tc>
          <w:tcPr>
            <w:tcW w:w="650"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中期</w:t>
            </w:r>
          </w:p>
        </w:tc>
      </w:tr>
    </w:tbl>
    <w:p>
      <w:pPr>
        <w:ind w:firstLine="0" w:firstLineChars="0"/>
        <w:jc w:val="left"/>
      </w:pPr>
    </w:p>
    <w:p>
      <w:pPr>
        <w:ind w:firstLine="0" w:firstLineChars="0"/>
        <w:jc w:val="left"/>
        <w:sectPr>
          <w:pgSz w:w="11906" w:h="16838"/>
          <w:pgMar w:top="1304" w:right="1247" w:bottom="1304" w:left="1531" w:header="851" w:footer="851" w:gutter="0"/>
          <w:pgBorders>
            <w:top w:val="none" w:sz="0" w:space="0"/>
            <w:left w:val="none" w:sz="0" w:space="0"/>
            <w:bottom w:val="none" w:sz="0" w:space="0"/>
            <w:right w:val="none" w:sz="0" w:space="0"/>
          </w:pgBorders>
          <w:pgNumType w:fmt="decimal"/>
          <w:cols w:space="425" w:num="1"/>
          <w:docGrid w:type="lines" w:linePitch="312" w:charSpace="0"/>
        </w:sectPr>
      </w:pPr>
    </w:p>
    <w:p>
      <w:pPr>
        <w:pStyle w:val="4"/>
        <w:numPr>
          <w:ilvl w:val="0"/>
          <w:numId w:val="0"/>
        </w:numPr>
        <w:bidi w:val="0"/>
        <w:ind w:leftChars="0"/>
      </w:pPr>
      <w:bookmarkStart w:id="279" w:name="_Toc527104529"/>
      <w:bookmarkStart w:id="280" w:name="_Toc6057"/>
      <w:r>
        <w:rPr>
          <w:rFonts w:hint="eastAsia"/>
          <w:lang w:val="en-US" w:eastAsia="zh-CN"/>
        </w:rPr>
        <w:t>7</w:t>
      </w:r>
      <w:r>
        <w:rPr>
          <w:rFonts w:hint="eastAsia"/>
        </w:rPr>
        <w:t>企业突发环境事件风险等级</w:t>
      </w:r>
      <w:bookmarkEnd w:id="279"/>
      <w:bookmarkEnd w:id="280"/>
    </w:p>
    <w:p>
      <w:pPr>
        <w:ind w:firstLine="560"/>
      </w:pPr>
      <w:r>
        <w:rPr>
          <w:rFonts w:hint="eastAsia"/>
        </w:rPr>
        <w:t>根据中华人民共和国国家环境保护部《企业突发环境事件风险分级办法（HJ</w:t>
      </w:r>
      <w:r>
        <w:t xml:space="preserve"> </w:t>
      </w:r>
      <w:r>
        <w:rPr>
          <w:rFonts w:hint="eastAsia"/>
        </w:rPr>
        <w:t>941-2018）》要求，根据企业生产、使用、存储和释放的突发环境事件风险物质数量与其临界量的比值（Q），评估生产工艺过程与环境风险控制水平（M）以及环境风险受体敏感程度（E）的评估分析结果，分别评估企业突发大气环境事件风险和突发水环境事件风险，将企业突发大气或水环境风险事件等级划分为一般环境风险、较大环境风险和重大环境风险三级，分别用蓝色、黄色和红色标识。同时涉及突发大气和水环境事件风险的企业，以等级高者确定企业突发环境事件风险等级。</w:t>
      </w:r>
    </w:p>
    <w:p>
      <w:pPr>
        <w:ind w:firstLine="560"/>
      </w:pPr>
      <w:r>
        <w:rPr>
          <w:rFonts w:hint="eastAsia"/>
        </w:rPr>
        <w:t>评估程序详见</w:t>
      </w:r>
      <w:r>
        <w:fldChar w:fldCharType="begin"/>
      </w:r>
      <w:r>
        <w:instrText xml:space="preserve"> </w:instrText>
      </w:r>
      <w:r>
        <w:rPr>
          <w:rFonts w:hint="eastAsia"/>
        </w:rPr>
        <w:instrText xml:space="preserve">REF _Ref526861951 \h</w:instrText>
      </w:r>
      <w:r>
        <w:instrText xml:space="preserve"> </w:instrText>
      </w:r>
      <w:r>
        <w:fldChar w:fldCharType="separate"/>
      </w:r>
      <w:r>
        <w:rPr>
          <w:rFonts w:hint="eastAsia"/>
        </w:rPr>
        <w:t xml:space="preserve">图 </w:t>
      </w:r>
      <w:r>
        <w:t>7</w:t>
      </w:r>
      <w:r>
        <w:noBreakHyphen/>
      </w:r>
      <w:r>
        <w:t>1</w:t>
      </w:r>
      <w:r>
        <w:fldChar w:fldCharType="end"/>
      </w:r>
      <w:r>
        <w:rPr>
          <w:rFonts w:hint="eastAsia"/>
        </w:rPr>
        <w:t>。</w:t>
      </w:r>
    </w:p>
    <w:p>
      <w:pPr>
        <w:keepNext/>
        <w:ind w:firstLine="0" w:firstLineChars="0"/>
      </w:pPr>
      <w:r>
        <w:drawing>
          <wp:inline distT="0" distB="0" distL="0" distR="0">
            <wp:extent cx="5796280" cy="4748530"/>
            <wp:effectExtent l="0" t="0" r="13970" b="1397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51"/>
                    <a:stretch>
                      <a:fillRect/>
                    </a:stretch>
                  </pic:blipFill>
                  <pic:spPr>
                    <a:xfrm>
                      <a:off x="0" y="0"/>
                      <a:ext cx="5796280" cy="4748530"/>
                    </a:xfrm>
                    <a:prstGeom prst="rect">
                      <a:avLst/>
                    </a:prstGeom>
                  </pic:spPr>
                </pic:pic>
              </a:graphicData>
            </a:graphic>
          </wp:inline>
        </w:drawing>
      </w:r>
    </w:p>
    <w:p>
      <w:pPr>
        <w:pStyle w:val="8"/>
      </w:pPr>
      <w:bookmarkStart w:id="281" w:name="_Ref526861951"/>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7</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1</w:t>
      </w:r>
      <w:r>
        <w:fldChar w:fldCharType="end"/>
      </w:r>
      <w:bookmarkEnd w:id="281"/>
      <w:r>
        <w:rPr>
          <w:rFonts w:hint="eastAsia"/>
        </w:rPr>
        <w:t>企业突发环境事件风险分级流程示意图</w:t>
      </w:r>
    </w:p>
    <w:p>
      <w:pPr>
        <w:pStyle w:val="5"/>
        <w:numPr>
          <w:ilvl w:val="1"/>
          <w:numId w:val="0"/>
        </w:numPr>
        <w:bidi w:val="0"/>
        <w:ind w:leftChars="0"/>
      </w:pPr>
      <w:bookmarkStart w:id="282" w:name="_Toc527104530"/>
      <w:bookmarkStart w:id="283" w:name="_Toc21256"/>
      <w:r>
        <w:rPr>
          <w:rFonts w:hint="eastAsia"/>
          <w:lang w:val="en-US" w:eastAsia="zh-CN"/>
        </w:rPr>
        <w:t>7.1</w:t>
      </w:r>
      <w:r>
        <w:rPr>
          <w:rFonts w:hint="eastAsia"/>
        </w:rPr>
        <w:t>突发大气环境事件风险分级</w:t>
      </w:r>
      <w:bookmarkEnd w:id="282"/>
      <w:bookmarkEnd w:id="283"/>
    </w:p>
    <w:p>
      <w:pPr>
        <w:pStyle w:val="6"/>
        <w:numPr>
          <w:ilvl w:val="2"/>
          <w:numId w:val="0"/>
        </w:numPr>
        <w:bidi w:val="0"/>
        <w:ind w:leftChars="0"/>
      </w:pPr>
      <w:r>
        <w:rPr>
          <w:rFonts w:hint="eastAsia"/>
          <w:lang w:val="en-US" w:eastAsia="zh-CN"/>
        </w:rPr>
        <w:t>7.1.1</w:t>
      </w:r>
      <w:r>
        <w:rPr>
          <w:rFonts w:hint="eastAsia"/>
        </w:rPr>
        <w:t>涉气风险物质数量与临界量比值（Q）</w:t>
      </w:r>
    </w:p>
    <w:p>
      <w:pPr>
        <w:ind w:firstLine="560"/>
      </w:pPr>
      <w:r>
        <w:rPr>
          <w:rFonts w:hint="eastAsia"/>
        </w:rPr>
        <w:t>涉气风险物质包括附录A中的第一、第二、第三、第四、第六部分全部风险物质以及第八部分中除NH</w:t>
      </w:r>
      <w:r>
        <w:rPr>
          <w:rFonts w:hint="eastAsia"/>
          <w:vertAlign w:val="subscript"/>
        </w:rPr>
        <w:t>3</w:t>
      </w:r>
      <w:r>
        <w:rPr>
          <w:rFonts w:hint="eastAsia"/>
        </w:rPr>
        <w:t>-N浓度≥2000mg/L的废液、COD</w:t>
      </w:r>
      <w:r>
        <w:t>c</w:t>
      </w:r>
      <w:r>
        <w:rPr>
          <w:rFonts w:hint="eastAsia"/>
        </w:rPr>
        <w:t>r浓度≥10000mg/L的有机废液之外的气态和可挥发造成突发大气环境事件的固态、液态风险物质。</w:t>
      </w:r>
    </w:p>
    <w:p>
      <w:pPr>
        <w:ind w:firstLine="560"/>
      </w:pPr>
      <w:r>
        <w:rPr>
          <w:rFonts w:hint="eastAsia"/>
        </w:rPr>
        <w:t>判断企业生产原料、产品、中间产品、副产品、催化剂、辅助生产物料、燃料、“三废”污染物等是否涉及大气环境风险物质（混合或稀释的风险物质按其组分比例折算成纯物质），计算涉气风险物质在厂界内的存在量（如存在量呈动态变化，则按年度内最大存在量计算）与其在附录A中临界量的比值Q，计算公式如下：</w:t>
      </w:r>
    </w:p>
    <w:p>
      <w:pPr>
        <w:ind w:firstLine="1416" w:firstLineChars="506"/>
      </w:pPr>
      <w:r>
        <w:drawing>
          <wp:inline distT="0" distB="0" distL="0" distR="0">
            <wp:extent cx="1947545" cy="630555"/>
            <wp:effectExtent l="0" t="0" r="14605" b="171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52"/>
                    <a:stretch>
                      <a:fillRect/>
                    </a:stretch>
                  </pic:blipFill>
                  <pic:spPr>
                    <a:xfrm>
                      <a:off x="0" y="0"/>
                      <a:ext cx="1976739" cy="640212"/>
                    </a:xfrm>
                    <a:prstGeom prst="rect">
                      <a:avLst/>
                    </a:prstGeom>
                  </pic:spPr>
                </pic:pic>
              </a:graphicData>
            </a:graphic>
          </wp:inline>
        </w:drawing>
      </w:r>
    </w:p>
    <w:p>
      <w:pPr>
        <w:ind w:firstLine="560"/>
      </w:pPr>
      <w:r>
        <w:rPr>
          <w:rFonts w:hint="eastAsia"/>
        </w:rPr>
        <w:t>式中：w1，w2，...，wn——每种风险物质的存在量，t；</w:t>
      </w:r>
    </w:p>
    <w:p>
      <w:pPr>
        <w:ind w:firstLine="1416" w:firstLineChars="506"/>
      </w:pPr>
      <w:r>
        <w:rPr>
          <w:rFonts w:hint="eastAsia"/>
        </w:rPr>
        <w:t>W1，W2，...,，Wn——每种风险物质的临界量，t。</w:t>
      </w:r>
    </w:p>
    <w:p>
      <w:pPr>
        <w:ind w:firstLine="560"/>
      </w:pPr>
      <w:r>
        <w:rPr>
          <w:rFonts w:hint="eastAsia"/>
        </w:rPr>
        <w:t>按照数值大小，将Q划分为4个水平：</w:t>
      </w:r>
    </w:p>
    <w:p>
      <w:pPr>
        <w:ind w:firstLine="560"/>
      </w:pPr>
      <w:r>
        <w:rPr>
          <w:rFonts w:hint="eastAsia"/>
        </w:rPr>
        <w:t>（1）Q＜1，以Q0表示，企业直接评为一般环境风险等级；</w:t>
      </w:r>
    </w:p>
    <w:p>
      <w:pPr>
        <w:ind w:firstLine="560"/>
      </w:pPr>
      <w:r>
        <w:rPr>
          <w:rFonts w:hint="eastAsia"/>
        </w:rPr>
        <w:t>（2）1≤Q＜10，以Q1表示；</w:t>
      </w:r>
    </w:p>
    <w:p>
      <w:pPr>
        <w:ind w:firstLine="560"/>
      </w:pPr>
      <w:r>
        <w:rPr>
          <w:rFonts w:hint="eastAsia"/>
        </w:rPr>
        <w:t>（3）10≤Q＜100，以Q2表示；</w:t>
      </w:r>
    </w:p>
    <w:p>
      <w:pPr>
        <w:ind w:firstLine="560"/>
      </w:pPr>
      <w:r>
        <w:rPr>
          <w:rFonts w:hint="eastAsia"/>
        </w:rPr>
        <w:t>（4）Q≥100，以Q3表示。</w:t>
      </w:r>
    </w:p>
    <w:p>
      <w:pPr>
        <w:ind w:firstLine="560"/>
      </w:pPr>
      <w:r>
        <w:rPr>
          <w:rFonts w:hint="eastAsia"/>
        </w:rPr>
        <w:t>判断企业的生产原料、产品、中间产品、副产品、催化剂、辅助生产物料、燃料、“三废”污染物等，对照“突发环境事件风险物质及临界量清单”筛选环境风险物质，计算涉气风险物质在厂界内的临界量，涉气风险物质列表具体见</w:t>
      </w:r>
      <w:r>
        <w:fldChar w:fldCharType="begin"/>
      </w:r>
      <w:r>
        <w:instrText xml:space="preserve"> </w:instrText>
      </w:r>
      <w:r>
        <w:rPr>
          <w:rFonts w:hint="eastAsia"/>
        </w:rPr>
        <w:instrText xml:space="preserve">REF _Ref526862447 \h</w:instrText>
      </w:r>
      <w:r>
        <w:instrText xml:space="preserve"> </w:instrText>
      </w:r>
      <w:r>
        <w:fldChar w:fldCharType="separate"/>
      </w:r>
      <w:r>
        <w:rPr>
          <w:rFonts w:hint="eastAsia"/>
        </w:rPr>
        <w:t xml:space="preserve">表 </w:t>
      </w:r>
      <w:r>
        <w:t>7</w:t>
      </w:r>
      <w:r>
        <w:noBreakHyphen/>
      </w:r>
      <w:r>
        <w:t>1</w:t>
      </w:r>
      <w:r>
        <w:fldChar w:fldCharType="end"/>
      </w:r>
      <w:r>
        <w:rPr>
          <w:rFonts w:hint="eastAsia"/>
        </w:rPr>
        <w:t>，本公司涉气风险物质数量与临界量比值Q表示为Q</w:t>
      </w:r>
      <w:r>
        <w:t>0。</w:t>
      </w:r>
    </w:p>
    <w:p>
      <w:pPr>
        <w:pStyle w:val="8"/>
        <w:keepNext/>
      </w:pPr>
      <w:bookmarkStart w:id="284" w:name="_Ref526862447"/>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7</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1</w:t>
      </w:r>
      <w:r>
        <w:fldChar w:fldCharType="end"/>
      </w:r>
      <w:bookmarkEnd w:id="284"/>
      <w:r>
        <w:rPr>
          <w:rFonts w:hint="eastAsia"/>
        </w:rPr>
        <w:t>涉气风险物质一览表</w:t>
      </w:r>
    </w:p>
    <w:tbl>
      <w:tblPr>
        <w:tblStyle w:val="16"/>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8"/>
        <w:gridCol w:w="1595"/>
        <w:gridCol w:w="2176"/>
        <w:gridCol w:w="1451"/>
        <w:gridCol w:w="1663"/>
        <w:gridCol w:w="10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70" w:type="pct"/>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名称</w:t>
            </w:r>
          </w:p>
        </w:tc>
        <w:tc>
          <w:tcPr>
            <w:tcW w:w="854" w:type="pct"/>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C</w:t>
            </w:r>
            <w:r>
              <w:rPr>
                <w:rFonts w:cs="Times New Roman"/>
                <w:color w:val="000000"/>
                <w:kern w:val="0"/>
                <w:sz w:val="21"/>
                <w:szCs w:val="21"/>
              </w:rPr>
              <w:t>AS</w:t>
            </w:r>
            <w:r>
              <w:rPr>
                <w:rFonts w:hint="eastAsia" w:cs="Times New Roman"/>
                <w:color w:val="000000"/>
                <w:kern w:val="0"/>
                <w:sz w:val="21"/>
                <w:szCs w:val="21"/>
              </w:rPr>
              <w:t>号</w:t>
            </w:r>
          </w:p>
        </w:tc>
        <w:tc>
          <w:tcPr>
            <w:tcW w:w="1165" w:type="pct"/>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最大储存量</w:t>
            </w:r>
            <w:r>
              <w:rPr>
                <w:rFonts w:cs="Times New Roman"/>
                <w:color w:val="000000"/>
                <w:kern w:val="0"/>
                <w:sz w:val="21"/>
                <w:szCs w:val="21"/>
              </w:rPr>
              <w:t>w</w:t>
            </w:r>
            <w:r>
              <w:rPr>
                <w:rFonts w:hint="eastAsia" w:cs="Times New Roman"/>
                <w:color w:val="000000"/>
                <w:kern w:val="0"/>
                <w:sz w:val="21"/>
                <w:szCs w:val="21"/>
              </w:rPr>
              <w:t>（t）</w:t>
            </w:r>
          </w:p>
        </w:tc>
        <w:tc>
          <w:tcPr>
            <w:tcW w:w="777" w:type="pct"/>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贮存方式</w:t>
            </w:r>
          </w:p>
        </w:tc>
        <w:tc>
          <w:tcPr>
            <w:tcW w:w="888" w:type="pct"/>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临界量</w:t>
            </w:r>
            <w:r>
              <w:rPr>
                <w:rFonts w:cs="Times New Roman"/>
                <w:color w:val="000000"/>
                <w:kern w:val="0"/>
                <w:sz w:val="21"/>
                <w:szCs w:val="21"/>
              </w:rPr>
              <w:t>W</w:t>
            </w:r>
            <w:r>
              <w:rPr>
                <w:rFonts w:hint="eastAsia" w:cs="Times New Roman"/>
                <w:color w:val="000000"/>
                <w:kern w:val="0"/>
                <w:sz w:val="21"/>
                <w:szCs w:val="21"/>
              </w:rPr>
              <w:t>（t）</w:t>
            </w:r>
          </w:p>
        </w:tc>
        <w:tc>
          <w:tcPr>
            <w:tcW w:w="543"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w/W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70" w:type="pct"/>
            <w:vAlign w:val="center"/>
          </w:tcPr>
          <w:p>
            <w:pPr>
              <w:widowControl/>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eastAsia="zh-CN"/>
                <w14:textFill>
                  <w14:solidFill>
                    <w14:schemeClr w14:val="tx1"/>
                  </w14:solidFill>
                </w14:textFill>
              </w:rPr>
              <w:t>次氯酸钠</w:t>
            </w:r>
          </w:p>
        </w:tc>
        <w:tc>
          <w:tcPr>
            <w:tcW w:w="854" w:type="pct"/>
            <w:vAlign w:val="center"/>
          </w:tcPr>
          <w:p>
            <w:pPr>
              <w:widowControl/>
              <w:spacing w:line="240" w:lineRule="auto"/>
              <w:ind w:firstLine="0" w:firstLineChars="0"/>
              <w:jc w:val="center"/>
              <w:rPr>
                <w:rFonts w:hint="eastAsia"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lang w:val="en-US" w:eastAsia="zh-CN"/>
              </w:rPr>
              <w:t xml:space="preserve">7681-52-9 </w:t>
            </w:r>
          </w:p>
        </w:tc>
        <w:tc>
          <w:tcPr>
            <w:tcW w:w="1165" w:type="pct"/>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lang w:val="en-US" w:eastAsia="zh-CN"/>
              </w:rPr>
              <w:t>1.6</w:t>
            </w:r>
          </w:p>
        </w:tc>
        <w:tc>
          <w:tcPr>
            <w:tcW w:w="777" w:type="pct"/>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lang w:eastAsia="zh-CN"/>
              </w:rPr>
              <w:t>储罐</w:t>
            </w:r>
            <w:r>
              <w:rPr>
                <w:rFonts w:hint="eastAsia" w:cs="Times New Roman"/>
                <w:color w:val="000000"/>
                <w:kern w:val="0"/>
                <w:sz w:val="21"/>
                <w:szCs w:val="21"/>
                <w:highlight w:val="none"/>
                <w:lang w:val="en-US" w:eastAsia="zh-CN"/>
              </w:rPr>
              <w:t>/次氯酸钠间</w:t>
            </w:r>
          </w:p>
        </w:tc>
        <w:tc>
          <w:tcPr>
            <w:tcW w:w="888" w:type="pct"/>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lang w:val="en-US" w:eastAsia="zh-CN"/>
              </w:rPr>
              <w:t>5</w:t>
            </w:r>
          </w:p>
        </w:tc>
        <w:tc>
          <w:tcPr>
            <w:tcW w:w="543" w:type="pct"/>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lang w:val="en-US" w:eastAsia="zh-CN"/>
              </w:rPr>
              <w:t>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70" w:type="pct"/>
            <w:vAlign w:val="center"/>
          </w:tcPr>
          <w:p>
            <w:pPr>
              <w:widowControl/>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sz w:val="21"/>
                <w:szCs w:val="21"/>
                <w:lang w:val="en-US" w:eastAsia="zh-CN"/>
              </w:rPr>
              <w:t>铬酸钾</w:t>
            </w:r>
          </w:p>
        </w:tc>
        <w:tc>
          <w:tcPr>
            <w:tcW w:w="854" w:type="pct"/>
            <w:vAlign w:val="center"/>
          </w:tcPr>
          <w:p>
            <w:pPr>
              <w:widowControl/>
              <w:spacing w:line="240" w:lineRule="auto"/>
              <w:ind w:firstLine="0" w:firstLineChars="0"/>
              <w:jc w:val="center"/>
              <w:rPr>
                <w:rFonts w:hint="eastAsia" w:ascii="Times New Roman" w:hAnsi="Times New Roman" w:eastAsia="宋体" w:cs="Times New Roman"/>
                <w:color w:val="000000"/>
                <w:kern w:val="0"/>
                <w:sz w:val="21"/>
                <w:szCs w:val="21"/>
                <w:highlight w:val="yellow"/>
                <w:lang w:val="en-US" w:eastAsia="zh-CN" w:bidi="ar-SA"/>
              </w:rPr>
            </w:pPr>
            <w:r>
              <w:rPr>
                <w:rFonts w:hint="eastAsia" w:cs="Times New Roman"/>
                <w:color w:val="000000"/>
                <w:kern w:val="0"/>
                <w:sz w:val="21"/>
                <w:szCs w:val="21"/>
              </w:rPr>
              <w:t>7789-00-6</w:t>
            </w:r>
          </w:p>
        </w:tc>
        <w:tc>
          <w:tcPr>
            <w:tcW w:w="1165" w:type="pct"/>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rPr>
              <w:t>0</w:t>
            </w:r>
            <w:r>
              <w:rPr>
                <w:rFonts w:cs="Times New Roman"/>
                <w:color w:val="000000"/>
                <w:kern w:val="0"/>
                <w:sz w:val="21"/>
                <w:szCs w:val="21"/>
                <w:highlight w:val="none"/>
              </w:rPr>
              <w:t>.</w:t>
            </w:r>
            <w:r>
              <w:rPr>
                <w:rFonts w:hint="eastAsia" w:cs="Times New Roman"/>
                <w:color w:val="000000"/>
                <w:kern w:val="0"/>
                <w:sz w:val="21"/>
                <w:szCs w:val="21"/>
                <w:highlight w:val="none"/>
                <w:lang w:val="en-US" w:eastAsia="zh-CN"/>
              </w:rPr>
              <w:t>0005</w:t>
            </w:r>
          </w:p>
        </w:tc>
        <w:tc>
          <w:tcPr>
            <w:tcW w:w="777" w:type="pct"/>
            <w:vAlign w:val="center"/>
          </w:tcPr>
          <w:p>
            <w:pPr>
              <w:widowControl/>
              <w:spacing w:line="240" w:lineRule="auto"/>
              <w:ind w:firstLine="0" w:firstLineChars="0"/>
              <w:jc w:val="center"/>
              <w:rPr>
                <w:rFonts w:hint="eastAsia"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lang w:eastAsia="zh-CN"/>
              </w:rPr>
              <w:t>瓶</w:t>
            </w:r>
            <w:r>
              <w:rPr>
                <w:rFonts w:hint="eastAsia" w:cs="Times New Roman"/>
                <w:color w:val="000000"/>
                <w:kern w:val="0"/>
                <w:sz w:val="21"/>
                <w:szCs w:val="21"/>
                <w:highlight w:val="none"/>
              </w:rPr>
              <w:t>/</w:t>
            </w:r>
            <w:r>
              <w:rPr>
                <w:rFonts w:hint="eastAsia" w:cs="Times New Roman"/>
                <w:color w:val="000000"/>
                <w:kern w:val="0"/>
                <w:sz w:val="21"/>
                <w:szCs w:val="21"/>
                <w:highlight w:val="none"/>
                <w:lang w:eastAsia="zh-CN"/>
              </w:rPr>
              <w:t>化验室</w:t>
            </w:r>
          </w:p>
        </w:tc>
        <w:tc>
          <w:tcPr>
            <w:tcW w:w="888" w:type="pct"/>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lang w:val="en-US" w:eastAsia="zh-CN"/>
              </w:rPr>
              <w:t>0.25</w:t>
            </w:r>
          </w:p>
        </w:tc>
        <w:tc>
          <w:tcPr>
            <w:tcW w:w="543" w:type="pct"/>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rPr>
              <w:t>0</w:t>
            </w:r>
            <w:r>
              <w:rPr>
                <w:rFonts w:cs="Times New Roman"/>
                <w:color w:val="000000"/>
                <w:kern w:val="0"/>
                <w:sz w:val="21"/>
                <w:szCs w:val="21"/>
                <w:highlight w:val="none"/>
              </w:rPr>
              <w:t>.0</w:t>
            </w:r>
            <w:r>
              <w:rPr>
                <w:rFonts w:hint="eastAsia" w:cs="Times New Roman"/>
                <w:color w:val="000000"/>
                <w:kern w:val="0"/>
                <w:sz w:val="21"/>
                <w:szCs w:val="21"/>
                <w:highlight w:val="none"/>
                <w:lang w:val="en-US" w:eastAsia="zh-CN"/>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70" w:type="pct"/>
            <w:vAlign w:val="center"/>
          </w:tcPr>
          <w:p>
            <w:pPr>
              <w:widowControl/>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sz w:val="21"/>
                <w:szCs w:val="21"/>
                <w:lang w:val="en-US" w:eastAsia="zh-CN"/>
              </w:rPr>
              <w:t>乙二胺</w:t>
            </w:r>
          </w:p>
        </w:tc>
        <w:tc>
          <w:tcPr>
            <w:tcW w:w="854" w:type="pct"/>
            <w:vAlign w:val="center"/>
          </w:tcPr>
          <w:p>
            <w:pPr>
              <w:widowControl/>
              <w:spacing w:line="240" w:lineRule="auto"/>
              <w:ind w:firstLine="0" w:firstLineChars="0"/>
              <w:jc w:val="center"/>
              <w:rPr>
                <w:rFonts w:hint="eastAsia"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rPr>
              <w:t>107-15-3</w:t>
            </w:r>
          </w:p>
        </w:tc>
        <w:tc>
          <w:tcPr>
            <w:tcW w:w="1165" w:type="pct"/>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rPr>
              <w:t>0</w:t>
            </w:r>
            <w:r>
              <w:rPr>
                <w:rFonts w:cs="Times New Roman"/>
                <w:color w:val="000000"/>
                <w:kern w:val="0"/>
                <w:sz w:val="21"/>
                <w:szCs w:val="21"/>
                <w:highlight w:val="none"/>
              </w:rPr>
              <w:t>.</w:t>
            </w:r>
            <w:r>
              <w:rPr>
                <w:rFonts w:hint="eastAsia" w:cs="Times New Roman"/>
                <w:color w:val="000000"/>
                <w:kern w:val="0"/>
                <w:sz w:val="21"/>
                <w:szCs w:val="21"/>
                <w:highlight w:val="none"/>
                <w:lang w:val="en-US" w:eastAsia="zh-CN"/>
              </w:rPr>
              <w:t>0004</w:t>
            </w:r>
          </w:p>
        </w:tc>
        <w:tc>
          <w:tcPr>
            <w:tcW w:w="777" w:type="pct"/>
            <w:vAlign w:val="center"/>
          </w:tcPr>
          <w:p>
            <w:pPr>
              <w:widowControl/>
              <w:spacing w:line="240" w:lineRule="auto"/>
              <w:ind w:firstLine="0" w:firstLineChars="0"/>
              <w:jc w:val="center"/>
              <w:rPr>
                <w:rFonts w:hint="eastAsia"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lang w:eastAsia="zh-CN"/>
              </w:rPr>
              <w:t>瓶</w:t>
            </w:r>
            <w:r>
              <w:rPr>
                <w:rFonts w:hint="eastAsia" w:cs="Times New Roman"/>
                <w:color w:val="000000"/>
                <w:kern w:val="0"/>
                <w:sz w:val="21"/>
                <w:szCs w:val="21"/>
                <w:highlight w:val="none"/>
              </w:rPr>
              <w:t>/</w:t>
            </w:r>
            <w:r>
              <w:rPr>
                <w:rFonts w:hint="eastAsia" w:cs="Times New Roman"/>
                <w:color w:val="000000"/>
                <w:kern w:val="0"/>
                <w:sz w:val="21"/>
                <w:szCs w:val="21"/>
                <w:highlight w:val="none"/>
                <w:lang w:eastAsia="zh-CN"/>
              </w:rPr>
              <w:t>化验室</w:t>
            </w:r>
          </w:p>
        </w:tc>
        <w:tc>
          <w:tcPr>
            <w:tcW w:w="888" w:type="pct"/>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lang w:val="en-US" w:eastAsia="zh-CN"/>
              </w:rPr>
              <w:t>10</w:t>
            </w:r>
          </w:p>
        </w:tc>
        <w:tc>
          <w:tcPr>
            <w:tcW w:w="543" w:type="pct"/>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cs="Times New Roman"/>
                <w:color w:val="000000"/>
                <w:kern w:val="0"/>
                <w:sz w:val="21"/>
                <w:szCs w:val="21"/>
                <w:highlight w:val="none"/>
              </w:rPr>
              <w:t>0.</w:t>
            </w:r>
            <w:r>
              <w:rPr>
                <w:rFonts w:hint="eastAsia" w:cs="Times New Roman"/>
                <w:color w:val="000000"/>
                <w:kern w:val="0"/>
                <w:sz w:val="21"/>
                <w:szCs w:val="21"/>
                <w:highlight w:val="none"/>
                <w:lang w:val="en-US" w:eastAsia="zh-CN"/>
              </w:rPr>
              <w:t>00004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4456" w:type="pct"/>
            <w:gridSpan w:val="5"/>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合计Q</w:t>
            </w:r>
          </w:p>
        </w:tc>
        <w:tc>
          <w:tcPr>
            <w:tcW w:w="543" w:type="pct"/>
            <w:vAlign w:val="center"/>
          </w:tcPr>
          <w:p>
            <w:pPr>
              <w:widowControl/>
              <w:spacing w:line="240" w:lineRule="auto"/>
              <w:ind w:firstLine="0" w:firstLineChars="0"/>
              <w:jc w:val="center"/>
              <w:rPr>
                <w:rFonts w:hint="default" w:eastAsia="宋体" w:cs="Times New Roman"/>
                <w:color w:val="000000"/>
                <w:kern w:val="0"/>
                <w:sz w:val="21"/>
                <w:szCs w:val="21"/>
                <w:lang w:val="en-US" w:eastAsia="zh-CN"/>
              </w:rPr>
            </w:pPr>
            <w:r>
              <w:rPr>
                <w:rFonts w:hint="eastAsia" w:cs="Times New Roman"/>
                <w:color w:val="000000"/>
                <w:kern w:val="0"/>
                <w:sz w:val="21"/>
                <w:szCs w:val="21"/>
                <w:lang w:val="en-US" w:eastAsia="zh-CN"/>
              </w:rPr>
              <w:t>0.32204</w:t>
            </w:r>
          </w:p>
        </w:tc>
      </w:tr>
    </w:tbl>
    <w:p>
      <w:pPr>
        <w:pStyle w:val="6"/>
        <w:numPr>
          <w:ilvl w:val="2"/>
          <w:numId w:val="0"/>
        </w:numPr>
        <w:bidi w:val="0"/>
        <w:ind w:leftChars="0"/>
      </w:pPr>
      <w:r>
        <w:rPr>
          <w:rFonts w:hint="eastAsia"/>
          <w:lang w:val="en-US" w:eastAsia="zh-CN"/>
        </w:rPr>
        <w:t>7.1.2</w:t>
      </w:r>
      <w:r>
        <w:rPr>
          <w:rFonts w:hint="eastAsia"/>
        </w:rPr>
        <w:t>生产工艺过程与大气环境风险控制水平（M）评估</w:t>
      </w:r>
    </w:p>
    <w:p>
      <w:pPr>
        <w:ind w:firstLine="560"/>
      </w:pPr>
      <w:r>
        <w:rPr>
          <w:rFonts w:hint="eastAsia"/>
        </w:rPr>
        <w:t>1、生产工艺过程含有风险工艺和设备情况</w:t>
      </w:r>
    </w:p>
    <w:p>
      <w:pPr>
        <w:ind w:firstLine="560"/>
      </w:pPr>
      <w:r>
        <w:rPr>
          <w:rFonts w:hint="eastAsia"/>
        </w:rPr>
        <w:t>生产工艺过程含有风险工艺和设备情况评估内容及结果详见章节</w:t>
      </w:r>
      <w:r>
        <w:fldChar w:fldCharType="begin"/>
      </w:r>
      <w:r>
        <w:instrText xml:space="preserve"> </w:instrText>
      </w:r>
      <w:r>
        <w:rPr>
          <w:rFonts w:hint="eastAsia"/>
        </w:rPr>
        <w:instrText xml:space="preserve">REF _Ref526862673 \w \h</w:instrText>
      </w:r>
      <w:r>
        <w:instrText xml:space="preserve"> </w:instrText>
      </w:r>
      <w:r>
        <w:fldChar w:fldCharType="separate"/>
      </w:r>
      <w:r>
        <w:t>3.4.3</w:t>
      </w:r>
      <w:r>
        <w:fldChar w:fldCharType="end"/>
      </w:r>
      <w:r>
        <w:rPr>
          <w:rFonts w:hint="eastAsia"/>
        </w:rPr>
        <w:t>。评估结果表明企业生产工艺过程评估分值为</w:t>
      </w:r>
      <w:r>
        <w:rPr>
          <w:rFonts w:hint="eastAsia"/>
          <w:lang w:val="en-US" w:eastAsia="zh-CN"/>
        </w:rPr>
        <w:t>0</w:t>
      </w:r>
      <w:r>
        <w:rPr>
          <w:rFonts w:hint="eastAsia"/>
        </w:rPr>
        <w:t>。</w:t>
      </w:r>
    </w:p>
    <w:p>
      <w:pPr>
        <w:ind w:firstLine="560"/>
      </w:pPr>
      <w:r>
        <w:rPr>
          <w:rFonts w:hint="eastAsia"/>
        </w:rPr>
        <w:t>2、大气环境风险防控措施及突发大气环境事件发生情况</w:t>
      </w:r>
    </w:p>
    <w:p>
      <w:pPr>
        <w:ind w:firstLine="560"/>
      </w:pPr>
      <w:r>
        <w:rPr>
          <w:rFonts w:hint="eastAsia"/>
        </w:rPr>
        <w:t>大气环境风险防控措施及突发大气环境事件发生情况评估内容及结果详见章节</w:t>
      </w:r>
      <w:r>
        <w:fldChar w:fldCharType="begin"/>
      </w:r>
      <w:r>
        <w:instrText xml:space="preserve"> </w:instrText>
      </w:r>
      <w:r>
        <w:rPr>
          <w:rFonts w:hint="eastAsia"/>
        </w:rPr>
        <w:instrText xml:space="preserve">REF _Ref526862891 \w \h</w:instrText>
      </w:r>
      <w:r>
        <w:instrText xml:space="preserve"> </w:instrText>
      </w:r>
      <w:r>
        <w:fldChar w:fldCharType="separate"/>
      </w:r>
      <w:r>
        <w:t>3.6.3.1</w:t>
      </w:r>
      <w:r>
        <w:fldChar w:fldCharType="end"/>
      </w:r>
      <w:r>
        <w:rPr>
          <w:rFonts w:hint="eastAsia"/>
        </w:rPr>
        <w:t>。大气环境风险防控措施及突发大气环境事件发生情况评估分值为</w:t>
      </w:r>
      <w:r>
        <w:t>0</w:t>
      </w:r>
      <w:r>
        <w:rPr>
          <w:rFonts w:hint="eastAsia"/>
        </w:rPr>
        <w:t>。</w:t>
      </w:r>
    </w:p>
    <w:p>
      <w:pPr>
        <w:ind w:firstLine="560"/>
      </w:pPr>
      <w:r>
        <w:t>3</w:t>
      </w:r>
      <w:r>
        <w:rPr>
          <w:rFonts w:hint="eastAsia"/>
        </w:rPr>
        <w:t>、生产工艺过程与大气环境风险控制水平</w:t>
      </w:r>
    </w:p>
    <w:p>
      <w:pPr>
        <w:ind w:firstLine="560"/>
      </w:pPr>
      <w:r>
        <w:rPr>
          <w:rFonts w:hint="eastAsia"/>
        </w:rPr>
        <w:t>将企业生产工艺过程、大气环境风险防控措施及突发大气环境事件发生情况各项指标评估分值累加，得出生产工艺过程与大气环境风险控制水平值（M=</w:t>
      </w:r>
      <w:r>
        <w:t>20</w:t>
      </w:r>
      <w:r>
        <w:rPr>
          <w:rFonts w:hint="eastAsia"/>
        </w:rPr>
        <w:t>），按照</w:t>
      </w:r>
      <w:r>
        <w:fldChar w:fldCharType="begin"/>
      </w:r>
      <w:r>
        <w:instrText xml:space="preserve"> </w:instrText>
      </w:r>
      <w:r>
        <w:rPr>
          <w:rFonts w:hint="eastAsia"/>
        </w:rPr>
        <w:instrText xml:space="preserve">REF _Ref526863693 \h</w:instrText>
      </w:r>
      <w:r>
        <w:instrText xml:space="preserve"> </w:instrText>
      </w:r>
      <w:r>
        <w:fldChar w:fldCharType="separate"/>
      </w:r>
      <w:r>
        <w:rPr>
          <w:rFonts w:hint="eastAsia"/>
        </w:rPr>
        <w:t xml:space="preserve">表 </w:t>
      </w:r>
      <w:r>
        <w:t>7</w:t>
      </w:r>
      <w:r>
        <w:noBreakHyphen/>
      </w:r>
      <w:r>
        <w:t>2</w:t>
      </w:r>
      <w:r>
        <w:fldChar w:fldCharType="end"/>
      </w:r>
      <w:r>
        <w:rPr>
          <w:rFonts w:hint="eastAsia"/>
        </w:rPr>
        <w:t>划分为4个类型。本公司生产工艺过程与大气环境风险控制水平M表示为M</w:t>
      </w:r>
      <w:r>
        <w:t>1</w:t>
      </w:r>
      <w:r>
        <w:rPr>
          <w:rFonts w:hint="eastAsia"/>
        </w:rPr>
        <w:t>。</w:t>
      </w:r>
    </w:p>
    <w:p>
      <w:pPr>
        <w:pStyle w:val="8"/>
        <w:keepNext/>
      </w:pPr>
      <w:bookmarkStart w:id="285" w:name="_Ref526863693"/>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7</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2</w:t>
      </w:r>
      <w:r>
        <w:fldChar w:fldCharType="end"/>
      </w:r>
      <w:bookmarkEnd w:id="285"/>
      <w:r>
        <w:rPr>
          <w:rFonts w:hint="eastAsia"/>
        </w:rPr>
        <w:t>企业生产工艺过程与环境风险控制水平类型划分</w:t>
      </w:r>
    </w:p>
    <w:tbl>
      <w:tblPr>
        <w:tblStyle w:val="15"/>
        <w:tblW w:w="500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4574"/>
        <w:gridCol w:w="4574"/>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jc w:val="center"/>
        </w:trPr>
        <w:tc>
          <w:tcPr>
            <w:tcW w:w="2500" w:type="pct"/>
            <w:tcBorders>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生产工艺过程与环境风险控制水平值</w:t>
            </w:r>
          </w:p>
        </w:tc>
        <w:tc>
          <w:tcPr>
            <w:tcW w:w="2500" w:type="pct"/>
            <w:tcBorders>
              <w:left w:val="single" w:color="000000" w:sz="4" w:space="0"/>
              <w:bottom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生产工艺过程与环境风险控制水平类型</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jc w:val="center"/>
        </w:trPr>
        <w:tc>
          <w:tcPr>
            <w:tcW w:w="2500" w:type="pct"/>
            <w:tcBorders>
              <w:top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M＜25</w:t>
            </w:r>
          </w:p>
        </w:tc>
        <w:tc>
          <w:tcPr>
            <w:tcW w:w="2500" w:type="pct"/>
            <w:tcBorders>
              <w:top w:val="single" w:color="000000" w:sz="4" w:space="0"/>
              <w:left w:val="single" w:color="000000" w:sz="4" w:space="0"/>
              <w:bottom w:val="single" w:color="000000" w:sz="4" w:space="0"/>
            </w:tcBorders>
            <w:shd w:val="clear" w:color="auto" w:fill="D0CECE" w:themeFill="background2" w:themeFillShade="E6"/>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M1</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jc w:val="center"/>
        </w:trPr>
        <w:tc>
          <w:tcPr>
            <w:tcW w:w="2500" w:type="pct"/>
            <w:tcBorders>
              <w:top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25≤M＜45</w:t>
            </w:r>
          </w:p>
        </w:tc>
        <w:tc>
          <w:tcPr>
            <w:tcW w:w="2500" w:type="pct"/>
            <w:tcBorders>
              <w:top w:val="single" w:color="000000" w:sz="4" w:space="0"/>
              <w:left w:val="single" w:color="000000" w:sz="4" w:space="0"/>
              <w:bottom w:val="single" w:color="000000"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M2</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jc w:val="center"/>
        </w:trPr>
        <w:tc>
          <w:tcPr>
            <w:tcW w:w="2500" w:type="pct"/>
            <w:tcBorders>
              <w:top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45≤M＜65</w:t>
            </w:r>
          </w:p>
        </w:tc>
        <w:tc>
          <w:tcPr>
            <w:tcW w:w="2500" w:type="pct"/>
            <w:tcBorders>
              <w:top w:val="single" w:color="000000" w:sz="4" w:space="0"/>
              <w:left w:val="single" w:color="000000" w:sz="4" w:space="0"/>
              <w:bottom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M3</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jc w:val="center"/>
        </w:trPr>
        <w:tc>
          <w:tcPr>
            <w:tcW w:w="2500" w:type="pct"/>
            <w:tcBorders>
              <w:top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M≥65</w:t>
            </w:r>
          </w:p>
        </w:tc>
        <w:tc>
          <w:tcPr>
            <w:tcW w:w="2500" w:type="pct"/>
            <w:tcBorders>
              <w:top w:val="single" w:color="000000" w:sz="4" w:space="0"/>
              <w:lef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M4</w:t>
            </w:r>
          </w:p>
        </w:tc>
      </w:tr>
    </w:tbl>
    <w:p>
      <w:pPr>
        <w:pStyle w:val="6"/>
        <w:numPr>
          <w:ilvl w:val="2"/>
          <w:numId w:val="0"/>
        </w:numPr>
        <w:bidi w:val="0"/>
        <w:ind w:leftChars="0"/>
      </w:pPr>
      <w:r>
        <w:rPr>
          <w:rFonts w:hint="eastAsia"/>
          <w:lang w:val="en-US" w:eastAsia="zh-CN"/>
        </w:rPr>
        <w:t>7.1.3</w:t>
      </w:r>
      <w:r>
        <w:rPr>
          <w:rFonts w:hint="eastAsia"/>
        </w:rPr>
        <w:t>大气环境风险受体敏感程度（E）评估</w:t>
      </w:r>
    </w:p>
    <w:p>
      <w:pPr>
        <w:ind w:firstLine="560"/>
      </w:pPr>
      <w:r>
        <w:rPr>
          <w:rFonts w:hint="eastAsia"/>
        </w:rPr>
        <w:t>企业周边大气环境风险受体敏感程度（E）评估内容详见章节</w:t>
      </w:r>
      <w:r>
        <w:fldChar w:fldCharType="begin"/>
      </w:r>
      <w:r>
        <w:instrText xml:space="preserve"> </w:instrText>
      </w:r>
      <w:r>
        <w:rPr>
          <w:rFonts w:hint="eastAsia"/>
        </w:rPr>
        <w:instrText xml:space="preserve">REF _Ref526863580 \w \h</w:instrText>
      </w:r>
      <w:r>
        <w:instrText xml:space="preserve"> </w:instrText>
      </w:r>
      <w:r>
        <w:fldChar w:fldCharType="separate"/>
      </w:r>
      <w:r>
        <w:t>3.2.1</w:t>
      </w:r>
      <w:r>
        <w:fldChar w:fldCharType="end"/>
      </w:r>
      <w:r>
        <w:rPr>
          <w:rFonts w:hint="eastAsia"/>
        </w:rPr>
        <w:t>，本公司大气环境风险受体为E</w:t>
      </w:r>
      <w:r>
        <w:rPr>
          <w:rFonts w:hint="eastAsia"/>
          <w:lang w:val="en-US" w:eastAsia="zh-CN"/>
        </w:rPr>
        <w:t>1</w:t>
      </w:r>
      <w:r>
        <w:rPr>
          <w:rFonts w:hint="eastAsia"/>
        </w:rPr>
        <w:t>型。</w:t>
      </w:r>
    </w:p>
    <w:p>
      <w:pPr>
        <w:pStyle w:val="6"/>
        <w:numPr>
          <w:ilvl w:val="2"/>
          <w:numId w:val="0"/>
        </w:numPr>
        <w:bidi w:val="0"/>
        <w:ind w:leftChars="0"/>
      </w:pPr>
      <w:r>
        <w:rPr>
          <w:rFonts w:hint="eastAsia"/>
          <w:lang w:val="en-US" w:eastAsia="zh-CN"/>
        </w:rPr>
        <w:t>7.1.4</w:t>
      </w:r>
      <w:r>
        <w:rPr>
          <w:rFonts w:hint="eastAsia"/>
        </w:rPr>
        <w:t>突发大气环境风险等级确定</w:t>
      </w:r>
    </w:p>
    <w:p>
      <w:pPr>
        <w:ind w:firstLine="560"/>
      </w:pPr>
      <w:r>
        <w:rPr>
          <w:rFonts w:hint="eastAsia"/>
        </w:rPr>
        <w:t>当Q值</w:t>
      </w:r>
      <w:r>
        <w:rPr>
          <w:rFonts w:cs="Times New Roman"/>
          <w:color w:val="000000"/>
          <w:kern w:val="0"/>
          <w:szCs w:val="21"/>
        </w:rPr>
        <w:t>＜</w:t>
      </w:r>
      <w:r>
        <w:rPr>
          <w:rFonts w:hint="eastAsia" w:cs="Times New Roman"/>
          <w:color w:val="000000"/>
          <w:kern w:val="0"/>
          <w:szCs w:val="21"/>
        </w:rPr>
        <w:t>1</w:t>
      </w:r>
      <w:r>
        <w:rPr>
          <w:rFonts w:hint="eastAsia"/>
        </w:rPr>
        <w:t>时，企业直接评为一般环境风险等级；当Q值≥1时，根据企业周边大气环境风险受体敏感程度（E）、涉气风险物质数量与临界量比值（Q）和生产工艺过程与大气环境风险控制水平（M），按照</w:t>
      </w:r>
      <w:r>
        <w:fldChar w:fldCharType="begin"/>
      </w:r>
      <w:r>
        <w:instrText xml:space="preserve"> </w:instrText>
      </w:r>
      <w:r>
        <w:rPr>
          <w:rFonts w:hint="eastAsia"/>
        </w:rPr>
        <w:instrText xml:space="preserve">REF _Ref526863995 \h</w:instrText>
      </w:r>
      <w:r>
        <w:instrText xml:space="preserve"> </w:instrText>
      </w:r>
      <w:r>
        <w:fldChar w:fldCharType="separate"/>
      </w:r>
      <w:r>
        <w:rPr>
          <w:rFonts w:hint="eastAsia"/>
        </w:rPr>
        <w:t xml:space="preserve">表 </w:t>
      </w:r>
      <w:r>
        <w:t>7</w:t>
      </w:r>
      <w:r>
        <w:noBreakHyphen/>
      </w:r>
      <w:r>
        <w:t>3</w:t>
      </w:r>
      <w:r>
        <w:fldChar w:fldCharType="end"/>
      </w:r>
      <w:r>
        <w:rPr>
          <w:rFonts w:hint="eastAsia"/>
        </w:rPr>
        <w:t>确定企业突发大气环境事件风险等级。本公司Q值＜1，直接评为一般环境风险等级“一般-大气（Q</w:t>
      </w:r>
      <w:r>
        <w:t>0</w:t>
      </w:r>
      <w:r>
        <w:rPr>
          <w:rFonts w:hint="eastAsia"/>
        </w:rPr>
        <w:t>）”。</w:t>
      </w:r>
    </w:p>
    <w:p>
      <w:pPr>
        <w:pStyle w:val="8"/>
        <w:keepNext/>
      </w:pPr>
      <w:bookmarkStart w:id="286" w:name="_Ref526863995"/>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7</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3</w:t>
      </w:r>
      <w:r>
        <w:fldChar w:fldCharType="end"/>
      </w:r>
      <w:bookmarkEnd w:id="286"/>
      <w:r>
        <w:rPr>
          <w:rFonts w:hint="eastAsia"/>
        </w:rPr>
        <w:t>企业突发环境事件风险分级矩阵表</w:t>
      </w:r>
    </w:p>
    <w:tbl>
      <w:tblPr>
        <w:tblStyle w:val="15"/>
        <w:tblW w:w="500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1531"/>
        <w:gridCol w:w="2040"/>
        <w:gridCol w:w="1394"/>
        <w:gridCol w:w="1394"/>
        <w:gridCol w:w="1394"/>
        <w:gridCol w:w="1395"/>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jc w:val="center"/>
        </w:trPr>
        <w:tc>
          <w:tcPr>
            <w:tcW w:w="837" w:type="pct"/>
            <w:vMerge w:val="restart"/>
            <w:tcBorders>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环境风险受体敏感程度（E）</w:t>
            </w:r>
          </w:p>
        </w:tc>
        <w:tc>
          <w:tcPr>
            <w:tcW w:w="1115" w:type="pct"/>
            <w:vMerge w:val="restart"/>
            <w:tcBorders>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风险物质数量与临界量比值（Q）</w:t>
            </w:r>
          </w:p>
        </w:tc>
        <w:tc>
          <w:tcPr>
            <w:tcW w:w="3048" w:type="pct"/>
            <w:gridSpan w:val="4"/>
            <w:tcBorders>
              <w:left w:val="single" w:color="000000" w:sz="4" w:space="0"/>
              <w:bottom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生产工艺过程与环境风险控制水平（M）</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jc w:val="center"/>
        </w:trPr>
        <w:tc>
          <w:tcPr>
            <w:tcW w:w="837" w:type="pct"/>
            <w:vMerge w:val="continue"/>
            <w:tcBorders>
              <w:top w:val="nil"/>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p>
        </w:tc>
        <w:tc>
          <w:tcPr>
            <w:tcW w:w="1115" w:type="pct"/>
            <w:vMerge w:val="continue"/>
            <w:tcBorders>
              <w:top w:val="nil"/>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p>
        </w:tc>
        <w:tc>
          <w:tcPr>
            <w:tcW w:w="762"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M1 类水平</w:t>
            </w:r>
          </w:p>
        </w:tc>
        <w:tc>
          <w:tcPr>
            <w:tcW w:w="762"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M2 类水平</w:t>
            </w:r>
          </w:p>
        </w:tc>
        <w:tc>
          <w:tcPr>
            <w:tcW w:w="762"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M3 类水平</w:t>
            </w:r>
          </w:p>
        </w:tc>
        <w:tc>
          <w:tcPr>
            <w:tcW w:w="762" w:type="pct"/>
            <w:tcBorders>
              <w:top w:val="single" w:color="000000" w:sz="4" w:space="0"/>
              <w:left w:val="single" w:color="000000" w:sz="4" w:space="0"/>
              <w:bottom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M4 类水平</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jc w:val="center"/>
        </w:trPr>
        <w:tc>
          <w:tcPr>
            <w:tcW w:w="837" w:type="pct"/>
            <w:vMerge w:val="restart"/>
            <w:tcBorders>
              <w:top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类型1（E1）</w:t>
            </w:r>
          </w:p>
        </w:tc>
        <w:tc>
          <w:tcPr>
            <w:tcW w:w="111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1≤ Q＜10（Q1）</w:t>
            </w:r>
          </w:p>
        </w:tc>
        <w:tc>
          <w:tcPr>
            <w:tcW w:w="762"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较大</w:t>
            </w:r>
          </w:p>
        </w:tc>
        <w:tc>
          <w:tcPr>
            <w:tcW w:w="762"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较大</w:t>
            </w:r>
          </w:p>
        </w:tc>
        <w:tc>
          <w:tcPr>
            <w:tcW w:w="762"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重大</w:t>
            </w:r>
          </w:p>
        </w:tc>
        <w:tc>
          <w:tcPr>
            <w:tcW w:w="762" w:type="pct"/>
            <w:tcBorders>
              <w:top w:val="single" w:color="000000" w:sz="4" w:space="0"/>
              <w:left w:val="single" w:color="000000" w:sz="4" w:space="0"/>
              <w:bottom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重大</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jc w:val="center"/>
        </w:trPr>
        <w:tc>
          <w:tcPr>
            <w:tcW w:w="837" w:type="pct"/>
            <w:vMerge w:val="continue"/>
            <w:tcBorders>
              <w:top w:val="nil"/>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p>
        </w:tc>
        <w:tc>
          <w:tcPr>
            <w:tcW w:w="1115"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10≤ Q＜100（Q2）</w:t>
            </w:r>
          </w:p>
        </w:tc>
        <w:tc>
          <w:tcPr>
            <w:tcW w:w="762"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较大</w:t>
            </w:r>
          </w:p>
        </w:tc>
        <w:tc>
          <w:tcPr>
            <w:tcW w:w="762"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重大</w:t>
            </w:r>
          </w:p>
        </w:tc>
        <w:tc>
          <w:tcPr>
            <w:tcW w:w="762"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重大</w:t>
            </w:r>
          </w:p>
        </w:tc>
        <w:tc>
          <w:tcPr>
            <w:tcW w:w="762" w:type="pct"/>
            <w:tcBorders>
              <w:top w:val="single" w:color="000000" w:sz="4" w:space="0"/>
              <w:left w:val="single" w:color="000000" w:sz="4" w:space="0"/>
              <w:bottom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重大</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jc w:val="center"/>
        </w:trPr>
        <w:tc>
          <w:tcPr>
            <w:tcW w:w="837" w:type="pct"/>
            <w:vMerge w:val="continue"/>
            <w:tcBorders>
              <w:top w:val="nil"/>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p>
        </w:tc>
        <w:tc>
          <w:tcPr>
            <w:tcW w:w="1115"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Q≥ 100（Q3）</w:t>
            </w:r>
          </w:p>
        </w:tc>
        <w:tc>
          <w:tcPr>
            <w:tcW w:w="762"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重大</w:t>
            </w:r>
          </w:p>
        </w:tc>
        <w:tc>
          <w:tcPr>
            <w:tcW w:w="762"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重大</w:t>
            </w:r>
          </w:p>
        </w:tc>
        <w:tc>
          <w:tcPr>
            <w:tcW w:w="762"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重大</w:t>
            </w:r>
          </w:p>
        </w:tc>
        <w:tc>
          <w:tcPr>
            <w:tcW w:w="762" w:type="pct"/>
            <w:tcBorders>
              <w:top w:val="single" w:color="000000" w:sz="4" w:space="0"/>
              <w:left w:val="single" w:color="000000" w:sz="4" w:space="0"/>
              <w:bottom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重大</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jc w:val="center"/>
        </w:trPr>
        <w:tc>
          <w:tcPr>
            <w:tcW w:w="837" w:type="pct"/>
            <w:vMerge w:val="restart"/>
            <w:tcBorders>
              <w:top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类型2（E2）</w:t>
            </w:r>
          </w:p>
        </w:tc>
        <w:tc>
          <w:tcPr>
            <w:tcW w:w="111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1≤ Q＜10（Q1）</w:t>
            </w:r>
          </w:p>
        </w:tc>
        <w:tc>
          <w:tcPr>
            <w:tcW w:w="76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一般</w:t>
            </w:r>
          </w:p>
        </w:tc>
        <w:tc>
          <w:tcPr>
            <w:tcW w:w="762"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较大</w:t>
            </w:r>
          </w:p>
        </w:tc>
        <w:tc>
          <w:tcPr>
            <w:tcW w:w="762"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较大</w:t>
            </w:r>
          </w:p>
        </w:tc>
        <w:tc>
          <w:tcPr>
            <w:tcW w:w="762" w:type="pct"/>
            <w:tcBorders>
              <w:top w:val="single" w:color="000000" w:sz="4" w:space="0"/>
              <w:left w:val="single" w:color="000000" w:sz="4" w:space="0"/>
              <w:bottom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重大</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jc w:val="center"/>
        </w:trPr>
        <w:tc>
          <w:tcPr>
            <w:tcW w:w="837" w:type="pct"/>
            <w:vMerge w:val="continue"/>
            <w:tcBorders>
              <w:top w:val="nil"/>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p>
        </w:tc>
        <w:tc>
          <w:tcPr>
            <w:tcW w:w="1115"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10≤ Q＜100（Q2）</w:t>
            </w:r>
          </w:p>
        </w:tc>
        <w:tc>
          <w:tcPr>
            <w:tcW w:w="76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较大</w:t>
            </w:r>
          </w:p>
        </w:tc>
        <w:tc>
          <w:tcPr>
            <w:tcW w:w="762"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较大</w:t>
            </w:r>
          </w:p>
        </w:tc>
        <w:tc>
          <w:tcPr>
            <w:tcW w:w="762"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重大</w:t>
            </w:r>
          </w:p>
        </w:tc>
        <w:tc>
          <w:tcPr>
            <w:tcW w:w="762" w:type="pct"/>
            <w:tcBorders>
              <w:top w:val="single" w:color="000000" w:sz="4" w:space="0"/>
              <w:left w:val="single" w:color="000000" w:sz="4" w:space="0"/>
              <w:bottom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重大</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jc w:val="center"/>
        </w:trPr>
        <w:tc>
          <w:tcPr>
            <w:tcW w:w="837" w:type="pct"/>
            <w:vMerge w:val="continue"/>
            <w:tcBorders>
              <w:top w:val="nil"/>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p>
        </w:tc>
        <w:tc>
          <w:tcPr>
            <w:tcW w:w="1115"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Q≥ 100（Q3）</w:t>
            </w:r>
          </w:p>
        </w:tc>
        <w:tc>
          <w:tcPr>
            <w:tcW w:w="762"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较大</w:t>
            </w:r>
          </w:p>
        </w:tc>
        <w:tc>
          <w:tcPr>
            <w:tcW w:w="762"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重大</w:t>
            </w:r>
          </w:p>
        </w:tc>
        <w:tc>
          <w:tcPr>
            <w:tcW w:w="762"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重大</w:t>
            </w:r>
          </w:p>
        </w:tc>
        <w:tc>
          <w:tcPr>
            <w:tcW w:w="762" w:type="pct"/>
            <w:tcBorders>
              <w:top w:val="single" w:color="000000" w:sz="4" w:space="0"/>
              <w:left w:val="single" w:color="000000" w:sz="4" w:space="0"/>
              <w:bottom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重大</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jc w:val="center"/>
        </w:trPr>
        <w:tc>
          <w:tcPr>
            <w:tcW w:w="837" w:type="pct"/>
            <w:vMerge w:val="restart"/>
            <w:tcBorders>
              <w:top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类型3（E3）</w:t>
            </w:r>
          </w:p>
        </w:tc>
        <w:tc>
          <w:tcPr>
            <w:tcW w:w="1115"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1≤ Q＜10（Q1）</w:t>
            </w:r>
          </w:p>
        </w:tc>
        <w:tc>
          <w:tcPr>
            <w:tcW w:w="762"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一般</w:t>
            </w:r>
          </w:p>
        </w:tc>
        <w:tc>
          <w:tcPr>
            <w:tcW w:w="762"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一般</w:t>
            </w:r>
          </w:p>
        </w:tc>
        <w:tc>
          <w:tcPr>
            <w:tcW w:w="762"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较大</w:t>
            </w:r>
          </w:p>
        </w:tc>
        <w:tc>
          <w:tcPr>
            <w:tcW w:w="762" w:type="pct"/>
            <w:tcBorders>
              <w:top w:val="single" w:color="000000" w:sz="4" w:space="0"/>
              <w:left w:val="single" w:color="000000" w:sz="4" w:space="0"/>
              <w:bottom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较大</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jc w:val="center"/>
        </w:trPr>
        <w:tc>
          <w:tcPr>
            <w:tcW w:w="837" w:type="pct"/>
            <w:vMerge w:val="continue"/>
            <w:tcBorders>
              <w:top w:val="nil"/>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p>
        </w:tc>
        <w:tc>
          <w:tcPr>
            <w:tcW w:w="1115"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10≤ Q＜100（Q2）</w:t>
            </w:r>
          </w:p>
        </w:tc>
        <w:tc>
          <w:tcPr>
            <w:tcW w:w="762"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一般</w:t>
            </w:r>
          </w:p>
        </w:tc>
        <w:tc>
          <w:tcPr>
            <w:tcW w:w="762"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较大</w:t>
            </w:r>
          </w:p>
        </w:tc>
        <w:tc>
          <w:tcPr>
            <w:tcW w:w="762"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较大</w:t>
            </w:r>
          </w:p>
        </w:tc>
        <w:tc>
          <w:tcPr>
            <w:tcW w:w="762" w:type="pct"/>
            <w:tcBorders>
              <w:top w:val="single" w:color="000000" w:sz="4" w:space="0"/>
              <w:left w:val="single" w:color="000000" w:sz="4" w:space="0"/>
              <w:bottom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重大</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jc w:val="center"/>
        </w:trPr>
        <w:tc>
          <w:tcPr>
            <w:tcW w:w="837" w:type="pct"/>
            <w:vMerge w:val="continue"/>
            <w:tcBorders>
              <w:top w:val="nil"/>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p>
        </w:tc>
        <w:tc>
          <w:tcPr>
            <w:tcW w:w="1115" w:type="pct"/>
            <w:tcBorders>
              <w:top w:val="single" w:color="000000" w:sz="4" w:space="0"/>
              <w:left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Q≥ 100（Q3）</w:t>
            </w:r>
          </w:p>
        </w:tc>
        <w:tc>
          <w:tcPr>
            <w:tcW w:w="762" w:type="pct"/>
            <w:tcBorders>
              <w:top w:val="single" w:color="000000" w:sz="4" w:space="0"/>
              <w:left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较大</w:t>
            </w:r>
          </w:p>
        </w:tc>
        <w:tc>
          <w:tcPr>
            <w:tcW w:w="762" w:type="pct"/>
            <w:tcBorders>
              <w:top w:val="single" w:color="000000" w:sz="4" w:space="0"/>
              <w:left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较大</w:t>
            </w:r>
          </w:p>
        </w:tc>
        <w:tc>
          <w:tcPr>
            <w:tcW w:w="762" w:type="pct"/>
            <w:tcBorders>
              <w:top w:val="single" w:color="000000" w:sz="4" w:space="0"/>
              <w:left w:val="single" w:color="000000" w:sz="4" w:space="0"/>
              <w:righ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重大</w:t>
            </w:r>
          </w:p>
        </w:tc>
        <w:tc>
          <w:tcPr>
            <w:tcW w:w="762" w:type="pct"/>
            <w:tcBorders>
              <w:top w:val="single" w:color="000000" w:sz="4" w:space="0"/>
              <w:left w:val="single" w:color="000000" w:sz="4" w:space="0"/>
            </w:tcBorders>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重大</w:t>
            </w:r>
          </w:p>
        </w:tc>
      </w:tr>
    </w:tbl>
    <w:p>
      <w:pPr>
        <w:pStyle w:val="5"/>
        <w:numPr>
          <w:ilvl w:val="1"/>
          <w:numId w:val="0"/>
        </w:numPr>
        <w:bidi w:val="0"/>
        <w:ind w:leftChars="0"/>
      </w:pPr>
      <w:bookmarkStart w:id="287" w:name="_Toc31843"/>
      <w:bookmarkStart w:id="288" w:name="_Toc527104531"/>
      <w:r>
        <w:rPr>
          <w:rFonts w:hint="eastAsia"/>
          <w:lang w:val="en-US" w:eastAsia="zh-CN"/>
        </w:rPr>
        <w:t>7.2</w:t>
      </w:r>
      <w:r>
        <w:rPr>
          <w:rFonts w:hint="eastAsia"/>
        </w:rPr>
        <w:t>突发水环境事件风险分级</w:t>
      </w:r>
      <w:bookmarkEnd w:id="287"/>
      <w:bookmarkEnd w:id="288"/>
    </w:p>
    <w:p>
      <w:pPr>
        <w:pStyle w:val="6"/>
        <w:numPr>
          <w:ilvl w:val="2"/>
          <w:numId w:val="0"/>
        </w:numPr>
        <w:bidi w:val="0"/>
        <w:ind w:leftChars="0"/>
      </w:pPr>
      <w:r>
        <w:rPr>
          <w:rFonts w:hint="eastAsia"/>
          <w:lang w:val="en-US" w:eastAsia="zh-CN"/>
        </w:rPr>
        <w:t>7.2.1</w:t>
      </w:r>
      <w:r>
        <w:rPr>
          <w:rFonts w:hint="eastAsia"/>
        </w:rPr>
        <w:t>涉水风险物质数量与临界量比值（Q）</w:t>
      </w:r>
    </w:p>
    <w:p>
      <w:pPr>
        <w:ind w:firstLine="560"/>
      </w:pPr>
      <w:r>
        <w:rPr>
          <w:rFonts w:hint="eastAsia"/>
        </w:rPr>
        <w:t>涉水风险物质包括附录A中的第三、第四、第五、第六、第七和第八部分全部风险物质，以及第一、第二部分中溶于水和遇水发生反应的风险物质，具体包括：溶于水的硒化氢、甲醛、乙二腈、二氧化氯、氯化氢、氨、环氧乙烷、甲胺、丁烷、二甲胺、一氧化二氯，砷化氢、二氧化氮、三甲胺、二氧化硫、三氟化硼、硅烷、溴化氢、氯化氰、乙胺、二甲醚，以及遇水发生反应的乙烯酮、氟、四氟化硫、三氟溴乙烯。</w:t>
      </w:r>
    </w:p>
    <w:p>
      <w:pPr>
        <w:ind w:firstLine="560"/>
      </w:pPr>
      <w:r>
        <w:rPr>
          <w:rFonts w:hint="eastAsia"/>
        </w:rPr>
        <w:t>判断企业生产原料、产品、中间产品、副产品、催化剂、辅助生产物料、“三废”污染物等是否涉及水环境风险物质，计算涉水风险物质（混合或稀释的风险物质按其组分比例折算成纯物质）与其临界量的比值。涉水风险物质列表具体见</w:t>
      </w:r>
      <w:r>
        <w:fldChar w:fldCharType="begin"/>
      </w:r>
      <w:r>
        <w:instrText xml:space="preserve"> </w:instrText>
      </w:r>
      <w:r>
        <w:rPr>
          <w:rFonts w:hint="eastAsia"/>
        </w:rPr>
        <w:instrText xml:space="preserve">REF _Ref526864373 \h</w:instrText>
      </w:r>
      <w:r>
        <w:instrText xml:space="preserve"> </w:instrText>
      </w:r>
      <w:r>
        <w:fldChar w:fldCharType="separate"/>
      </w:r>
      <w:r>
        <w:rPr>
          <w:rFonts w:hint="eastAsia"/>
        </w:rPr>
        <w:t xml:space="preserve">表 </w:t>
      </w:r>
      <w:r>
        <w:t>7</w:t>
      </w:r>
      <w:r>
        <w:noBreakHyphen/>
      </w:r>
      <w:r>
        <w:t>4</w:t>
      </w:r>
      <w:r>
        <w:fldChar w:fldCharType="end"/>
      </w:r>
      <w:r>
        <w:rPr>
          <w:rFonts w:hint="eastAsia"/>
        </w:rPr>
        <w:t>，本公司涉水风险物质数量与临界量比值Q表示为Q</w:t>
      </w:r>
      <w:r>
        <w:t>0</w:t>
      </w:r>
      <w:r>
        <w:rPr>
          <w:rFonts w:hint="eastAsia"/>
        </w:rPr>
        <w:t>。</w:t>
      </w:r>
    </w:p>
    <w:p>
      <w:pPr>
        <w:pStyle w:val="8"/>
        <w:keepNext/>
      </w:pPr>
      <w:bookmarkStart w:id="289" w:name="_Ref526864373"/>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7</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4</w:t>
      </w:r>
      <w:r>
        <w:fldChar w:fldCharType="end"/>
      </w:r>
      <w:bookmarkEnd w:id="289"/>
      <w:r>
        <w:rPr>
          <w:rFonts w:hint="eastAsia"/>
        </w:rPr>
        <w:t>涉水风险物质一览表</w:t>
      </w:r>
    </w:p>
    <w:tbl>
      <w:tblPr>
        <w:tblStyle w:val="1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3"/>
        <w:gridCol w:w="1598"/>
        <w:gridCol w:w="2178"/>
        <w:gridCol w:w="1454"/>
        <w:gridCol w:w="1652"/>
        <w:gridCol w:w="10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72" w:type="pct"/>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名称</w:t>
            </w:r>
          </w:p>
        </w:tc>
        <w:tc>
          <w:tcPr>
            <w:tcW w:w="855" w:type="pct"/>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C</w:t>
            </w:r>
            <w:r>
              <w:rPr>
                <w:rFonts w:cs="Times New Roman"/>
                <w:color w:val="000000"/>
                <w:kern w:val="0"/>
                <w:sz w:val="21"/>
                <w:szCs w:val="21"/>
              </w:rPr>
              <w:t>AS</w:t>
            </w:r>
            <w:r>
              <w:rPr>
                <w:rFonts w:hint="eastAsia" w:cs="Times New Roman"/>
                <w:color w:val="000000"/>
                <w:kern w:val="0"/>
                <w:sz w:val="21"/>
                <w:szCs w:val="21"/>
              </w:rPr>
              <w:t>号</w:t>
            </w:r>
          </w:p>
        </w:tc>
        <w:tc>
          <w:tcPr>
            <w:tcW w:w="1165" w:type="pct"/>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最大储存量</w:t>
            </w:r>
            <w:r>
              <w:rPr>
                <w:rFonts w:cs="Times New Roman"/>
                <w:color w:val="000000"/>
                <w:kern w:val="0"/>
                <w:sz w:val="21"/>
                <w:szCs w:val="21"/>
              </w:rPr>
              <w:t>w</w:t>
            </w:r>
            <w:r>
              <w:rPr>
                <w:rFonts w:hint="eastAsia" w:cs="Times New Roman"/>
                <w:color w:val="000000"/>
                <w:kern w:val="0"/>
                <w:sz w:val="21"/>
                <w:szCs w:val="21"/>
              </w:rPr>
              <w:t>（t）</w:t>
            </w:r>
          </w:p>
        </w:tc>
        <w:tc>
          <w:tcPr>
            <w:tcW w:w="778" w:type="pct"/>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贮存方式</w:t>
            </w:r>
          </w:p>
        </w:tc>
        <w:tc>
          <w:tcPr>
            <w:tcW w:w="883" w:type="pct"/>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临界量</w:t>
            </w:r>
            <w:r>
              <w:rPr>
                <w:rFonts w:cs="Times New Roman"/>
                <w:color w:val="000000"/>
                <w:kern w:val="0"/>
                <w:sz w:val="21"/>
                <w:szCs w:val="21"/>
              </w:rPr>
              <w:t>W</w:t>
            </w:r>
            <w:r>
              <w:rPr>
                <w:rFonts w:hint="eastAsia" w:cs="Times New Roman"/>
                <w:color w:val="000000"/>
                <w:kern w:val="0"/>
                <w:sz w:val="21"/>
                <w:szCs w:val="21"/>
              </w:rPr>
              <w:t>（t）</w:t>
            </w:r>
          </w:p>
        </w:tc>
        <w:tc>
          <w:tcPr>
            <w:tcW w:w="545" w:type="pct"/>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w/W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72" w:type="pct"/>
            <w:vAlign w:val="center"/>
          </w:tcPr>
          <w:p>
            <w:pPr>
              <w:widowControl/>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eastAsia="zh-CN"/>
                <w14:textFill>
                  <w14:solidFill>
                    <w14:schemeClr w14:val="tx1"/>
                  </w14:solidFill>
                </w14:textFill>
              </w:rPr>
              <w:t>次氯酸钠</w:t>
            </w:r>
          </w:p>
        </w:tc>
        <w:tc>
          <w:tcPr>
            <w:tcW w:w="855" w:type="pct"/>
            <w:vAlign w:val="center"/>
          </w:tcPr>
          <w:p>
            <w:pPr>
              <w:widowControl/>
              <w:spacing w:line="240" w:lineRule="auto"/>
              <w:ind w:firstLine="0" w:firstLineChars="0"/>
              <w:jc w:val="center"/>
              <w:rPr>
                <w:rFonts w:hint="eastAsia"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lang w:val="en-US" w:eastAsia="zh-CN"/>
              </w:rPr>
              <w:t xml:space="preserve">7681-52-9 </w:t>
            </w:r>
          </w:p>
        </w:tc>
        <w:tc>
          <w:tcPr>
            <w:tcW w:w="1165" w:type="pct"/>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lang w:val="en-US" w:eastAsia="zh-CN"/>
              </w:rPr>
              <w:t>1.6</w:t>
            </w:r>
          </w:p>
        </w:tc>
        <w:tc>
          <w:tcPr>
            <w:tcW w:w="778" w:type="pct"/>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lang w:eastAsia="zh-CN"/>
              </w:rPr>
              <w:t>储罐</w:t>
            </w:r>
            <w:r>
              <w:rPr>
                <w:rFonts w:hint="eastAsia" w:cs="Times New Roman"/>
                <w:color w:val="000000"/>
                <w:kern w:val="0"/>
                <w:sz w:val="21"/>
                <w:szCs w:val="21"/>
                <w:highlight w:val="none"/>
                <w:lang w:val="en-US" w:eastAsia="zh-CN"/>
              </w:rPr>
              <w:t>/次氯酸钠间</w:t>
            </w:r>
          </w:p>
        </w:tc>
        <w:tc>
          <w:tcPr>
            <w:tcW w:w="883" w:type="pct"/>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lang w:val="en-US" w:eastAsia="zh-CN"/>
              </w:rPr>
              <w:t>5</w:t>
            </w:r>
          </w:p>
        </w:tc>
        <w:tc>
          <w:tcPr>
            <w:tcW w:w="545" w:type="pct"/>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lang w:val="en-US" w:eastAsia="zh-CN"/>
              </w:rPr>
              <w:t>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72" w:type="pct"/>
            <w:vAlign w:val="center"/>
          </w:tcPr>
          <w:p>
            <w:pPr>
              <w:widowControl/>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sz w:val="21"/>
                <w:szCs w:val="21"/>
                <w:lang w:val="en-US" w:eastAsia="zh-CN"/>
              </w:rPr>
              <w:t>铬酸钾</w:t>
            </w:r>
          </w:p>
        </w:tc>
        <w:tc>
          <w:tcPr>
            <w:tcW w:w="855" w:type="pct"/>
            <w:vAlign w:val="center"/>
          </w:tcPr>
          <w:p>
            <w:pPr>
              <w:widowControl/>
              <w:spacing w:line="240" w:lineRule="auto"/>
              <w:ind w:firstLine="0" w:firstLineChars="0"/>
              <w:jc w:val="center"/>
              <w:rPr>
                <w:rFonts w:hint="eastAsia" w:ascii="Times New Roman" w:hAnsi="Times New Roman" w:eastAsia="宋体" w:cs="Times New Roman"/>
                <w:color w:val="000000"/>
                <w:kern w:val="0"/>
                <w:sz w:val="21"/>
                <w:szCs w:val="21"/>
                <w:highlight w:val="yellow"/>
                <w:lang w:val="en-US" w:eastAsia="zh-CN" w:bidi="ar-SA"/>
              </w:rPr>
            </w:pPr>
            <w:r>
              <w:rPr>
                <w:rFonts w:hint="eastAsia" w:cs="Times New Roman"/>
                <w:color w:val="000000"/>
                <w:kern w:val="0"/>
                <w:sz w:val="21"/>
                <w:szCs w:val="21"/>
              </w:rPr>
              <w:t>7789-00-6</w:t>
            </w:r>
          </w:p>
        </w:tc>
        <w:tc>
          <w:tcPr>
            <w:tcW w:w="1165" w:type="pct"/>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rPr>
              <w:t>0</w:t>
            </w:r>
            <w:r>
              <w:rPr>
                <w:rFonts w:cs="Times New Roman"/>
                <w:color w:val="000000"/>
                <w:kern w:val="0"/>
                <w:sz w:val="21"/>
                <w:szCs w:val="21"/>
                <w:highlight w:val="none"/>
              </w:rPr>
              <w:t>.</w:t>
            </w:r>
            <w:r>
              <w:rPr>
                <w:rFonts w:hint="eastAsia" w:cs="Times New Roman"/>
                <w:color w:val="000000"/>
                <w:kern w:val="0"/>
                <w:sz w:val="21"/>
                <w:szCs w:val="21"/>
                <w:highlight w:val="none"/>
                <w:lang w:val="en-US" w:eastAsia="zh-CN"/>
              </w:rPr>
              <w:t>0005</w:t>
            </w:r>
          </w:p>
        </w:tc>
        <w:tc>
          <w:tcPr>
            <w:tcW w:w="778" w:type="pct"/>
            <w:vAlign w:val="center"/>
          </w:tcPr>
          <w:p>
            <w:pPr>
              <w:widowControl/>
              <w:spacing w:line="240" w:lineRule="auto"/>
              <w:ind w:firstLine="0" w:firstLineChars="0"/>
              <w:jc w:val="center"/>
              <w:rPr>
                <w:rFonts w:hint="eastAsia"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lang w:eastAsia="zh-CN"/>
              </w:rPr>
              <w:t>瓶</w:t>
            </w:r>
            <w:r>
              <w:rPr>
                <w:rFonts w:hint="eastAsia" w:cs="Times New Roman"/>
                <w:color w:val="000000"/>
                <w:kern w:val="0"/>
                <w:sz w:val="21"/>
                <w:szCs w:val="21"/>
                <w:highlight w:val="none"/>
              </w:rPr>
              <w:t>/</w:t>
            </w:r>
            <w:r>
              <w:rPr>
                <w:rFonts w:hint="eastAsia" w:cs="Times New Roman"/>
                <w:color w:val="000000"/>
                <w:kern w:val="0"/>
                <w:sz w:val="21"/>
                <w:szCs w:val="21"/>
                <w:highlight w:val="none"/>
                <w:lang w:eastAsia="zh-CN"/>
              </w:rPr>
              <w:t>化验室</w:t>
            </w:r>
          </w:p>
        </w:tc>
        <w:tc>
          <w:tcPr>
            <w:tcW w:w="883" w:type="pct"/>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lang w:val="en-US" w:eastAsia="zh-CN"/>
              </w:rPr>
              <w:t>0.25</w:t>
            </w:r>
          </w:p>
        </w:tc>
        <w:tc>
          <w:tcPr>
            <w:tcW w:w="545" w:type="pct"/>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rPr>
              <w:t>0</w:t>
            </w:r>
            <w:r>
              <w:rPr>
                <w:rFonts w:cs="Times New Roman"/>
                <w:color w:val="000000"/>
                <w:kern w:val="0"/>
                <w:sz w:val="21"/>
                <w:szCs w:val="21"/>
                <w:highlight w:val="none"/>
              </w:rPr>
              <w:t>.0</w:t>
            </w:r>
            <w:r>
              <w:rPr>
                <w:rFonts w:hint="eastAsia" w:cs="Times New Roman"/>
                <w:color w:val="000000"/>
                <w:kern w:val="0"/>
                <w:sz w:val="21"/>
                <w:szCs w:val="21"/>
                <w:highlight w:val="none"/>
                <w:lang w:val="en-US" w:eastAsia="zh-CN"/>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72" w:type="pct"/>
            <w:vAlign w:val="center"/>
          </w:tcPr>
          <w:p>
            <w:pPr>
              <w:widowControl/>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sz w:val="21"/>
                <w:szCs w:val="21"/>
                <w:lang w:val="en-US" w:eastAsia="zh-CN"/>
              </w:rPr>
              <w:t>乙二胺</w:t>
            </w:r>
          </w:p>
        </w:tc>
        <w:tc>
          <w:tcPr>
            <w:tcW w:w="855" w:type="pct"/>
            <w:vAlign w:val="center"/>
          </w:tcPr>
          <w:p>
            <w:pPr>
              <w:widowControl/>
              <w:spacing w:line="240" w:lineRule="auto"/>
              <w:ind w:firstLine="0" w:firstLineChars="0"/>
              <w:jc w:val="center"/>
              <w:rPr>
                <w:rFonts w:hint="eastAsia"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rPr>
              <w:t>107-15-3</w:t>
            </w:r>
          </w:p>
        </w:tc>
        <w:tc>
          <w:tcPr>
            <w:tcW w:w="1165" w:type="pct"/>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rPr>
              <w:t>0</w:t>
            </w:r>
            <w:r>
              <w:rPr>
                <w:rFonts w:cs="Times New Roman"/>
                <w:color w:val="000000"/>
                <w:kern w:val="0"/>
                <w:sz w:val="21"/>
                <w:szCs w:val="21"/>
                <w:highlight w:val="none"/>
              </w:rPr>
              <w:t>.</w:t>
            </w:r>
            <w:r>
              <w:rPr>
                <w:rFonts w:hint="eastAsia" w:cs="Times New Roman"/>
                <w:color w:val="000000"/>
                <w:kern w:val="0"/>
                <w:sz w:val="21"/>
                <w:szCs w:val="21"/>
                <w:highlight w:val="none"/>
                <w:lang w:val="en-US" w:eastAsia="zh-CN"/>
              </w:rPr>
              <w:t>0004</w:t>
            </w:r>
          </w:p>
        </w:tc>
        <w:tc>
          <w:tcPr>
            <w:tcW w:w="778" w:type="pct"/>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lang w:eastAsia="zh-CN"/>
              </w:rPr>
              <w:t>瓶</w:t>
            </w:r>
            <w:r>
              <w:rPr>
                <w:rFonts w:hint="eastAsia" w:cs="Times New Roman"/>
                <w:color w:val="000000"/>
                <w:kern w:val="0"/>
                <w:sz w:val="21"/>
                <w:szCs w:val="21"/>
                <w:highlight w:val="none"/>
              </w:rPr>
              <w:t>/</w:t>
            </w:r>
            <w:r>
              <w:rPr>
                <w:rFonts w:hint="eastAsia" w:cs="Times New Roman"/>
                <w:color w:val="000000"/>
                <w:kern w:val="0"/>
                <w:sz w:val="21"/>
                <w:szCs w:val="21"/>
                <w:highlight w:val="none"/>
                <w:lang w:eastAsia="zh-CN"/>
              </w:rPr>
              <w:t>化验室</w:t>
            </w:r>
          </w:p>
        </w:tc>
        <w:tc>
          <w:tcPr>
            <w:tcW w:w="883" w:type="pct"/>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lang w:val="en-US" w:eastAsia="zh-CN"/>
              </w:rPr>
              <w:t>10</w:t>
            </w:r>
          </w:p>
        </w:tc>
        <w:tc>
          <w:tcPr>
            <w:tcW w:w="545" w:type="pct"/>
            <w:vAlign w:val="center"/>
          </w:tcPr>
          <w:p>
            <w:pPr>
              <w:widowControl/>
              <w:spacing w:line="240" w:lineRule="auto"/>
              <w:ind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cs="Times New Roman"/>
                <w:color w:val="000000"/>
                <w:kern w:val="0"/>
                <w:sz w:val="21"/>
                <w:szCs w:val="21"/>
                <w:highlight w:val="none"/>
              </w:rPr>
              <w:t>0.</w:t>
            </w:r>
            <w:r>
              <w:rPr>
                <w:rFonts w:hint="eastAsia" w:cs="Times New Roman"/>
                <w:color w:val="000000"/>
                <w:kern w:val="0"/>
                <w:sz w:val="21"/>
                <w:szCs w:val="21"/>
                <w:highlight w:val="none"/>
                <w:lang w:val="en-US" w:eastAsia="zh-CN"/>
              </w:rPr>
              <w:t>00004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4454" w:type="pct"/>
            <w:gridSpan w:val="5"/>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合计Q</w:t>
            </w:r>
          </w:p>
        </w:tc>
        <w:tc>
          <w:tcPr>
            <w:tcW w:w="545" w:type="pct"/>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lang w:val="en-US" w:eastAsia="zh-CN"/>
              </w:rPr>
              <w:t>0.32204</w:t>
            </w:r>
          </w:p>
        </w:tc>
      </w:tr>
    </w:tbl>
    <w:p>
      <w:pPr>
        <w:pStyle w:val="6"/>
        <w:numPr>
          <w:ilvl w:val="2"/>
          <w:numId w:val="0"/>
        </w:numPr>
        <w:bidi w:val="0"/>
        <w:ind w:leftChars="0"/>
      </w:pPr>
      <w:r>
        <w:rPr>
          <w:rFonts w:hint="eastAsia"/>
          <w:lang w:val="en-US" w:eastAsia="zh-CN"/>
        </w:rPr>
        <w:t>7.2.2</w:t>
      </w:r>
      <w:r>
        <w:rPr>
          <w:rFonts w:hint="eastAsia"/>
        </w:rPr>
        <w:t>生产工艺过程与水环境风险控制水平（M）评估</w:t>
      </w:r>
    </w:p>
    <w:p>
      <w:pPr>
        <w:ind w:firstLine="560"/>
      </w:pPr>
      <w:r>
        <w:rPr>
          <w:rFonts w:hint="eastAsia"/>
        </w:rPr>
        <w:t>1、生产工艺过程含有风险工艺和设备情况</w:t>
      </w:r>
    </w:p>
    <w:p>
      <w:pPr>
        <w:ind w:firstLine="560"/>
      </w:pPr>
      <w:r>
        <w:rPr>
          <w:rFonts w:hint="eastAsia"/>
        </w:rPr>
        <w:t>生产工艺过程含有风险工艺和设备情况评估内容及结果详见章节</w:t>
      </w:r>
      <w:r>
        <w:fldChar w:fldCharType="begin"/>
      </w:r>
      <w:r>
        <w:instrText xml:space="preserve"> </w:instrText>
      </w:r>
      <w:r>
        <w:rPr>
          <w:rFonts w:hint="eastAsia"/>
        </w:rPr>
        <w:instrText xml:space="preserve">REF _Ref526862673 \w \h</w:instrText>
      </w:r>
      <w:r>
        <w:instrText xml:space="preserve"> </w:instrText>
      </w:r>
      <w:r>
        <w:fldChar w:fldCharType="separate"/>
      </w:r>
      <w:r>
        <w:t>3.4.3</w:t>
      </w:r>
      <w:r>
        <w:fldChar w:fldCharType="end"/>
      </w:r>
      <w:r>
        <w:rPr>
          <w:rFonts w:hint="eastAsia"/>
        </w:rPr>
        <w:t>。评估结果表明企业生产工艺过程评估分值为</w:t>
      </w:r>
      <w:r>
        <w:rPr>
          <w:rFonts w:hint="eastAsia"/>
          <w:lang w:val="en-US" w:eastAsia="zh-CN"/>
        </w:rPr>
        <w:t>0</w:t>
      </w:r>
      <w:r>
        <w:rPr>
          <w:rFonts w:hint="eastAsia"/>
        </w:rPr>
        <w:t>。</w:t>
      </w:r>
    </w:p>
    <w:p>
      <w:pPr>
        <w:ind w:firstLine="560"/>
      </w:pPr>
      <w:r>
        <w:rPr>
          <w:rFonts w:hint="eastAsia"/>
        </w:rPr>
        <w:t>2、水环境风险防控措施及突发水环境事件发生情况</w:t>
      </w:r>
    </w:p>
    <w:p>
      <w:pPr>
        <w:ind w:firstLine="560"/>
      </w:pPr>
      <w:r>
        <w:rPr>
          <w:rFonts w:hint="eastAsia"/>
        </w:rPr>
        <w:t>水环境风险防控措施及突发水环境事件发生情况评估内容及结果详见章节</w:t>
      </w:r>
      <w:r>
        <w:fldChar w:fldCharType="begin"/>
      </w:r>
      <w:r>
        <w:instrText xml:space="preserve"> </w:instrText>
      </w:r>
      <w:r>
        <w:rPr>
          <w:rFonts w:hint="eastAsia"/>
        </w:rPr>
        <w:instrText xml:space="preserve">REF _Ref526864575 \w \h</w:instrText>
      </w:r>
      <w:r>
        <w:instrText xml:space="preserve"> </w:instrText>
      </w:r>
      <w:r>
        <w:fldChar w:fldCharType="separate"/>
      </w:r>
      <w:r>
        <w:t>3.6.3.2</w:t>
      </w:r>
      <w:r>
        <w:fldChar w:fldCharType="end"/>
      </w:r>
      <w:r>
        <w:rPr>
          <w:rFonts w:hint="eastAsia"/>
        </w:rPr>
        <w:t>。水环境风险防控措施及突发水环境事件发生情况评估分值为</w:t>
      </w:r>
      <w:r>
        <w:rPr>
          <w:rFonts w:hint="eastAsia"/>
          <w:lang w:val="en-US" w:eastAsia="zh-CN"/>
        </w:rPr>
        <w:t>20</w:t>
      </w:r>
      <w:r>
        <w:rPr>
          <w:rFonts w:hint="eastAsia"/>
        </w:rPr>
        <w:t>。</w:t>
      </w:r>
    </w:p>
    <w:p>
      <w:pPr>
        <w:ind w:firstLine="560"/>
      </w:pPr>
      <w:r>
        <w:t>3</w:t>
      </w:r>
      <w:r>
        <w:rPr>
          <w:rFonts w:hint="eastAsia"/>
        </w:rPr>
        <w:t>、生产工艺过程与水环境风险控制水平</w:t>
      </w:r>
    </w:p>
    <w:p>
      <w:pPr>
        <w:ind w:firstLine="560"/>
      </w:pPr>
      <w:r>
        <w:rPr>
          <w:rFonts w:hint="eastAsia"/>
        </w:rPr>
        <w:t>将企业生产工艺过程、水环境风险防控措施及突发水环境事件发生情况各项指标评估分值累加，得出生产工艺过程与水环境风险控制水平值（M=</w:t>
      </w:r>
      <w:r>
        <w:rPr>
          <w:rFonts w:hint="eastAsia"/>
          <w:lang w:val="en-US" w:eastAsia="zh-CN"/>
        </w:rPr>
        <w:t>20</w:t>
      </w:r>
      <w:r>
        <w:rPr>
          <w:rFonts w:hint="eastAsia"/>
        </w:rPr>
        <w:t>），按照</w:t>
      </w:r>
      <w:r>
        <w:fldChar w:fldCharType="begin"/>
      </w:r>
      <w:r>
        <w:instrText xml:space="preserve"> </w:instrText>
      </w:r>
      <w:r>
        <w:rPr>
          <w:rFonts w:hint="eastAsia"/>
        </w:rPr>
        <w:instrText xml:space="preserve">REF _Ref526863693 \h</w:instrText>
      </w:r>
      <w:r>
        <w:instrText xml:space="preserve"> </w:instrText>
      </w:r>
      <w:r>
        <w:fldChar w:fldCharType="separate"/>
      </w:r>
      <w:r>
        <w:rPr>
          <w:rFonts w:hint="eastAsia"/>
        </w:rPr>
        <w:t xml:space="preserve">表 </w:t>
      </w:r>
      <w:r>
        <w:t>7</w:t>
      </w:r>
      <w:r>
        <w:noBreakHyphen/>
      </w:r>
      <w:r>
        <w:t>2</w:t>
      </w:r>
      <w:r>
        <w:fldChar w:fldCharType="end"/>
      </w:r>
      <w:r>
        <w:rPr>
          <w:rFonts w:hint="eastAsia"/>
        </w:rPr>
        <w:t>划分为4个类型。本公司生产工艺过程与水环境风险控制水平M表示为M</w:t>
      </w:r>
      <w:r>
        <w:rPr>
          <w:rFonts w:hint="eastAsia"/>
          <w:lang w:val="en-US" w:eastAsia="zh-CN"/>
        </w:rPr>
        <w:t>1</w:t>
      </w:r>
      <w:r>
        <w:rPr>
          <w:rFonts w:hint="eastAsia"/>
        </w:rPr>
        <w:t>。</w:t>
      </w:r>
    </w:p>
    <w:p>
      <w:pPr>
        <w:pStyle w:val="6"/>
        <w:numPr>
          <w:ilvl w:val="2"/>
          <w:numId w:val="0"/>
        </w:numPr>
        <w:bidi w:val="0"/>
        <w:ind w:leftChars="0"/>
      </w:pPr>
      <w:r>
        <w:rPr>
          <w:rFonts w:hint="eastAsia"/>
          <w:lang w:val="en-US" w:eastAsia="zh-CN"/>
        </w:rPr>
        <w:t>7.2.3</w:t>
      </w:r>
      <w:r>
        <w:rPr>
          <w:rFonts w:hint="eastAsia"/>
        </w:rPr>
        <w:t>水环境风险受体敏感程度（E）评估</w:t>
      </w:r>
    </w:p>
    <w:p>
      <w:pPr>
        <w:ind w:firstLine="560"/>
      </w:pPr>
      <w:r>
        <w:rPr>
          <w:rFonts w:hint="eastAsia"/>
        </w:rPr>
        <w:t>企业周边大气环境风险受体敏感程度（E）评估内容详见章节</w:t>
      </w:r>
      <w:r>
        <w:fldChar w:fldCharType="begin"/>
      </w:r>
      <w:r>
        <w:instrText xml:space="preserve"> </w:instrText>
      </w:r>
      <w:r>
        <w:rPr>
          <w:rFonts w:hint="eastAsia"/>
        </w:rPr>
        <w:instrText xml:space="preserve">REF _Ref526864864 \w \h</w:instrText>
      </w:r>
      <w:r>
        <w:instrText xml:space="preserve"> </w:instrText>
      </w:r>
      <w:r>
        <w:fldChar w:fldCharType="separate"/>
      </w:r>
      <w:r>
        <w:t>3.2.2</w:t>
      </w:r>
      <w:r>
        <w:fldChar w:fldCharType="end"/>
      </w:r>
      <w:r>
        <w:rPr>
          <w:rFonts w:hint="eastAsia"/>
        </w:rPr>
        <w:t>，本公司水环境风险受体为E</w:t>
      </w:r>
      <w:r>
        <w:t>3</w:t>
      </w:r>
      <w:r>
        <w:rPr>
          <w:rFonts w:hint="eastAsia"/>
        </w:rPr>
        <w:t>型。</w:t>
      </w:r>
    </w:p>
    <w:p>
      <w:pPr>
        <w:pStyle w:val="6"/>
        <w:numPr>
          <w:ilvl w:val="2"/>
          <w:numId w:val="0"/>
        </w:numPr>
        <w:bidi w:val="0"/>
        <w:ind w:leftChars="0"/>
      </w:pPr>
      <w:r>
        <w:rPr>
          <w:rFonts w:hint="eastAsia"/>
          <w:lang w:val="en-US" w:eastAsia="zh-CN"/>
        </w:rPr>
        <w:t>7.2.4</w:t>
      </w:r>
      <w:r>
        <w:rPr>
          <w:rFonts w:hint="eastAsia"/>
        </w:rPr>
        <w:t>突发水环境风险等级确定</w:t>
      </w:r>
    </w:p>
    <w:p>
      <w:pPr>
        <w:ind w:firstLine="560"/>
      </w:pPr>
      <w:r>
        <w:rPr>
          <w:rFonts w:hint="eastAsia"/>
        </w:rPr>
        <w:t>当Q值</w:t>
      </w:r>
      <w:r>
        <w:rPr>
          <w:rFonts w:cs="Times New Roman"/>
          <w:color w:val="000000"/>
          <w:kern w:val="0"/>
          <w:szCs w:val="21"/>
        </w:rPr>
        <w:t>＜</w:t>
      </w:r>
      <w:r>
        <w:rPr>
          <w:rFonts w:hint="eastAsia" w:cs="Times New Roman"/>
          <w:color w:val="000000"/>
          <w:kern w:val="0"/>
          <w:szCs w:val="21"/>
        </w:rPr>
        <w:t>1</w:t>
      </w:r>
      <w:r>
        <w:rPr>
          <w:rFonts w:hint="eastAsia"/>
        </w:rPr>
        <w:t>时，企业直接评为一般环境风险等级；当Q值≥1时，根据企业周边水环境风险受体敏感程度（E）、涉水风险物质数量与临界量比值（Q）和生产工艺过程与水环境风险控制水平（M），按照</w:t>
      </w:r>
      <w:r>
        <w:fldChar w:fldCharType="begin"/>
      </w:r>
      <w:r>
        <w:instrText xml:space="preserve"> </w:instrText>
      </w:r>
      <w:r>
        <w:rPr>
          <w:rFonts w:hint="eastAsia"/>
        </w:rPr>
        <w:instrText xml:space="preserve">REF _Ref526863995 \h</w:instrText>
      </w:r>
      <w:r>
        <w:instrText xml:space="preserve"> </w:instrText>
      </w:r>
      <w:r>
        <w:fldChar w:fldCharType="separate"/>
      </w:r>
      <w:r>
        <w:rPr>
          <w:rFonts w:hint="eastAsia"/>
        </w:rPr>
        <w:t xml:space="preserve">表 </w:t>
      </w:r>
      <w:r>
        <w:t>7</w:t>
      </w:r>
      <w:r>
        <w:noBreakHyphen/>
      </w:r>
      <w:r>
        <w:t>3</w:t>
      </w:r>
      <w:r>
        <w:fldChar w:fldCharType="end"/>
      </w:r>
      <w:r>
        <w:rPr>
          <w:rFonts w:hint="eastAsia"/>
        </w:rPr>
        <w:t>确定企业突发水环境事件风险等级。本公司Q值＜1，直接评为一般环境风险等级“一般-水（Q</w:t>
      </w:r>
      <w:r>
        <w:t>0</w:t>
      </w:r>
      <w:r>
        <w:rPr>
          <w:rFonts w:hint="eastAsia"/>
        </w:rPr>
        <w:t>）”。</w:t>
      </w:r>
    </w:p>
    <w:p>
      <w:pPr>
        <w:pStyle w:val="5"/>
        <w:numPr>
          <w:ilvl w:val="1"/>
          <w:numId w:val="0"/>
        </w:numPr>
        <w:bidi w:val="0"/>
        <w:ind w:leftChars="0"/>
      </w:pPr>
      <w:bookmarkStart w:id="290" w:name="_Toc17945"/>
      <w:bookmarkStart w:id="291" w:name="_Toc527104532"/>
      <w:r>
        <w:rPr>
          <w:rFonts w:hint="eastAsia"/>
          <w:lang w:val="en-US" w:eastAsia="zh-CN"/>
        </w:rPr>
        <w:t>7.3</w:t>
      </w:r>
      <w:r>
        <w:rPr>
          <w:rFonts w:hint="eastAsia"/>
        </w:rPr>
        <w:t>企业突发环境事件风险等级确定与调整</w:t>
      </w:r>
      <w:bookmarkEnd w:id="290"/>
      <w:bookmarkEnd w:id="291"/>
    </w:p>
    <w:p>
      <w:pPr>
        <w:pStyle w:val="6"/>
        <w:numPr>
          <w:ilvl w:val="2"/>
          <w:numId w:val="0"/>
        </w:numPr>
        <w:bidi w:val="0"/>
        <w:ind w:leftChars="0"/>
      </w:pPr>
      <w:r>
        <w:rPr>
          <w:rFonts w:hint="eastAsia"/>
          <w:lang w:val="en-US" w:eastAsia="zh-CN"/>
        </w:rPr>
        <w:t>7.3.1</w:t>
      </w:r>
      <w:r>
        <w:rPr>
          <w:rFonts w:hint="eastAsia"/>
        </w:rPr>
        <w:t>风险等级确定</w:t>
      </w:r>
    </w:p>
    <w:p>
      <w:pPr>
        <w:ind w:firstLine="560"/>
      </w:pPr>
      <w:r>
        <w:rPr>
          <w:rFonts w:hint="eastAsia"/>
        </w:rPr>
        <w:t>以企业突发大气环境事件风险和突发水环境事件风险等级高者确定企业突发环境事件风险等级。</w:t>
      </w:r>
    </w:p>
    <w:p>
      <w:pPr>
        <w:ind w:firstLine="560"/>
      </w:pPr>
      <w:r>
        <w:rPr>
          <w:rFonts w:hint="eastAsia"/>
        </w:rPr>
        <w:t>综上，</w:t>
      </w:r>
      <w:r>
        <w:rPr>
          <w:rFonts w:hint="eastAsia"/>
          <w:lang w:eastAsia="zh-CN"/>
        </w:rPr>
        <w:t>南昌双港供水有限公司</w:t>
      </w:r>
      <w:r>
        <w:rPr>
          <w:rFonts w:hint="eastAsia"/>
        </w:rPr>
        <w:t>突发大气环境事件风险等级和突发水环境事件风险等级均为一般，确定</w:t>
      </w:r>
      <w:r>
        <w:rPr>
          <w:rFonts w:hint="eastAsia"/>
          <w:lang w:eastAsia="zh-CN"/>
        </w:rPr>
        <w:t>南昌双港供水有限公司</w:t>
      </w:r>
      <w:r>
        <w:rPr>
          <w:rFonts w:hint="eastAsia"/>
        </w:rPr>
        <w:t>突发环境事件风险等级为一般。</w:t>
      </w:r>
    </w:p>
    <w:p>
      <w:pPr>
        <w:pStyle w:val="6"/>
        <w:numPr>
          <w:ilvl w:val="2"/>
          <w:numId w:val="0"/>
        </w:numPr>
        <w:bidi w:val="0"/>
        <w:ind w:leftChars="0"/>
      </w:pPr>
      <w:r>
        <w:rPr>
          <w:rFonts w:hint="eastAsia"/>
          <w:lang w:val="en-US" w:eastAsia="zh-CN"/>
        </w:rPr>
        <w:t>7.3.2</w:t>
      </w:r>
      <w:r>
        <w:rPr>
          <w:rFonts w:hint="eastAsia"/>
        </w:rPr>
        <w:t>风险等级调整</w:t>
      </w:r>
    </w:p>
    <w:p>
      <w:pPr>
        <w:ind w:firstLine="560"/>
      </w:pPr>
      <w:r>
        <w:rPr>
          <w:rFonts w:hint="eastAsia"/>
        </w:rPr>
        <w:t>近三年内因违法排放污染物、非法转移处置危险废物等行为受到环境保护主管部门处罚的企业，在已评定的突发环境事件风险等级基础上调高一级，最高等级为重大。</w:t>
      </w:r>
    </w:p>
    <w:p>
      <w:pPr>
        <w:ind w:firstLine="560"/>
      </w:pPr>
      <w:r>
        <w:rPr>
          <w:rFonts w:hint="eastAsia"/>
          <w:lang w:eastAsia="zh-CN"/>
        </w:rPr>
        <w:t>南昌双港供水有限公司</w:t>
      </w:r>
      <w:r>
        <w:rPr>
          <w:rFonts w:hint="eastAsia"/>
        </w:rPr>
        <w:t>近三年未受相关处罚，无需进行风险等级调整。</w:t>
      </w:r>
    </w:p>
    <w:p>
      <w:pPr>
        <w:pStyle w:val="6"/>
        <w:numPr>
          <w:ilvl w:val="2"/>
          <w:numId w:val="0"/>
        </w:numPr>
        <w:bidi w:val="0"/>
        <w:ind w:leftChars="0"/>
      </w:pPr>
      <w:r>
        <w:rPr>
          <w:rFonts w:hint="eastAsia"/>
          <w:lang w:val="en-US" w:eastAsia="zh-CN"/>
        </w:rPr>
        <w:t>7.3.3</w:t>
      </w:r>
      <w:r>
        <w:rPr>
          <w:rFonts w:hint="eastAsia"/>
        </w:rPr>
        <w:t>风险等级表征</w:t>
      </w:r>
    </w:p>
    <w:p>
      <w:pPr>
        <w:ind w:firstLine="560"/>
      </w:pPr>
      <w:r>
        <w:rPr>
          <w:rFonts w:hint="eastAsia"/>
          <w:lang w:eastAsia="zh-CN"/>
        </w:rPr>
        <w:t>南昌双港供水有限公司</w:t>
      </w:r>
      <w:r>
        <w:rPr>
          <w:rFonts w:hint="eastAsia"/>
        </w:rPr>
        <w:t>同时涉及突发大气和水环境事件风险，风险等级表示为“一般[一般</w:t>
      </w:r>
      <w:r>
        <w:t>-</w:t>
      </w:r>
      <w:r>
        <w:rPr>
          <w:rFonts w:hint="eastAsia"/>
        </w:rPr>
        <w:t>大气（</w:t>
      </w:r>
      <w:r>
        <w:t>Q0</w:t>
      </w:r>
      <w:r>
        <w:rPr>
          <w:rFonts w:hint="eastAsia"/>
        </w:rPr>
        <w:t>） +</w:t>
      </w:r>
      <w:r>
        <w:t xml:space="preserve"> </w:t>
      </w:r>
      <w:r>
        <w:rPr>
          <w:rFonts w:hint="eastAsia"/>
        </w:rPr>
        <w:t>一般</w:t>
      </w:r>
      <w:r>
        <w:t>-</w:t>
      </w:r>
      <w:r>
        <w:rPr>
          <w:rFonts w:hint="eastAsia"/>
        </w:rPr>
        <w:t>水（Q0）]。</w:t>
      </w:r>
    </w:p>
    <w:p>
      <w:pPr>
        <w:ind w:firstLine="560"/>
      </w:pPr>
    </w:p>
    <w:p>
      <w:pPr>
        <w:ind w:firstLine="0" w:firstLineChars="0"/>
        <w:jc w:val="left"/>
        <w:sectPr>
          <w:pgSz w:w="11906" w:h="16838"/>
          <w:pgMar w:top="1304" w:right="1247" w:bottom="1304" w:left="1531" w:header="851" w:footer="851" w:gutter="0"/>
          <w:pgBorders>
            <w:top w:val="none" w:sz="0" w:space="0"/>
            <w:left w:val="none" w:sz="0" w:space="0"/>
            <w:bottom w:val="none" w:sz="0" w:space="0"/>
            <w:right w:val="none" w:sz="0" w:space="0"/>
          </w:pgBorders>
          <w:pgNumType w:fmt="decimal"/>
          <w:cols w:space="425" w:num="1"/>
          <w:docGrid w:type="lines" w:linePitch="312" w:charSpace="0"/>
        </w:sectPr>
      </w:pPr>
    </w:p>
    <w:p>
      <w:pPr>
        <w:pStyle w:val="4"/>
        <w:numPr>
          <w:ilvl w:val="0"/>
          <w:numId w:val="0"/>
        </w:numPr>
        <w:bidi w:val="0"/>
        <w:ind w:leftChars="0"/>
      </w:pPr>
      <w:bookmarkStart w:id="292" w:name="_Toc20243"/>
      <w:bookmarkStart w:id="293" w:name="_Toc527104533"/>
      <w:r>
        <w:rPr>
          <w:rFonts w:hint="eastAsia"/>
          <w:lang w:val="en-US" w:eastAsia="zh-CN"/>
        </w:rPr>
        <w:t>8</w:t>
      </w:r>
      <w:r>
        <w:rPr>
          <w:rFonts w:hint="eastAsia"/>
        </w:rPr>
        <w:t>附图</w:t>
      </w:r>
      <w:bookmarkEnd w:id="292"/>
      <w:bookmarkEnd w:id="293"/>
    </w:p>
    <w:p>
      <w:pPr>
        <w:ind w:firstLine="560"/>
      </w:pPr>
      <w:r>
        <w:rPr>
          <w:rFonts w:hint="eastAsia"/>
        </w:rPr>
        <w:t>附图1</w:t>
      </w:r>
      <w:r>
        <w:t xml:space="preserve"> </w:t>
      </w:r>
      <w:r>
        <w:rPr>
          <w:rFonts w:hint="eastAsia"/>
        </w:rPr>
        <w:t>企业地理位置图</w:t>
      </w:r>
    </w:p>
    <w:p>
      <w:pPr>
        <w:ind w:firstLine="560"/>
      </w:pPr>
      <w:r>
        <w:rPr>
          <w:rFonts w:hint="eastAsia"/>
        </w:rPr>
        <w:t>附图2</w:t>
      </w:r>
      <w:r>
        <w:t xml:space="preserve"> </w:t>
      </w:r>
      <w:r>
        <w:rPr>
          <w:rFonts w:hint="eastAsia"/>
        </w:rPr>
        <w:t>厂区平面布置图</w:t>
      </w:r>
    </w:p>
    <w:p>
      <w:pPr>
        <w:ind w:firstLine="560"/>
      </w:pPr>
      <w:r>
        <w:rPr>
          <w:rFonts w:hint="eastAsia"/>
        </w:rPr>
        <w:t>附图3</w:t>
      </w:r>
      <w:r>
        <w:t xml:space="preserve"> </w:t>
      </w:r>
      <w:r>
        <w:rPr>
          <w:rFonts w:hint="eastAsia"/>
        </w:rPr>
        <w:t>周边大气环境风险受体分布图</w:t>
      </w:r>
    </w:p>
    <w:p>
      <w:pPr>
        <w:ind w:firstLine="560"/>
      </w:pPr>
      <w:r>
        <w:rPr>
          <w:rFonts w:hint="eastAsia"/>
        </w:rPr>
        <w:t>附图4</w:t>
      </w:r>
      <w:r>
        <w:t xml:space="preserve"> </w:t>
      </w:r>
      <w:r>
        <w:rPr>
          <w:rFonts w:hint="eastAsia"/>
          <w:lang w:val="en-US" w:eastAsia="zh-CN"/>
        </w:rPr>
        <w:t>项目所在地</w:t>
      </w:r>
      <w:r>
        <w:rPr>
          <w:rFonts w:hint="eastAsia"/>
        </w:rPr>
        <w:t>地表水功能区划图</w:t>
      </w:r>
    </w:p>
    <w:p>
      <w:pPr>
        <w:ind w:firstLine="560"/>
      </w:pPr>
      <w:r>
        <w:rPr>
          <w:rFonts w:hint="eastAsia"/>
        </w:rPr>
        <w:t>附图</w:t>
      </w:r>
      <w:r>
        <w:t xml:space="preserve">5 </w:t>
      </w:r>
      <w:r>
        <w:rPr>
          <w:rFonts w:hint="eastAsia"/>
        </w:rPr>
        <w:t>企业雨污管网分布图</w:t>
      </w:r>
    </w:p>
    <w:p>
      <w:pPr>
        <w:ind w:firstLine="560"/>
      </w:pPr>
    </w:p>
    <w:p>
      <w:pPr>
        <w:ind w:firstLine="560"/>
        <w:rPr>
          <w:rFonts w:hint="eastAsia"/>
        </w:rPr>
      </w:pPr>
    </w:p>
    <w:p>
      <w:pPr>
        <w:ind w:firstLine="560"/>
        <w:sectPr>
          <w:pgSz w:w="11906" w:h="16838"/>
          <w:pgMar w:top="1440" w:right="1276" w:bottom="1440" w:left="1134" w:header="851" w:footer="992" w:gutter="0"/>
          <w:pgBorders>
            <w:top w:val="none" w:sz="0" w:space="0"/>
            <w:left w:val="none" w:sz="0" w:space="0"/>
            <w:bottom w:val="none" w:sz="0" w:space="0"/>
            <w:right w:val="none" w:sz="0" w:space="0"/>
          </w:pgBorders>
          <w:pgNumType w:fmt="decimal"/>
          <w:cols w:space="425" w:num="1"/>
          <w:docGrid w:type="linesAndChars" w:linePitch="381" w:charSpace="0"/>
        </w:sectPr>
      </w:pPr>
    </w:p>
    <w:p>
      <w:pPr>
        <w:ind w:firstLine="0" w:firstLineChars="0"/>
        <w:outlineLvl w:val="1"/>
      </w:pPr>
      <w:bookmarkStart w:id="294" w:name="_Toc527104534"/>
      <w:bookmarkStart w:id="295" w:name="_Toc7045"/>
      <w:r>
        <w:rPr>
          <w:rFonts w:hint="eastAsia"/>
        </w:rPr>
        <w:t>附图1企业地理位置图</w:t>
      </w:r>
      <w:bookmarkEnd w:id="294"/>
      <w:bookmarkEnd w:id="295"/>
    </w:p>
    <w:p>
      <w:pPr>
        <w:ind w:firstLine="0" w:firstLineChars="0"/>
        <w:jc w:val="center"/>
      </w:pPr>
      <w:r>
        <w:drawing>
          <wp:inline distT="0" distB="0" distL="0" distR="0">
            <wp:extent cx="9238615" cy="4987290"/>
            <wp:effectExtent l="9525" t="9525" r="10160" b="1968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27"/>
                    <a:stretch>
                      <a:fillRect/>
                    </a:stretch>
                  </pic:blipFill>
                  <pic:spPr>
                    <a:xfrm>
                      <a:off x="0" y="0"/>
                      <a:ext cx="9271736" cy="4987290"/>
                    </a:xfrm>
                    <a:prstGeom prst="rect">
                      <a:avLst/>
                    </a:prstGeom>
                    <a:ln>
                      <a:solidFill>
                        <a:schemeClr val="tx1"/>
                      </a:solidFill>
                    </a:ln>
                  </pic:spPr>
                </pic:pic>
              </a:graphicData>
            </a:graphic>
          </wp:inline>
        </w:drawing>
      </w:r>
    </w:p>
    <w:p>
      <w:pPr>
        <w:ind w:firstLine="560"/>
        <w:sectPr>
          <w:pgSz w:w="16838" w:h="11906" w:orient="landscape"/>
          <w:pgMar w:top="1134" w:right="1440" w:bottom="1276" w:left="1440" w:header="851" w:footer="992" w:gutter="0"/>
          <w:pgBorders>
            <w:top w:val="none" w:sz="0" w:space="0"/>
            <w:left w:val="none" w:sz="0" w:space="0"/>
            <w:bottom w:val="none" w:sz="0" w:space="0"/>
            <w:right w:val="none" w:sz="0" w:space="0"/>
          </w:pgBorders>
          <w:pgNumType w:fmt="decimal"/>
          <w:cols w:space="0" w:num="1"/>
          <w:rtlGutter w:val="0"/>
          <w:docGrid w:type="linesAndChars" w:linePitch="395" w:charSpace="1588"/>
        </w:sectPr>
      </w:pPr>
    </w:p>
    <w:p>
      <w:pPr>
        <w:ind w:firstLine="0" w:firstLineChars="0"/>
        <w:outlineLvl w:val="1"/>
      </w:pPr>
      <w:bookmarkStart w:id="296" w:name="_Toc527104535"/>
      <w:bookmarkStart w:id="297" w:name="_Toc29439"/>
      <w:r>
        <w:rPr>
          <w:rFonts w:hint="eastAsia"/>
        </w:rPr>
        <w:t>附图2</w:t>
      </w:r>
      <w:r>
        <w:t xml:space="preserve"> </w:t>
      </w:r>
      <w:r>
        <w:rPr>
          <w:rFonts w:hint="eastAsia"/>
        </w:rPr>
        <w:t>厂区平面布置图</w:t>
      </w:r>
      <w:bookmarkEnd w:id="296"/>
      <w:bookmarkEnd w:id="297"/>
    </w:p>
    <w:p>
      <w:pPr>
        <w:ind w:firstLine="0" w:firstLineChars="0"/>
      </w:pPr>
      <w:r>
        <w:rPr>
          <w:rFonts w:hint="eastAsia" w:eastAsia="宋体"/>
          <w:lang w:eastAsia="zh-CN"/>
        </w:rPr>
        <w:drawing>
          <wp:inline distT="0" distB="0" distL="114300" distR="114300">
            <wp:extent cx="7856855" cy="4998720"/>
            <wp:effectExtent l="0" t="0" r="4445" b="5080"/>
            <wp:docPr id="92" name="图片 92" descr="b11b1d9e3e29641a417beeab4315e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b11b1d9e3e29641a417beeab4315ed5"/>
                    <pic:cNvPicPr>
                      <a:picLocks noChangeAspect="1"/>
                    </pic:cNvPicPr>
                  </pic:nvPicPr>
                  <pic:blipFill>
                    <a:blip r:embed="rId28"/>
                    <a:stretch>
                      <a:fillRect/>
                    </a:stretch>
                  </pic:blipFill>
                  <pic:spPr>
                    <a:xfrm>
                      <a:off x="0" y="0"/>
                      <a:ext cx="7856855" cy="4998720"/>
                    </a:xfrm>
                    <a:prstGeom prst="rect">
                      <a:avLst/>
                    </a:prstGeom>
                  </pic:spPr>
                </pic:pic>
              </a:graphicData>
            </a:graphic>
          </wp:inline>
        </w:drawing>
      </w:r>
    </w:p>
    <w:p>
      <w:pPr>
        <w:ind w:firstLine="0" w:firstLineChars="0"/>
        <w:sectPr>
          <w:pgSz w:w="16838" w:h="11905" w:orient="landscape"/>
          <w:pgMar w:top="1134" w:right="1440" w:bottom="1276" w:left="1440" w:header="851" w:footer="992" w:gutter="0"/>
          <w:pgBorders>
            <w:top w:val="none" w:sz="0" w:space="0"/>
            <w:left w:val="none" w:sz="0" w:space="0"/>
            <w:bottom w:val="none" w:sz="0" w:space="0"/>
            <w:right w:val="none" w:sz="0" w:space="0"/>
          </w:pgBorders>
          <w:pgNumType w:fmt="decimal"/>
          <w:cols w:space="0" w:num="1"/>
          <w:rtlGutter w:val="0"/>
          <w:docGrid w:type="linesAndChars" w:linePitch="395" w:charSpace="1582"/>
        </w:sectPr>
      </w:pPr>
    </w:p>
    <w:p>
      <w:pPr>
        <w:ind w:firstLine="0" w:firstLineChars="0"/>
        <w:outlineLvl w:val="1"/>
      </w:pPr>
      <w:bookmarkStart w:id="298" w:name="_Toc527104536"/>
      <w:bookmarkStart w:id="299" w:name="_Toc7505"/>
      <w:r>
        <w:rPr>
          <w:rFonts w:hint="eastAsia"/>
        </w:rPr>
        <w:t>附图3</w:t>
      </w:r>
      <w:r>
        <w:t xml:space="preserve"> </w:t>
      </w:r>
      <w:r>
        <w:rPr>
          <w:rFonts w:hint="eastAsia"/>
        </w:rPr>
        <w:t>周边大气环境风险受体分布图</w:t>
      </w:r>
      <w:bookmarkEnd w:id="298"/>
      <w:bookmarkEnd w:id="299"/>
    </w:p>
    <w:p>
      <w:pPr>
        <w:ind w:firstLine="0" w:firstLineChars="0"/>
        <w:jc w:val="center"/>
      </w:pPr>
      <w:r>
        <w:drawing>
          <wp:inline distT="0" distB="0" distL="0" distR="0">
            <wp:extent cx="8095615" cy="5038090"/>
            <wp:effectExtent l="9525" t="9525" r="10160" b="19685"/>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8148009" cy="5038090"/>
                    </a:xfrm>
                    <a:prstGeom prst="rect">
                      <a:avLst/>
                    </a:prstGeom>
                    <a:ln>
                      <a:solidFill>
                        <a:prstClr val="black"/>
                      </a:solidFill>
                    </a:ln>
                  </pic:spPr>
                </pic:pic>
              </a:graphicData>
            </a:graphic>
          </wp:inline>
        </w:drawing>
      </w:r>
    </w:p>
    <w:p>
      <w:pPr>
        <w:ind w:firstLine="0" w:firstLineChars="0"/>
        <w:sectPr>
          <w:pgSz w:w="16838" w:h="11906" w:orient="landscape"/>
          <w:pgMar w:top="1134" w:right="1440" w:bottom="1276" w:left="1440" w:header="851" w:footer="992" w:gutter="0"/>
          <w:pgBorders>
            <w:top w:val="none" w:sz="0" w:space="0"/>
            <w:left w:val="none" w:sz="0" w:space="0"/>
            <w:bottom w:val="none" w:sz="0" w:space="0"/>
            <w:right w:val="none" w:sz="0" w:space="0"/>
          </w:pgBorders>
          <w:pgNumType w:fmt="decimal"/>
          <w:cols w:space="425" w:num="1"/>
          <w:docGrid w:type="linesAndChars" w:linePitch="381" w:charSpace="0"/>
        </w:sectPr>
      </w:pPr>
    </w:p>
    <w:p>
      <w:pPr>
        <w:ind w:firstLine="0" w:firstLineChars="0"/>
        <w:outlineLvl w:val="1"/>
      </w:pPr>
      <w:bookmarkStart w:id="300" w:name="_Toc527104537"/>
      <w:bookmarkStart w:id="301" w:name="_Toc5772"/>
      <w:r>
        <w:rPr>
          <w:rFonts w:hint="eastAsia"/>
        </w:rPr>
        <w:t>附图4</w:t>
      </w:r>
      <w:r>
        <w:t xml:space="preserve"> </w:t>
      </w:r>
      <w:bookmarkEnd w:id="300"/>
      <w:r>
        <w:rPr>
          <w:rFonts w:hint="eastAsia"/>
          <w:lang w:val="en-US" w:eastAsia="zh-CN"/>
        </w:rPr>
        <w:t>项目所在地</w:t>
      </w:r>
      <w:r>
        <w:rPr>
          <w:rFonts w:hint="eastAsia"/>
        </w:rPr>
        <w:t>地表水功能区划图</w:t>
      </w:r>
      <w:bookmarkEnd w:id="301"/>
    </w:p>
    <w:p>
      <w:pPr>
        <w:ind w:firstLine="0" w:firstLineChars="0"/>
        <w:jc w:val="center"/>
      </w:pPr>
      <w:r>
        <w:rPr>
          <w:rFonts w:ascii="宋体" w:hAnsi="宋体" w:eastAsia="宋体"/>
          <w:b/>
          <w:sz w:val="24"/>
          <w:szCs w:val="24"/>
        </w:rPr>
        <w:drawing>
          <wp:inline distT="0" distB="0" distL="0" distR="0">
            <wp:extent cx="8749665" cy="4991100"/>
            <wp:effectExtent l="9525" t="9525" r="16510" b="1587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8797004" cy="4991100"/>
                    </a:xfrm>
                    <a:prstGeom prst="rect">
                      <a:avLst/>
                    </a:prstGeom>
                    <a:noFill/>
                    <a:ln>
                      <a:solidFill>
                        <a:prstClr val="black"/>
                      </a:solidFill>
                    </a:ln>
                  </pic:spPr>
                </pic:pic>
              </a:graphicData>
            </a:graphic>
          </wp:inline>
        </w:drawing>
      </w:r>
    </w:p>
    <w:p>
      <w:pPr>
        <w:ind w:firstLine="0" w:firstLineChars="0"/>
        <w:sectPr>
          <w:pgSz w:w="16838" w:h="11906" w:orient="landscape"/>
          <w:pgMar w:top="1134" w:right="1440" w:bottom="1276" w:left="1440" w:header="851" w:footer="992" w:gutter="0"/>
          <w:pgBorders>
            <w:top w:val="none" w:sz="0" w:space="0"/>
            <w:left w:val="none" w:sz="0" w:space="0"/>
            <w:bottom w:val="none" w:sz="0" w:space="0"/>
            <w:right w:val="none" w:sz="0" w:space="0"/>
          </w:pgBorders>
          <w:pgNumType w:fmt="decimal"/>
          <w:cols w:space="425" w:num="1"/>
          <w:docGrid w:type="linesAndChars" w:linePitch="381" w:charSpace="0"/>
        </w:sectPr>
      </w:pPr>
    </w:p>
    <w:p>
      <w:pPr>
        <w:ind w:firstLine="0" w:firstLineChars="0"/>
        <w:outlineLvl w:val="1"/>
        <w:rPr>
          <w:rFonts w:hint="eastAsia"/>
        </w:rPr>
      </w:pPr>
      <w:bookmarkStart w:id="302" w:name="_Toc527104538"/>
      <w:bookmarkStart w:id="303" w:name="_Toc25336"/>
      <w:r>
        <w:rPr>
          <w:rFonts w:hint="eastAsia"/>
        </w:rPr>
        <w:t>附图</w:t>
      </w:r>
      <w:r>
        <w:t xml:space="preserve">5 </w:t>
      </w:r>
      <w:bookmarkEnd w:id="302"/>
      <w:r>
        <w:rPr>
          <w:rFonts w:hint="eastAsia"/>
        </w:rPr>
        <w:t>企业雨污管网分布图</w:t>
      </w:r>
      <w:bookmarkEnd w:id="303"/>
    </w:p>
    <w:p>
      <w:pPr>
        <w:keepNext w:val="0"/>
        <w:keepLines w:val="0"/>
        <w:pageBreakBefore w:val="0"/>
        <w:widowControl w:val="0"/>
        <w:kinsoku/>
        <w:wordWrap/>
        <w:overflowPunct w:val="0"/>
        <w:topLinePunct w:val="0"/>
        <w:autoSpaceDE w:val="0"/>
        <w:autoSpaceDN w:val="0"/>
        <w:bidi w:val="0"/>
        <w:adjustRightInd/>
        <w:snapToGrid/>
        <w:ind w:firstLine="0" w:firstLineChars="0"/>
        <w:jc w:val="both"/>
        <w:textAlignment w:val="auto"/>
      </w:pPr>
      <w:r>
        <w:rPr>
          <w:rFonts w:hint="eastAsia" w:eastAsia="宋体"/>
          <w:lang w:eastAsia="zh-CN"/>
        </w:rPr>
        <w:drawing>
          <wp:inline distT="0" distB="0" distL="114300" distR="114300">
            <wp:extent cx="8373745" cy="4939665"/>
            <wp:effectExtent l="0" t="0" r="8255" b="635"/>
            <wp:docPr id="95" name="图片 95" descr="25a87d57a0000b3da86c3921491cb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25a87d57a0000b3da86c3921491cb3a"/>
                    <pic:cNvPicPr>
                      <a:picLocks noChangeAspect="1"/>
                    </pic:cNvPicPr>
                  </pic:nvPicPr>
                  <pic:blipFill>
                    <a:blip r:embed="rId32"/>
                    <a:stretch>
                      <a:fillRect/>
                    </a:stretch>
                  </pic:blipFill>
                  <pic:spPr>
                    <a:xfrm>
                      <a:off x="0" y="0"/>
                      <a:ext cx="8373745" cy="4939665"/>
                    </a:xfrm>
                    <a:prstGeom prst="rect">
                      <a:avLst/>
                    </a:prstGeom>
                  </pic:spPr>
                </pic:pic>
              </a:graphicData>
            </a:graphic>
          </wp:inline>
        </w:drawing>
      </w:r>
    </w:p>
    <w:p>
      <w:pPr>
        <w:pStyle w:val="19"/>
        <w:jc w:val="center"/>
        <w:rPr>
          <w:rFonts w:hint="eastAsia"/>
          <w:b/>
          <w:sz w:val="40"/>
          <w:lang w:eastAsia="zh-CN"/>
        </w:rPr>
        <w:sectPr>
          <w:pgSz w:w="16838" w:h="11906" w:orient="landscape"/>
          <w:pgMar w:top="1134" w:right="1440" w:bottom="1276" w:left="1440" w:header="851" w:footer="992" w:gutter="0"/>
          <w:pgBorders>
            <w:top w:val="none" w:sz="0" w:space="0"/>
            <w:left w:val="none" w:sz="0" w:space="0"/>
            <w:bottom w:val="none" w:sz="0" w:space="0"/>
            <w:right w:val="none" w:sz="0" w:space="0"/>
          </w:pgBorders>
          <w:pgNumType w:fmt="decimal"/>
          <w:cols w:space="0" w:num="1"/>
          <w:rtlGutter w:val="0"/>
          <w:docGrid w:type="linesAndChars" w:linePitch="395" w:charSpace="0"/>
        </w:sectPr>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center"/>
        <w:outlineLvl w:val="0"/>
        <w:rPr>
          <w:rFonts w:hint="eastAsia" w:eastAsia="宋体"/>
          <w:b/>
          <w:lang w:eastAsia="zh-CN"/>
        </w:rPr>
      </w:pPr>
      <w:bookmarkStart w:id="304" w:name="_Toc13128"/>
      <w:r>
        <w:rPr>
          <w:b/>
          <w:sz w:val="40"/>
        </w:rPr>
        <w:t>第</w:t>
      </w:r>
      <w:r>
        <w:rPr>
          <w:rFonts w:hint="eastAsia"/>
          <w:b/>
          <w:sz w:val="40"/>
          <w:lang w:eastAsia="zh-CN"/>
        </w:rPr>
        <w:t>四</w:t>
      </w:r>
      <w:r>
        <w:rPr>
          <w:b/>
          <w:sz w:val="40"/>
        </w:rPr>
        <w:t>部分：突发环境事件应急资源调查报告</w:t>
      </w:r>
      <w:bookmarkEnd w:id="304"/>
    </w:p>
    <w:p>
      <w:pPr>
        <w:rPr>
          <w:rFonts w:hint="eastAsia"/>
          <w:b/>
          <w:sz w:val="40"/>
          <w:lang w:eastAsia="zh-CN"/>
        </w:rPr>
      </w:pPr>
      <w:r>
        <w:rPr>
          <w:rFonts w:hint="eastAsia"/>
          <w:b/>
          <w:sz w:val="40"/>
          <w:lang w:eastAsia="zh-CN"/>
        </w:rPr>
        <w:br w:type="page"/>
      </w:r>
    </w:p>
    <w:p>
      <w:pPr>
        <w:pStyle w:val="4"/>
        <w:numPr>
          <w:ilvl w:val="0"/>
          <w:numId w:val="0"/>
        </w:numPr>
        <w:ind w:leftChars="0"/>
      </w:pPr>
      <w:bookmarkStart w:id="305" w:name="_Toc527357511"/>
      <w:bookmarkStart w:id="306" w:name="_Toc527064028"/>
      <w:bookmarkStart w:id="307" w:name="_Toc18380"/>
      <w:bookmarkStart w:id="308" w:name="_Toc526520639"/>
      <w:r>
        <w:rPr>
          <w:rFonts w:hint="eastAsia"/>
          <w:lang w:val="en-US" w:eastAsia="zh-CN"/>
        </w:rPr>
        <w:t>1</w:t>
      </w:r>
      <w:r>
        <w:rPr>
          <w:rFonts w:hint="eastAsia"/>
        </w:rPr>
        <w:t>编制目的</w:t>
      </w:r>
      <w:bookmarkEnd w:id="305"/>
      <w:bookmarkEnd w:id="306"/>
      <w:bookmarkEnd w:id="307"/>
      <w:bookmarkEnd w:id="308"/>
    </w:p>
    <w:p>
      <w:pPr>
        <w:ind w:firstLine="560"/>
      </w:pPr>
      <w:r>
        <w:rPr>
          <w:rFonts w:hint="eastAsia"/>
        </w:rPr>
        <w:t>突发性环境污染事件是威胁人类健康、破坏生态环境的重要因素，其危害直接或间接影响着生态平衡和经济、社会的发展。企事业单位必须做好突发性环境污染事件的预防，提高预防、减缓、处置突发性环境污染事故处置的应急能力。</w:t>
      </w:r>
    </w:p>
    <w:p>
      <w:pPr>
        <w:ind w:firstLine="560"/>
      </w:pPr>
      <w:r>
        <w:rPr>
          <w:rFonts w:hint="eastAsia"/>
        </w:rPr>
        <w:t>应急资源是突发环境事件应急处置的基础。目前大部分企业自身应急资源不足以应对各类突发环境事件，若不开展应急资源调查，则无法对应急人力、财力、装备进行科学地调配和引进。开展应急资源调查，有助于对应急人力、财力、装备等进行合理的调配。</w:t>
      </w:r>
    </w:p>
    <w:p>
      <w:pPr>
        <w:ind w:firstLine="560"/>
        <w:sectPr>
          <w:headerReference r:id="rId14" w:type="default"/>
          <w:footerReference r:id="rId15" w:type="default"/>
          <w:pgSz w:w="11906" w:h="16838"/>
          <w:pgMar w:top="1304" w:right="1247" w:bottom="1304" w:left="1531" w:header="851" w:footer="851"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color w:val="000000" w:themeColor="text1"/>
          <w:lang w:eastAsia="zh-CN"/>
          <w14:textFill>
            <w14:solidFill>
              <w14:schemeClr w14:val="tx1"/>
            </w14:solidFill>
          </w14:textFill>
        </w:rPr>
        <w:t>南昌双港供水有限公司</w:t>
      </w:r>
      <w:r>
        <w:rPr>
          <w:rFonts w:hint="eastAsia"/>
          <w:color w:val="000000" w:themeColor="text1"/>
          <w14:textFill>
            <w14:solidFill>
              <w14:schemeClr w14:val="tx1"/>
            </w14:solidFill>
          </w14:textFill>
        </w:rPr>
        <w:t>积极采取自</w:t>
      </w:r>
      <w:r>
        <w:rPr>
          <w:rFonts w:hint="eastAsia"/>
        </w:rPr>
        <w:t>查自纠措施，对厂区使用的原辅材料、“三废”污染物及生产设施进行了风险识别及隐患排查，统计了厂区现有应急物资与装备，并针对厂区需要完善和补充的物资进行核算，在此基础上，编制完</w:t>
      </w:r>
      <w:r>
        <w:rPr>
          <w:rFonts w:hint="eastAsia"/>
          <w:color w:val="000000" w:themeColor="text1"/>
          <w14:textFill>
            <w14:solidFill>
              <w14:schemeClr w14:val="tx1"/>
            </w14:solidFill>
          </w14:textFill>
        </w:rPr>
        <w:t>成了《</w:t>
      </w:r>
      <w:r>
        <w:rPr>
          <w:rFonts w:hint="eastAsia"/>
          <w:color w:val="000000" w:themeColor="text1"/>
          <w:lang w:eastAsia="zh-CN"/>
          <w14:textFill>
            <w14:solidFill>
              <w14:schemeClr w14:val="tx1"/>
            </w14:solidFill>
          </w14:textFill>
        </w:rPr>
        <w:t>南昌双港供水有限公司</w:t>
      </w:r>
      <w:r>
        <w:rPr>
          <w:rFonts w:hint="eastAsia"/>
          <w:color w:val="000000" w:themeColor="text1"/>
          <w14:textFill>
            <w14:solidFill>
              <w14:schemeClr w14:val="tx1"/>
            </w14:solidFill>
          </w14:textFill>
        </w:rPr>
        <w:t>环境应急资源调查报告》。</w:t>
      </w:r>
    </w:p>
    <w:p>
      <w:pPr>
        <w:pStyle w:val="4"/>
        <w:numPr>
          <w:ilvl w:val="0"/>
          <w:numId w:val="0"/>
        </w:numPr>
        <w:ind w:leftChars="0"/>
      </w:pPr>
      <w:bookmarkStart w:id="309" w:name="_Toc526520640"/>
      <w:bookmarkStart w:id="310" w:name="_Toc527357512"/>
      <w:bookmarkStart w:id="311" w:name="_Toc18259"/>
      <w:bookmarkStart w:id="312" w:name="_Toc527064029"/>
      <w:r>
        <w:rPr>
          <w:rFonts w:hint="eastAsia"/>
          <w:lang w:val="en-US" w:eastAsia="zh-CN"/>
        </w:rPr>
        <w:t>2</w:t>
      </w:r>
      <w:r>
        <w:rPr>
          <w:rFonts w:hint="eastAsia"/>
        </w:rPr>
        <w:t>突发环境事件类型及所需应急资源配置</w:t>
      </w:r>
      <w:bookmarkEnd w:id="309"/>
      <w:bookmarkEnd w:id="310"/>
      <w:bookmarkEnd w:id="311"/>
      <w:bookmarkEnd w:id="312"/>
    </w:p>
    <w:p>
      <w:pPr>
        <w:pStyle w:val="5"/>
        <w:numPr>
          <w:ilvl w:val="1"/>
          <w:numId w:val="0"/>
        </w:numPr>
        <w:ind w:leftChars="0"/>
      </w:pPr>
      <w:bookmarkStart w:id="313" w:name="_Toc527357513"/>
      <w:bookmarkStart w:id="314" w:name="_Toc527064030"/>
      <w:bookmarkStart w:id="315" w:name="_Toc526520641"/>
      <w:bookmarkStart w:id="316" w:name="_Toc26937"/>
      <w:r>
        <w:rPr>
          <w:rFonts w:hint="eastAsia"/>
          <w:lang w:val="en-US" w:eastAsia="zh-CN"/>
        </w:rPr>
        <w:t>2.1</w:t>
      </w:r>
      <w:r>
        <w:rPr>
          <w:rFonts w:hint="eastAsia"/>
        </w:rPr>
        <w:t>环境风险物质及环境风险源</w:t>
      </w:r>
      <w:bookmarkEnd w:id="313"/>
      <w:bookmarkEnd w:id="314"/>
      <w:bookmarkEnd w:id="315"/>
      <w:bookmarkEnd w:id="316"/>
    </w:p>
    <w:p>
      <w:pPr>
        <w:ind w:firstLine="560"/>
        <w:rPr>
          <w:color w:val="000000" w:themeColor="text1"/>
          <w14:textFill>
            <w14:solidFill>
              <w14:schemeClr w14:val="tx1"/>
            </w14:solidFill>
          </w14:textFill>
        </w:rPr>
      </w:pPr>
      <w:r>
        <w:rPr>
          <w:rFonts w:hint="eastAsia"/>
          <w:color w:val="000000" w:themeColor="text1"/>
          <w14:textFill>
            <w14:solidFill>
              <w14:schemeClr w14:val="tx1"/>
            </w14:solidFill>
          </w14:textFill>
        </w:rPr>
        <w:t>厂区内涉及的环境风险物质包括生产用</w:t>
      </w:r>
      <w:r>
        <w:rPr>
          <w:rFonts w:hint="eastAsia"/>
          <w:color w:val="000000" w:themeColor="text1"/>
          <w:highlight w:val="none"/>
          <w:lang w:eastAsia="zh-CN"/>
          <w14:textFill>
            <w14:solidFill>
              <w14:schemeClr w14:val="tx1"/>
            </w14:solidFill>
          </w14:textFill>
        </w:rPr>
        <w:t>消毒剂（次氯酸钠溶液）</w:t>
      </w:r>
      <w:r>
        <w:rPr>
          <w:rFonts w:hint="eastAsia"/>
          <w:color w:val="000000" w:themeColor="text1"/>
          <w:highlight w:val="none"/>
          <w14:textFill>
            <w14:solidFill>
              <w14:schemeClr w14:val="tx1"/>
            </w14:solidFill>
          </w14:textFill>
        </w:rPr>
        <w:t>，</w:t>
      </w:r>
      <w:r>
        <w:rPr>
          <w:rFonts w:hint="eastAsia"/>
          <w:color w:val="000000" w:themeColor="text1"/>
          <w:highlight w:val="none"/>
          <w:lang w:eastAsia="zh-CN"/>
          <w14:textFill>
            <w14:solidFill>
              <w14:schemeClr w14:val="tx1"/>
            </w14:solidFill>
          </w14:textFill>
        </w:rPr>
        <w:t>化验室</w:t>
      </w:r>
      <w:r>
        <w:rPr>
          <w:rFonts w:hint="eastAsia"/>
          <w:color w:val="000000" w:themeColor="text1"/>
          <w:highlight w:val="none"/>
          <w14:textFill>
            <w14:solidFill>
              <w14:schemeClr w14:val="tx1"/>
            </w14:solidFill>
          </w14:textFill>
        </w:rPr>
        <w:t>用</w:t>
      </w:r>
      <w:r>
        <w:rPr>
          <w:rFonts w:hint="eastAsia"/>
          <w:color w:val="000000" w:themeColor="text1"/>
          <w:highlight w:val="none"/>
          <w:lang w:eastAsia="zh-CN"/>
          <w14:textFill>
            <w14:solidFill>
              <w14:schemeClr w14:val="tx1"/>
            </w14:solidFill>
          </w14:textFill>
        </w:rPr>
        <w:t>铬酸钾、乙二胺</w:t>
      </w:r>
      <w:r>
        <w:rPr>
          <w:rFonts w:hint="eastAsia"/>
          <w:color w:val="000000" w:themeColor="text1"/>
          <w:highlight w:val="none"/>
          <w14:textFill>
            <w14:solidFill>
              <w14:schemeClr w14:val="tx1"/>
            </w14:solidFill>
          </w14:textFill>
        </w:rPr>
        <w:t>和危险废物废</w:t>
      </w:r>
      <w:r>
        <w:rPr>
          <w:rFonts w:hint="eastAsia"/>
          <w:color w:val="000000" w:themeColor="text1"/>
          <w:highlight w:val="none"/>
          <w:lang w:eastAsia="zh-CN"/>
          <w14:textFill>
            <w14:solidFill>
              <w14:schemeClr w14:val="tx1"/>
            </w14:solidFill>
          </w14:textFill>
        </w:rPr>
        <w:t>试剂</w:t>
      </w:r>
      <w:r>
        <w:rPr>
          <w:rFonts w:hint="eastAsia"/>
          <w:color w:val="000000" w:themeColor="text1"/>
          <w:highlight w:val="none"/>
          <w14:textFill>
            <w14:solidFill>
              <w14:schemeClr w14:val="tx1"/>
            </w14:solidFill>
          </w14:textFill>
        </w:rPr>
        <w:t>等，环境风险单元包括</w:t>
      </w:r>
      <w:r>
        <w:rPr>
          <w:rFonts w:hint="eastAsia"/>
          <w:color w:val="000000" w:themeColor="text1"/>
          <w:highlight w:val="none"/>
          <w:lang w:eastAsia="zh-CN"/>
          <w14:textFill>
            <w14:solidFill>
              <w14:schemeClr w14:val="tx1"/>
            </w14:solidFill>
          </w14:textFill>
        </w:rPr>
        <w:t>次氯酸钠间、加药间、危废暂存库</w:t>
      </w:r>
      <w:r>
        <w:rPr>
          <w:rFonts w:hint="eastAsia"/>
          <w:color w:val="000000" w:themeColor="text1"/>
          <w:highlight w:val="none"/>
          <w14:textFill>
            <w14:solidFill>
              <w14:schemeClr w14:val="tx1"/>
            </w14:solidFill>
          </w14:textFill>
        </w:rPr>
        <w:t>。</w:t>
      </w:r>
    </w:p>
    <w:p>
      <w:pPr>
        <w:pStyle w:val="5"/>
        <w:numPr>
          <w:ilvl w:val="1"/>
          <w:numId w:val="0"/>
        </w:numPr>
        <w:ind w:leftChars="0"/>
        <w:rPr>
          <w:color w:val="000000" w:themeColor="text1"/>
          <w14:textFill>
            <w14:solidFill>
              <w14:schemeClr w14:val="tx1"/>
            </w14:solidFill>
          </w14:textFill>
        </w:rPr>
      </w:pPr>
      <w:bookmarkStart w:id="317" w:name="_Toc23306"/>
      <w:bookmarkStart w:id="318" w:name="_Toc526520642"/>
      <w:bookmarkStart w:id="319" w:name="_Toc527357514"/>
      <w:bookmarkStart w:id="320" w:name="_Toc527064031"/>
      <w:r>
        <w:rPr>
          <w:rFonts w:hint="eastAsia"/>
          <w:color w:val="000000" w:themeColor="text1"/>
          <w:lang w:val="en-US" w:eastAsia="zh-CN"/>
          <w14:textFill>
            <w14:solidFill>
              <w14:schemeClr w14:val="tx1"/>
            </w14:solidFill>
          </w14:textFill>
        </w:rPr>
        <w:t>2.2</w:t>
      </w:r>
      <w:r>
        <w:rPr>
          <w:rFonts w:hint="eastAsia"/>
          <w:color w:val="000000" w:themeColor="text1"/>
          <w14:textFill>
            <w14:solidFill>
              <w14:schemeClr w14:val="tx1"/>
            </w14:solidFill>
          </w14:textFill>
        </w:rPr>
        <w:t>突发环境事件类型及扩散途径</w:t>
      </w:r>
      <w:bookmarkEnd w:id="317"/>
      <w:bookmarkEnd w:id="318"/>
      <w:bookmarkEnd w:id="319"/>
      <w:bookmarkEnd w:id="320"/>
    </w:p>
    <w:p>
      <w:pPr>
        <w:ind w:firstLine="560"/>
      </w:pPr>
      <w:r>
        <w:rPr>
          <w:rFonts w:hint="eastAsia"/>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南昌双港供水有限公司</w:t>
      </w:r>
      <w:r>
        <w:rPr>
          <w:rFonts w:hint="eastAsia"/>
          <w:color w:val="000000" w:themeColor="text1"/>
          <w14:textFill>
            <w14:solidFill>
              <w14:schemeClr w14:val="tx1"/>
            </w14:solidFill>
          </w14:textFill>
        </w:rPr>
        <w:t>环境风险评估报告》</w:t>
      </w:r>
      <w:r>
        <w:rPr>
          <w:rFonts w:hint="eastAsia"/>
        </w:rPr>
        <w:t>列出了厂区内可能发生的突发环境事件类型、最坏情景及扩散途径。</w:t>
      </w:r>
    </w:p>
    <w:p>
      <w:pPr>
        <w:ind w:firstLine="560"/>
      </w:pPr>
      <w:r>
        <w:rPr>
          <w:rFonts w:hint="eastAsia"/>
        </w:rPr>
        <w:t>可能发生的突发环境事件包括：</w:t>
      </w:r>
      <w:r>
        <w:rPr>
          <w:rFonts w:hint="eastAsia"/>
          <w:highlight w:val="none"/>
          <w:lang w:eastAsia="zh-CN"/>
        </w:rPr>
        <w:t>次氯酸钠溶液</w:t>
      </w:r>
      <w:r>
        <w:rPr>
          <w:rFonts w:hint="eastAsia"/>
        </w:rPr>
        <w:t>泄漏，以及可能由于泄漏产生的火灾。</w:t>
      </w:r>
    </w:p>
    <w:p>
      <w:pPr>
        <w:ind w:firstLine="560"/>
      </w:pPr>
      <w:r>
        <w:rPr>
          <w:rFonts w:hint="eastAsia"/>
        </w:rPr>
        <w:t>1、危废仓库</w:t>
      </w:r>
    </w:p>
    <w:p>
      <w:pPr>
        <w:ind w:firstLine="560"/>
      </w:pPr>
      <w:r>
        <w:rPr>
          <w:rFonts w:hint="eastAsia"/>
          <w:color w:val="000000" w:themeColor="text1"/>
          <w:highlight w:val="none"/>
          <w:lang w:eastAsia="zh-CN"/>
          <w14:textFill>
            <w14:solidFill>
              <w14:schemeClr w14:val="tx1"/>
            </w14:solidFill>
          </w14:textFill>
        </w:rPr>
        <w:t>危废暂存库</w:t>
      </w:r>
      <w:r>
        <w:rPr>
          <w:rFonts w:hint="eastAsia"/>
        </w:rPr>
        <w:t>已经按照做好防渗、防腐措施，对周边环境影响较小。</w:t>
      </w:r>
    </w:p>
    <w:p>
      <w:pPr>
        <w:ind w:firstLine="560"/>
        <w:rPr>
          <w:rFonts w:hint="eastAsia" w:eastAsia="宋体"/>
          <w:lang w:eastAsia="zh-CN"/>
        </w:rPr>
      </w:pPr>
      <w:r>
        <w:rPr>
          <w:rFonts w:hint="eastAsia"/>
        </w:rPr>
        <w:t>2、</w:t>
      </w:r>
      <w:r>
        <w:rPr>
          <w:rFonts w:hint="eastAsia"/>
          <w:lang w:eastAsia="zh-CN"/>
        </w:rPr>
        <w:t>次氯酸钠间</w:t>
      </w:r>
    </w:p>
    <w:p>
      <w:pPr>
        <w:ind w:firstLine="560"/>
      </w:pPr>
      <w:r>
        <w:rPr>
          <w:rFonts w:hint="eastAsia"/>
          <w:lang w:eastAsia="zh-CN"/>
        </w:rPr>
        <w:t>次氯酸钠间</w:t>
      </w:r>
      <w:r>
        <w:rPr>
          <w:rFonts w:hint="eastAsia"/>
        </w:rPr>
        <w:t>已经按照做好防渗、防腐措施，且设置有围堰，泄露的</w:t>
      </w:r>
      <w:r>
        <w:rPr>
          <w:rFonts w:hint="eastAsia"/>
          <w:lang w:eastAsia="zh-CN"/>
        </w:rPr>
        <w:t>次氯酸钠溶液</w:t>
      </w:r>
      <w:r>
        <w:rPr>
          <w:rFonts w:hint="eastAsia"/>
        </w:rPr>
        <w:t>不会扩散到环境外，对周边环境影响较小，同时在</w:t>
      </w:r>
      <w:r>
        <w:rPr>
          <w:rFonts w:hint="eastAsia"/>
          <w:lang w:eastAsia="zh-CN"/>
        </w:rPr>
        <w:t>次氯酸钠间</w:t>
      </w:r>
      <w:r>
        <w:rPr>
          <w:rFonts w:hint="eastAsia"/>
        </w:rPr>
        <w:t>内配置灭火器，可以防止火灾事故产生的次生和衍生污染物进入大气。</w:t>
      </w:r>
    </w:p>
    <w:p>
      <w:pPr>
        <w:ind w:firstLine="560"/>
        <w:rPr>
          <w:rFonts w:hint="eastAsia" w:eastAsia="宋体"/>
          <w:lang w:eastAsia="zh-CN"/>
        </w:rPr>
      </w:pPr>
      <w:r>
        <w:rPr>
          <w:rFonts w:hint="eastAsia"/>
        </w:rPr>
        <w:t>3、</w:t>
      </w:r>
      <w:r>
        <w:rPr>
          <w:rFonts w:hint="eastAsia"/>
          <w:lang w:eastAsia="zh-CN"/>
        </w:rPr>
        <w:t>次氯酸钠卸车</w:t>
      </w:r>
    </w:p>
    <w:p>
      <w:pPr>
        <w:ind w:firstLine="560"/>
      </w:pPr>
      <w:r>
        <w:rPr>
          <w:rFonts w:hint="eastAsia"/>
        </w:rPr>
        <w:t>在</w:t>
      </w:r>
      <w:r>
        <w:rPr>
          <w:rFonts w:hint="eastAsia"/>
          <w:lang w:eastAsia="zh-CN"/>
        </w:rPr>
        <w:t>次氯酸钠卸料口</w:t>
      </w:r>
      <w:r>
        <w:rPr>
          <w:rFonts w:hint="eastAsia"/>
        </w:rPr>
        <w:t>处安装有管道连接到事故池，能有效地将</w:t>
      </w:r>
      <w:r>
        <w:rPr>
          <w:rFonts w:hint="eastAsia"/>
          <w:lang w:eastAsia="zh-CN"/>
        </w:rPr>
        <w:t>卸料时泄漏</w:t>
      </w:r>
      <w:r>
        <w:rPr>
          <w:rFonts w:hint="eastAsia"/>
        </w:rPr>
        <w:t>的</w:t>
      </w:r>
      <w:r>
        <w:rPr>
          <w:rFonts w:hint="eastAsia"/>
          <w:lang w:eastAsia="zh-CN"/>
        </w:rPr>
        <w:t>物料</w:t>
      </w:r>
      <w:r>
        <w:rPr>
          <w:rFonts w:hint="eastAsia"/>
        </w:rPr>
        <w:t>充分回收到事故池内。</w:t>
      </w:r>
    </w:p>
    <w:p>
      <w:pPr>
        <w:pStyle w:val="5"/>
        <w:numPr>
          <w:ilvl w:val="1"/>
          <w:numId w:val="0"/>
        </w:numPr>
        <w:ind w:leftChars="0"/>
      </w:pPr>
      <w:bookmarkStart w:id="321" w:name="_Toc527357515"/>
      <w:bookmarkStart w:id="322" w:name="_Toc527064032"/>
      <w:bookmarkStart w:id="323" w:name="_Toc526520643"/>
      <w:bookmarkStart w:id="324" w:name="_Toc5180"/>
      <w:r>
        <w:rPr>
          <w:rFonts w:hint="eastAsia"/>
          <w:lang w:val="en-US" w:eastAsia="zh-CN"/>
        </w:rPr>
        <w:t>2.3</w:t>
      </w:r>
      <w:r>
        <w:rPr>
          <w:rFonts w:hint="eastAsia"/>
        </w:rPr>
        <w:t>所需应急资源配置</w:t>
      </w:r>
      <w:bookmarkEnd w:id="321"/>
      <w:bookmarkEnd w:id="322"/>
      <w:bookmarkEnd w:id="323"/>
      <w:bookmarkEnd w:id="324"/>
    </w:p>
    <w:p>
      <w:pPr>
        <w:ind w:firstLine="560"/>
        <w:sectPr>
          <w:pgSz w:w="11906" w:h="16838"/>
          <w:pgMar w:top="1304" w:right="1247" w:bottom="1304" w:left="1531" w:header="851" w:footer="851"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rPr>
        <w:t>针对可能发生的事故情况，企业需要配备相应的应急资源，包括能迅速、有序、高效地开展应急处置的应急救援队伍以及可以第一时间使用的、有效的应急物资和应急装</w:t>
      </w:r>
      <w:r>
        <w:rPr>
          <w:rFonts w:hint="eastAsia"/>
          <w:color w:val="000000" w:themeColor="text1"/>
          <w14:textFill>
            <w14:solidFill>
              <w14:schemeClr w14:val="tx1"/>
            </w14:solidFill>
          </w14:textFill>
        </w:rPr>
        <w:t>备。应急救援队伍在应急指挥中心的统一指导下，各组成员各司其职，迅速、有序、高效地开展应急救援工作。应急物资包括在线堵漏工具、吸附处理泄漏物的吸附材料和现场围挡材料，应急装备包括个人防护装备、应急通信系统和警戒器材等。</w:t>
      </w:r>
    </w:p>
    <w:p>
      <w:pPr>
        <w:pStyle w:val="4"/>
        <w:numPr>
          <w:ilvl w:val="0"/>
          <w:numId w:val="0"/>
        </w:numPr>
        <w:ind w:leftChars="0"/>
      </w:pPr>
      <w:bookmarkStart w:id="325" w:name="_Toc527357516"/>
      <w:bookmarkStart w:id="326" w:name="_Toc526520644"/>
      <w:bookmarkStart w:id="327" w:name="_Toc527064033"/>
      <w:bookmarkStart w:id="328" w:name="_Toc15655"/>
      <w:r>
        <w:rPr>
          <w:rFonts w:hint="eastAsia"/>
          <w:lang w:val="en-US" w:eastAsia="zh-CN"/>
        </w:rPr>
        <w:t>3</w:t>
      </w:r>
      <w:r>
        <w:rPr>
          <w:rFonts w:hint="eastAsia"/>
        </w:rPr>
        <w:t>环境应急人力资源调查</w:t>
      </w:r>
      <w:bookmarkEnd w:id="325"/>
      <w:bookmarkEnd w:id="326"/>
      <w:bookmarkEnd w:id="327"/>
      <w:bookmarkEnd w:id="328"/>
    </w:p>
    <w:p>
      <w:pPr>
        <w:ind w:firstLine="560"/>
      </w:pPr>
      <w:r>
        <w:rPr>
          <w:rFonts w:hint="eastAsia"/>
        </w:rPr>
        <w:t>人力资源的合理配置是突发环境事件应急管理体系中的重要环节之一。在“人、财、物”三大资源中，人力资源居于首位。本企业应急队伍人员配置、培训、应急演练及外部救援等方面情况如下所述。</w:t>
      </w:r>
    </w:p>
    <w:p>
      <w:pPr>
        <w:pStyle w:val="5"/>
        <w:numPr>
          <w:ilvl w:val="1"/>
          <w:numId w:val="0"/>
        </w:numPr>
        <w:ind w:leftChars="0"/>
      </w:pPr>
      <w:bookmarkStart w:id="329" w:name="_Toc527064034"/>
      <w:bookmarkStart w:id="330" w:name="_Toc526520645"/>
      <w:bookmarkStart w:id="331" w:name="_Toc916"/>
      <w:bookmarkStart w:id="332" w:name="_Toc527357517"/>
      <w:r>
        <w:rPr>
          <w:rFonts w:hint="eastAsia"/>
          <w:lang w:val="en-US" w:eastAsia="zh-CN"/>
        </w:rPr>
        <w:t>3.1</w:t>
      </w:r>
      <w:r>
        <w:rPr>
          <w:rFonts w:hint="eastAsia"/>
        </w:rPr>
        <w:t>企业内部应急队伍</w:t>
      </w:r>
      <w:bookmarkEnd w:id="329"/>
      <w:bookmarkEnd w:id="330"/>
      <w:bookmarkEnd w:id="331"/>
      <w:bookmarkEnd w:id="332"/>
    </w:p>
    <w:p>
      <w:pPr>
        <w:pStyle w:val="6"/>
        <w:numPr>
          <w:ilvl w:val="2"/>
          <w:numId w:val="0"/>
        </w:numPr>
        <w:ind w:leftChars="0"/>
        <w:rPr>
          <w:highlight w:val="none"/>
        </w:rPr>
      </w:pPr>
      <w:bookmarkStart w:id="333" w:name="_Toc526520646"/>
      <w:bookmarkStart w:id="334" w:name="_Toc527357518"/>
      <w:bookmarkStart w:id="335" w:name="_Toc527064035"/>
      <w:r>
        <w:rPr>
          <w:rFonts w:hint="eastAsia"/>
          <w:highlight w:val="none"/>
          <w:lang w:val="en-US" w:eastAsia="zh-CN"/>
        </w:rPr>
        <w:t>3.1.1</w:t>
      </w:r>
      <w:r>
        <w:rPr>
          <w:rFonts w:hint="eastAsia"/>
          <w:highlight w:val="none"/>
        </w:rPr>
        <w:t>应急组织机构</w:t>
      </w:r>
      <w:bookmarkEnd w:id="333"/>
      <w:bookmarkEnd w:id="334"/>
      <w:bookmarkEnd w:id="335"/>
    </w:p>
    <w:p>
      <w:pPr>
        <w:ind w:firstLine="560"/>
      </w:pPr>
      <w:r>
        <w:rPr>
          <w:rFonts w:hint="eastAsia"/>
        </w:rPr>
        <w:t>公司成立事故应急救援指挥中心，由总经理担任总指挥，</w:t>
      </w:r>
      <w:r>
        <w:rPr>
          <w:rFonts w:hint="eastAsia"/>
          <w:lang w:val="en-US" w:eastAsia="zh-CN"/>
        </w:rPr>
        <w:t>安环管理负责人</w:t>
      </w:r>
      <w:r>
        <w:rPr>
          <w:rFonts w:hint="eastAsia"/>
        </w:rPr>
        <w:t>担任副总指挥，成员由各职能部门和各</w:t>
      </w:r>
      <w:r>
        <w:rPr>
          <w:rFonts w:hint="eastAsia"/>
          <w:lang w:val="en-US" w:eastAsia="zh-CN"/>
        </w:rPr>
        <w:t>应急小组</w:t>
      </w:r>
      <w:r>
        <w:rPr>
          <w:rFonts w:hint="eastAsia"/>
        </w:rPr>
        <w:t>组成。指挥部设在</w:t>
      </w:r>
      <w:r>
        <w:rPr>
          <w:rFonts w:hint="eastAsia"/>
          <w:lang w:val="en-US" w:eastAsia="zh-CN"/>
        </w:rPr>
        <w:t>安环部</w:t>
      </w:r>
      <w:r>
        <w:rPr>
          <w:rFonts w:hint="eastAsia"/>
        </w:rPr>
        <w:t>，日常工作由安全环保部负责。应急组织机构具体见下图，</w:t>
      </w:r>
      <w:r>
        <w:rPr>
          <w:rFonts w:ascii="宋体" w:hAnsi="宋体" w:cs="Times New Roman"/>
        </w:rPr>
        <w:t>应急队伍人员配置情况如下表</w:t>
      </w:r>
      <w:r>
        <w:rPr>
          <w:rFonts w:hint="eastAsia"/>
        </w:rPr>
        <w:t>。</w:t>
      </w:r>
    </w:p>
    <w:p>
      <w:pPr>
        <w:keepNext/>
        <w:ind w:firstLine="0" w:firstLineChars="0"/>
        <w:rPr>
          <w:rFonts w:hint="eastAsia" w:eastAsia="宋体"/>
          <w:lang w:eastAsia="zh-CN"/>
        </w:rPr>
      </w:pPr>
      <w:r>
        <w:rPr>
          <w:rFonts w:hint="eastAsia" w:eastAsia="宋体"/>
          <w:lang w:eastAsia="zh-CN"/>
        </w:rPr>
        <w:drawing>
          <wp:inline distT="0" distB="0" distL="114300" distR="114300">
            <wp:extent cx="5791835" cy="3140075"/>
            <wp:effectExtent l="0" t="0" r="18415" b="3175"/>
            <wp:docPr id="136" name="图片 136" descr="15922149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1592214928(1)"/>
                    <pic:cNvPicPr>
                      <a:picLocks noChangeAspect="1"/>
                    </pic:cNvPicPr>
                  </pic:nvPicPr>
                  <pic:blipFill>
                    <a:blip r:embed="rId21"/>
                    <a:stretch>
                      <a:fillRect/>
                    </a:stretch>
                  </pic:blipFill>
                  <pic:spPr>
                    <a:xfrm>
                      <a:off x="0" y="0"/>
                      <a:ext cx="5791835" cy="3140075"/>
                    </a:xfrm>
                    <a:prstGeom prst="rect">
                      <a:avLst/>
                    </a:prstGeom>
                  </pic:spPr>
                </pic:pic>
              </a:graphicData>
            </a:graphic>
          </wp:inline>
        </w:drawing>
      </w:r>
    </w:p>
    <w:p>
      <w:pPr>
        <w:pStyle w:val="8"/>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3</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1</w:t>
      </w:r>
      <w:r>
        <w:fldChar w:fldCharType="end"/>
      </w:r>
      <w:r>
        <w:rPr>
          <w:rFonts w:hint="eastAsia"/>
        </w:rPr>
        <w:t>应急组织机构</w:t>
      </w:r>
    </w:p>
    <w:p>
      <w:pPr>
        <w:ind w:firstLine="560"/>
        <w:rPr>
          <w:rFonts w:hint="eastAsia" w:eastAsia="宋体"/>
          <w:sz w:val="30"/>
          <w:szCs w:val="30"/>
          <w:lang w:eastAsia="zh-CN"/>
        </w:rPr>
      </w:pPr>
      <w:bookmarkStart w:id="336" w:name="_Hlk526952088"/>
      <w:r>
        <w:rPr>
          <w:rFonts w:hint="eastAsia"/>
        </w:rPr>
        <w:t>总指挥：</w:t>
      </w:r>
      <w:r>
        <w:rPr>
          <w:rFonts w:hint="eastAsia"/>
          <w:lang w:eastAsia="zh-CN"/>
        </w:rPr>
        <w:t>总经理</w:t>
      </w:r>
    </w:p>
    <w:p>
      <w:pPr>
        <w:ind w:firstLine="560"/>
        <w:rPr>
          <w:rFonts w:hint="eastAsia" w:eastAsia="宋体"/>
          <w:sz w:val="30"/>
          <w:szCs w:val="30"/>
          <w:lang w:val="en-US" w:eastAsia="zh-CN"/>
        </w:rPr>
      </w:pPr>
      <w:r>
        <w:rPr>
          <w:rFonts w:hint="eastAsia"/>
          <w:sz w:val="30"/>
          <w:szCs w:val="30"/>
          <w:lang w:val="en-US" w:eastAsia="zh-CN"/>
        </w:rPr>
        <w:t>副</w:t>
      </w:r>
      <w:r>
        <w:rPr>
          <w:rFonts w:hint="eastAsia"/>
        </w:rPr>
        <w:t>总指挥：</w:t>
      </w:r>
      <w:r>
        <w:rPr>
          <w:rFonts w:hint="eastAsia"/>
          <w:sz w:val="30"/>
          <w:szCs w:val="30"/>
          <w:lang w:eastAsia="zh-CN"/>
        </w:rPr>
        <w:t>安环管理负责人</w:t>
      </w:r>
    </w:p>
    <w:p>
      <w:pPr>
        <w:ind w:firstLine="560"/>
        <w:rPr>
          <w:rFonts w:hint="eastAsia"/>
          <w:lang w:eastAsia="zh-CN"/>
        </w:rPr>
      </w:pPr>
      <w:r>
        <w:rPr>
          <w:rFonts w:hint="eastAsia"/>
        </w:rPr>
        <w:t>成员：</w:t>
      </w:r>
      <w:r>
        <w:rPr>
          <w:rFonts w:hint="eastAsia"/>
          <w:lang w:val="en-US" w:eastAsia="zh-CN"/>
        </w:rPr>
        <w:t>供水部、</w:t>
      </w:r>
      <w:r>
        <w:rPr>
          <w:rFonts w:hint="eastAsia" w:ascii="宋体" w:hAnsi="宋体" w:cs="宋体"/>
          <w:bCs/>
          <w:color w:val="auto"/>
          <w:sz w:val="28"/>
          <w:szCs w:val="28"/>
        </w:rPr>
        <w:t>财务部、</w:t>
      </w:r>
      <w:r>
        <w:rPr>
          <w:rFonts w:hint="eastAsia" w:ascii="宋体" w:hAnsi="宋体" w:cs="宋体"/>
          <w:bCs/>
          <w:color w:val="auto"/>
          <w:sz w:val="28"/>
          <w:szCs w:val="28"/>
          <w:lang w:val="en-US" w:eastAsia="zh-CN"/>
        </w:rPr>
        <w:t>生产</w:t>
      </w:r>
      <w:r>
        <w:rPr>
          <w:rFonts w:hint="eastAsia" w:ascii="宋体" w:hAnsi="宋体" w:cs="宋体"/>
          <w:bCs/>
          <w:color w:val="auto"/>
          <w:sz w:val="28"/>
          <w:szCs w:val="28"/>
        </w:rPr>
        <w:t>部、</w:t>
      </w:r>
      <w:r>
        <w:rPr>
          <w:rFonts w:hint="eastAsia" w:ascii="宋体" w:hAnsi="宋体" w:cs="宋体"/>
          <w:bCs/>
          <w:color w:val="auto"/>
          <w:sz w:val="28"/>
          <w:szCs w:val="28"/>
          <w:lang w:eastAsia="zh-CN"/>
        </w:rPr>
        <w:t>行政</w:t>
      </w:r>
      <w:r>
        <w:rPr>
          <w:rFonts w:hint="eastAsia" w:ascii="宋体" w:hAnsi="宋体" w:cs="宋体"/>
          <w:bCs/>
          <w:color w:val="auto"/>
          <w:sz w:val="28"/>
          <w:szCs w:val="28"/>
        </w:rPr>
        <w:t>部、</w:t>
      </w:r>
      <w:r>
        <w:rPr>
          <w:rFonts w:hint="eastAsia" w:ascii="宋体" w:hAnsi="宋体" w:cs="宋体"/>
          <w:bCs/>
          <w:color w:val="auto"/>
          <w:sz w:val="28"/>
          <w:szCs w:val="28"/>
          <w:lang w:val="en-US" w:eastAsia="zh-CN"/>
        </w:rPr>
        <w:t>消防抢险小组、警戒疏散小组、通信联络组、后勤保障组</w:t>
      </w:r>
      <w:r>
        <w:rPr>
          <w:rFonts w:hint="eastAsia" w:ascii="宋体" w:hAnsi="宋体" w:cs="宋体"/>
          <w:bCs/>
          <w:color w:val="auto"/>
          <w:sz w:val="28"/>
          <w:szCs w:val="28"/>
          <w:lang w:eastAsia="zh-CN"/>
        </w:rPr>
        <w:t>等</w:t>
      </w:r>
      <w:r>
        <w:rPr>
          <w:rFonts w:hint="eastAsia" w:ascii="宋体" w:hAnsi="宋体" w:cs="宋体"/>
          <w:bCs/>
          <w:color w:val="auto"/>
          <w:sz w:val="28"/>
          <w:szCs w:val="28"/>
        </w:rPr>
        <w:t>人员组成。</w:t>
      </w:r>
    </w:p>
    <w:bookmarkEnd w:id="336"/>
    <w:p>
      <w:pPr>
        <w:pStyle w:val="8"/>
        <w:keepNext/>
      </w:pPr>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3</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1</w:t>
      </w:r>
      <w:r>
        <w:fldChar w:fldCharType="end"/>
      </w:r>
      <w:r>
        <w:rPr>
          <w:rFonts w:hint="eastAsia"/>
        </w:rPr>
        <w:t>公司应急指挥部成员联系方式</w:t>
      </w:r>
    </w:p>
    <w:tbl>
      <w:tblPr>
        <w:tblStyle w:val="15"/>
        <w:tblpPr w:leftFromText="180" w:rightFromText="180" w:vertAnchor="text" w:horzAnchor="margin" w:tblpY="15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7"/>
        <w:gridCol w:w="2321"/>
        <w:gridCol w:w="1886"/>
        <w:gridCol w:w="2160"/>
        <w:gridCol w:w="18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60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bookmarkStart w:id="337" w:name="_Toc527064036"/>
            <w:bookmarkStart w:id="338" w:name="_Toc527357519"/>
            <w:bookmarkStart w:id="339" w:name="_Toc526520647"/>
            <w:r>
              <w:rPr>
                <w:rFonts w:hint="eastAsia" w:cs="Times New Roman"/>
                <w:color w:val="000000"/>
                <w:kern w:val="0"/>
                <w:sz w:val="21"/>
                <w:szCs w:val="21"/>
                <w:lang w:val="en-US" w:eastAsia="zh-CN"/>
              </w:rPr>
              <w:t>序号</w:t>
            </w:r>
          </w:p>
        </w:tc>
        <w:tc>
          <w:tcPr>
            <w:tcW w:w="124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姓  名</w:t>
            </w:r>
          </w:p>
        </w:tc>
        <w:tc>
          <w:tcPr>
            <w:tcW w:w="1009"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岗位</w:t>
            </w:r>
          </w:p>
        </w:tc>
        <w:tc>
          <w:tcPr>
            <w:tcW w:w="1156"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联系方式</w:t>
            </w:r>
          </w:p>
        </w:tc>
        <w:tc>
          <w:tcPr>
            <w:tcW w:w="98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60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w:t>
            </w:r>
          </w:p>
        </w:tc>
        <w:tc>
          <w:tcPr>
            <w:tcW w:w="124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唐</w:t>
            </w:r>
            <w:r>
              <w:rPr>
                <w:rFonts w:hint="eastAsia" w:cs="Times New Roman"/>
                <w:color w:val="000000"/>
                <w:kern w:val="0"/>
                <w:sz w:val="21"/>
                <w:szCs w:val="21"/>
                <w:lang w:val="en-US" w:eastAsia="zh-CN"/>
              </w:rPr>
              <w:tab/>
            </w:r>
            <w:r>
              <w:rPr>
                <w:rFonts w:hint="eastAsia" w:cs="Times New Roman"/>
                <w:color w:val="000000"/>
                <w:kern w:val="0"/>
                <w:sz w:val="21"/>
                <w:szCs w:val="21"/>
                <w:lang w:val="en-US" w:eastAsia="zh-CN"/>
              </w:rPr>
              <w:t xml:space="preserve"> 辉</w:t>
            </w:r>
          </w:p>
        </w:tc>
        <w:tc>
          <w:tcPr>
            <w:tcW w:w="1009"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组长</w:t>
            </w:r>
          </w:p>
        </w:tc>
        <w:tc>
          <w:tcPr>
            <w:tcW w:w="1156"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18720077818</w:t>
            </w:r>
          </w:p>
        </w:tc>
        <w:tc>
          <w:tcPr>
            <w:tcW w:w="98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60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2</w:t>
            </w:r>
          </w:p>
        </w:tc>
        <w:tc>
          <w:tcPr>
            <w:tcW w:w="124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邓江莉</w:t>
            </w:r>
          </w:p>
        </w:tc>
        <w:tc>
          <w:tcPr>
            <w:tcW w:w="1009"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组员</w:t>
            </w:r>
          </w:p>
        </w:tc>
        <w:tc>
          <w:tcPr>
            <w:tcW w:w="1156"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13970027701</w:t>
            </w:r>
          </w:p>
        </w:tc>
        <w:tc>
          <w:tcPr>
            <w:tcW w:w="98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60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3</w:t>
            </w:r>
          </w:p>
        </w:tc>
        <w:tc>
          <w:tcPr>
            <w:tcW w:w="124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李国平</w:t>
            </w:r>
          </w:p>
        </w:tc>
        <w:tc>
          <w:tcPr>
            <w:tcW w:w="1009"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组员</w:t>
            </w:r>
          </w:p>
        </w:tc>
        <w:tc>
          <w:tcPr>
            <w:tcW w:w="1156"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13870971365</w:t>
            </w:r>
          </w:p>
        </w:tc>
        <w:tc>
          <w:tcPr>
            <w:tcW w:w="98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52" w:hRule="atLeast"/>
        </w:trPr>
        <w:tc>
          <w:tcPr>
            <w:tcW w:w="60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4</w:t>
            </w:r>
          </w:p>
        </w:tc>
        <w:tc>
          <w:tcPr>
            <w:tcW w:w="124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吴华敏</w:t>
            </w:r>
          </w:p>
        </w:tc>
        <w:tc>
          <w:tcPr>
            <w:tcW w:w="1009"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组员</w:t>
            </w:r>
          </w:p>
        </w:tc>
        <w:tc>
          <w:tcPr>
            <w:tcW w:w="1156"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13330098266</w:t>
            </w:r>
          </w:p>
        </w:tc>
        <w:tc>
          <w:tcPr>
            <w:tcW w:w="98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60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5</w:t>
            </w:r>
          </w:p>
        </w:tc>
        <w:tc>
          <w:tcPr>
            <w:tcW w:w="124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李银保</w:t>
            </w:r>
          </w:p>
        </w:tc>
        <w:tc>
          <w:tcPr>
            <w:tcW w:w="1009"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组员</w:t>
            </w:r>
          </w:p>
        </w:tc>
        <w:tc>
          <w:tcPr>
            <w:tcW w:w="1156"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15879101929</w:t>
            </w:r>
          </w:p>
        </w:tc>
        <w:tc>
          <w:tcPr>
            <w:tcW w:w="98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60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6</w:t>
            </w:r>
          </w:p>
        </w:tc>
        <w:tc>
          <w:tcPr>
            <w:tcW w:w="124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范延辉</w:t>
            </w:r>
          </w:p>
        </w:tc>
        <w:tc>
          <w:tcPr>
            <w:tcW w:w="1009"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组员</w:t>
            </w:r>
          </w:p>
        </w:tc>
        <w:tc>
          <w:tcPr>
            <w:tcW w:w="1156"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13970997355</w:t>
            </w:r>
          </w:p>
        </w:tc>
        <w:tc>
          <w:tcPr>
            <w:tcW w:w="98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60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7</w:t>
            </w:r>
          </w:p>
        </w:tc>
        <w:tc>
          <w:tcPr>
            <w:tcW w:w="124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魏道钲</w:t>
            </w:r>
          </w:p>
        </w:tc>
        <w:tc>
          <w:tcPr>
            <w:tcW w:w="1009"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组员</w:t>
            </w:r>
          </w:p>
        </w:tc>
        <w:tc>
          <w:tcPr>
            <w:tcW w:w="1156"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18579068807</w:t>
            </w:r>
          </w:p>
        </w:tc>
        <w:tc>
          <w:tcPr>
            <w:tcW w:w="98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p>
        </w:tc>
      </w:tr>
    </w:tbl>
    <w:p>
      <w:pPr>
        <w:pStyle w:val="8"/>
        <w:keepNext/>
      </w:pPr>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3</w:t>
      </w:r>
      <w:r>
        <w:fldChar w:fldCharType="end"/>
      </w:r>
      <w:r>
        <w:noBreakHyphen/>
      </w:r>
      <w:r>
        <w:rPr>
          <w:rFonts w:hint="eastAsia"/>
          <w:lang w:val="en-US" w:eastAsia="zh-CN"/>
        </w:rPr>
        <w:t>2</w:t>
      </w:r>
      <w:r>
        <w:rPr>
          <w:rFonts w:hint="eastAsia"/>
        </w:rPr>
        <w:t>公司</w:t>
      </w:r>
      <w:r>
        <w:rPr>
          <w:rFonts w:hint="eastAsia"/>
          <w:lang w:val="en-US" w:eastAsia="zh-CN"/>
        </w:rPr>
        <w:t>各</w:t>
      </w:r>
      <w:r>
        <w:rPr>
          <w:rFonts w:hint="eastAsia"/>
        </w:rPr>
        <w:t>应急</w:t>
      </w:r>
      <w:r>
        <w:rPr>
          <w:rFonts w:hint="eastAsia"/>
          <w:lang w:val="en-US" w:eastAsia="zh-CN"/>
        </w:rPr>
        <w:t>小组</w:t>
      </w:r>
      <w:r>
        <w:rPr>
          <w:rFonts w:hint="eastAsia"/>
        </w:rPr>
        <w:t>联系方式</w:t>
      </w:r>
    </w:p>
    <w:tbl>
      <w:tblPr>
        <w:tblStyle w:val="1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7"/>
        <w:gridCol w:w="770"/>
        <w:gridCol w:w="3762"/>
        <w:gridCol w:w="2039"/>
        <w:gridCol w:w="18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51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序号</w:t>
            </w:r>
          </w:p>
        </w:tc>
        <w:tc>
          <w:tcPr>
            <w:tcW w:w="412"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组名</w:t>
            </w:r>
          </w:p>
        </w:tc>
        <w:tc>
          <w:tcPr>
            <w:tcW w:w="201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成员</w:t>
            </w:r>
          </w:p>
        </w:tc>
        <w:tc>
          <w:tcPr>
            <w:tcW w:w="1091"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手机号码</w:t>
            </w:r>
          </w:p>
        </w:tc>
        <w:tc>
          <w:tcPr>
            <w:tcW w:w="964"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职 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w:t>
            </w:r>
          </w:p>
        </w:tc>
        <w:tc>
          <w:tcPr>
            <w:tcW w:w="412" w:type="pct"/>
            <w:vMerge w:val="restart"/>
            <w:noWrap w:val="0"/>
            <w:textDirection w:val="tbRlV"/>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抢险救援组</w:t>
            </w:r>
          </w:p>
        </w:tc>
        <w:tc>
          <w:tcPr>
            <w:tcW w:w="201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eastAsia="zh-CN"/>
              </w:rPr>
            </w:pPr>
            <w:r>
              <w:rPr>
                <w:rFonts w:hint="eastAsia" w:cs="Times New Roman"/>
                <w:color w:val="000000"/>
                <w:kern w:val="0"/>
                <w:sz w:val="21"/>
                <w:szCs w:val="21"/>
                <w:lang w:eastAsia="zh-CN"/>
              </w:rPr>
              <w:t>李国平</w:t>
            </w:r>
          </w:p>
        </w:tc>
        <w:tc>
          <w:tcPr>
            <w:tcW w:w="1091"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13870971365</w:t>
            </w:r>
          </w:p>
        </w:tc>
        <w:tc>
          <w:tcPr>
            <w:tcW w:w="964"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组长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2</w:t>
            </w:r>
          </w:p>
        </w:tc>
        <w:tc>
          <w:tcPr>
            <w:tcW w:w="412" w:type="pct"/>
            <w:vMerge w:val="continue"/>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2013" w:type="pct"/>
            <w:noWrap w:val="0"/>
            <w:vAlign w:val="center"/>
          </w:tcPr>
          <w:p>
            <w:pPr>
              <w:widowControl/>
              <w:snapToGrid w:val="0"/>
              <w:spacing w:line="240" w:lineRule="auto"/>
              <w:ind w:firstLine="0" w:firstLineChars="0"/>
              <w:contextualSpacing/>
              <w:jc w:val="center"/>
              <w:rPr>
                <w:rFonts w:hint="default" w:cs="Times New Roman"/>
                <w:color w:val="auto"/>
                <w:kern w:val="0"/>
                <w:sz w:val="21"/>
                <w:szCs w:val="21"/>
                <w:lang w:val="en-US" w:eastAsia="zh-CN"/>
              </w:rPr>
            </w:pPr>
            <w:r>
              <w:rPr>
                <w:rFonts w:hint="eastAsia" w:cs="Times New Roman"/>
                <w:color w:val="auto"/>
                <w:kern w:val="0"/>
                <w:sz w:val="21"/>
                <w:szCs w:val="21"/>
                <w:lang w:eastAsia="zh-CN"/>
              </w:rPr>
              <w:t>李</w:t>
            </w:r>
            <w:r>
              <w:rPr>
                <w:rFonts w:hint="eastAsia" w:cs="Times New Roman"/>
                <w:color w:val="auto"/>
                <w:kern w:val="0"/>
                <w:sz w:val="21"/>
                <w:szCs w:val="21"/>
                <w:lang w:val="en-US" w:eastAsia="zh-CN"/>
              </w:rPr>
              <w:t>银保</w:t>
            </w:r>
          </w:p>
        </w:tc>
        <w:tc>
          <w:tcPr>
            <w:tcW w:w="1091" w:type="pct"/>
            <w:noWrap w:val="0"/>
            <w:vAlign w:val="center"/>
          </w:tcPr>
          <w:p>
            <w:pPr>
              <w:widowControl/>
              <w:snapToGrid w:val="0"/>
              <w:spacing w:line="240" w:lineRule="auto"/>
              <w:ind w:firstLine="0" w:firstLineChars="0"/>
              <w:contextualSpacing/>
              <w:jc w:val="center"/>
              <w:rPr>
                <w:rFonts w:hint="eastAsia" w:cs="Times New Roman"/>
                <w:color w:val="auto"/>
                <w:kern w:val="0"/>
                <w:sz w:val="21"/>
                <w:szCs w:val="21"/>
              </w:rPr>
            </w:pPr>
            <w:r>
              <w:rPr>
                <w:rFonts w:hint="eastAsia" w:cs="Times New Roman"/>
                <w:color w:val="auto"/>
                <w:kern w:val="0"/>
                <w:sz w:val="21"/>
                <w:szCs w:val="21"/>
              </w:rPr>
              <w:t>15879101929</w:t>
            </w:r>
          </w:p>
        </w:tc>
        <w:tc>
          <w:tcPr>
            <w:tcW w:w="964"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副组长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3</w:t>
            </w:r>
          </w:p>
        </w:tc>
        <w:tc>
          <w:tcPr>
            <w:tcW w:w="412" w:type="pct"/>
            <w:vMerge w:val="continue"/>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2013" w:type="pct"/>
            <w:noWrap w:val="0"/>
            <w:vAlign w:val="center"/>
          </w:tcPr>
          <w:p>
            <w:pPr>
              <w:widowControl/>
              <w:snapToGrid w:val="0"/>
              <w:spacing w:line="240" w:lineRule="auto"/>
              <w:ind w:firstLine="0" w:firstLineChars="0"/>
              <w:contextualSpacing/>
              <w:jc w:val="center"/>
              <w:rPr>
                <w:rFonts w:hint="default" w:cs="Times New Roman"/>
                <w:color w:val="auto"/>
                <w:kern w:val="0"/>
                <w:sz w:val="21"/>
                <w:szCs w:val="21"/>
                <w:lang w:val="en-US" w:eastAsia="zh-CN"/>
              </w:rPr>
            </w:pPr>
            <w:r>
              <w:rPr>
                <w:rFonts w:hint="eastAsia" w:cs="Times New Roman"/>
                <w:color w:val="auto"/>
                <w:kern w:val="0"/>
                <w:sz w:val="21"/>
                <w:szCs w:val="21"/>
                <w:lang w:val="en-US" w:eastAsia="zh-CN"/>
              </w:rPr>
              <w:t>龚敏</w:t>
            </w:r>
          </w:p>
        </w:tc>
        <w:tc>
          <w:tcPr>
            <w:tcW w:w="1091" w:type="pct"/>
            <w:noWrap w:val="0"/>
            <w:vAlign w:val="center"/>
          </w:tcPr>
          <w:p>
            <w:pPr>
              <w:widowControl/>
              <w:snapToGrid w:val="0"/>
              <w:spacing w:line="240" w:lineRule="auto"/>
              <w:ind w:firstLine="0" w:firstLineChars="0"/>
              <w:contextualSpacing/>
              <w:jc w:val="center"/>
              <w:rPr>
                <w:rFonts w:hint="default" w:cs="Times New Roman"/>
                <w:color w:val="auto"/>
                <w:kern w:val="0"/>
                <w:sz w:val="21"/>
                <w:szCs w:val="21"/>
                <w:lang w:val="en-US" w:eastAsia="zh-CN"/>
              </w:rPr>
            </w:pPr>
            <w:r>
              <w:rPr>
                <w:rFonts w:hint="eastAsia" w:cs="Times New Roman"/>
                <w:color w:val="auto"/>
                <w:kern w:val="0"/>
                <w:sz w:val="21"/>
                <w:szCs w:val="21"/>
                <w:lang w:val="en-US" w:eastAsia="zh-CN"/>
              </w:rPr>
              <w:t>13607042934</w:t>
            </w:r>
          </w:p>
        </w:tc>
        <w:tc>
          <w:tcPr>
            <w:tcW w:w="964"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4</w:t>
            </w:r>
          </w:p>
        </w:tc>
        <w:tc>
          <w:tcPr>
            <w:tcW w:w="412" w:type="pct"/>
            <w:vMerge w:val="continue"/>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201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郭耀</w:t>
            </w:r>
          </w:p>
        </w:tc>
        <w:tc>
          <w:tcPr>
            <w:tcW w:w="1091"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13607912991</w:t>
            </w:r>
          </w:p>
        </w:tc>
        <w:tc>
          <w:tcPr>
            <w:tcW w:w="964"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5</w:t>
            </w:r>
          </w:p>
        </w:tc>
        <w:tc>
          <w:tcPr>
            <w:tcW w:w="412" w:type="pct"/>
            <w:vMerge w:val="continue"/>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2013"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范延辉</w:t>
            </w:r>
          </w:p>
        </w:tc>
        <w:tc>
          <w:tcPr>
            <w:tcW w:w="1091"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13970997355</w:t>
            </w:r>
          </w:p>
        </w:tc>
        <w:tc>
          <w:tcPr>
            <w:tcW w:w="964"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6</w:t>
            </w:r>
          </w:p>
        </w:tc>
        <w:tc>
          <w:tcPr>
            <w:tcW w:w="412" w:type="pct"/>
            <w:vMerge w:val="restar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lang w:eastAsia="zh-CN"/>
              </w:rPr>
              <w:t>通讯联络</w:t>
            </w:r>
            <w:r>
              <w:rPr>
                <w:rFonts w:hint="eastAsia" w:cs="Times New Roman"/>
                <w:color w:val="000000"/>
                <w:kern w:val="0"/>
                <w:sz w:val="21"/>
                <w:szCs w:val="21"/>
              </w:rPr>
              <w:t>组</w:t>
            </w:r>
          </w:p>
        </w:tc>
        <w:tc>
          <w:tcPr>
            <w:tcW w:w="201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eastAsia="zh-CN"/>
              </w:rPr>
            </w:pPr>
            <w:r>
              <w:rPr>
                <w:rFonts w:hint="eastAsia" w:cs="Times New Roman"/>
                <w:color w:val="000000"/>
                <w:kern w:val="0"/>
                <w:sz w:val="21"/>
                <w:szCs w:val="21"/>
                <w:lang w:eastAsia="zh-CN"/>
              </w:rPr>
              <w:t>魏道钲</w:t>
            </w:r>
          </w:p>
        </w:tc>
        <w:tc>
          <w:tcPr>
            <w:tcW w:w="1091"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rPr>
            </w:pPr>
            <w:r>
              <w:rPr>
                <w:rFonts w:hint="eastAsia" w:cs="Times New Roman"/>
                <w:color w:val="000000"/>
                <w:kern w:val="0"/>
                <w:sz w:val="21"/>
                <w:szCs w:val="21"/>
                <w:lang w:val="en-US" w:eastAsia="zh-CN"/>
              </w:rPr>
              <w:t>18579068807</w:t>
            </w:r>
          </w:p>
        </w:tc>
        <w:tc>
          <w:tcPr>
            <w:tcW w:w="964"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组长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7</w:t>
            </w:r>
          </w:p>
        </w:tc>
        <w:tc>
          <w:tcPr>
            <w:tcW w:w="412" w:type="pct"/>
            <w:vMerge w:val="continue"/>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201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胡慧琴</w:t>
            </w:r>
          </w:p>
        </w:tc>
        <w:tc>
          <w:tcPr>
            <w:tcW w:w="1091"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13007209503</w:t>
            </w:r>
          </w:p>
        </w:tc>
        <w:tc>
          <w:tcPr>
            <w:tcW w:w="964"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8</w:t>
            </w:r>
          </w:p>
        </w:tc>
        <w:tc>
          <w:tcPr>
            <w:tcW w:w="412" w:type="pct"/>
            <w:vMerge w:val="continue"/>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201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邓翔</w:t>
            </w:r>
          </w:p>
        </w:tc>
        <w:tc>
          <w:tcPr>
            <w:tcW w:w="1091"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18070138608</w:t>
            </w:r>
          </w:p>
        </w:tc>
        <w:tc>
          <w:tcPr>
            <w:tcW w:w="964"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eastAsia="zh-CN"/>
              </w:rPr>
            </w:pPr>
            <w:r>
              <w:rPr>
                <w:rFonts w:hint="eastAsia" w:cs="Times New Roman"/>
                <w:color w:val="000000"/>
                <w:kern w:val="0"/>
                <w:sz w:val="21"/>
                <w:szCs w:val="21"/>
                <w:lang w:val="en-US" w:eastAsia="zh-CN"/>
              </w:rPr>
              <w:t>9</w:t>
            </w:r>
          </w:p>
        </w:tc>
        <w:tc>
          <w:tcPr>
            <w:tcW w:w="412" w:type="pct"/>
            <w:vMerge w:val="restar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eastAsia="zh-CN"/>
              </w:rPr>
            </w:pPr>
            <w:r>
              <w:rPr>
                <w:rFonts w:hint="eastAsia" w:cs="Times New Roman"/>
                <w:color w:val="000000"/>
                <w:kern w:val="0"/>
                <w:sz w:val="21"/>
                <w:szCs w:val="21"/>
                <w:lang w:eastAsia="zh-CN"/>
              </w:rPr>
              <w:t>警戒疏散</w:t>
            </w:r>
          </w:p>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组</w:t>
            </w:r>
          </w:p>
        </w:tc>
        <w:tc>
          <w:tcPr>
            <w:tcW w:w="201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lang w:eastAsia="zh-CN"/>
              </w:rPr>
              <w:t>邓江莉</w:t>
            </w:r>
          </w:p>
        </w:tc>
        <w:tc>
          <w:tcPr>
            <w:tcW w:w="1091"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13970027701</w:t>
            </w:r>
          </w:p>
        </w:tc>
        <w:tc>
          <w:tcPr>
            <w:tcW w:w="964"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组长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10</w:t>
            </w:r>
          </w:p>
        </w:tc>
        <w:tc>
          <w:tcPr>
            <w:tcW w:w="412" w:type="pct"/>
            <w:vMerge w:val="continue"/>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201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eastAsia="zh-CN"/>
              </w:rPr>
            </w:pPr>
            <w:r>
              <w:rPr>
                <w:rFonts w:hint="eastAsia" w:cs="Times New Roman"/>
                <w:color w:val="000000"/>
                <w:kern w:val="0"/>
                <w:sz w:val="21"/>
                <w:szCs w:val="21"/>
                <w:lang w:eastAsia="zh-CN"/>
              </w:rPr>
              <w:t>万志辉</w:t>
            </w:r>
          </w:p>
        </w:tc>
        <w:tc>
          <w:tcPr>
            <w:tcW w:w="1091"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13970027710</w:t>
            </w:r>
          </w:p>
        </w:tc>
        <w:tc>
          <w:tcPr>
            <w:tcW w:w="964"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eastAsia="zh-CN"/>
              </w:rPr>
            </w:pPr>
            <w:r>
              <w:rPr>
                <w:rFonts w:hint="eastAsia" w:cs="Times New Roman"/>
                <w:color w:val="000000"/>
                <w:kern w:val="0"/>
                <w:sz w:val="21"/>
                <w:szCs w:val="21"/>
              </w:rPr>
              <w:t>1</w:t>
            </w:r>
            <w:r>
              <w:rPr>
                <w:rFonts w:hint="eastAsia" w:cs="Times New Roman"/>
                <w:color w:val="000000"/>
                <w:kern w:val="0"/>
                <w:sz w:val="21"/>
                <w:szCs w:val="21"/>
                <w:lang w:val="en-US" w:eastAsia="zh-CN"/>
              </w:rPr>
              <w:t>1</w:t>
            </w:r>
          </w:p>
        </w:tc>
        <w:tc>
          <w:tcPr>
            <w:tcW w:w="412" w:type="pct"/>
            <w:vMerge w:val="restart"/>
            <w:noWrap w:val="0"/>
            <w:textDirection w:val="tbRlV"/>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lang w:eastAsia="zh-CN"/>
              </w:rPr>
              <w:t>后勤</w:t>
            </w:r>
            <w:r>
              <w:rPr>
                <w:rFonts w:hint="eastAsia" w:cs="Times New Roman"/>
                <w:color w:val="000000"/>
                <w:kern w:val="0"/>
                <w:sz w:val="21"/>
                <w:szCs w:val="21"/>
              </w:rPr>
              <w:t>保障组</w:t>
            </w:r>
          </w:p>
        </w:tc>
        <w:tc>
          <w:tcPr>
            <w:tcW w:w="201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eastAsia="zh-CN"/>
              </w:rPr>
            </w:pPr>
            <w:r>
              <w:rPr>
                <w:rFonts w:hint="eastAsia" w:cs="Times New Roman"/>
                <w:color w:val="000000"/>
                <w:kern w:val="0"/>
                <w:sz w:val="21"/>
                <w:szCs w:val="21"/>
                <w:lang w:eastAsia="zh-CN"/>
              </w:rPr>
              <w:t>吴华敏</w:t>
            </w:r>
          </w:p>
        </w:tc>
        <w:tc>
          <w:tcPr>
            <w:tcW w:w="1091"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13330098266</w:t>
            </w:r>
          </w:p>
        </w:tc>
        <w:tc>
          <w:tcPr>
            <w:tcW w:w="964"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组长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18"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12</w:t>
            </w:r>
          </w:p>
        </w:tc>
        <w:tc>
          <w:tcPr>
            <w:tcW w:w="412" w:type="pct"/>
            <w:vMerge w:val="continue"/>
            <w:noWrap w:val="0"/>
            <w:textDirection w:val="tbRlV"/>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2013"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余翠华</w:t>
            </w:r>
          </w:p>
        </w:tc>
        <w:tc>
          <w:tcPr>
            <w:tcW w:w="1091"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13970043128</w:t>
            </w:r>
          </w:p>
        </w:tc>
        <w:tc>
          <w:tcPr>
            <w:tcW w:w="964"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rPr>
              <w:t>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518"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13</w:t>
            </w:r>
          </w:p>
        </w:tc>
        <w:tc>
          <w:tcPr>
            <w:tcW w:w="412" w:type="pct"/>
            <w:vMerge w:val="continue"/>
            <w:noWrap w:val="0"/>
            <w:textDirection w:val="tbRlV"/>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2013"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eastAsia="zh-CN"/>
              </w:rPr>
              <w:t>魏少杰</w:t>
            </w:r>
          </w:p>
        </w:tc>
        <w:tc>
          <w:tcPr>
            <w:tcW w:w="1091"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13970065544</w:t>
            </w:r>
          </w:p>
        </w:tc>
        <w:tc>
          <w:tcPr>
            <w:tcW w:w="964"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rPr>
              <w:t>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518"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14</w:t>
            </w:r>
          </w:p>
        </w:tc>
        <w:tc>
          <w:tcPr>
            <w:tcW w:w="412" w:type="pct"/>
            <w:vMerge w:val="continue"/>
            <w:noWrap w:val="0"/>
            <w:textDirection w:val="tbRlV"/>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2013"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熊海克</w:t>
            </w:r>
          </w:p>
        </w:tc>
        <w:tc>
          <w:tcPr>
            <w:tcW w:w="1091"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13879101015</w:t>
            </w:r>
          </w:p>
        </w:tc>
        <w:tc>
          <w:tcPr>
            <w:tcW w:w="964"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rPr>
              <w:t>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518"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15</w:t>
            </w:r>
          </w:p>
        </w:tc>
        <w:tc>
          <w:tcPr>
            <w:tcW w:w="412" w:type="pct"/>
            <w:vMerge w:val="continue"/>
            <w:noWrap w:val="0"/>
            <w:textDirection w:val="tbRlV"/>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2013"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殷文婷</w:t>
            </w:r>
          </w:p>
        </w:tc>
        <w:tc>
          <w:tcPr>
            <w:tcW w:w="1091" w:type="pct"/>
            <w:noWrap w:val="0"/>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13767081816</w:t>
            </w:r>
          </w:p>
        </w:tc>
        <w:tc>
          <w:tcPr>
            <w:tcW w:w="964" w:type="pct"/>
            <w:noWrap w:val="0"/>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rPr>
              <w:t>成员</w:t>
            </w:r>
          </w:p>
        </w:tc>
      </w:tr>
    </w:tbl>
    <w:p>
      <w:pPr>
        <w:pStyle w:val="6"/>
        <w:numPr>
          <w:ilvl w:val="2"/>
          <w:numId w:val="0"/>
        </w:numPr>
        <w:ind w:leftChars="0"/>
      </w:pPr>
      <w:r>
        <w:rPr>
          <w:rFonts w:hint="eastAsia"/>
          <w:lang w:val="en-US" w:eastAsia="zh-CN"/>
        </w:rPr>
        <w:t>3.1.2</w:t>
      </w:r>
      <w:r>
        <w:rPr>
          <w:rFonts w:hint="eastAsia"/>
        </w:rPr>
        <w:t>指挥机构职责</w:t>
      </w:r>
      <w:bookmarkEnd w:id="337"/>
      <w:bookmarkEnd w:id="338"/>
      <w:bookmarkEnd w:id="339"/>
    </w:p>
    <w:p>
      <w:pPr>
        <w:ind w:firstLine="560"/>
      </w:pPr>
      <w:r>
        <w:t>1</w:t>
      </w:r>
      <w:r>
        <w:rPr>
          <w:rFonts w:hint="eastAsia"/>
        </w:rPr>
        <w:t>、认真贯彻有关法律法规对应急救援的要求，以及上级领导对应急救援的指示；</w:t>
      </w:r>
    </w:p>
    <w:p>
      <w:pPr>
        <w:ind w:firstLine="560"/>
      </w:pPr>
      <w:r>
        <w:t>2</w:t>
      </w:r>
      <w:r>
        <w:rPr>
          <w:rFonts w:hint="eastAsia"/>
        </w:rPr>
        <w:t>、组织制定</w:t>
      </w:r>
      <w:r>
        <w:rPr>
          <w:rFonts w:hint="eastAsia"/>
          <w:lang w:eastAsia="zh-CN"/>
        </w:rPr>
        <w:t>双港水厂</w:t>
      </w:r>
      <w:r>
        <w:rPr>
          <w:rFonts w:hint="eastAsia"/>
        </w:rPr>
        <w:t>生产安全</w:t>
      </w:r>
      <w:r>
        <w:rPr>
          <w:rFonts w:hint="eastAsia"/>
          <w:lang w:eastAsia="zh-CN"/>
        </w:rPr>
        <w:t>环保</w:t>
      </w:r>
      <w:r>
        <w:rPr>
          <w:rFonts w:hint="eastAsia"/>
        </w:rPr>
        <w:t>事故应急救援预案，并组织实施和演练；</w:t>
      </w:r>
    </w:p>
    <w:p>
      <w:pPr>
        <w:ind w:firstLine="560"/>
      </w:pPr>
      <w:r>
        <w:t>3</w:t>
      </w:r>
      <w:r>
        <w:rPr>
          <w:rFonts w:hint="eastAsia"/>
        </w:rPr>
        <w:t>、组建并管理应急救援专家组和救援队伍；</w:t>
      </w:r>
    </w:p>
    <w:p>
      <w:pPr>
        <w:ind w:firstLine="560"/>
      </w:pPr>
      <w:r>
        <w:t>4</w:t>
      </w:r>
      <w:r>
        <w:rPr>
          <w:rFonts w:hint="eastAsia"/>
        </w:rPr>
        <w:t>、负责统一规划应急救援力量和资源；</w:t>
      </w:r>
    </w:p>
    <w:p>
      <w:pPr>
        <w:ind w:firstLine="560"/>
      </w:pPr>
      <w:r>
        <w:t>5</w:t>
      </w:r>
      <w:r>
        <w:rPr>
          <w:rFonts w:hint="eastAsia"/>
        </w:rPr>
        <w:t>、检查督促事故的预防措施和应急救援各项准备工作的落实情况；</w:t>
      </w:r>
    </w:p>
    <w:p>
      <w:pPr>
        <w:ind w:firstLine="560"/>
      </w:pPr>
      <w:r>
        <w:t>6</w:t>
      </w:r>
      <w:r>
        <w:rPr>
          <w:rFonts w:hint="eastAsia"/>
        </w:rPr>
        <w:t>、发生生产安全事故时，发出应急救援令，调动力量实施应急救援行动。</w:t>
      </w:r>
    </w:p>
    <w:p>
      <w:pPr>
        <w:pStyle w:val="6"/>
        <w:numPr>
          <w:ilvl w:val="2"/>
          <w:numId w:val="0"/>
        </w:numPr>
        <w:ind w:leftChars="0"/>
      </w:pPr>
      <w:bookmarkStart w:id="340" w:name="_Toc527357520"/>
      <w:bookmarkStart w:id="341" w:name="_Toc527064037"/>
      <w:r>
        <w:rPr>
          <w:rFonts w:hint="eastAsia"/>
          <w:lang w:val="en-US" w:eastAsia="zh-CN"/>
        </w:rPr>
        <w:t>3.1.3</w:t>
      </w:r>
      <w:r>
        <w:rPr>
          <w:rFonts w:hint="eastAsia"/>
        </w:rPr>
        <w:t>应急救援指挥中心领导职责</w:t>
      </w:r>
      <w:bookmarkEnd w:id="340"/>
      <w:bookmarkEnd w:id="341"/>
    </w:p>
    <w:p>
      <w:pPr>
        <w:ind w:firstLine="560"/>
      </w:pPr>
      <w:r>
        <w:rPr>
          <w:rFonts w:hint="eastAsia"/>
        </w:rPr>
        <w:t>总指挥：全面负责应急救援工作；发生事故时，启动、关闭应急救援预案，负责对事故救援的场外指挥、全面协调及新闻发布。</w:t>
      </w:r>
    </w:p>
    <w:p>
      <w:pPr>
        <w:ind w:firstLine="560"/>
      </w:pPr>
      <w:r>
        <w:rPr>
          <w:rFonts w:hint="eastAsia"/>
          <w:lang w:val="en-US" w:eastAsia="zh-CN"/>
        </w:rPr>
        <w:t>副</w:t>
      </w:r>
      <w:r>
        <w:rPr>
          <w:rFonts w:hint="eastAsia"/>
        </w:rPr>
        <w:t>总指挥：负责领导应急救援队伍建设与管理，负责应急救援办公室的管理；发生生产安全事故时，负责以下指挥工作：事故现场救援指挥；救援物质资源和人力资源配置；救援技术指导；现场安全事故现场资料收集；事故周边建筑工程的安全评估；对救援工作中出现的问题提出紧急处理措施。协助总指挥开展应急救援工作。发生生产安全事故时，在现场负责指挥警戒、医疗救护、抢险抢修、物资保障、通讯保障、资金保障及善后工作。</w:t>
      </w:r>
    </w:p>
    <w:p>
      <w:pPr>
        <w:pStyle w:val="6"/>
        <w:numPr>
          <w:ilvl w:val="2"/>
          <w:numId w:val="0"/>
        </w:numPr>
        <w:ind w:leftChars="0"/>
      </w:pPr>
      <w:bookmarkStart w:id="342" w:name="_Toc527064038"/>
      <w:bookmarkStart w:id="343" w:name="_Toc527357521"/>
      <w:r>
        <w:rPr>
          <w:rFonts w:hint="eastAsia"/>
          <w:lang w:val="en-US" w:eastAsia="zh-CN"/>
        </w:rPr>
        <w:t>3.1.4</w:t>
      </w:r>
      <w:r>
        <w:rPr>
          <w:rFonts w:hint="eastAsia"/>
        </w:rPr>
        <w:t>应急救援指挥中心成员职责</w:t>
      </w:r>
      <w:bookmarkEnd w:id="342"/>
      <w:bookmarkEnd w:id="343"/>
    </w:p>
    <w:p>
      <w:pPr>
        <w:ind w:firstLine="560"/>
        <w:rPr>
          <w:rFonts w:hint="eastAsia"/>
        </w:rPr>
      </w:pPr>
      <w:r>
        <w:rPr>
          <w:rFonts w:hint="eastAsia"/>
        </w:rPr>
        <w:t>抢险救援组组长：由</w:t>
      </w:r>
      <w:r>
        <w:rPr>
          <w:rFonts w:hint="eastAsia"/>
          <w:lang w:eastAsia="zh-CN"/>
        </w:rPr>
        <w:t>供水部负责人</w:t>
      </w:r>
      <w:r>
        <w:rPr>
          <w:rFonts w:hint="eastAsia"/>
        </w:rPr>
        <w:t>担任，根据总指挥的命令，负责查清受灾人数、灾变地点、灾情，组织完成对灾区遇难人员的抢救和处理。接到通知后，迅速集合队伍奔赴现场，根据事故情形正确配戴个人防护用具，协助事故发生单位迅速切断事故源和排除现场的易燃、易爆物质；根据指挥部下达的指令，迅速抢修设备、管道，控制事故，以防扩大。查明有无操作者被困，及时使被困者脱离危险区域；现场指导抢救人员，消除危险物品，开启现场消防装置进行灭火；负责现场灭火过程的通讯联络，视火灾情况及时向指挥部报告，请求联防力量救援；现场固定消防泵、移动灭火器等要按规定经常检查，确保其处于良好的备用状态；负责向上级消防救援力量提供燃烧介质的消防特性，烧伤中毒防护方法，着火设备的禁忌注意事项；有计划地开展灭火预案的演习，熟悉消防重点的灭火预案，提高灭火抢救的战斗力;有计划、有针对性地预测设备、管道泄漏部位，进行计划性检修，并进行封堵等抢救措施的训练和实战演习。</w:t>
      </w:r>
    </w:p>
    <w:p>
      <w:pPr>
        <w:ind w:firstLine="560"/>
        <w:rPr>
          <w:rFonts w:hint="eastAsia"/>
        </w:rPr>
      </w:pPr>
      <w:r>
        <w:rPr>
          <w:rFonts w:hint="eastAsia"/>
        </w:rPr>
        <w:t>安全警戒疏散组组长：由</w:t>
      </w:r>
      <w:r>
        <w:rPr>
          <w:rFonts w:hint="eastAsia"/>
          <w:lang w:eastAsia="zh-CN"/>
        </w:rPr>
        <w:t>财务部负责人</w:t>
      </w:r>
      <w:r>
        <w:rPr>
          <w:rFonts w:hint="eastAsia"/>
        </w:rPr>
        <w:t>担任，发生事故后，根据事故情景配戴好防护服、防毒面具等，迅速奔赴现场；根据火灾爆炸（泄漏）影响范围，设置禁区，布置岗哨，加强警戒，巡逻检查，严禁无关人员进入禁区。接到报警后，封闭</w:t>
      </w:r>
      <w:r>
        <w:rPr>
          <w:rFonts w:hint="eastAsia"/>
          <w:lang w:eastAsia="zh-CN"/>
        </w:rPr>
        <w:t>水厂</w:t>
      </w:r>
      <w:r>
        <w:rPr>
          <w:rFonts w:hint="eastAsia"/>
        </w:rPr>
        <w:t>大门，维护</w:t>
      </w:r>
      <w:r>
        <w:rPr>
          <w:rFonts w:hint="eastAsia"/>
          <w:lang w:eastAsia="zh-CN"/>
        </w:rPr>
        <w:t>水厂</w:t>
      </w:r>
      <w:r>
        <w:rPr>
          <w:rFonts w:hint="eastAsia"/>
        </w:rPr>
        <w:t>道路交通程序，指引外来救援力量进入事故发生点，严禁外来人员入厂围观。应到事故发生区域封路，指挥抢救车辆行驶路线。</w:t>
      </w:r>
    </w:p>
    <w:p>
      <w:pPr>
        <w:ind w:firstLine="560"/>
        <w:rPr>
          <w:rFonts w:hint="eastAsia"/>
          <w:lang w:val="en-US" w:eastAsia="zh-CN"/>
        </w:rPr>
      </w:pPr>
      <w:r>
        <w:rPr>
          <w:rFonts w:hint="eastAsia"/>
          <w:lang w:eastAsia="zh-CN"/>
        </w:rPr>
        <w:t>通讯联络</w:t>
      </w:r>
      <w:r>
        <w:rPr>
          <w:rFonts w:hint="eastAsia"/>
        </w:rPr>
        <w:t>组组长：由</w:t>
      </w:r>
      <w:r>
        <w:rPr>
          <w:rFonts w:hint="eastAsia"/>
          <w:lang w:val="en-US" w:eastAsia="zh-CN"/>
        </w:rPr>
        <w:t>安环科</w:t>
      </w:r>
      <w:r>
        <w:rPr>
          <w:rFonts w:hint="eastAsia"/>
          <w:lang w:eastAsia="zh-CN"/>
        </w:rPr>
        <w:t>负责人</w:t>
      </w:r>
      <w:r>
        <w:rPr>
          <w:rFonts w:hint="eastAsia"/>
        </w:rPr>
        <w:t>担任，</w:t>
      </w:r>
      <w:r>
        <w:rPr>
          <w:rFonts w:hint="eastAsia"/>
          <w:lang w:val="en-US" w:eastAsia="zh-CN"/>
        </w:rPr>
        <w:t>负责与公司外部、内部部门进行联系，传达、下达应急管理指挥部指令；根据应急管理指挥部指令，负责与客户进行沟通。</w:t>
      </w:r>
    </w:p>
    <w:p>
      <w:pPr>
        <w:ind w:firstLine="560"/>
      </w:pPr>
      <w:r>
        <w:rPr>
          <w:rFonts w:hint="eastAsia"/>
          <w:lang w:eastAsia="zh-CN"/>
        </w:rPr>
        <w:t>后勤</w:t>
      </w:r>
      <w:r>
        <w:rPr>
          <w:rFonts w:hint="eastAsia"/>
        </w:rPr>
        <w:t>保障组组长：由</w:t>
      </w:r>
      <w:r>
        <w:rPr>
          <w:rFonts w:hint="eastAsia"/>
          <w:lang w:eastAsia="zh-CN"/>
        </w:rPr>
        <w:t>行政部负责人</w:t>
      </w:r>
      <w:r>
        <w:rPr>
          <w:rFonts w:hint="eastAsia"/>
        </w:rPr>
        <w:t>担任，物资供应队在接到报警后，根据现场实际需要，准备抢救物质及设备等工具。据事故的程度，及时向外单位联系，调运物质、工程器具等，负责抢救受伤、中毒人员的生活必需品的供应，负责抢险救援物质的运输</w:t>
      </w:r>
      <w:r>
        <w:rPr>
          <w:rFonts w:hint="eastAsia"/>
          <w:lang w:eastAsia="zh-CN"/>
        </w:rPr>
        <w:t>；</w:t>
      </w:r>
      <w:r>
        <w:rPr>
          <w:rFonts w:hint="eastAsia"/>
        </w:rPr>
        <w:t>熟悉</w:t>
      </w:r>
      <w:r>
        <w:rPr>
          <w:rFonts w:hint="eastAsia"/>
          <w:lang w:eastAsia="zh-CN"/>
        </w:rPr>
        <w:t>水厂</w:t>
      </w:r>
      <w:r>
        <w:rPr>
          <w:rFonts w:hint="eastAsia"/>
        </w:rPr>
        <w:t>内危险物质对人体危害的特性及相应的医疗急救措施。储备充足的急救器材和药品，并能随时取用，事故发生后，应迅速做好准备工作，伤者送来后，根据受伤症状，及时采取相应的急救措施对伤者进行急救，重伤员及时转院抢救。当</w:t>
      </w:r>
      <w:r>
        <w:rPr>
          <w:rFonts w:hint="eastAsia"/>
          <w:lang w:eastAsia="zh-CN"/>
        </w:rPr>
        <w:t>水厂</w:t>
      </w:r>
      <w:r>
        <w:rPr>
          <w:rFonts w:hint="eastAsia"/>
        </w:rPr>
        <w:t>急救力量无法满足需要时，向其他医疗单位申请救援并迅速转移伤者。</w:t>
      </w:r>
    </w:p>
    <w:p>
      <w:pPr>
        <w:pStyle w:val="6"/>
        <w:numPr>
          <w:ilvl w:val="2"/>
          <w:numId w:val="0"/>
        </w:numPr>
        <w:ind w:leftChars="0"/>
      </w:pPr>
      <w:bookmarkStart w:id="344" w:name="_Toc527357522"/>
      <w:bookmarkStart w:id="345" w:name="_Toc527064039"/>
      <w:r>
        <w:rPr>
          <w:rFonts w:hint="eastAsia"/>
          <w:lang w:val="en-US" w:eastAsia="zh-CN"/>
        </w:rPr>
        <w:t>3.1.5</w:t>
      </w:r>
      <w:r>
        <w:rPr>
          <w:rFonts w:hint="eastAsia"/>
        </w:rPr>
        <w:t>应急救援办公室职责</w:t>
      </w:r>
      <w:bookmarkEnd w:id="344"/>
      <w:bookmarkEnd w:id="345"/>
    </w:p>
    <w:p>
      <w:pPr>
        <w:ind w:firstLine="560"/>
      </w:pPr>
      <w:r>
        <w:rPr>
          <w:rFonts w:hint="eastAsia"/>
        </w:rPr>
        <w:t>在应急救援指挥中心的领导下，负责应急救援的日常事务，拟订和监督执行应急救援预案，承担应急救援信息收集、档案保存工作，组织开展与外单位应急救援技术合作与交流。报警电话：应急救援指挥中心电话:0791—</w:t>
      </w:r>
      <w:r>
        <w:rPr>
          <w:rFonts w:hint="eastAsia"/>
          <w:lang w:eastAsia="zh-CN"/>
        </w:rPr>
        <w:t>83887577</w:t>
      </w:r>
      <w:r>
        <w:rPr>
          <w:rFonts w:hint="eastAsia"/>
        </w:rPr>
        <w:t>。</w:t>
      </w:r>
    </w:p>
    <w:p>
      <w:pPr>
        <w:pStyle w:val="5"/>
        <w:numPr>
          <w:ilvl w:val="1"/>
          <w:numId w:val="0"/>
        </w:numPr>
        <w:ind w:leftChars="0"/>
      </w:pPr>
      <w:bookmarkStart w:id="346" w:name="_Toc526520651"/>
      <w:bookmarkStart w:id="347" w:name="_Toc527357523"/>
      <w:bookmarkStart w:id="348" w:name="_Toc527064040"/>
      <w:bookmarkStart w:id="349" w:name="_Toc28844"/>
      <w:r>
        <w:rPr>
          <w:rFonts w:hint="eastAsia"/>
          <w:lang w:val="en-US" w:eastAsia="zh-CN"/>
        </w:rPr>
        <w:t>3.2</w:t>
      </w:r>
      <w:r>
        <w:rPr>
          <w:rFonts w:hint="eastAsia"/>
        </w:rPr>
        <w:t>外部救援人力资源</w:t>
      </w:r>
      <w:bookmarkEnd w:id="346"/>
      <w:bookmarkEnd w:id="347"/>
      <w:bookmarkEnd w:id="348"/>
      <w:bookmarkEnd w:id="349"/>
    </w:p>
    <w:p>
      <w:pPr>
        <w:pStyle w:val="6"/>
        <w:numPr>
          <w:ilvl w:val="2"/>
          <w:numId w:val="0"/>
        </w:numPr>
        <w:ind w:leftChars="0"/>
      </w:pPr>
      <w:bookmarkStart w:id="350" w:name="_Toc527357524"/>
      <w:r>
        <w:rPr>
          <w:rFonts w:hint="eastAsia"/>
          <w:lang w:val="en-US" w:eastAsia="zh-CN"/>
        </w:rPr>
        <w:t>3.2.1</w:t>
      </w:r>
      <w:r>
        <w:rPr>
          <w:rFonts w:hint="eastAsia"/>
        </w:rPr>
        <w:t>求政府协调应急救援力量</w:t>
      </w:r>
      <w:bookmarkEnd w:id="350"/>
    </w:p>
    <w:p>
      <w:pPr>
        <w:ind w:firstLine="560"/>
      </w:pPr>
      <w:r>
        <w:rPr>
          <w:rFonts w:hint="eastAsia"/>
        </w:rPr>
        <w:t>外部救援机构均为政府职能部门或服务型机构，公司虽未与有关部门签订应急救援协议或互救协议，一旦发生突发环境事件，通过信息传递需要实施外部救援时，相关部门本着“以人为本、快速响应”的原则，有责任和义务对本公司进行应急救援。外部救援机构名单见下表。</w:t>
      </w:r>
    </w:p>
    <w:p>
      <w:pPr>
        <w:pStyle w:val="8"/>
        <w:keepNext/>
        <w:rPr>
          <w:rFonts w:hint="eastAsia"/>
        </w:rPr>
      </w:pPr>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3</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2</w:t>
      </w:r>
      <w:r>
        <w:fldChar w:fldCharType="end"/>
      </w:r>
      <w:r>
        <w:rPr>
          <w:rFonts w:hint="eastAsia"/>
        </w:rPr>
        <w:t>外部救援机构联系方式</w:t>
      </w:r>
    </w:p>
    <w:tbl>
      <w:tblPr>
        <w:tblStyle w:val="15"/>
        <w:tblpPr w:leftFromText="180" w:rightFromText="180" w:vertAnchor="page" w:horzAnchor="page" w:tblpX="1797" w:tblpY="1448"/>
        <w:tblOverlap w:val="never"/>
        <w:tblW w:w="481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29"/>
        <w:gridCol w:w="3064"/>
        <w:gridCol w:w="29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shd w:val="clear" w:color="auto" w:fill="auto"/>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单位</w:t>
            </w:r>
          </w:p>
        </w:tc>
        <w:tc>
          <w:tcPr>
            <w:tcW w:w="1704" w:type="pct"/>
            <w:shd w:val="clear" w:color="auto" w:fill="auto"/>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科室名称</w:t>
            </w:r>
          </w:p>
        </w:tc>
        <w:tc>
          <w:tcPr>
            <w:tcW w:w="1666" w:type="pct"/>
            <w:shd w:val="clear" w:color="auto" w:fill="auto"/>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办公电话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Merge w:val="restart"/>
            <w:vAlign w:val="center"/>
          </w:tcPr>
          <w:p>
            <w:pPr>
              <w:widowControl/>
              <w:snapToGrid w:val="0"/>
              <w:spacing w:line="240" w:lineRule="auto"/>
              <w:ind w:firstLine="0" w:firstLineChars="0"/>
              <w:contextualSpacing/>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南昌市生态环境局</w:t>
            </w:r>
          </w:p>
        </w:tc>
        <w:tc>
          <w:tcPr>
            <w:tcW w:w="1704"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办公室</w:t>
            </w:r>
          </w:p>
        </w:tc>
        <w:tc>
          <w:tcPr>
            <w:tcW w:w="1666"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0791-86356015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Merge w:val="continue"/>
            <w:vAlign w:val="center"/>
          </w:tcPr>
          <w:p>
            <w:pPr>
              <w:widowControl/>
              <w:snapToGrid w:val="0"/>
              <w:spacing w:line="240" w:lineRule="auto"/>
              <w:ind w:firstLine="0" w:firstLineChars="0"/>
              <w:contextualSpacing/>
              <w:jc w:val="center"/>
              <w:rPr>
                <w:rFonts w:cs="Times New Roman"/>
                <w:color w:val="000000"/>
                <w:kern w:val="0"/>
                <w:sz w:val="21"/>
                <w:szCs w:val="21"/>
              </w:rPr>
            </w:pPr>
          </w:p>
        </w:tc>
        <w:tc>
          <w:tcPr>
            <w:tcW w:w="1704"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hint="eastAsia" w:cs="Times New Roman"/>
                <w:color w:val="000000"/>
                <w:kern w:val="0"/>
                <w:sz w:val="21"/>
                <w:szCs w:val="21"/>
              </w:rPr>
              <w:t>污染防治处</w:t>
            </w:r>
          </w:p>
        </w:tc>
        <w:tc>
          <w:tcPr>
            <w:tcW w:w="1666"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0791-86356022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Merge w:val="continue"/>
            <w:vAlign w:val="center"/>
          </w:tcPr>
          <w:p>
            <w:pPr>
              <w:widowControl/>
              <w:snapToGrid w:val="0"/>
              <w:spacing w:line="240" w:lineRule="auto"/>
              <w:ind w:firstLine="0" w:firstLineChars="0"/>
              <w:contextualSpacing/>
              <w:jc w:val="center"/>
              <w:rPr>
                <w:rFonts w:cs="Times New Roman"/>
                <w:color w:val="000000"/>
                <w:kern w:val="0"/>
                <w:sz w:val="21"/>
                <w:szCs w:val="21"/>
              </w:rPr>
            </w:pPr>
          </w:p>
        </w:tc>
        <w:tc>
          <w:tcPr>
            <w:tcW w:w="1704" w:type="pct"/>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rPr>
            </w:pPr>
            <w:r>
              <w:rPr>
                <w:rFonts w:hint="eastAsia" w:cs="Times New Roman"/>
                <w:color w:val="000000"/>
                <w:kern w:val="0"/>
                <w:sz w:val="21"/>
                <w:szCs w:val="21"/>
                <w:lang w:val="en-US" w:eastAsia="zh-CN"/>
              </w:rPr>
              <w:t>昌北生态环境局</w:t>
            </w:r>
          </w:p>
        </w:tc>
        <w:tc>
          <w:tcPr>
            <w:tcW w:w="1666" w:type="pct"/>
            <w:vAlign w:val="center"/>
          </w:tcPr>
          <w:p>
            <w:pPr>
              <w:widowControl/>
              <w:snapToGrid w:val="0"/>
              <w:spacing w:line="240" w:lineRule="auto"/>
              <w:ind w:firstLine="0" w:firstLineChars="0"/>
              <w:contextualSpacing/>
              <w:jc w:val="center"/>
              <w:rPr>
                <w:rFonts w:hint="default" w:eastAsia="宋体" w:cs="Times New Roman"/>
                <w:color w:val="000000"/>
                <w:kern w:val="0"/>
                <w:sz w:val="21"/>
                <w:szCs w:val="21"/>
                <w:lang w:val="en-US" w:eastAsia="zh-CN"/>
              </w:rPr>
            </w:pPr>
            <w:r>
              <w:rPr>
                <w:rFonts w:cs="Times New Roman"/>
                <w:color w:val="000000"/>
                <w:kern w:val="0"/>
                <w:sz w:val="21"/>
                <w:szCs w:val="21"/>
                <w:highlight w:val="none"/>
              </w:rPr>
              <w:t>0791-8</w:t>
            </w:r>
            <w:r>
              <w:rPr>
                <w:rFonts w:hint="eastAsia" w:cs="Times New Roman"/>
                <w:color w:val="000000"/>
                <w:kern w:val="0"/>
                <w:sz w:val="21"/>
                <w:szCs w:val="21"/>
                <w:highlight w:val="none"/>
                <w:lang w:val="en-US" w:eastAsia="zh-CN"/>
              </w:rPr>
              <w:t>7121025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hint="eastAsia" w:cs="Times New Roman"/>
                <w:color w:val="000000"/>
                <w:kern w:val="0"/>
                <w:sz w:val="21"/>
                <w:szCs w:val="21"/>
                <w:lang w:val="en-US" w:eastAsia="zh-CN"/>
              </w:rPr>
              <w:t>南昌昌北经开</w:t>
            </w:r>
            <w:r>
              <w:rPr>
                <w:rFonts w:cs="Times New Roman"/>
                <w:color w:val="000000"/>
                <w:kern w:val="0"/>
                <w:sz w:val="21"/>
                <w:szCs w:val="21"/>
              </w:rPr>
              <w:t>区</w:t>
            </w:r>
            <w:r>
              <w:rPr>
                <w:rFonts w:hint="eastAsia" w:cs="Times New Roman"/>
                <w:color w:val="000000"/>
                <w:kern w:val="0"/>
                <w:sz w:val="21"/>
                <w:szCs w:val="21"/>
              </w:rPr>
              <w:t>管委会</w:t>
            </w:r>
          </w:p>
        </w:tc>
        <w:tc>
          <w:tcPr>
            <w:tcW w:w="1704"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办公室</w:t>
            </w:r>
          </w:p>
        </w:tc>
        <w:tc>
          <w:tcPr>
            <w:tcW w:w="1666" w:type="pct"/>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rPr>
            </w:pPr>
            <w:r>
              <w:rPr>
                <w:rFonts w:hint="eastAsia" w:cs="Times New Roman"/>
                <w:color w:val="000000"/>
                <w:kern w:val="0"/>
                <w:sz w:val="21"/>
                <w:szCs w:val="21"/>
                <w:lang w:eastAsia="zh-CN"/>
              </w:rPr>
              <w:t>0791-</w:t>
            </w:r>
            <w:r>
              <w:rPr>
                <w:rFonts w:hint="eastAsia" w:cs="Times New Roman"/>
                <w:color w:val="000000"/>
                <w:kern w:val="0"/>
                <w:sz w:val="21"/>
                <w:szCs w:val="21"/>
                <w:lang w:val="en-US" w:eastAsia="zh-CN"/>
              </w:rPr>
              <w:t>83805600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Merge w:val="restar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hint="eastAsia" w:cs="Times New Roman"/>
                <w:color w:val="000000"/>
                <w:kern w:val="0"/>
                <w:sz w:val="21"/>
                <w:szCs w:val="21"/>
              </w:rPr>
              <w:t>安全</w:t>
            </w:r>
          </w:p>
        </w:tc>
        <w:tc>
          <w:tcPr>
            <w:tcW w:w="1704" w:type="pct"/>
            <w:vAlign w:val="center"/>
          </w:tcPr>
          <w:p>
            <w:pPr>
              <w:widowControl/>
              <w:snapToGrid w:val="0"/>
              <w:spacing w:line="240" w:lineRule="auto"/>
              <w:ind w:firstLine="0" w:firstLineChars="0"/>
              <w:contextualSpacing/>
              <w:jc w:val="center"/>
              <w:rPr>
                <w:rFonts w:hint="eastAsia" w:eastAsia="宋体" w:cs="Times New Roman"/>
                <w:color w:val="000000"/>
                <w:kern w:val="0"/>
                <w:sz w:val="21"/>
                <w:szCs w:val="21"/>
                <w:lang w:eastAsia="zh-CN"/>
              </w:rPr>
            </w:pPr>
            <w:r>
              <w:rPr>
                <w:rFonts w:hint="eastAsia" w:cs="Times New Roman"/>
                <w:color w:val="000000"/>
                <w:kern w:val="0"/>
                <w:sz w:val="21"/>
                <w:szCs w:val="21"/>
              </w:rPr>
              <w:t>南昌市</w:t>
            </w:r>
            <w:r>
              <w:rPr>
                <w:rFonts w:hint="eastAsia" w:cs="Times New Roman"/>
                <w:color w:val="000000"/>
                <w:kern w:val="0"/>
                <w:sz w:val="21"/>
                <w:szCs w:val="21"/>
                <w:lang w:eastAsia="zh-CN"/>
              </w:rPr>
              <w:t>应急管理局</w:t>
            </w:r>
          </w:p>
        </w:tc>
        <w:tc>
          <w:tcPr>
            <w:tcW w:w="1666"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0791-83986158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Merge w:val="continue"/>
            <w:vAlign w:val="center"/>
          </w:tcPr>
          <w:p>
            <w:pPr>
              <w:widowControl/>
              <w:snapToGrid w:val="0"/>
              <w:spacing w:line="240" w:lineRule="auto"/>
              <w:ind w:firstLine="0" w:firstLineChars="0"/>
              <w:contextualSpacing/>
              <w:jc w:val="center"/>
              <w:rPr>
                <w:rFonts w:cs="Times New Roman"/>
                <w:color w:val="000000"/>
                <w:kern w:val="0"/>
                <w:sz w:val="21"/>
                <w:szCs w:val="21"/>
              </w:rPr>
            </w:pPr>
          </w:p>
        </w:tc>
        <w:tc>
          <w:tcPr>
            <w:tcW w:w="1704" w:type="pct"/>
            <w:vAlign w:val="center"/>
          </w:tcPr>
          <w:p>
            <w:pPr>
              <w:widowControl/>
              <w:snapToGrid w:val="0"/>
              <w:spacing w:line="240" w:lineRule="auto"/>
              <w:ind w:firstLine="0" w:firstLineChars="0"/>
              <w:contextualSpacing/>
              <w:jc w:val="center"/>
              <w:rPr>
                <w:rFonts w:hint="eastAsia" w:eastAsia="宋体" w:cs="Times New Roman"/>
                <w:color w:val="000000"/>
                <w:kern w:val="0"/>
                <w:sz w:val="21"/>
                <w:szCs w:val="21"/>
                <w:lang w:eastAsia="zh-CN"/>
              </w:rPr>
            </w:pPr>
            <w:r>
              <w:rPr>
                <w:rFonts w:hint="eastAsia" w:cs="Times New Roman"/>
                <w:color w:val="000000"/>
                <w:kern w:val="0"/>
                <w:sz w:val="21"/>
                <w:szCs w:val="21"/>
                <w:lang w:val="en-US" w:eastAsia="zh-CN"/>
              </w:rPr>
              <w:t>区</w:t>
            </w:r>
            <w:r>
              <w:rPr>
                <w:rFonts w:hint="eastAsia" w:cs="Times New Roman"/>
                <w:color w:val="000000"/>
                <w:kern w:val="0"/>
                <w:sz w:val="21"/>
                <w:szCs w:val="21"/>
                <w:lang w:eastAsia="zh-CN"/>
              </w:rPr>
              <w:t>应急管理局</w:t>
            </w:r>
          </w:p>
        </w:tc>
        <w:tc>
          <w:tcPr>
            <w:tcW w:w="1666" w:type="pct"/>
            <w:vAlign w:val="center"/>
          </w:tcPr>
          <w:p>
            <w:pPr>
              <w:widowControl/>
              <w:snapToGrid w:val="0"/>
              <w:spacing w:line="240" w:lineRule="auto"/>
              <w:ind w:firstLine="0" w:firstLineChars="0"/>
              <w:contextualSpacing/>
              <w:jc w:val="center"/>
              <w:rPr>
                <w:rFonts w:hint="default" w:eastAsia="宋体" w:cs="Times New Roman"/>
                <w:color w:val="000000"/>
                <w:kern w:val="0"/>
                <w:sz w:val="21"/>
                <w:szCs w:val="21"/>
                <w:lang w:val="en-US" w:eastAsia="zh-CN"/>
              </w:rPr>
            </w:pPr>
            <w:r>
              <w:rPr>
                <w:rFonts w:cs="Times New Roman"/>
                <w:color w:val="000000"/>
                <w:kern w:val="0"/>
                <w:sz w:val="21"/>
                <w:szCs w:val="21"/>
                <w:highlight w:val="none"/>
              </w:rPr>
              <w:t>0791-</w:t>
            </w:r>
            <w:r>
              <w:rPr>
                <w:rFonts w:hint="eastAsia" w:cs="Times New Roman"/>
                <w:color w:val="000000"/>
                <w:kern w:val="0"/>
                <w:sz w:val="21"/>
                <w:szCs w:val="21"/>
                <w:highlight w:val="none"/>
                <w:lang w:val="en-US" w:eastAsia="zh-CN"/>
              </w:rPr>
              <w:t>87951656</w:t>
            </w:r>
          </w:p>
        </w:tc>
      </w:tr>
    </w:tbl>
    <w:p/>
    <w:tbl>
      <w:tblPr>
        <w:tblStyle w:val="15"/>
        <w:tblpPr w:leftFromText="180" w:rightFromText="180" w:vertAnchor="page" w:horzAnchor="page" w:tblpX="1797" w:tblpY="1448"/>
        <w:tblOverlap w:val="never"/>
        <w:tblW w:w="481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29"/>
        <w:gridCol w:w="3064"/>
        <w:gridCol w:w="29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shd w:val="clear" w:color="auto" w:fill="auto"/>
            <w:vAlign w:val="center"/>
          </w:tcPr>
          <w:p>
            <w:pPr>
              <w:widowControl/>
              <w:snapToGrid w:val="0"/>
              <w:spacing w:line="240" w:lineRule="auto"/>
              <w:ind w:firstLine="0" w:firstLineChars="0"/>
              <w:contextualSpacing/>
              <w:jc w:val="center"/>
              <w:rPr>
                <w:rFonts w:cs="Times New Roman"/>
                <w:color w:val="000000"/>
                <w:kern w:val="0"/>
                <w:sz w:val="21"/>
                <w:szCs w:val="21"/>
              </w:rPr>
            </w:pPr>
            <w:bookmarkStart w:id="351" w:name="_Toc527357525"/>
            <w:r>
              <w:rPr>
                <w:rFonts w:cs="Times New Roman"/>
                <w:color w:val="000000"/>
                <w:kern w:val="0"/>
                <w:sz w:val="21"/>
                <w:szCs w:val="21"/>
              </w:rPr>
              <w:t>单位</w:t>
            </w:r>
          </w:p>
        </w:tc>
        <w:tc>
          <w:tcPr>
            <w:tcW w:w="1704" w:type="pct"/>
            <w:shd w:val="clear" w:color="auto" w:fill="auto"/>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科室名称</w:t>
            </w:r>
          </w:p>
        </w:tc>
        <w:tc>
          <w:tcPr>
            <w:tcW w:w="1666" w:type="pct"/>
            <w:shd w:val="clear" w:color="auto" w:fill="auto"/>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办公电话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Merge w:val="restart"/>
            <w:vAlign w:val="center"/>
          </w:tcPr>
          <w:p>
            <w:pPr>
              <w:widowControl/>
              <w:snapToGrid w:val="0"/>
              <w:spacing w:line="240" w:lineRule="auto"/>
              <w:ind w:firstLine="0" w:firstLineChars="0"/>
              <w:contextualSpacing/>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南昌市生态环境局</w:t>
            </w:r>
          </w:p>
        </w:tc>
        <w:tc>
          <w:tcPr>
            <w:tcW w:w="1704"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办公室</w:t>
            </w:r>
          </w:p>
        </w:tc>
        <w:tc>
          <w:tcPr>
            <w:tcW w:w="1666"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0791-86356015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Merge w:val="continue"/>
            <w:vAlign w:val="center"/>
          </w:tcPr>
          <w:p>
            <w:pPr>
              <w:widowControl/>
              <w:snapToGrid w:val="0"/>
              <w:spacing w:line="240" w:lineRule="auto"/>
              <w:ind w:firstLine="0" w:firstLineChars="0"/>
              <w:contextualSpacing/>
              <w:jc w:val="center"/>
              <w:rPr>
                <w:rFonts w:cs="Times New Roman"/>
                <w:color w:val="000000"/>
                <w:kern w:val="0"/>
                <w:sz w:val="21"/>
                <w:szCs w:val="21"/>
              </w:rPr>
            </w:pPr>
          </w:p>
        </w:tc>
        <w:tc>
          <w:tcPr>
            <w:tcW w:w="1704"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hint="eastAsia" w:cs="Times New Roman"/>
                <w:color w:val="000000"/>
                <w:kern w:val="0"/>
                <w:sz w:val="21"/>
                <w:szCs w:val="21"/>
              </w:rPr>
              <w:t>污染防治处</w:t>
            </w:r>
          </w:p>
        </w:tc>
        <w:tc>
          <w:tcPr>
            <w:tcW w:w="1666"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0791-86356022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Merge w:val="continue"/>
            <w:vAlign w:val="center"/>
          </w:tcPr>
          <w:p>
            <w:pPr>
              <w:widowControl/>
              <w:snapToGrid w:val="0"/>
              <w:spacing w:line="240" w:lineRule="auto"/>
              <w:ind w:firstLine="0" w:firstLineChars="0"/>
              <w:contextualSpacing/>
              <w:jc w:val="center"/>
              <w:rPr>
                <w:rFonts w:cs="Times New Roman"/>
                <w:color w:val="000000"/>
                <w:kern w:val="0"/>
                <w:sz w:val="21"/>
                <w:szCs w:val="21"/>
              </w:rPr>
            </w:pPr>
          </w:p>
        </w:tc>
        <w:tc>
          <w:tcPr>
            <w:tcW w:w="1704" w:type="pct"/>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rPr>
            </w:pPr>
            <w:r>
              <w:rPr>
                <w:rFonts w:hint="eastAsia" w:cs="Times New Roman"/>
                <w:color w:val="000000"/>
                <w:kern w:val="0"/>
                <w:sz w:val="21"/>
                <w:szCs w:val="21"/>
                <w:lang w:val="en-US" w:eastAsia="zh-CN"/>
              </w:rPr>
              <w:t>昌北生态环境局</w:t>
            </w:r>
          </w:p>
        </w:tc>
        <w:tc>
          <w:tcPr>
            <w:tcW w:w="1666" w:type="pct"/>
            <w:vAlign w:val="center"/>
          </w:tcPr>
          <w:p>
            <w:pPr>
              <w:widowControl/>
              <w:snapToGrid w:val="0"/>
              <w:spacing w:line="240" w:lineRule="auto"/>
              <w:ind w:firstLine="0" w:firstLineChars="0"/>
              <w:contextualSpacing/>
              <w:jc w:val="center"/>
              <w:rPr>
                <w:rFonts w:hint="default" w:eastAsia="宋体" w:cs="Times New Roman"/>
                <w:color w:val="000000"/>
                <w:kern w:val="0"/>
                <w:sz w:val="21"/>
                <w:szCs w:val="21"/>
                <w:lang w:val="en-US" w:eastAsia="zh-CN"/>
              </w:rPr>
            </w:pPr>
            <w:r>
              <w:rPr>
                <w:rFonts w:cs="Times New Roman"/>
                <w:color w:val="000000"/>
                <w:kern w:val="0"/>
                <w:sz w:val="21"/>
                <w:szCs w:val="21"/>
                <w:highlight w:val="none"/>
              </w:rPr>
              <w:t>0791-8</w:t>
            </w:r>
            <w:r>
              <w:rPr>
                <w:rFonts w:hint="eastAsia" w:cs="Times New Roman"/>
                <w:color w:val="000000"/>
                <w:kern w:val="0"/>
                <w:sz w:val="21"/>
                <w:szCs w:val="21"/>
                <w:highlight w:val="none"/>
                <w:lang w:val="en-US" w:eastAsia="zh-CN"/>
              </w:rPr>
              <w:t>7121025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hint="eastAsia" w:cs="Times New Roman"/>
                <w:color w:val="000000"/>
                <w:kern w:val="0"/>
                <w:sz w:val="21"/>
                <w:szCs w:val="21"/>
                <w:lang w:val="en-US" w:eastAsia="zh-CN"/>
              </w:rPr>
              <w:t>南昌昌北经开</w:t>
            </w:r>
            <w:r>
              <w:rPr>
                <w:rFonts w:cs="Times New Roman"/>
                <w:color w:val="000000"/>
                <w:kern w:val="0"/>
                <w:sz w:val="21"/>
                <w:szCs w:val="21"/>
              </w:rPr>
              <w:t>区</w:t>
            </w:r>
            <w:r>
              <w:rPr>
                <w:rFonts w:hint="eastAsia" w:cs="Times New Roman"/>
                <w:color w:val="000000"/>
                <w:kern w:val="0"/>
                <w:sz w:val="21"/>
                <w:szCs w:val="21"/>
              </w:rPr>
              <w:t>管委会</w:t>
            </w:r>
          </w:p>
        </w:tc>
        <w:tc>
          <w:tcPr>
            <w:tcW w:w="1704"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办公室</w:t>
            </w:r>
          </w:p>
        </w:tc>
        <w:tc>
          <w:tcPr>
            <w:tcW w:w="1666" w:type="pct"/>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rPr>
            </w:pPr>
            <w:r>
              <w:rPr>
                <w:rFonts w:hint="eastAsia" w:cs="Times New Roman"/>
                <w:color w:val="000000"/>
                <w:kern w:val="0"/>
                <w:sz w:val="21"/>
                <w:szCs w:val="21"/>
                <w:lang w:eastAsia="zh-CN"/>
              </w:rPr>
              <w:t>0791-</w:t>
            </w:r>
            <w:r>
              <w:rPr>
                <w:rFonts w:hint="eastAsia" w:cs="Times New Roman"/>
                <w:color w:val="000000"/>
                <w:kern w:val="0"/>
                <w:sz w:val="21"/>
                <w:szCs w:val="21"/>
                <w:lang w:val="en-US" w:eastAsia="zh-CN"/>
              </w:rPr>
              <w:t>83805600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Merge w:val="restar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hint="eastAsia" w:cs="Times New Roman"/>
                <w:color w:val="000000"/>
                <w:kern w:val="0"/>
                <w:sz w:val="21"/>
                <w:szCs w:val="21"/>
              </w:rPr>
              <w:t>安全</w:t>
            </w:r>
          </w:p>
        </w:tc>
        <w:tc>
          <w:tcPr>
            <w:tcW w:w="1704" w:type="pct"/>
            <w:vAlign w:val="center"/>
          </w:tcPr>
          <w:p>
            <w:pPr>
              <w:widowControl/>
              <w:snapToGrid w:val="0"/>
              <w:spacing w:line="240" w:lineRule="auto"/>
              <w:ind w:firstLine="0" w:firstLineChars="0"/>
              <w:contextualSpacing/>
              <w:jc w:val="center"/>
              <w:rPr>
                <w:rFonts w:hint="eastAsia" w:eastAsia="宋体" w:cs="Times New Roman"/>
                <w:color w:val="000000"/>
                <w:kern w:val="0"/>
                <w:sz w:val="21"/>
                <w:szCs w:val="21"/>
                <w:lang w:eastAsia="zh-CN"/>
              </w:rPr>
            </w:pPr>
            <w:r>
              <w:rPr>
                <w:rFonts w:hint="eastAsia" w:cs="Times New Roman"/>
                <w:color w:val="000000"/>
                <w:kern w:val="0"/>
                <w:sz w:val="21"/>
                <w:szCs w:val="21"/>
              </w:rPr>
              <w:t>南昌市</w:t>
            </w:r>
            <w:r>
              <w:rPr>
                <w:rFonts w:hint="eastAsia" w:cs="Times New Roman"/>
                <w:color w:val="000000"/>
                <w:kern w:val="0"/>
                <w:sz w:val="21"/>
                <w:szCs w:val="21"/>
                <w:lang w:eastAsia="zh-CN"/>
              </w:rPr>
              <w:t>应急管理局</w:t>
            </w:r>
          </w:p>
        </w:tc>
        <w:tc>
          <w:tcPr>
            <w:tcW w:w="1666"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0791-83986158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Merge w:val="continue"/>
            <w:vAlign w:val="center"/>
          </w:tcPr>
          <w:p>
            <w:pPr>
              <w:widowControl/>
              <w:snapToGrid w:val="0"/>
              <w:spacing w:line="240" w:lineRule="auto"/>
              <w:ind w:firstLine="0" w:firstLineChars="0"/>
              <w:contextualSpacing/>
              <w:jc w:val="center"/>
              <w:rPr>
                <w:rFonts w:cs="Times New Roman"/>
                <w:color w:val="000000"/>
                <w:kern w:val="0"/>
                <w:sz w:val="21"/>
                <w:szCs w:val="21"/>
              </w:rPr>
            </w:pPr>
          </w:p>
        </w:tc>
        <w:tc>
          <w:tcPr>
            <w:tcW w:w="1704" w:type="pct"/>
            <w:vAlign w:val="center"/>
          </w:tcPr>
          <w:p>
            <w:pPr>
              <w:widowControl/>
              <w:snapToGrid w:val="0"/>
              <w:spacing w:line="240" w:lineRule="auto"/>
              <w:ind w:firstLine="0" w:firstLineChars="0"/>
              <w:contextualSpacing/>
              <w:jc w:val="center"/>
              <w:rPr>
                <w:rFonts w:hint="eastAsia" w:eastAsia="宋体" w:cs="Times New Roman"/>
                <w:color w:val="000000"/>
                <w:kern w:val="0"/>
                <w:sz w:val="21"/>
                <w:szCs w:val="21"/>
                <w:lang w:eastAsia="zh-CN"/>
              </w:rPr>
            </w:pPr>
            <w:r>
              <w:rPr>
                <w:rFonts w:hint="eastAsia" w:cs="Times New Roman"/>
                <w:color w:val="000000"/>
                <w:kern w:val="0"/>
                <w:sz w:val="21"/>
                <w:szCs w:val="21"/>
                <w:lang w:val="en-US" w:eastAsia="zh-CN"/>
              </w:rPr>
              <w:t>区</w:t>
            </w:r>
            <w:r>
              <w:rPr>
                <w:rFonts w:hint="eastAsia" w:cs="Times New Roman"/>
                <w:color w:val="000000"/>
                <w:kern w:val="0"/>
                <w:sz w:val="21"/>
                <w:szCs w:val="21"/>
                <w:lang w:eastAsia="zh-CN"/>
              </w:rPr>
              <w:t>应急管理局</w:t>
            </w:r>
          </w:p>
        </w:tc>
        <w:tc>
          <w:tcPr>
            <w:tcW w:w="1666" w:type="pct"/>
            <w:vAlign w:val="center"/>
          </w:tcPr>
          <w:p>
            <w:pPr>
              <w:widowControl/>
              <w:snapToGrid w:val="0"/>
              <w:spacing w:line="240" w:lineRule="auto"/>
              <w:ind w:firstLine="0" w:firstLineChars="0"/>
              <w:contextualSpacing/>
              <w:jc w:val="center"/>
              <w:rPr>
                <w:rFonts w:hint="default" w:eastAsia="宋体" w:cs="Times New Roman"/>
                <w:color w:val="000000"/>
                <w:kern w:val="0"/>
                <w:sz w:val="21"/>
                <w:szCs w:val="21"/>
                <w:lang w:val="en-US" w:eastAsia="zh-CN"/>
              </w:rPr>
            </w:pPr>
            <w:r>
              <w:rPr>
                <w:rFonts w:cs="Times New Roman"/>
                <w:color w:val="000000"/>
                <w:kern w:val="0"/>
                <w:sz w:val="21"/>
                <w:szCs w:val="21"/>
                <w:highlight w:val="none"/>
              </w:rPr>
              <w:t>0791-</w:t>
            </w:r>
            <w:r>
              <w:rPr>
                <w:rFonts w:hint="eastAsia" w:cs="Times New Roman"/>
                <w:color w:val="000000"/>
                <w:kern w:val="0"/>
                <w:sz w:val="21"/>
                <w:szCs w:val="21"/>
                <w:highlight w:val="none"/>
                <w:lang w:val="en-US" w:eastAsia="zh-CN"/>
              </w:rPr>
              <w:t>87951656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Merge w:val="restar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公安</w:t>
            </w:r>
          </w:p>
        </w:tc>
        <w:tc>
          <w:tcPr>
            <w:tcW w:w="1704"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hint="eastAsia" w:cs="Times New Roman"/>
                <w:color w:val="000000"/>
                <w:kern w:val="0"/>
                <w:sz w:val="21"/>
                <w:szCs w:val="21"/>
                <w:lang w:val="en-US" w:eastAsia="zh-CN"/>
              </w:rPr>
              <w:t>经开区</w:t>
            </w:r>
            <w:r>
              <w:rPr>
                <w:rFonts w:cs="Times New Roman"/>
                <w:color w:val="000000"/>
                <w:kern w:val="0"/>
                <w:sz w:val="21"/>
                <w:szCs w:val="21"/>
              </w:rPr>
              <w:t>分局</w:t>
            </w:r>
          </w:p>
        </w:tc>
        <w:tc>
          <w:tcPr>
            <w:tcW w:w="1666" w:type="pct"/>
            <w:vAlign w:val="center"/>
          </w:tcPr>
          <w:p>
            <w:pPr>
              <w:widowControl/>
              <w:snapToGrid w:val="0"/>
              <w:spacing w:line="240" w:lineRule="auto"/>
              <w:ind w:firstLine="0" w:firstLineChars="0"/>
              <w:contextualSpacing/>
              <w:jc w:val="center"/>
              <w:rPr>
                <w:rFonts w:hint="default" w:eastAsia="宋体" w:cs="Times New Roman"/>
                <w:color w:val="000000"/>
                <w:kern w:val="0"/>
                <w:sz w:val="21"/>
                <w:szCs w:val="21"/>
                <w:lang w:val="en-US" w:eastAsia="zh-CN"/>
              </w:rPr>
            </w:pPr>
            <w:r>
              <w:rPr>
                <w:rFonts w:cs="Times New Roman"/>
                <w:color w:val="000000"/>
                <w:kern w:val="0"/>
                <w:sz w:val="21"/>
                <w:szCs w:val="21"/>
                <w:highlight w:val="none"/>
              </w:rPr>
              <w:t>0791-8</w:t>
            </w:r>
            <w:r>
              <w:rPr>
                <w:rFonts w:hint="eastAsia" w:cs="Times New Roman"/>
                <w:color w:val="000000"/>
                <w:kern w:val="0"/>
                <w:sz w:val="21"/>
                <w:szCs w:val="21"/>
                <w:highlight w:val="none"/>
                <w:lang w:val="en-US" w:eastAsia="zh-CN"/>
              </w:rPr>
              <w:t>3851110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Merge w:val="continue"/>
            <w:vAlign w:val="center"/>
          </w:tcPr>
          <w:p>
            <w:pPr>
              <w:widowControl/>
              <w:snapToGrid w:val="0"/>
              <w:spacing w:line="240" w:lineRule="auto"/>
              <w:ind w:firstLine="0" w:firstLineChars="0"/>
              <w:contextualSpacing/>
              <w:jc w:val="center"/>
              <w:rPr>
                <w:rFonts w:cs="Times New Roman"/>
                <w:color w:val="000000"/>
                <w:kern w:val="0"/>
                <w:sz w:val="21"/>
                <w:szCs w:val="21"/>
              </w:rPr>
            </w:pPr>
          </w:p>
        </w:tc>
        <w:tc>
          <w:tcPr>
            <w:tcW w:w="1704"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110指挥中心</w:t>
            </w:r>
          </w:p>
        </w:tc>
        <w:tc>
          <w:tcPr>
            <w:tcW w:w="1666"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hint="eastAsia" w:cs="Times New Roman"/>
                <w:color w:val="000000"/>
                <w:kern w:val="0"/>
                <w:sz w:val="21"/>
                <w:szCs w:val="21"/>
              </w:rPr>
              <w:t>1</w:t>
            </w:r>
            <w:r>
              <w:rPr>
                <w:rFonts w:cs="Times New Roman"/>
                <w:color w:val="000000"/>
                <w:kern w:val="0"/>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消防</w:t>
            </w:r>
          </w:p>
        </w:tc>
        <w:tc>
          <w:tcPr>
            <w:tcW w:w="1704"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hint="eastAsia" w:cs="Times New Roman"/>
                <w:color w:val="000000"/>
                <w:kern w:val="0"/>
                <w:sz w:val="21"/>
                <w:szCs w:val="21"/>
              </w:rPr>
              <w:t>南昌</w:t>
            </w:r>
            <w:r>
              <w:rPr>
                <w:rFonts w:cs="Times New Roman"/>
                <w:color w:val="000000"/>
                <w:kern w:val="0"/>
                <w:sz w:val="21"/>
                <w:szCs w:val="21"/>
              </w:rPr>
              <w:t>市消防队</w:t>
            </w:r>
          </w:p>
        </w:tc>
        <w:tc>
          <w:tcPr>
            <w:tcW w:w="1666"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hint="eastAsia" w:cs="Times New Roman"/>
                <w:color w:val="000000"/>
                <w:kern w:val="0"/>
                <w:sz w:val="21"/>
                <w:szCs w:val="21"/>
              </w:rPr>
              <w:t>1</w:t>
            </w:r>
            <w:r>
              <w:rPr>
                <w:rFonts w:cs="Times New Roman"/>
                <w:color w:val="000000"/>
                <w:kern w:val="0"/>
                <w:sz w:val="21"/>
                <w:szCs w:val="21"/>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市政府</w:t>
            </w:r>
          </w:p>
        </w:tc>
        <w:tc>
          <w:tcPr>
            <w:tcW w:w="1704"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办公室</w:t>
            </w:r>
          </w:p>
        </w:tc>
        <w:tc>
          <w:tcPr>
            <w:tcW w:w="1666"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07491-88132075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医疗部门</w:t>
            </w:r>
          </w:p>
        </w:tc>
        <w:tc>
          <w:tcPr>
            <w:tcW w:w="1704"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市人民医院</w:t>
            </w:r>
          </w:p>
        </w:tc>
        <w:tc>
          <w:tcPr>
            <w:tcW w:w="1666"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hint="eastAsia" w:cs="Times New Roman"/>
                <w:color w:val="000000"/>
                <w:kern w:val="0"/>
                <w:sz w:val="21"/>
                <w:szCs w:val="21"/>
              </w:rPr>
              <w:t>1</w:t>
            </w:r>
            <w:r>
              <w:rPr>
                <w:rFonts w:cs="Times New Roman"/>
                <w:color w:val="000000"/>
                <w:kern w:val="0"/>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29"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环境监测</w:t>
            </w:r>
          </w:p>
        </w:tc>
        <w:tc>
          <w:tcPr>
            <w:tcW w:w="1704" w:type="pct"/>
            <w:vAlign w:val="center"/>
          </w:tcPr>
          <w:p>
            <w:pPr>
              <w:widowControl/>
              <w:snapToGrid w:val="0"/>
              <w:spacing w:line="240" w:lineRule="auto"/>
              <w:ind w:firstLine="0" w:firstLineChars="0"/>
              <w:contextualSpacing/>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江西省南昌生态环境监测中心</w:t>
            </w:r>
          </w:p>
        </w:tc>
        <w:tc>
          <w:tcPr>
            <w:tcW w:w="1666" w:type="pct"/>
            <w:vAlign w:val="center"/>
          </w:tcPr>
          <w:p>
            <w:pPr>
              <w:widowControl/>
              <w:snapToGrid w:val="0"/>
              <w:spacing w:line="240" w:lineRule="auto"/>
              <w:ind w:firstLine="0" w:firstLineChars="0"/>
              <w:contextualSpacing/>
              <w:jc w:val="center"/>
              <w:rPr>
                <w:rFonts w:cs="Times New Roman"/>
                <w:color w:val="000000"/>
                <w:kern w:val="0"/>
                <w:sz w:val="21"/>
                <w:szCs w:val="21"/>
              </w:rPr>
            </w:pPr>
            <w:r>
              <w:rPr>
                <w:rFonts w:cs="Times New Roman"/>
                <w:color w:val="000000"/>
                <w:kern w:val="0"/>
                <w:sz w:val="21"/>
                <w:szCs w:val="21"/>
              </w:rPr>
              <w:t>0791-86356077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333" w:type="pct"/>
            <w:gridSpan w:val="2"/>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cs="Times New Roman"/>
                <w:color w:val="000000"/>
                <w:kern w:val="0"/>
                <w:sz w:val="21"/>
                <w:szCs w:val="21"/>
              </w:rPr>
              <w:t>洪城水业</w:t>
            </w:r>
          </w:p>
        </w:tc>
        <w:tc>
          <w:tcPr>
            <w:tcW w:w="1666" w:type="pct"/>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rPr>
              <w:t>0791-</w:t>
            </w:r>
            <w:r>
              <w:rPr>
                <w:rFonts w:cs="Times New Roman"/>
                <w:color w:val="000000"/>
                <w:kern w:val="0"/>
                <w:sz w:val="21"/>
                <w:szCs w:val="21"/>
              </w:rPr>
              <w:t>85218115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333" w:type="pct"/>
            <w:gridSpan w:val="2"/>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rPr>
              <w:t>水务运营管理体系部</w:t>
            </w:r>
            <w:r>
              <w:rPr>
                <w:rFonts w:hint="eastAsia" w:cs="Times New Roman"/>
                <w:color w:val="000000"/>
                <w:kern w:val="0"/>
                <w:sz w:val="21"/>
                <w:szCs w:val="21"/>
                <w:lang w:eastAsia="zh-CN"/>
              </w:rPr>
              <w:t>（</w:t>
            </w:r>
            <w:r>
              <w:rPr>
                <w:rFonts w:hint="eastAsia" w:cs="Times New Roman"/>
                <w:color w:val="000000"/>
                <w:kern w:val="0"/>
                <w:sz w:val="21"/>
                <w:szCs w:val="21"/>
                <w:lang w:val="en-US" w:eastAsia="zh-CN"/>
              </w:rPr>
              <w:t>陈燕婷</w:t>
            </w:r>
            <w:r>
              <w:rPr>
                <w:rFonts w:hint="eastAsia" w:cs="Times New Roman"/>
                <w:color w:val="000000"/>
                <w:kern w:val="0"/>
                <w:sz w:val="21"/>
                <w:szCs w:val="21"/>
                <w:lang w:eastAsia="zh-CN"/>
              </w:rPr>
              <w:t>）</w:t>
            </w:r>
          </w:p>
        </w:tc>
        <w:tc>
          <w:tcPr>
            <w:tcW w:w="1666" w:type="pct"/>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13701615924</w:t>
            </w:r>
          </w:p>
        </w:tc>
      </w:tr>
    </w:tbl>
    <w:p>
      <w:pPr>
        <w:pStyle w:val="6"/>
        <w:numPr>
          <w:ilvl w:val="2"/>
          <w:numId w:val="0"/>
        </w:numPr>
        <w:ind w:leftChars="0"/>
      </w:pPr>
      <w:r>
        <w:rPr>
          <w:rFonts w:hint="eastAsia"/>
          <w:lang w:val="en-US" w:eastAsia="zh-CN"/>
        </w:rPr>
        <w:t>3.2.2</w:t>
      </w:r>
      <w:r>
        <w:rPr>
          <w:rFonts w:hint="eastAsia"/>
        </w:rPr>
        <w:t>单位互助</w:t>
      </w:r>
      <w:bookmarkEnd w:id="351"/>
    </w:p>
    <w:p>
      <w:pPr>
        <w:ind w:firstLine="560"/>
      </w:pPr>
      <w:r>
        <w:rPr>
          <w:rFonts w:hint="eastAsia"/>
        </w:rPr>
        <w:t>长期以来，</w:t>
      </w:r>
      <w:r>
        <w:rPr>
          <w:rFonts w:hint="eastAsia"/>
          <w:lang w:eastAsia="zh-CN"/>
        </w:rPr>
        <w:t>与公司邻近的企业</w:t>
      </w:r>
      <w:r>
        <w:rPr>
          <w:rFonts w:hint="eastAsia"/>
        </w:rPr>
        <w:t>保持着良好的合作关系，相互依存，互利互惠。在事故时，</w:t>
      </w:r>
      <w:r>
        <w:rPr>
          <w:rFonts w:hint="eastAsia"/>
          <w:lang w:eastAsia="zh-CN"/>
        </w:rPr>
        <w:t>相邻的企业</w:t>
      </w:r>
      <w:r>
        <w:rPr>
          <w:rFonts w:hint="eastAsia"/>
        </w:rPr>
        <w:t>能够给</w:t>
      </w:r>
      <w:r>
        <w:rPr>
          <w:rFonts w:hint="eastAsia"/>
          <w:lang w:eastAsia="zh-CN"/>
        </w:rPr>
        <w:t>予</w:t>
      </w:r>
      <w:r>
        <w:rPr>
          <w:rFonts w:hint="eastAsia"/>
        </w:rPr>
        <w:t>公司运输、人员、救治以及救援部分物资等方面的帮助。同时也能够依据救援需要，提供其他相应支持。一旦发生重大环境事件，本单位抢救抢险力量不够时，或有可能危及社会安全时，指挥部必须立即向南昌市消防大队请求救援力量。</w:t>
      </w:r>
    </w:p>
    <w:p>
      <w:pPr>
        <w:ind w:firstLine="0" w:firstLineChars="0"/>
        <w:sectPr>
          <w:pgSz w:w="11906" w:h="16838"/>
          <w:pgMar w:top="1304" w:right="1247" w:bottom="1304" w:left="1531" w:header="851" w:footer="851" w:gutter="0"/>
          <w:pgBorders>
            <w:top w:val="none" w:sz="0" w:space="0"/>
            <w:left w:val="none" w:sz="0" w:space="0"/>
            <w:bottom w:val="none" w:sz="0" w:space="0"/>
            <w:right w:val="none" w:sz="0" w:space="0"/>
          </w:pgBorders>
          <w:pgNumType w:fmt="decimal"/>
          <w:cols w:space="425" w:num="1"/>
          <w:docGrid w:type="lines" w:linePitch="312" w:charSpace="0"/>
        </w:sectPr>
      </w:pPr>
    </w:p>
    <w:p>
      <w:pPr>
        <w:pStyle w:val="4"/>
        <w:numPr>
          <w:ilvl w:val="0"/>
          <w:numId w:val="0"/>
        </w:numPr>
        <w:ind w:leftChars="0"/>
      </w:pPr>
      <w:bookmarkStart w:id="352" w:name="_Toc527357526"/>
      <w:bookmarkStart w:id="353" w:name="_Toc526520652"/>
      <w:bookmarkStart w:id="354" w:name="_Toc527064041"/>
      <w:bookmarkStart w:id="355" w:name="_Toc7286"/>
      <w:r>
        <w:rPr>
          <w:rFonts w:hint="eastAsia"/>
          <w:lang w:val="en-US" w:eastAsia="zh-CN"/>
        </w:rPr>
        <w:t>4</w:t>
      </w:r>
      <w:r>
        <w:rPr>
          <w:rFonts w:hint="eastAsia"/>
        </w:rPr>
        <w:t>环境应急设施装备调查</w:t>
      </w:r>
      <w:bookmarkEnd w:id="352"/>
      <w:bookmarkEnd w:id="353"/>
      <w:bookmarkEnd w:id="354"/>
      <w:bookmarkEnd w:id="355"/>
    </w:p>
    <w:p>
      <w:pPr>
        <w:ind w:firstLine="560"/>
      </w:pPr>
      <w:r>
        <w:rPr>
          <w:rFonts w:hint="eastAsia"/>
        </w:rPr>
        <w:t>应急设施装备是突发环境事件应急救援的重要物质保障，也是保证应急队伍有效开展工作的基础。现有环境风险事故的应急物资和装备情况如下表所示。</w:t>
      </w:r>
    </w:p>
    <w:p>
      <w:pPr>
        <w:pStyle w:val="8"/>
        <w:keepNext/>
      </w:pPr>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1</w:t>
      </w:r>
      <w:r>
        <w:fldChar w:fldCharType="end"/>
      </w:r>
      <w:r>
        <w:rPr>
          <w:rFonts w:hint="eastAsia"/>
        </w:rPr>
        <w:t>现有应急设施装备一览表</w:t>
      </w:r>
    </w:p>
    <w:tbl>
      <w:tblPr>
        <w:tblStyle w:val="15"/>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1"/>
        <w:gridCol w:w="3223"/>
        <w:gridCol w:w="1364"/>
        <w:gridCol w:w="2840"/>
        <w:gridCol w:w="10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序号</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设施名称</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规格型号</w:t>
            </w: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设施位置</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耐酸碱手套</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应急柜</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2双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2</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防护面罩</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应急柜</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2个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3</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急救箱</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车间</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4</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推车式二氧化碳灭火器</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MFT20</w:t>
            </w: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原水泵房</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5</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手提式二氧化碳灭火器</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MT2</w:t>
            </w: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原水泵房</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18只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6</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手提式二氧化碳灭火器</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MT2</w:t>
            </w: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厂区</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30只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7</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室外消火栓</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SN-100</w:t>
            </w: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厂区</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10只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8</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室内消防栓</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SN-50</w:t>
            </w: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全场建筑</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3只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9</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喷淋洗眼器</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lang w:val="en-US" w:eastAsia="zh-CN"/>
              </w:rPr>
              <w:t>次氯酸钠间</w:t>
            </w:r>
            <w:r>
              <w:rPr>
                <w:rFonts w:hint="eastAsia" w:cs="Times New Roman"/>
                <w:color w:val="000000"/>
                <w:kern w:val="0"/>
                <w:sz w:val="21"/>
                <w:szCs w:val="21"/>
              </w:rPr>
              <w:t>、化验室</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7只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10</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防毒面具</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过滤式</w:t>
            </w:r>
          </w:p>
        </w:tc>
        <w:tc>
          <w:tcPr>
            <w:tcW w:w="1520" w:type="pct"/>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次氯酸钠间</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11</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漏氯报警仪</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lang w:val="en-US" w:eastAsia="zh-CN"/>
              </w:rPr>
              <w:t>次氯酸钠间</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4个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exact"/>
          <w:jc w:val="center"/>
        </w:trPr>
        <w:tc>
          <w:tcPr>
            <w:tcW w:w="456"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12</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风向标</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滤池上面</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exact"/>
          <w:jc w:val="center"/>
        </w:trPr>
        <w:tc>
          <w:tcPr>
            <w:tcW w:w="456"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13</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担架</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滤池</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exact"/>
          <w:jc w:val="center"/>
        </w:trPr>
        <w:tc>
          <w:tcPr>
            <w:tcW w:w="456"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14</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密闭式防护服</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lang w:val="en-US" w:eastAsia="zh-CN"/>
              </w:rPr>
              <w:t>次氯酸钠间</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3套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exact"/>
          <w:jc w:val="center"/>
        </w:trPr>
        <w:tc>
          <w:tcPr>
            <w:tcW w:w="456"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15</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耐酸碱手套</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lang w:val="en-US" w:eastAsia="zh-CN"/>
              </w:rPr>
              <w:t>次氯酸钠间</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5副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exact"/>
          <w:jc w:val="center"/>
        </w:trPr>
        <w:tc>
          <w:tcPr>
            <w:tcW w:w="456"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16</w:t>
            </w:r>
          </w:p>
        </w:tc>
        <w:tc>
          <w:tcPr>
            <w:tcW w:w="1725"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正压式呼吸器</w:t>
            </w:r>
          </w:p>
        </w:tc>
        <w:tc>
          <w:tcPr>
            <w:tcW w:w="730" w:type="pct"/>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lang w:val="en-US" w:eastAsia="zh-CN"/>
              </w:rPr>
              <w:t>次氯酸钠间</w:t>
            </w:r>
          </w:p>
        </w:tc>
        <w:tc>
          <w:tcPr>
            <w:tcW w:w="567"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2个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exact"/>
          <w:jc w:val="center"/>
        </w:trPr>
        <w:tc>
          <w:tcPr>
            <w:tcW w:w="456"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17</w:t>
            </w:r>
          </w:p>
        </w:tc>
        <w:tc>
          <w:tcPr>
            <w:tcW w:w="1725"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砂子</w:t>
            </w:r>
          </w:p>
        </w:tc>
        <w:tc>
          <w:tcPr>
            <w:tcW w:w="730" w:type="pct"/>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车间外</w:t>
            </w:r>
          </w:p>
        </w:tc>
        <w:tc>
          <w:tcPr>
            <w:tcW w:w="567"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500公斤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exact"/>
          <w:jc w:val="center"/>
        </w:trPr>
        <w:tc>
          <w:tcPr>
            <w:tcW w:w="456"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18</w:t>
            </w:r>
          </w:p>
        </w:tc>
        <w:tc>
          <w:tcPr>
            <w:tcW w:w="1725"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锹</w:t>
            </w:r>
          </w:p>
        </w:tc>
        <w:tc>
          <w:tcPr>
            <w:tcW w:w="730" w:type="pct"/>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车间外</w:t>
            </w:r>
          </w:p>
        </w:tc>
        <w:tc>
          <w:tcPr>
            <w:tcW w:w="567"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4把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exact"/>
          <w:jc w:val="center"/>
        </w:trPr>
        <w:tc>
          <w:tcPr>
            <w:tcW w:w="456"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19</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三脚架</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仓库</w:t>
            </w:r>
          </w:p>
        </w:tc>
        <w:tc>
          <w:tcPr>
            <w:tcW w:w="567" w:type="pct"/>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exact"/>
          <w:jc w:val="center"/>
        </w:trPr>
        <w:tc>
          <w:tcPr>
            <w:tcW w:w="456"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20</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鼓风机</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lang w:val="en-US" w:eastAsia="zh-CN"/>
              </w:rPr>
              <w:t>仓库</w:t>
            </w:r>
          </w:p>
        </w:tc>
        <w:tc>
          <w:tcPr>
            <w:tcW w:w="567" w:type="pct"/>
            <w:vAlign w:val="center"/>
          </w:tcPr>
          <w:p>
            <w:pPr>
              <w:widowControl/>
              <w:snapToGrid w:val="0"/>
              <w:spacing w:line="240" w:lineRule="auto"/>
              <w:ind w:firstLine="0" w:firstLineChars="0"/>
              <w:contextualSpacing/>
              <w:jc w:val="center"/>
              <w:rPr>
                <w:rFonts w:hint="default" w:cs="Times New Roman"/>
                <w:color w:val="000000"/>
                <w:kern w:val="0"/>
                <w:sz w:val="21"/>
                <w:szCs w:val="21"/>
                <w:lang w:val="en-US" w:eastAsia="zh-CN"/>
              </w:rPr>
            </w:pPr>
            <w:r>
              <w:rPr>
                <w:rFonts w:hint="eastAsia" w:cs="Times New Roman"/>
                <w:color w:val="000000"/>
                <w:kern w:val="0"/>
                <w:sz w:val="21"/>
                <w:szCs w:val="21"/>
                <w:lang w:val="en-US" w:eastAsia="zh-CN"/>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7" w:hRule="exact"/>
          <w:jc w:val="center"/>
        </w:trPr>
        <w:tc>
          <w:tcPr>
            <w:tcW w:w="456"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21</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便携式4合1气体报警器</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RAE PGM-2400P</w:t>
            </w: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lang w:val="en-US" w:eastAsia="zh-CN"/>
              </w:rPr>
              <w:t>仓库</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exact"/>
          <w:jc w:val="center"/>
        </w:trPr>
        <w:tc>
          <w:tcPr>
            <w:tcW w:w="456" w:type="pct"/>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22</w:t>
            </w:r>
          </w:p>
        </w:tc>
        <w:tc>
          <w:tcPr>
            <w:tcW w:w="1725"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担架</w:t>
            </w:r>
          </w:p>
        </w:tc>
        <w:tc>
          <w:tcPr>
            <w:tcW w:w="730"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p>
        </w:tc>
        <w:tc>
          <w:tcPr>
            <w:tcW w:w="1520" w:type="pct"/>
            <w:vAlign w:val="center"/>
          </w:tcPr>
          <w:p>
            <w:pPr>
              <w:widowControl/>
              <w:snapToGrid w:val="0"/>
              <w:spacing w:line="240" w:lineRule="auto"/>
              <w:ind w:firstLine="0" w:firstLineChars="0"/>
              <w:contextualSpacing/>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仓库</w:t>
            </w:r>
          </w:p>
        </w:tc>
        <w:tc>
          <w:tcPr>
            <w:tcW w:w="567" w:type="pct"/>
            <w:vAlign w:val="center"/>
          </w:tcPr>
          <w:p>
            <w:pPr>
              <w:widowControl/>
              <w:snapToGrid w:val="0"/>
              <w:spacing w:line="240" w:lineRule="auto"/>
              <w:ind w:firstLine="0" w:firstLineChars="0"/>
              <w:contextualSpacing/>
              <w:jc w:val="center"/>
              <w:rPr>
                <w:rFonts w:hint="eastAsia" w:cs="Times New Roman"/>
                <w:color w:val="000000"/>
                <w:kern w:val="0"/>
                <w:sz w:val="21"/>
                <w:szCs w:val="21"/>
              </w:rPr>
            </w:pPr>
            <w:r>
              <w:rPr>
                <w:rFonts w:hint="eastAsia" w:cs="Times New Roman"/>
                <w:color w:val="000000"/>
                <w:kern w:val="0"/>
                <w:sz w:val="21"/>
                <w:szCs w:val="21"/>
              </w:rPr>
              <w:t>1套</w:t>
            </w:r>
          </w:p>
        </w:tc>
      </w:tr>
    </w:tbl>
    <w:p>
      <w:pPr>
        <w:ind w:firstLine="560"/>
        <w:rPr>
          <w:color w:val="000000" w:themeColor="text1"/>
          <w14:textFill>
            <w14:solidFill>
              <w14:schemeClr w14:val="tx1"/>
            </w14:solidFill>
          </w14:textFill>
        </w:rPr>
        <w:sectPr>
          <w:pgSz w:w="11906" w:h="16838"/>
          <w:pgMar w:top="1304" w:right="1247" w:bottom="1304" w:left="1531" w:header="851" w:footer="851" w:gutter="0"/>
          <w:pgBorders>
            <w:top w:val="none" w:sz="0" w:space="0"/>
            <w:left w:val="none" w:sz="0" w:space="0"/>
            <w:bottom w:val="none" w:sz="0" w:space="0"/>
            <w:right w:val="none" w:sz="0" w:space="0"/>
          </w:pgBorders>
          <w:pgNumType w:fmt="decimal"/>
          <w:cols w:space="425" w:num="1"/>
          <w:docGrid w:type="lines" w:linePitch="312" w:charSpace="0"/>
        </w:sectPr>
      </w:pPr>
    </w:p>
    <w:p>
      <w:pPr>
        <w:pStyle w:val="4"/>
        <w:numPr>
          <w:ilvl w:val="0"/>
          <w:numId w:val="0"/>
        </w:numPr>
        <w:ind w:leftChars="0"/>
      </w:pPr>
      <w:bookmarkStart w:id="356" w:name="_Toc527357527"/>
      <w:bookmarkStart w:id="357" w:name="_Toc527064042"/>
      <w:bookmarkStart w:id="358" w:name="_Toc526520653"/>
      <w:bookmarkStart w:id="359" w:name="_Toc25426"/>
      <w:r>
        <w:rPr>
          <w:rFonts w:hint="eastAsia"/>
          <w:lang w:val="en-US" w:eastAsia="zh-CN"/>
        </w:rPr>
        <w:t>5</w:t>
      </w:r>
      <w:r>
        <w:rPr>
          <w:rFonts w:hint="eastAsia"/>
        </w:rPr>
        <w:t>环境应急专项经费调查</w:t>
      </w:r>
      <w:bookmarkEnd w:id="356"/>
      <w:bookmarkEnd w:id="357"/>
      <w:bookmarkEnd w:id="358"/>
      <w:bookmarkEnd w:id="359"/>
    </w:p>
    <w:p>
      <w:pPr>
        <w:ind w:firstLine="560"/>
      </w:pPr>
      <w:r>
        <w:rPr>
          <w:rFonts w:hint="eastAsia"/>
        </w:rPr>
        <w:t>应急救援经费保障是在突发环境事件发生时迅速开展应急工作的重要保障，可靠的资金渠道和充足的经费才能保证有效开展应急救援工作和维护应急管理系统的正常运转，为此公司制定了应急救援专项经费保障措施，具体如下。</w:t>
      </w:r>
    </w:p>
    <w:p>
      <w:pPr>
        <w:ind w:firstLine="560"/>
      </w:pPr>
      <w:r>
        <w:rPr>
          <w:rFonts w:hint="eastAsia"/>
        </w:rPr>
        <w:t>1、建立应急经费保障机制</w:t>
      </w:r>
    </w:p>
    <w:p>
      <w:pPr>
        <w:ind w:firstLine="560"/>
      </w:pPr>
      <w:r>
        <w:rPr>
          <w:rFonts w:hint="eastAsia"/>
        </w:rPr>
        <w:t>应急经费保障着眼应对多种安全威胁，完成多样化救援任务的需要，按照战时应战、平时应急的思路，将现有应急管理体系中的抢险救灾领导机构和各应急救援专业小组有机结合起来。应急救援财力保障小组把抢险救灾经费、物资装备经费等项目进行整合和统一管理，平时做好动员准备、开展动员演练的经费保障，以及防灾抗灾经费管理的基础工作，负责对包括应急投入和应急专项资金在内的所有保障基金的管理和运营；制定应对各种自然灾害和突发事件经费保障的应急经费保障预案、紧急状态下的财经执行法规和制度；与包括现场抢险、安全救护、通信信息、交通运输、后勤服务在内的各有关职能小组建立紧急状况下的经费协调关系。一旦发生自然灾害或突发紧急事件，经费保障管理小组即成为应急救援经费管理中心，负责召集上述相关部门进行灾情分析和项目论证、救灾资金的紧急动员、各部门资金需求统计和协调、救灾物资的采购和统一支付以及阶段性资金投入使用。</w:t>
      </w:r>
    </w:p>
    <w:p>
      <w:pPr>
        <w:ind w:firstLine="560"/>
      </w:pPr>
      <w:r>
        <w:rPr>
          <w:rFonts w:hint="eastAsia"/>
        </w:rPr>
        <w:t>企业进行抗灾救灾活动要逐渐形成统计上报制度，并保证企业内部各系统之间信息渠道的顺畅。</w:t>
      </w:r>
    </w:p>
    <w:p>
      <w:pPr>
        <w:ind w:firstLine="560"/>
      </w:pPr>
      <w:r>
        <w:rPr>
          <w:rFonts w:hint="eastAsia"/>
        </w:rPr>
        <w:t>2、建立可靠的资金保障体系</w:t>
      </w:r>
    </w:p>
    <w:p>
      <w:pPr>
        <w:ind w:firstLine="560"/>
      </w:pPr>
      <w:r>
        <w:rPr>
          <w:rFonts w:hint="eastAsia"/>
        </w:rPr>
        <w:t>企业要建立一定规模的应急资金。每年在制定安全生产投入计划时要预留应急资金，并列入企业预算。</w:t>
      </w:r>
    </w:p>
    <w:p>
      <w:pPr>
        <w:ind w:firstLine="560"/>
      </w:pPr>
      <w:r>
        <w:rPr>
          <w:rFonts w:hint="eastAsia"/>
        </w:rPr>
        <w:t>3、强化经费保障监管</w:t>
      </w:r>
    </w:p>
    <w:p>
      <w:pPr>
        <w:ind w:firstLine="560"/>
        <w:sectPr>
          <w:pgSz w:w="11906" w:h="16838"/>
          <w:pgMar w:top="1304" w:right="1247" w:bottom="1304" w:left="1531" w:header="851" w:footer="851"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rPr>
        <w:t>健全完善救灾经费管理办法，使经费监管工作有章可循。监管工作覆盖经费筹措、申请划拨、采购支付全过程。</w:t>
      </w:r>
    </w:p>
    <w:p>
      <w:pPr>
        <w:pStyle w:val="4"/>
        <w:numPr>
          <w:ilvl w:val="0"/>
          <w:numId w:val="0"/>
        </w:numPr>
        <w:ind w:leftChars="0"/>
      </w:pPr>
      <w:bookmarkStart w:id="360" w:name="_Toc1474"/>
      <w:bookmarkStart w:id="361" w:name="_Toc527064043"/>
      <w:bookmarkStart w:id="362" w:name="_Toc526520654"/>
      <w:bookmarkStart w:id="363" w:name="_Toc527357528"/>
      <w:r>
        <w:rPr>
          <w:rFonts w:hint="eastAsia"/>
          <w:lang w:val="en-US" w:eastAsia="zh-CN"/>
        </w:rPr>
        <w:t>6</w:t>
      </w:r>
      <w:r>
        <w:rPr>
          <w:rFonts w:hint="eastAsia"/>
        </w:rPr>
        <w:t>结论</w:t>
      </w:r>
      <w:bookmarkEnd w:id="360"/>
      <w:bookmarkEnd w:id="361"/>
      <w:bookmarkEnd w:id="362"/>
      <w:bookmarkEnd w:id="363"/>
    </w:p>
    <w:p>
      <w:pPr>
        <w:pStyle w:val="5"/>
        <w:numPr>
          <w:ilvl w:val="1"/>
          <w:numId w:val="0"/>
        </w:numPr>
        <w:ind w:leftChars="0"/>
      </w:pPr>
      <w:bookmarkStart w:id="364" w:name="_Toc527357529"/>
      <w:bookmarkStart w:id="365" w:name="_Toc30808"/>
      <w:bookmarkStart w:id="366" w:name="_Toc526520655"/>
      <w:bookmarkStart w:id="367" w:name="_Toc527064044"/>
      <w:r>
        <w:rPr>
          <w:rFonts w:hint="eastAsia"/>
          <w:lang w:val="en-US" w:eastAsia="zh-CN"/>
        </w:rPr>
        <w:t>6.1</w:t>
      </w:r>
      <w:r>
        <w:rPr>
          <w:rFonts w:hint="eastAsia"/>
        </w:rPr>
        <w:t>现状</w:t>
      </w:r>
      <w:bookmarkEnd w:id="364"/>
      <w:bookmarkEnd w:id="365"/>
      <w:bookmarkEnd w:id="366"/>
      <w:bookmarkEnd w:id="367"/>
    </w:p>
    <w:p>
      <w:pPr>
        <w:ind w:firstLine="560"/>
      </w:pPr>
      <w:r>
        <w:rPr>
          <w:rFonts w:hint="eastAsia"/>
        </w:rPr>
        <w:t>本次环境应急资源调查从环境应急人力资源、环境应急设施装备物资、经费管理方面进行了调查。企业已组建了应急救援队伍，已配备了必要的应急物资和应急装备，并制定了专项经费保障措施。厂区现有应急处置物资和应急装备等较为齐全，并根据各区域可能发生的事故类型将所需应急资源合理分布，基本满足厂区突发环境事故时的应急需要。</w:t>
      </w:r>
    </w:p>
    <w:p>
      <w:pPr>
        <w:pStyle w:val="5"/>
        <w:numPr>
          <w:ilvl w:val="1"/>
          <w:numId w:val="0"/>
        </w:numPr>
        <w:ind w:leftChars="0"/>
        <w:rPr>
          <w:color w:val="000000" w:themeColor="text1"/>
          <w14:textFill>
            <w14:solidFill>
              <w14:schemeClr w14:val="tx1"/>
            </w14:solidFill>
          </w14:textFill>
        </w:rPr>
      </w:pPr>
      <w:bookmarkStart w:id="368" w:name="_Toc5649"/>
      <w:bookmarkStart w:id="369" w:name="_Toc527064045"/>
      <w:bookmarkStart w:id="370" w:name="_Toc526520656"/>
      <w:bookmarkStart w:id="371" w:name="_Toc527357530"/>
      <w:r>
        <w:rPr>
          <w:rFonts w:hint="eastAsia"/>
          <w:color w:val="000000" w:themeColor="text1"/>
          <w:lang w:val="en-US" w:eastAsia="zh-CN"/>
          <w14:textFill>
            <w14:solidFill>
              <w14:schemeClr w14:val="tx1"/>
            </w14:solidFill>
          </w14:textFill>
        </w:rPr>
        <w:t>6.2</w:t>
      </w:r>
      <w:r>
        <w:rPr>
          <w:rFonts w:hint="eastAsia"/>
          <w:color w:val="000000" w:themeColor="text1"/>
          <w14:textFill>
            <w14:solidFill>
              <w14:schemeClr w14:val="tx1"/>
            </w14:solidFill>
          </w14:textFill>
        </w:rPr>
        <w:t>存在问题</w:t>
      </w:r>
      <w:bookmarkEnd w:id="368"/>
      <w:bookmarkEnd w:id="369"/>
      <w:bookmarkEnd w:id="370"/>
      <w:bookmarkEnd w:id="371"/>
    </w:p>
    <w:p>
      <w:pPr>
        <w:ind w:firstLine="560"/>
        <w:rPr>
          <w:color w:val="000000" w:themeColor="text1"/>
          <w14:textFill>
            <w14:solidFill>
              <w14:schemeClr w14:val="tx1"/>
            </w14:solidFill>
          </w14:textFill>
        </w:rPr>
      </w:pPr>
      <w:r>
        <w:rPr>
          <w:rFonts w:hint="eastAsia"/>
          <w:color w:val="000000" w:themeColor="text1"/>
          <w14:textFill>
            <w14:solidFill>
              <w14:schemeClr w14:val="tx1"/>
            </w14:solidFill>
          </w14:textFill>
        </w:rPr>
        <w:t>公司已开展的应急演练多为消防或安全生产事故演练，有针对性的突发环境污染事故演练欠缺。</w:t>
      </w:r>
    </w:p>
    <w:p>
      <w:pPr>
        <w:ind w:firstLine="56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建立有综合应急事件信息报告制度，缺乏专项的突发环境事件信息报告制度。</w:t>
      </w:r>
    </w:p>
    <w:p>
      <w:pPr>
        <w:ind w:firstLine="560"/>
        <w:rPr>
          <w:rFonts w:hint="eastAsia" w:eastAsia="宋体"/>
          <w:color w:val="000000" w:themeColor="text1"/>
          <w:lang w:eastAsia="zh-CN"/>
          <w14:textFill>
            <w14:solidFill>
              <w14:schemeClr w14:val="tx1"/>
            </w14:solidFill>
          </w14:textFill>
        </w:rPr>
      </w:pPr>
      <w:r>
        <w:rPr>
          <w:rFonts w:hint="eastAsia"/>
          <w:lang w:eastAsia="zh-CN"/>
        </w:rPr>
        <w:t>危废暂存库未</w:t>
      </w:r>
      <w:r>
        <w:rPr>
          <w:rFonts w:hint="eastAsia"/>
        </w:rPr>
        <w:t>设置围堰，泄露的</w:t>
      </w:r>
      <w:r>
        <w:rPr>
          <w:rFonts w:hint="eastAsia"/>
          <w:lang w:val="en-US" w:eastAsia="zh-CN"/>
        </w:rPr>
        <w:t>实验室</w:t>
      </w:r>
      <w:r>
        <w:rPr>
          <w:rFonts w:hint="eastAsia"/>
          <w:lang w:eastAsia="zh-CN"/>
        </w:rPr>
        <w:t>废液等可能</w:t>
      </w:r>
      <w:r>
        <w:rPr>
          <w:rFonts w:hint="eastAsia"/>
        </w:rPr>
        <w:t>扩散到环境外</w:t>
      </w:r>
      <w:r>
        <w:rPr>
          <w:rFonts w:hint="eastAsia"/>
          <w:lang w:eastAsia="zh-CN"/>
        </w:rPr>
        <w:t>。</w:t>
      </w:r>
    </w:p>
    <w:p>
      <w:pPr>
        <w:pStyle w:val="5"/>
        <w:numPr>
          <w:ilvl w:val="1"/>
          <w:numId w:val="0"/>
        </w:numPr>
        <w:ind w:leftChars="0"/>
        <w:rPr>
          <w:color w:val="000000" w:themeColor="text1"/>
          <w14:textFill>
            <w14:solidFill>
              <w14:schemeClr w14:val="tx1"/>
            </w14:solidFill>
          </w14:textFill>
        </w:rPr>
      </w:pPr>
      <w:bookmarkStart w:id="372" w:name="_Toc527357531"/>
      <w:bookmarkStart w:id="373" w:name="_Toc527064046"/>
      <w:bookmarkStart w:id="374" w:name="_Toc4838"/>
      <w:bookmarkStart w:id="375" w:name="_Toc526520657"/>
      <w:r>
        <w:rPr>
          <w:rFonts w:hint="eastAsia"/>
          <w:color w:val="000000" w:themeColor="text1"/>
          <w:lang w:val="en-US" w:eastAsia="zh-CN"/>
          <w14:textFill>
            <w14:solidFill>
              <w14:schemeClr w14:val="tx1"/>
            </w14:solidFill>
          </w14:textFill>
        </w:rPr>
        <w:t>6.3</w:t>
      </w:r>
      <w:r>
        <w:rPr>
          <w:rFonts w:hint="eastAsia"/>
          <w:color w:val="000000" w:themeColor="text1"/>
          <w14:textFill>
            <w14:solidFill>
              <w14:schemeClr w14:val="tx1"/>
            </w14:solidFill>
          </w14:textFill>
        </w:rPr>
        <w:t>需补充、完善应急物资及装备</w:t>
      </w:r>
      <w:bookmarkEnd w:id="372"/>
      <w:bookmarkEnd w:id="373"/>
      <w:bookmarkEnd w:id="374"/>
      <w:bookmarkEnd w:id="375"/>
    </w:p>
    <w:p>
      <w:pPr>
        <w:ind w:firstLine="560"/>
      </w:pPr>
      <w:r>
        <w:rPr>
          <w:rFonts w:hint="eastAsia"/>
        </w:rPr>
        <w:t>经调查发现，厂区现有应急处置物资和应急装备等较为齐全，并根据各区域可能发生的事故类型将所需应急资源合理分布。建议</w:t>
      </w:r>
      <w:r>
        <w:rPr>
          <w:rFonts w:hint="eastAsia"/>
          <w:lang w:eastAsia="zh-CN"/>
        </w:rPr>
        <w:t>危废暂存库</w:t>
      </w:r>
      <w:r>
        <w:rPr>
          <w:rFonts w:hint="eastAsia"/>
        </w:rPr>
        <w:t>设置围堰，</w:t>
      </w:r>
      <w:r>
        <w:rPr>
          <w:rFonts w:hint="eastAsia"/>
          <w:lang w:eastAsia="zh-CN"/>
        </w:rPr>
        <w:t>防止</w:t>
      </w:r>
      <w:r>
        <w:rPr>
          <w:rFonts w:hint="eastAsia"/>
        </w:rPr>
        <w:t>泄露的</w:t>
      </w:r>
      <w:r>
        <w:rPr>
          <w:rFonts w:hint="eastAsia"/>
          <w:lang w:val="en-US" w:eastAsia="zh-CN"/>
        </w:rPr>
        <w:t>实验室</w:t>
      </w:r>
      <w:r>
        <w:rPr>
          <w:rFonts w:hint="eastAsia"/>
          <w:lang w:eastAsia="zh-CN"/>
        </w:rPr>
        <w:t>废液等</w:t>
      </w:r>
      <w:r>
        <w:rPr>
          <w:rFonts w:hint="eastAsia"/>
        </w:rPr>
        <w:t>扩散到环境外，能够更好的满足厂区突发环境事故时的应急需要，同时加强环境风险与环境应急管理培训力度及定期组织突发环境污染事故演练。</w:t>
      </w:r>
    </w:p>
    <w:p>
      <w:pPr>
        <w:ind w:firstLine="560"/>
      </w:pPr>
    </w:p>
    <w:p>
      <w:pPr>
        <w:pStyle w:val="19"/>
        <w:jc w:val="both"/>
        <w:rPr>
          <w:rFonts w:hint="eastAsia"/>
          <w:b/>
          <w:sz w:val="40"/>
          <w:lang w:eastAsia="zh-CN"/>
        </w:rPr>
        <w:sectPr>
          <w:pgSz w:w="11906" w:h="16838"/>
          <w:pgMar w:top="1440" w:right="1276" w:bottom="1440" w:left="1134" w:header="851" w:footer="992" w:gutter="0"/>
          <w:pgBorders>
            <w:top w:val="none" w:sz="0" w:space="0"/>
            <w:left w:val="none" w:sz="0" w:space="0"/>
            <w:bottom w:val="none" w:sz="0" w:space="0"/>
            <w:right w:val="none" w:sz="0" w:space="0"/>
          </w:pgBorders>
          <w:pgNumType w:fmt="decimal"/>
          <w:cols w:space="425" w:num="1"/>
          <w:docGrid w:type="linesAndChars" w:linePitch="381" w:charSpace="0"/>
        </w:sectPr>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center"/>
        <w:outlineLvl w:val="0"/>
        <w:rPr>
          <w:b/>
        </w:rPr>
      </w:pPr>
      <w:bookmarkStart w:id="376" w:name="_Toc14104"/>
      <w:bookmarkStart w:id="377" w:name="_Toc23413"/>
      <w:r>
        <w:rPr>
          <w:b/>
          <w:sz w:val="40"/>
        </w:rPr>
        <w:t>第</w:t>
      </w:r>
      <w:r>
        <w:rPr>
          <w:rFonts w:hint="eastAsia"/>
          <w:b/>
          <w:sz w:val="40"/>
          <w:lang w:eastAsia="zh-CN"/>
        </w:rPr>
        <w:t>五</w:t>
      </w:r>
      <w:r>
        <w:rPr>
          <w:b/>
          <w:sz w:val="40"/>
        </w:rPr>
        <w:t>部分：突发环境事件应急预案评审意见</w:t>
      </w:r>
      <w:bookmarkEnd w:id="376"/>
      <w:bookmarkEnd w:id="377"/>
    </w:p>
    <w:p>
      <w:pPr>
        <w:rPr>
          <w:rFonts w:hint="eastAsia"/>
          <w:b/>
          <w:sz w:val="40"/>
          <w:lang w:eastAsia="zh-CN"/>
        </w:rPr>
      </w:pPr>
      <w:r>
        <w:rPr>
          <w:rFonts w:hint="eastAsia"/>
          <w:b/>
          <w:sz w:val="40"/>
          <w:lang w:eastAsia="zh-CN"/>
        </w:rPr>
        <w:br w:type="page"/>
      </w:r>
    </w:p>
    <w:p>
      <w:pPr>
        <w:ind w:firstLine="0" w:firstLineChars="0"/>
      </w:pPr>
    </w:p>
    <w:p>
      <w:pPr>
        <w:widowControl/>
        <w:spacing w:line="240" w:lineRule="auto"/>
        <w:ind w:firstLine="0" w:firstLineChars="0"/>
        <w:jc w:val="left"/>
        <w:rPr>
          <w:rFonts w:hint="eastAsia" w:eastAsia="宋体"/>
          <w:lang w:eastAsia="zh-CN"/>
        </w:rPr>
      </w:pPr>
      <w:r>
        <w:br w:type="page"/>
      </w:r>
    </w:p>
    <w:p>
      <w:pPr>
        <w:ind w:firstLine="0" w:firstLineChars="0"/>
        <w:rPr>
          <w:rFonts w:hint="eastAsia" w:eastAsia="宋体"/>
          <w:lang w:eastAsia="zh-CN"/>
        </w:rPr>
      </w:pPr>
    </w:p>
    <w:p>
      <w:pPr>
        <w:widowControl/>
        <w:spacing w:line="240" w:lineRule="auto"/>
        <w:ind w:firstLine="0" w:firstLineChars="0"/>
        <w:jc w:val="left"/>
      </w:pPr>
      <w:r>
        <w:br w:type="page"/>
      </w:r>
    </w:p>
    <w:p>
      <w:pPr>
        <w:ind w:firstLine="0" w:firstLineChars="0"/>
        <w:rPr>
          <w:rFonts w:hint="eastAsia"/>
        </w:rPr>
      </w:pPr>
    </w:p>
    <w:p>
      <w:pPr>
        <w:pStyle w:val="19"/>
        <w:jc w:val="both"/>
        <w:rPr>
          <w:rFonts w:hint="eastAsia"/>
          <w:b/>
          <w:sz w:val="40"/>
          <w:lang w:eastAsia="zh-CN"/>
        </w:rPr>
      </w:pPr>
    </w:p>
    <w:sectPr>
      <w:headerReference r:id="rId16" w:type="default"/>
      <w:pgSz w:w="11906" w:h="16838"/>
      <w:pgMar w:top="1304" w:right="1247" w:bottom="1304" w:left="1531" w:header="851" w:footer="992" w:gutter="0"/>
      <w:pgBorders>
        <w:top w:val="none" w:sz="0" w:space="0"/>
        <w:left w:val="none" w:sz="0" w:space="0"/>
        <w:bottom w:val="none" w:sz="0" w:space="0"/>
        <w:right w:val="none" w:sz="0" w:space="0"/>
      </w:pgBorders>
      <w:pgNumType w:fmt="decimal"/>
      <w:cols w:space="0" w:num="1"/>
      <w:rtlGutter w:val="0"/>
      <w:docGrid w:type="linesAndChars" w:linePitch="384"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Arial Unicode MS">
    <w:altName w:val="宋体"/>
    <w:panose1 w:val="020B0604020202020204"/>
    <w:charset w:val="86"/>
    <w:family w:val="roman"/>
    <w:pitch w:val="default"/>
    <w:sig w:usb0="00000000" w:usb1="00000000" w:usb2="0000003F" w:usb3="00000000" w:csb0="603F01FF" w:csb1="FFFF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firstLine="0" w:firstLineChars="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Bdr>
        <w:top w:val="thickThinSmallGap" w:color="auto" w:sz="24" w:space="1"/>
      </w:pBdr>
      <w:spacing w:line="200" w:lineRule="exact"/>
      <w:ind w:firstLine="0" w:firstLineChars="0"/>
      <w:jc w:val="center"/>
    </w:pPr>
    <w:r>
      <w:rPr>
        <w:sz w:val="18"/>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val="en-US" w:eastAsia="zh-CN"/>
                            </w:rPr>
                            <w:t>193</w:t>
                          </w:r>
                          <w:r>
                            <w:rPr>
                              <w:rFonts w:hint="eastAsia"/>
                              <w:lang w:eastAsia="zh-CN"/>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KtWC3IVAgAAFQQAAA4AAAAAAAAA&#10;AQAgAAAAHwEAAGRycy9lMm9Eb2MueG1sUEsFBgAAAAAGAAYAWQEAAKYFAAAAAA==&#10;">
              <v:fill on="f" focussize="0,0"/>
              <v:stroke on="f" weight="0.5pt"/>
              <v:imagedata o:title=""/>
              <o:lock v:ext="edit" aspectratio="f"/>
              <v:textbox inset="0mm,0mm,0mm,0mm" style="mso-fit-shape-to-text:t;">
                <w:txbxContent>
                  <w:p>
                    <w:pPr>
                      <w:pStyle w:val="2"/>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val="en-US" w:eastAsia="zh-CN"/>
                      </w:rPr>
                      <w:t>193</w:t>
                    </w:r>
                    <w:r>
                      <w:rPr>
                        <w:rFonts w:hint="eastAsia"/>
                        <w:lang w:eastAsia="zh-CN"/>
                      </w:rPr>
                      <w:t xml:space="preserve"> 页</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Bdr>
        <w:top w:val="thickThinSmallGap" w:color="auto" w:sz="24" w:space="1"/>
      </w:pBdr>
      <w:spacing w:line="200" w:lineRule="exact"/>
      <w:ind w:firstLine="0" w:firstLineChars="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123</w:t>
                          </w:r>
                          <w:r>
                            <w:rPr>
                              <w:rFonts w:hint="eastAsia"/>
                              <w:lang w:eastAsia="zh-CN"/>
                            </w:rPr>
                            <w:fldChar w:fldCharType="end"/>
                          </w:r>
                          <w:r>
                            <w:rPr>
                              <w:rFonts w:hint="eastAsia"/>
                              <w:lang w:eastAsia="zh-CN"/>
                            </w:rPr>
                            <w:t xml:space="preserve"> 页 共 </w:t>
                          </w:r>
                          <w:r>
                            <w:rPr>
                              <w:rFonts w:hint="eastAsia"/>
                              <w:lang w:val="en-US" w:eastAsia="zh-CN"/>
                            </w:rPr>
                            <w:t>193</w:t>
                          </w:r>
                          <w:r>
                            <w:rPr>
                              <w:rFonts w:hint="eastAsia"/>
                              <w:lang w:eastAsia="zh-CN"/>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On+nJ0VAgAAFQQAAA4AAAAAAAAA&#10;AQAgAAAAHwEAAGRycy9lMm9Eb2MueG1sUEsFBgAAAAAGAAYAWQEAAKYFAAAAAA==&#10;">
              <v:fill on="f" focussize="0,0"/>
              <v:stroke on="f" weight="0.5pt"/>
              <v:imagedata o:title=""/>
              <o:lock v:ext="edit" aspectratio="f"/>
              <v:textbox inset="0mm,0mm,0mm,0mm" style="mso-fit-shape-to-text:t;">
                <w:txbxContent>
                  <w:p>
                    <w:pPr>
                      <w:pStyle w:val="2"/>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123</w:t>
                    </w:r>
                    <w:r>
                      <w:rPr>
                        <w:rFonts w:hint="eastAsia"/>
                        <w:lang w:eastAsia="zh-CN"/>
                      </w:rPr>
                      <w:fldChar w:fldCharType="end"/>
                    </w:r>
                    <w:r>
                      <w:rPr>
                        <w:rFonts w:hint="eastAsia"/>
                        <w:lang w:eastAsia="zh-CN"/>
                      </w:rPr>
                      <w:t xml:space="preserve"> 页 共 </w:t>
                    </w:r>
                    <w:r>
                      <w:rPr>
                        <w:rFonts w:hint="eastAsia"/>
                        <w:lang w:val="en-US" w:eastAsia="zh-CN"/>
                      </w:rPr>
                      <w:t>193</w:t>
                    </w:r>
                    <w:r>
                      <w:rPr>
                        <w:rFonts w:hint="eastAsia"/>
                        <w:lang w:eastAsia="zh-CN"/>
                      </w:rPr>
                      <w:t xml:space="preserve"> 页</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Bdr>
        <w:top w:val="thickThinSmallGap" w:color="auto" w:sz="24" w:space="1"/>
      </w:pBdr>
      <w:ind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177</w:t>
                          </w:r>
                          <w:r>
                            <w:rPr>
                              <w:rFonts w:hint="eastAsia"/>
                              <w:lang w:eastAsia="zh-CN"/>
                            </w:rPr>
                            <w:fldChar w:fldCharType="end"/>
                          </w:r>
                          <w:r>
                            <w:rPr>
                              <w:rFonts w:hint="eastAsia"/>
                              <w:lang w:eastAsia="zh-CN"/>
                            </w:rPr>
                            <w:t xml:space="preserve"> 页 共 </w:t>
                          </w:r>
                          <w:r>
                            <w:rPr>
                              <w:rFonts w:hint="eastAsia"/>
                              <w:lang w:val="en-US" w:eastAsia="zh-CN"/>
                            </w:rPr>
                            <w:t>193</w:t>
                          </w:r>
                          <w:r>
                            <w:rPr>
                              <w:rFonts w:hint="eastAsia"/>
                              <w:lang w:eastAsia="zh-CN"/>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PD2kG8VAgAAFQQAAA4AAAAAAAAA&#10;AQAgAAAAHwEAAGRycy9lMm9Eb2MueG1sUEsFBgAAAAAGAAYAWQEAAKYFAAAAAA==&#10;">
              <v:fill on="f" focussize="0,0"/>
              <v:stroke on="f" weight="0.5pt"/>
              <v:imagedata o:title=""/>
              <o:lock v:ext="edit" aspectratio="f"/>
              <v:textbox inset="0mm,0mm,0mm,0mm" style="mso-fit-shape-to-text:t;">
                <w:txbxContent>
                  <w:p>
                    <w:pPr>
                      <w:pStyle w:val="2"/>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177</w:t>
                    </w:r>
                    <w:r>
                      <w:rPr>
                        <w:rFonts w:hint="eastAsia"/>
                        <w:lang w:eastAsia="zh-CN"/>
                      </w:rPr>
                      <w:fldChar w:fldCharType="end"/>
                    </w:r>
                    <w:r>
                      <w:rPr>
                        <w:rFonts w:hint="eastAsia"/>
                        <w:lang w:eastAsia="zh-CN"/>
                      </w:rPr>
                      <w:t xml:space="preserve"> 页 共 </w:t>
                    </w:r>
                    <w:r>
                      <w:rPr>
                        <w:rFonts w:hint="eastAsia"/>
                        <w:lang w:val="en-US" w:eastAsia="zh-CN"/>
                      </w:rPr>
                      <w:t>193</w:t>
                    </w:r>
                    <w:r>
                      <w:rPr>
                        <w:rFonts w:hint="eastAsia"/>
                        <w:lang w:eastAsia="zh-CN"/>
                      </w:rP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double" w:color="auto" w:sz="8" w:space="0"/>
      </w:pBdr>
      <w:ind w:firstLine="360"/>
      <w:jc w:val="left"/>
    </w:pPr>
    <w:r>
      <mc:AlternateContent>
        <mc:Choice Requires="wps">
          <w:drawing>
            <wp:anchor distT="0" distB="0" distL="114300" distR="114300" simplePos="0" relativeHeight="251662336" behindDoc="0" locked="0" layoutInCell="1" allowOverlap="1">
              <wp:simplePos x="0" y="0"/>
              <wp:positionH relativeFrom="column">
                <wp:posOffset>903605</wp:posOffset>
              </wp:positionH>
              <wp:positionV relativeFrom="paragraph">
                <wp:posOffset>169545</wp:posOffset>
              </wp:positionV>
              <wp:extent cx="3825240" cy="504190"/>
              <wp:effectExtent l="0" t="0" r="0" b="0"/>
              <wp:wrapNone/>
              <wp:docPr id="30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825240" cy="504190"/>
                      </a:xfrm>
                      <a:prstGeom prst="rect">
                        <a:avLst/>
                      </a:prstGeom>
                      <a:noFill/>
                      <a:ln w="9525">
                        <a:noFill/>
                        <a:miter lim="800000"/>
                      </a:ln>
                    </wps:spPr>
                    <wps:txbx>
                      <w:txbxContent>
                        <w:p>
                          <w:pPr>
                            <w:spacing w:line="240" w:lineRule="auto"/>
                            <w:ind w:firstLine="562" w:firstLineChars="200"/>
                            <w:rPr>
                              <w:b/>
                              <w:sz w:val="28"/>
                              <w:szCs w:val="28"/>
                            </w:rPr>
                          </w:pPr>
                          <w:r>
                            <w:rPr>
                              <w:rFonts w:hint="eastAsia"/>
                              <w:b/>
                              <w:sz w:val="28"/>
                              <w:szCs w:val="28"/>
                            </w:rPr>
                            <w:t>南 昌 双 港 供 水 有 限 公 司</w:t>
                          </w:r>
                        </w:p>
                        <w:p>
                          <w:pPr>
                            <w:spacing w:line="240" w:lineRule="auto"/>
                            <w:ind w:firstLine="590" w:firstLineChars="245"/>
                            <w:rPr>
                              <w:rFonts w:ascii="Times New Roman" w:hAnsi="Times New Roman" w:cs="Times New Roman"/>
                              <w:b/>
                              <w:sz w:val="24"/>
                              <w:szCs w:val="24"/>
                            </w:rPr>
                          </w:pPr>
                          <w:r>
                            <w:rPr>
                              <w:rFonts w:ascii="Times New Roman" w:hAnsi="Times New Roman" w:cs="Times New Roman"/>
                              <w:b/>
                              <w:sz w:val="24"/>
                              <w:szCs w:val="24"/>
                            </w:rPr>
                            <w:t>Nanchang Shuanggang Water Supply Co.,</w:t>
                          </w:r>
                          <w:r>
                            <w:rPr>
                              <w:rFonts w:hint="eastAsia" w:ascii="Times New Roman" w:hAnsi="Times New Roman" w:cs="Times New Roman"/>
                              <w:b/>
                              <w:sz w:val="24"/>
                              <w:szCs w:val="24"/>
                            </w:rPr>
                            <w:t xml:space="preserve"> </w:t>
                          </w:r>
                          <w:r>
                            <w:rPr>
                              <w:rFonts w:ascii="Times New Roman" w:hAnsi="Times New Roman" w:cs="Times New Roman"/>
                              <w:b/>
                              <w:sz w:val="24"/>
                              <w:szCs w:val="24"/>
                            </w:rPr>
                            <w:t>LTD.</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71.15pt;margin-top:13.35pt;height:39.7pt;width:301.2pt;z-index:251662336;mso-width-relative:page;mso-height-relative:page;" filled="f" stroked="f" coordsize="21600,21600" o:gfxdata="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wGhc51wAAAAoBAAAPAAAAAAAAAAEAIAAAACIA&#10;AABkcnMvZG93bnJldi54bWxQSwECFAAUAAAACACHTuJAxH6C9goCAADdAwAADgAAAAAAAAABACAA&#10;AAAmAQAAZHJzL2Uyb0RvYy54bWxQSwUGAAAAAAYABgBZAQAAogUAAAAA&#10;">
              <v:fill on="f" focussize="0,0"/>
              <v:stroke on="f" miterlimit="8" joinstyle="miter"/>
              <v:imagedata o:title=""/>
              <o:lock v:ext="edit" aspectratio="f"/>
              <v:textbox>
                <w:txbxContent>
                  <w:p>
                    <w:pPr>
                      <w:spacing w:line="240" w:lineRule="auto"/>
                      <w:ind w:firstLine="562" w:firstLineChars="200"/>
                      <w:rPr>
                        <w:b/>
                        <w:sz w:val="28"/>
                        <w:szCs w:val="28"/>
                      </w:rPr>
                    </w:pPr>
                    <w:r>
                      <w:rPr>
                        <w:rFonts w:hint="eastAsia"/>
                        <w:b/>
                        <w:sz w:val="28"/>
                        <w:szCs w:val="28"/>
                      </w:rPr>
                      <w:t>南 昌 双 港 供 水 有 限 公 司</w:t>
                    </w:r>
                  </w:p>
                  <w:p>
                    <w:pPr>
                      <w:spacing w:line="240" w:lineRule="auto"/>
                      <w:ind w:firstLine="590" w:firstLineChars="245"/>
                      <w:rPr>
                        <w:rFonts w:ascii="Times New Roman" w:hAnsi="Times New Roman" w:cs="Times New Roman"/>
                        <w:b/>
                        <w:sz w:val="24"/>
                        <w:szCs w:val="24"/>
                      </w:rPr>
                    </w:pPr>
                    <w:r>
                      <w:rPr>
                        <w:rFonts w:ascii="Times New Roman" w:hAnsi="Times New Roman" w:cs="Times New Roman"/>
                        <w:b/>
                        <w:sz w:val="24"/>
                        <w:szCs w:val="24"/>
                      </w:rPr>
                      <w:t>Nanchang Shuanggang Water Supply Co.,</w:t>
                    </w:r>
                    <w:r>
                      <w:rPr>
                        <w:rFonts w:hint="eastAsia" w:ascii="Times New Roman" w:hAnsi="Times New Roman" w:cs="Times New Roman"/>
                        <w:b/>
                        <w:sz w:val="24"/>
                        <w:szCs w:val="24"/>
                      </w:rPr>
                      <w:t xml:space="preserve"> </w:t>
                    </w:r>
                    <w:r>
                      <w:rPr>
                        <w:rFonts w:ascii="Times New Roman" w:hAnsi="Times New Roman" w:cs="Times New Roman"/>
                        <w:b/>
                        <w:sz w:val="24"/>
                        <w:szCs w:val="24"/>
                      </w:rPr>
                      <w:t>LTD.</w:t>
                    </w:r>
                  </w:p>
                </w:txbxContent>
              </v:textbox>
            </v:shape>
          </w:pict>
        </mc:Fallback>
      </mc:AlternateContent>
    </w:r>
    <w:r>
      <w:drawing>
        <wp:inline distT="0" distB="0" distL="0" distR="0">
          <wp:extent cx="1112520" cy="415290"/>
          <wp:effectExtent l="0" t="0" r="5080" b="3810"/>
          <wp:docPr id="3" name="图片 3" descr="C:\Users\ncsg\Desktop\中法新标识\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ncsg\Desktop\中法新标识\image00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112520" cy="415290"/>
                  </a:xfrm>
                  <a:prstGeom prst="rect">
                    <a:avLst/>
                  </a:prstGeom>
                  <a:noFill/>
                  <a:ln>
                    <a:noFill/>
                  </a:ln>
                </pic:spPr>
              </pic:pic>
            </a:graphicData>
          </a:graphic>
        </wp:inline>
      </w:drawing>
    </w:r>
  </w:p>
  <w:p>
    <w:pPr>
      <w:pStyle w:val="11"/>
      <w:pBdr>
        <w:bottom w:val="double" w:color="auto" w:sz="8" w:space="0"/>
      </w:pBdr>
      <w:ind w:firstLine="360"/>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thinThickSmallGap" w:color="auto" w:sz="24" w:space="1"/>
      </w:pBdr>
      <w:ind w:firstLine="360"/>
      <w:jc w:val="right"/>
      <w:rPr>
        <w:rFonts w:hint="eastAsia"/>
        <w:lang w:eastAsia="zh-CN"/>
      </w:rPr>
    </w:pPr>
    <w:r>
      <mc:AlternateContent>
        <mc:Choice Requires="wps">
          <w:drawing>
            <wp:anchor distT="0" distB="0" distL="114300" distR="114300" simplePos="0" relativeHeight="251667456" behindDoc="0" locked="0" layoutInCell="1" allowOverlap="1">
              <wp:simplePos x="0" y="0"/>
              <wp:positionH relativeFrom="column">
                <wp:posOffset>91440</wp:posOffset>
              </wp:positionH>
              <wp:positionV relativeFrom="paragraph">
                <wp:posOffset>169545</wp:posOffset>
              </wp:positionV>
              <wp:extent cx="3399155" cy="490855"/>
              <wp:effectExtent l="0" t="0" r="0" b="0"/>
              <wp:wrapNone/>
              <wp:docPr id="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399155" cy="490855"/>
                      </a:xfrm>
                      <a:prstGeom prst="rect">
                        <a:avLst/>
                      </a:prstGeom>
                      <a:noFill/>
                      <a:ln w="9525">
                        <a:noFill/>
                        <a:miter lim="800000"/>
                      </a:ln>
                    </wps:spPr>
                    <wps:txbx>
                      <w:txbxContent>
                        <w:p>
                          <w:pPr>
                            <w:spacing w:line="240" w:lineRule="auto"/>
                            <w:ind w:firstLine="482" w:firstLineChars="200"/>
                            <w:jc w:val="center"/>
                            <w:rPr>
                              <w:b/>
                              <w:sz w:val="28"/>
                              <w:szCs w:val="28"/>
                            </w:rPr>
                          </w:pPr>
                          <w:r>
                            <w:rPr>
                              <w:rFonts w:hint="eastAsia"/>
                              <w:b/>
                              <w:sz w:val="24"/>
                              <w:szCs w:val="24"/>
                            </w:rPr>
                            <w:t>南 昌 双 港 供 水 有 限 公 司</w:t>
                          </w:r>
                        </w:p>
                        <w:p>
                          <w:pPr>
                            <w:spacing w:line="240" w:lineRule="auto"/>
                            <w:ind w:firstLine="517" w:firstLineChars="245"/>
                            <w:jc w:val="center"/>
                            <w:rPr>
                              <w:rFonts w:ascii="Times New Roman" w:hAnsi="Times New Roman" w:cs="Times New Roman"/>
                              <w:b/>
                              <w:sz w:val="21"/>
                              <w:szCs w:val="21"/>
                            </w:rPr>
                          </w:pPr>
                          <w:r>
                            <w:rPr>
                              <w:rFonts w:ascii="Times New Roman" w:hAnsi="Times New Roman" w:cs="Times New Roman"/>
                              <w:b/>
                              <w:sz w:val="21"/>
                              <w:szCs w:val="21"/>
                            </w:rPr>
                            <w:t>Nanchang Shuanggang Water Supply Co.,</w:t>
                          </w:r>
                          <w:r>
                            <w:rPr>
                              <w:rFonts w:hint="eastAsia" w:ascii="Times New Roman" w:hAnsi="Times New Roman" w:cs="Times New Roman"/>
                              <w:b/>
                              <w:sz w:val="21"/>
                              <w:szCs w:val="21"/>
                            </w:rPr>
                            <w:t xml:space="preserve"> </w:t>
                          </w:r>
                          <w:r>
                            <w:rPr>
                              <w:rFonts w:ascii="Times New Roman" w:hAnsi="Times New Roman" w:cs="Times New Roman"/>
                              <w:b/>
                              <w:sz w:val="21"/>
                              <w:szCs w:val="21"/>
                            </w:rPr>
                            <w:t>LTD.</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7.2pt;margin-top:13.35pt;height:38.65pt;width:267.65pt;z-index:251667456;mso-width-relative:page;mso-height-relative:page;" filled="f" stroked="f" coordsize="21600,21600" o:gfxdata="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lgy/tdUAAAAJAQAADwAAAAAAAAABACAAAAAiAAAAZHJz&#10;L2Rvd25yZXYueG1sUEsBAhQAFAAAAAgAh07iQBZ1dQ4HAgAA2wMAAA4AAAAAAAAAAQAgAAAAJAEA&#10;AGRycy9lMm9Eb2MueG1sUEsFBgAAAAAGAAYAWQEAAJ0FAAAAAA==&#10;">
              <v:fill on="f" focussize="0,0"/>
              <v:stroke on="f" miterlimit="8" joinstyle="miter"/>
              <v:imagedata o:title=""/>
              <o:lock v:ext="edit" aspectratio="f"/>
              <v:textbox>
                <w:txbxContent>
                  <w:p>
                    <w:pPr>
                      <w:spacing w:line="240" w:lineRule="auto"/>
                      <w:ind w:firstLine="482" w:firstLineChars="200"/>
                      <w:jc w:val="center"/>
                      <w:rPr>
                        <w:b/>
                        <w:sz w:val="28"/>
                        <w:szCs w:val="28"/>
                      </w:rPr>
                    </w:pPr>
                    <w:r>
                      <w:rPr>
                        <w:rFonts w:hint="eastAsia"/>
                        <w:b/>
                        <w:sz w:val="24"/>
                        <w:szCs w:val="24"/>
                      </w:rPr>
                      <w:t>南 昌 双 港 供 水 有 限 公 司</w:t>
                    </w:r>
                  </w:p>
                  <w:p>
                    <w:pPr>
                      <w:spacing w:line="240" w:lineRule="auto"/>
                      <w:ind w:firstLine="517" w:firstLineChars="245"/>
                      <w:jc w:val="center"/>
                      <w:rPr>
                        <w:rFonts w:ascii="Times New Roman" w:hAnsi="Times New Roman" w:cs="Times New Roman"/>
                        <w:b/>
                        <w:sz w:val="21"/>
                        <w:szCs w:val="21"/>
                      </w:rPr>
                    </w:pPr>
                    <w:r>
                      <w:rPr>
                        <w:rFonts w:ascii="Times New Roman" w:hAnsi="Times New Roman" w:cs="Times New Roman"/>
                        <w:b/>
                        <w:sz w:val="21"/>
                        <w:szCs w:val="21"/>
                      </w:rPr>
                      <w:t>Nanchang Shuanggang Water Supply Co.,</w:t>
                    </w:r>
                    <w:r>
                      <w:rPr>
                        <w:rFonts w:hint="eastAsia" w:ascii="Times New Roman" w:hAnsi="Times New Roman" w:cs="Times New Roman"/>
                        <w:b/>
                        <w:sz w:val="21"/>
                        <w:szCs w:val="21"/>
                      </w:rPr>
                      <w:t xml:space="preserve"> </w:t>
                    </w:r>
                    <w:r>
                      <w:rPr>
                        <w:rFonts w:ascii="Times New Roman" w:hAnsi="Times New Roman" w:cs="Times New Roman"/>
                        <w:b/>
                        <w:sz w:val="21"/>
                        <w:szCs w:val="21"/>
                      </w:rPr>
                      <w:t>LTD.</w:t>
                    </w:r>
                  </w:p>
                </w:txbxContent>
              </v:textbox>
            </v:shape>
          </w:pict>
        </mc:Fallback>
      </mc:AlternateContent>
    </w:r>
    <w:r>
      <w:drawing>
        <wp:anchor distT="0" distB="0" distL="114300" distR="114300" simplePos="0" relativeHeight="251679744" behindDoc="0" locked="0" layoutInCell="1" allowOverlap="1">
          <wp:simplePos x="0" y="0"/>
          <wp:positionH relativeFrom="column">
            <wp:posOffset>11430</wp:posOffset>
          </wp:positionH>
          <wp:positionV relativeFrom="paragraph">
            <wp:posOffset>-6350</wp:posOffset>
          </wp:positionV>
          <wp:extent cx="814705" cy="347980"/>
          <wp:effectExtent l="0" t="0" r="10795" b="7620"/>
          <wp:wrapNone/>
          <wp:docPr id="7" name="图片 2" descr="C:\Users\ncsg\Desktop\中法新标识\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descr="C:\Users\ncsg\Desktop\中法新标识\image001.jpg"/>
                  <pic:cNvPicPr>
                    <a:picLocks noChangeAspect="1"/>
                  </pic:cNvPicPr>
                </pic:nvPicPr>
                <pic:blipFill>
                  <a:blip r:embed="rId1"/>
                  <a:stretch>
                    <a:fillRect/>
                  </a:stretch>
                </pic:blipFill>
                <pic:spPr>
                  <a:xfrm>
                    <a:off x="0" y="0"/>
                    <a:ext cx="814705" cy="347980"/>
                  </a:xfrm>
                  <a:prstGeom prst="rect">
                    <a:avLst/>
                  </a:prstGeom>
                  <a:noFill/>
                  <a:ln>
                    <a:noFill/>
                  </a:ln>
                </pic:spPr>
              </pic:pic>
            </a:graphicData>
          </a:graphic>
        </wp:anchor>
      </w:drawing>
    </w:r>
    <w:r>
      <w:drawing>
        <wp:anchor distT="0" distB="0" distL="114300" distR="114300" simplePos="0" relativeHeight="251668480" behindDoc="0" locked="0" layoutInCell="1" allowOverlap="1">
          <wp:simplePos x="0" y="0"/>
          <wp:positionH relativeFrom="column">
            <wp:posOffset>11430</wp:posOffset>
          </wp:positionH>
          <wp:positionV relativeFrom="paragraph">
            <wp:posOffset>-6350</wp:posOffset>
          </wp:positionV>
          <wp:extent cx="814705" cy="347980"/>
          <wp:effectExtent l="0" t="0" r="10795" b="7620"/>
          <wp:wrapNone/>
          <wp:docPr id="4" name="图片 2" descr="C:\Users\ncsg\Desktop\中法新标识\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C:\Users\ncsg\Desktop\中法新标识\image001.jpg"/>
                  <pic:cNvPicPr>
                    <a:picLocks noChangeAspect="1"/>
                  </pic:cNvPicPr>
                </pic:nvPicPr>
                <pic:blipFill>
                  <a:blip r:embed="rId1"/>
                  <a:stretch>
                    <a:fillRect/>
                  </a:stretch>
                </pic:blipFill>
                <pic:spPr>
                  <a:xfrm>
                    <a:off x="0" y="0"/>
                    <a:ext cx="814705" cy="347980"/>
                  </a:xfrm>
                  <a:prstGeom prst="rect">
                    <a:avLst/>
                  </a:prstGeom>
                  <a:noFill/>
                  <a:ln>
                    <a:noFill/>
                  </a:ln>
                </pic:spPr>
              </pic:pic>
            </a:graphicData>
          </a:graphic>
        </wp:anchor>
      </w:drawing>
    </w:r>
  </w:p>
  <w:p>
    <w:pPr>
      <w:pStyle w:val="11"/>
      <w:pBdr>
        <w:bottom w:val="thinThickSmallGap" w:color="auto" w:sz="24" w:space="1"/>
      </w:pBdr>
      <w:ind w:firstLine="360"/>
      <w:jc w:val="right"/>
      <w:rPr>
        <w:rFonts w:hint="eastAsia"/>
        <w:lang w:eastAsia="zh-CN"/>
      </w:rPr>
    </w:pPr>
  </w:p>
  <w:p>
    <w:pPr>
      <w:pStyle w:val="11"/>
      <w:pBdr>
        <w:bottom w:val="thinThickSmallGap" w:color="auto" w:sz="24" w:space="1"/>
      </w:pBdr>
      <w:ind w:firstLine="360"/>
      <w:jc w:val="right"/>
    </w:pPr>
    <w:r>
      <w:rPr>
        <w:rFonts w:hint="eastAsia"/>
        <w:lang w:eastAsia="zh-CN"/>
      </w:rPr>
      <w:t>南昌双港供水有限公司</w:t>
    </w:r>
    <w:r>
      <w:rPr>
        <w:rFonts w:hint="eastAsia"/>
      </w:rPr>
      <w:t>突发环境事件应急预案</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thinThickSmallGap" w:color="auto" w:sz="24" w:space="1"/>
      </w:pBdr>
      <w:ind w:firstLine="360"/>
      <w:jc w:val="right"/>
      <w:rPr>
        <w:rFonts w:hint="eastAsia"/>
      </w:rPr>
    </w:pPr>
    <w:r>
      <mc:AlternateContent>
        <mc:Choice Requires="wps">
          <w:drawing>
            <wp:anchor distT="0" distB="0" distL="114300" distR="114300" simplePos="0" relativeHeight="251701248" behindDoc="0" locked="0" layoutInCell="1" allowOverlap="1">
              <wp:simplePos x="0" y="0"/>
              <wp:positionH relativeFrom="column">
                <wp:posOffset>262890</wp:posOffset>
              </wp:positionH>
              <wp:positionV relativeFrom="paragraph">
                <wp:posOffset>43815</wp:posOffset>
              </wp:positionV>
              <wp:extent cx="3399155" cy="616585"/>
              <wp:effectExtent l="0" t="0" r="0" b="0"/>
              <wp:wrapNone/>
              <wp:docPr id="1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399155" cy="616585"/>
                      </a:xfrm>
                      <a:prstGeom prst="rect">
                        <a:avLst/>
                      </a:prstGeom>
                      <a:noFill/>
                      <a:ln w="9525">
                        <a:noFill/>
                        <a:miter lim="800000"/>
                      </a:ln>
                    </wps:spPr>
                    <wps:txbx>
                      <w:txbxContent>
                        <w:p>
                          <w:pPr>
                            <w:spacing w:line="240" w:lineRule="auto"/>
                            <w:ind w:firstLine="482" w:firstLineChars="200"/>
                            <w:jc w:val="center"/>
                            <w:rPr>
                              <w:b/>
                              <w:sz w:val="28"/>
                              <w:szCs w:val="28"/>
                            </w:rPr>
                          </w:pPr>
                          <w:r>
                            <w:rPr>
                              <w:rFonts w:hint="eastAsia"/>
                              <w:b/>
                              <w:sz w:val="24"/>
                              <w:szCs w:val="24"/>
                            </w:rPr>
                            <w:t>南 昌 双 港 供 水 有 限 公 司</w:t>
                          </w:r>
                        </w:p>
                        <w:p>
                          <w:pPr>
                            <w:spacing w:line="240" w:lineRule="auto"/>
                            <w:ind w:firstLine="517" w:firstLineChars="245"/>
                            <w:jc w:val="center"/>
                            <w:rPr>
                              <w:rFonts w:ascii="Times New Roman" w:hAnsi="Times New Roman" w:cs="Times New Roman"/>
                              <w:b/>
                              <w:sz w:val="21"/>
                              <w:szCs w:val="21"/>
                            </w:rPr>
                          </w:pPr>
                          <w:r>
                            <w:rPr>
                              <w:rFonts w:ascii="Times New Roman" w:hAnsi="Times New Roman" w:cs="Times New Roman"/>
                              <w:b/>
                              <w:sz w:val="21"/>
                              <w:szCs w:val="21"/>
                            </w:rPr>
                            <w:t>Nanchang Shuanggang Water Supply Co.,</w:t>
                          </w:r>
                          <w:r>
                            <w:rPr>
                              <w:rFonts w:hint="eastAsia" w:ascii="Times New Roman" w:hAnsi="Times New Roman" w:cs="Times New Roman"/>
                              <w:b/>
                              <w:sz w:val="21"/>
                              <w:szCs w:val="21"/>
                            </w:rPr>
                            <w:t xml:space="preserve"> </w:t>
                          </w:r>
                          <w:r>
                            <w:rPr>
                              <w:rFonts w:ascii="Times New Roman" w:hAnsi="Times New Roman" w:cs="Times New Roman"/>
                              <w:b/>
                              <w:sz w:val="21"/>
                              <w:szCs w:val="21"/>
                            </w:rPr>
                            <w:t>LTD.</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0.7pt;margin-top:3.45pt;height:48.55pt;width:267.65pt;z-index:251701248;mso-width-relative:page;mso-height-relative:page;" filled="f" stroked="f" coordsize="21600,21600" o:gfxdata="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twVXc1gAAAAgBAAAPAAAAAAAAAAEAIAAAACIAAABk&#10;cnMvZG93bnJldi54bWxQSwECFAAUAAAACACHTuJAiz91kwgCAADcAwAADgAAAAAAAAABACAAAAAl&#10;AQAAZHJzL2Uyb0RvYy54bWxQSwUGAAAAAAYABgBZAQAAnwUAAAAA&#10;">
              <v:fill on="f" focussize="0,0"/>
              <v:stroke on="f" miterlimit="8" joinstyle="miter"/>
              <v:imagedata o:title=""/>
              <o:lock v:ext="edit" aspectratio="f"/>
              <v:textbox>
                <w:txbxContent>
                  <w:p>
                    <w:pPr>
                      <w:spacing w:line="240" w:lineRule="auto"/>
                      <w:ind w:firstLine="482" w:firstLineChars="200"/>
                      <w:jc w:val="center"/>
                      <w:rPr>
                        <w:b/>
                        <w:sz w:val="28"/>
                        <w:szCs w:val="28"/>
                      </w:rPr>
                    </w:pPr>
                    <w:r>
                      <w:rPr>
                        <w:rFonts w:hint="eastAsia"/>
                        <w:b/>
                        <w:sz w:val="24"/>
                        <w:szCs w:val="24"/>
                      </w:rPr>
                      <w:t>南 昌 双 港 供 水 有 限 公 司</w:t>
                    </w:r>
                  </w:p>
                  <w:p>
                    <w:pPr>
                      <w:spacing w:line="240" w:lineRule="auto"/>
                      <w:ind w:firstLine="517" w:firstLineChars="245"/>
                      <w:jc w:val="center"/>
                      <w:rPr>
                        <w:rFonts w:ascii="Times New Roman" w:hAnsi="Times New Roman" w:cs="Times New Roman"/>
                        <w:b/>
                        <w:sz w:val="21"/>
                        <w:szCs w:val="21"/>
                      </w:rPr>
                    </w:pPr>
                    <w:r>
                      <w:rPr>
                        <w:rFonts w:ascii="Times New Roman" w:hAnsi="Times New Roman" w:cs="Times New Roman"/>
                        <w:b/>
                        <w:sz w:val="21"/>
                        <w:szCs w:val="21"/>
                      </w:rPr>
                      <w:t>Nanchang Shuanggang Water Supply Co.,</w:t>
                    </w:r>
                    <w:r>
                      <w:rPr>
                        <w:rFonts w:hint="eastAsia" w:ascii="Times New Roman" w:hAnsi="Times New Roman" w:cs="Times New Roman"/>
                        <w:b/>
                        <w:sz w:val="21"/>
                        <w:szCs w:val="21"/>
                      </w:rPr>
                      <w:t xml:space="preserve"> </w:t>
                    </w:r>
                    <w:r>
                      <w:rPr>
                        <w:rFonts w:ascii="Times New Roman" w:hAnsi="Times New Roman" w:cs="Times New Roman"/>
                        <w:b/>
                        <w:sz w:val="21"/>
                        <w:szCs w:val="21"/>
                      </w:rPr>
                      <w:t>LTD.</w:t>
                    </w:r>
                  </w:p>
                </w:txbxContent>
              </v:textbox>
            </v:shape>
          </w:pict>
        </mc:Fallback>
      </mc:AlternateContent>
    </w:r>
    <w:r>
      <w:drawing>
        <wp:anchor distT="0" distB="0" distL="114300" distR="114300" simplePos="0" relativeHeight="251691008" behindDoc="0" locked="0" layoutInCell="1" allowOverlap="1">
          <wp:simplePos x="0" y="0"/>
          <wp:positionH relativeFrom="column">
            <wp:posOffset>11430</wp:posOffset>
          </wp:positionH>
          <wp:positionV relativeFrom="paragraph">
            <wp:posOffset>-6350</wp:posOffset>
          </wp:positionV>
          <wp:extent cx="814705" cy="347980"/>
          <wp:effectExtent l="0" t="0" r="10795" b="7620"/>
          <wp:wrapNone/>
          <wp:docPr id="10" name="图片 2" descr="C:\Users\ncsg\Desktop\中法新标识\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descr="C:\Users\ncsg\Desktop\中法新标识\image001.jpg"/>
                  <pic:cNvPicPr>
                    <a:picLocks noChangeAspect="1"/>
                  </pic:cNvPicPr>
                </pic:nvPicPr>
                <pic:blipFill>
                  <a:blip r:embed="rId1"/>
                  <a:stretch>
                    <a:fillRect/>
                  </a:stretch>
                </pic:blipFill>
                <pic:spPr>
                  <a:xfrm>
                    <a:off x="0" y="0"/>
                    <a:ext cx="814705" cy="347980"/>
                  </a:xfrm>
                  <a:prstGeom prst="rect">
                    <a:avLst/>
                  </a:prstGeom>
                  <a:noFill/>
                  <a:ln>
                    <a:noFill/>
                  </a:ln>
                </pic:spPr>
              </pic:pic>
            </a:graphicData>
          </a:graphic>
        </wp:anchor>
      </w:drawing>
    </w:r>
    <w:r>
      <w:rPr>
        <w:rFonts w:hint="eastAsia"/>
        <w:lang w:eastAsia="zh-CN"/>
      </w:rPr>
      <w:t>南昌双港供水有限公司</w:t>
    </w:r>
    <w:r>
      <w:rPr>
        <w:rFonts w:hint="eastAsia"/>
      </w:rPr>
      <w:t>突发</w:t>
    </w:r>
  </w:p>
  <w:p>
    <w:pPr>
      <w:pStyle w:val="11"/>
      <w:pBdr>
        <w:bottom w:val="thinThickSmallGap" w:color="auto" w:sz="24" w:space="1"/>
      </w:pBdr>
      <w:ind w:firstLine="360"/>
      <w:jc w:val="right"/>
      <w:rPr>
        <w:rFonts w:hint="eastAsia" w:eastAsia="宋体"/>
        <w:lang w:eastAsia="zh-CN"/>
      </w:rPr>
    </w:pPr>
    <w:r>
      <w:rPr>
        <w:rFonts w:hint="eastAsia"/>
      </w:rPr>
      <w:t>环境事件应急预</w:t>
    </w:r>
    <w:r>
      <w:rPr>
        <w:rFonts w:hint="eastAsia"/>
        <w:lang w:eastAsia="zh-CN"/>
      </w:rPr>
      <w:t>案编制说明</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thinThickSmallGap" w:color="auto" w:sz="24" w:space="1"/>
      </w:pBdr>
      <w:ind w:firstLine="360"/>
      <w:jc w:val="right"/>
      <w:rPr>
        <w:rFonts w:hint="eastAsia"/>
        <w:lang w:eastAsia="zh-CN"/>
      </w:rPr>
    </w:pPr>
    <w:r>
      <mc:AlternateContent>
        <mc:Choice Requires="wps">
          <w:drawing>
            <wp:anchor distT="0" distB="0" distL="114300" distR="114300" simplePos="0" relativeHeight="251779072" behindDoc="0" locked="0" layoutInCell="1" allowOverlap="1">
              <wp:simplePos x="0" y="0"/>
              <wp:positionH relativeFrom="column">
                <wp:posOffset>34290</wp:posOffset>
              </wp:positionH>
              <wp:positionV relativeFrom="paragraph">
                <wp:posOffset>183515</wp:posOffset>
              </wp:positionV>
              <wp:extent cx="3399155" cy="616585"/>
              <wp:effectExtent l="0" t="0" r="0" b="0"/>
              <wp:wrapNone/>
              <wp:docPr id="1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399155" cy="616585"/>
                      </a:xfrm>
                      <a:prstGeom prst="rect">
                        <a:avLst/>
                      </a:prstGeom>
                      <a:noFill/>
                      <a:ln w="9525">
                        <a:noFill/>
                        <a:miter lim="800000"/>
                      </a:ln>
                    </wps:spPr>
                    <wps:txbx>
                      <w:txbxContent>
                        <w:p>
                          <w:pPr>
                            <w:spacing w:line="240" w:lineRule="auto"/>
                            <w:ind w:firstLine="482" w:firstLineChars="200"/>
                            <w:jc w:val="center"/>
                            <w:rPr>
                              <w:b/>
                              <w:sz w:val="28"/>
                              <w:szCs w:val="28"/>
                            </w:rPr>
                          </w:pPr>
                          <w:r>
                            <w:rPr>
                              <w:rFonts w:hint="eastAsia"/>
                              <w:b/>
                              <w:sz w:val="24"/>
                              <w:szCs w:val="24"/>
                            </w:rPr>
                            <w:t>南 昌 双 港 供 水 有 限 公 司</w:t>
                          </w:r>
                        </w:p>
                        <w:p>
                          <w:pPr>
                            <w:spacing w:line="240" w:lineRule="auto"/>
                            <w:ind w:firstLine="517" w:firstLineChars="245"/>
                            <w:jc w:val="center"/>
                            <w:rPr>
                              <w:rFonts w:ascii="Times New Roman" w:hAnsi="Times New Roman" w:cs="Times New Roman"/>
                              <w:b/>
                              <w:sz w:val="21"/>
                              <w:szCs w:val="21"/>
                            </w:rPr>
                          </w:pPr>
                          <w:r>
                            <w:rPr>
                              <w:rFonts w:ascii="Times New Roman" w:hAnsi="Times New Roman" w:cs="Times New Roman"/>
                              <w:b/>
                              <w:sz w:val="21"/>
                              <w:szCs w:val="21"/>
                            </w:rPr>
                            <w:t>Nanchang Shuanggang Water Supply Co.,</w:t>
                          </w:r>
                          <w:r>
                            <w:rPr>
                              <w:rFonts w:hint="eastAsia" w:ascii="Times New Roman" w:hAnsi="Times New Roman" w:cs="Times New Roman"/>
                              <w:b/>
                              <w:sz w:val="21"/>
                              <w:szCs w:val="21"/>
                            </w:rPr>
                            <w:t xml:space="preserve"> </w:t>
                          </w:r>
                          <w:r>
                            <w:rPr>
                              <w:rFonts w:ascii="Times New Roman" w:hAnsi="Times New Roman" w:cs="Times New Roman"/>
                              <w:b/>
                              <w:sz w:val="21"/>
                              <w:szCs w:val="21"/>
                            </w:rPr>
                            <w:t>LTD.</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7pt;margin-top:14.45pt;height:48.55pt;width:267.65pt;z-index:251779072;mso-width-relative:page;mso-height-relative:page;" filled="f" stroked="f" coordsize="21600,21600" o:gfxdata="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RsCIN1gAAAAgBAAAPAAAAAAAAAAEAIAAAACIAAABk&#10;cnMvZG93bnJldi54bWxQSwECFAAUAAAACACHTuJAJDeFwwgCAADcAwAADgAAAAAAAAABACAAAAAl&#10;AQAAZHJzL2Uyb0RvYy54bWxQSwUGAAAAAAYABgBZAQAAnwUAAAAA&#10;">
              <v:fill on="f" focussize="0,0"/>
              <v:stroke on="f" miterlimit="8" joinstyle="miter"/>
              <v:imagedata o:title=""/>
              <o:lock v:ext="edit" aspectratio="f"/>
              <v:textbox>
                <w:txbxContent>
                  <w:p>
                    <w:pPr>
                      <w:spacing w:line="240" w:lineRule="auto"/>
                      <w:ind w:firstLine="482" w:firstLineChars="200"/>
                      <w:jc w:val="center"/>
                      <w:rPr>
                        <w:b/>
                        <w:sz w:val="28"/>
                        <w:szCs w:val="28"/>
                      </w:rPr>
                    </w:pPr>
                    <w:r>
                      <w:rPr>
                        <w:rFonts w:hint="eastAsia"/>
                        <w:b/>
                        <w:sz w:val="24"/>
                        <w:szCs w:val="24"/>
                      </w:rPr>
                      <w:t>南 昌 双 港 供 水 有 限 公 司</w:t>
                    </w:r>
                  </w:p>
                  <w:p>
                    <w:pPr>
                      <w:spacing w:line="240" w:lineRule="auto"/>
                      <w:ind w:firstLine="517" w:firstLineChars="245"/>
                      <w:jc w:val="center"/>
                      <w:rPr>
                        <w:rFonts w:ascii="Times New Roman" w:hAnsi="Times New Roman" w:cs="Times New Roman"/>
                        <w:b/>
                        <w:sz w:val="21"/>
                        <w:szCs w:val="21"/>
                      </w:rPr>
                    </w:pPr>
                    <w:r>
                      <w:rPr>
                        <w:rFonts w:ascii="Times New Roman" w:hAnsi="Times New Roman" w:cs="Times New Roman"/>
                        <w:b/>
                        <w:sz w:val="21"/>
                        <w:szCs w:val="21"/>
                      </w:rPr>
                      <w:t>Nanchang Shuanggang Water Supply Co.,</w:t>
                    </w:r>
                    <w:r>
                      <w:rPr>
                        <w:rFonts w:hint="eastAsia" w:ascii="Times New Roman" w:hAnsi="Times New Roman" w:cs="Times New Roman"/>
                        <w:b/>
                        <w:sz w:val="21"/>
                        <w:szCs w:val="21"/>
                      </w:rPr>
                      <w:t xml:space="preserve"> </w:t>
                    </w:r>
                    <w:r>
                      <w:rPr>
                        <w:rFonts w:ascii="Times New Roman" w:hAnsi="Times New Roman" w:cs="Times New Roman"/>
                        <w:b/>
                        <w:sz w:val="21"/>
                        <w:szCs w:val="21"/>
                      </w:rPr>
                      <w:t>LTD.</w:t>
                    </w:r>
                  </w:p>
                </w:txbxContent>
              </v:textbox>
            </v:shape>
          </w:pict>
        </mc:Fallback>
      </mc:AlternateContent>
    </w:r>
    <w:r>
      <w:drawing>
        <wp:anchor distT="0" distB="0" distL="114300" distR="114300" simplePos="0" relativeHeight="251735040" behindDoc="0" locked="0" layoutInCell="1" allowOverlap="1">
          <wp:simplePos x="0" y="0"/>
          <wp:positionH relativeFrom="column">
            <wp:posOffset>24765</wp:posOffset>
          </wp:positionH>
          <wp:positionV relativeFrom="paragraph">
            <wp:posOffset>24765</wp:posOffset>
          </wp:positionV>
          <wp:extent cx="814705" cy="347980"/>
          <wp:effectExtent l="0" t="0" r="10795" b="7620"/>
          <wp:wrapNone/>
          <wp:docPr id="12" name="图片 2" descr="C:\Users\ncsg\Desktop\中法新标识\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descr="C:\Users\ncsg\Desktop\中法新标识\image001.jpg"/>
                  <pic:cNvPicPr>
                    <a:picLocks noChangeAspect="1"/>
                  </pic:cNvPicPr>
                </pic:nvPicPr>
                <pic:blipFill>
                  <a:blip r:embed="rId1"/>
                  <a:stretch>
                    <a:fillRect/>
                  </a:stretch>
                </pic:blipFill>
                <pic:spPr>
                  <a:xfrm>
                    <a:off x="0" y="0"/>
                    <a:ext cx="814705" cy="347980"/>
                  </a:xfrm>
                  <a:prstGeom prst="rect">
                    <a:avLst/>
                  </a:prstGeom>
                  <a:noFill/>
                  <a:ln>
                    <a:noFill/>
                  </a:ln>
                </pic:spPr>
              </pic:pic>
            </a:graphicData>
          </a:graphic>
        </wp:anchor>
      </w:drawing>
    </w:r>
  </w:p>
  <w:p>
    <w:pPr>
      <w:pStyle w:val="11"/>
      <w:pBdr>
        <w:bottom w:val="thinThickSmallGap" w:color="auto" w:sz="24" w:space="1"/>
      </w:pBdr>
      <w:ind w:firstLine="360"/>
      <w:jc w:val="right"/>
      <w:rPr>
        <w:rFonts w:hint="eastAsia"/>
        <w:lang w:eastAsia="zh-CN"/>
      </w:rPr>
    </w:pPr>
  </w:p>
  <w:p>
    <w:pPr>
      <w:pStyle w:val="11"/>
      <w:pBdr>
        <w:bottom w:val="thinThickSmallGap" w:color="auto" w:sz="24" w:space="1"/>
      </w:pBdr>
      <w:ind w:firstLine="360"/>
      <w:jc w:val="right"/>
    </w:pPr>
    <w:r>
      <w:rPr>
        <w:rFonts w:hint="eastAsia"/>
        <w:lang w:eastAsia="zh-CN"/>
      </w:rPr>
      <w:t>南昌双港供水有限公司</w:t>
    </w:r>
    <w:r>
      <w:rPr>
        <w:rFonts w:hint="eastAsia"/>
      </w:rPr>
      <w:t>突发环境事件风险评估报告</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thinThickSmallGap" w:color="auto" w:sz="24" w:space="1"/>
      </w:pBdr>
      <w:ind w:firstLine="360"/>
      <w:rPr>
        <w:rFonts w:hint="eastAsia"/>
        <w:lang w:eastAsia="zh-CN"/>
      </w:rPr>
    </w:pPr>
    <w:r>
      <w:drawing>
        <wp:anchor distT="0" distB="0" distL="114300" distR="114300" simplePos="0" relativeHeight="251856896" behindDoc="0" locked="0" layoutInCell="1" allowOverlap="1">
          <wp:simplePos x="0" y="0"/>
          <wp:positionH relativeFrom="column">
            <wp:posOffset>18415</wp:posOffset>
          </wp:positionH>
          <wp:positionV relativeFrom="paragraph">
            <wp:posOffset>37465</wp:posOffset>
          </wp:positionV>
          <wp:extent cx="814705" cy="347980"/>
          <wp:effectExtent l="0" t="0" r="10795" b="7620"/>
          <wp:wrapNone/>
          <wp:docPr id="22" name="图片 2" descr="C:\Users\ncsg\Desktop\中法新标识\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descr="C:\Users\ncsg\Desktop\中法新标识\image001.jpg"/>
                  <pic:cNvPicPr>
                    <a:picLocks noChangeAspect="1"/>
                  </pic:cNvPicPr>
                </pic:nvPicPr>
                <pic:blipFill>
                  <a:blip r:embed="rId1"/>
                  <a:stretch>
                    <a:fillRect/>
                  </a:stretch>
                </pic:blipFill>
                <pic:spPr>
                  <a:xfrm>
                    <a:off x="0" y="0"/>
                    <a:ext cx="814705" cy="347980"/>
                  </a:xfrm>
                  <a:prstGeom prst="rect">
                    <a:avLst/>
                  </a:prstGeom>
                  <a:noFill/>
                  <a:ln>
                    <a:noFill/>
                  </a:ln>
                </pic:spPr>
              </pic:pic>
            </a:graphicData>
          </a:graphic>
        </wp:anchor>
      </w:drawing>
    </w:r>
  </w:p>
  <w:p>
    <w:pPr>
      <w:pStyle w:val="11"/>
      <w:pBdr>
        <w:bottom w:val="thinThickSmallGap" w:color="auto" w:sz="24" w:space="1"/>
      </w:pBdr>
      <w:ind w:firstLine="360"/>
      <w:rPr>
        <w:rFonts w:hint="eastAsia"/>
        <w:lang w:eastAsia="zh-CN"/>
      </w:rPr>
    </w:pPr>
  </w:p>
  <w:p>
    <w:pPr>
      <w:pStyle w:val="11"/>
      <w:pBdr>
        <w:bottom w:val="thinThickSmallGap" w:color="auto" w:sz="24" w:space="1"/>
      </w:pBdr>
      <w:ind w:firstLine="360"/>
      <w:jc w:val="right"/>
    </w:pPr>
    <w:r>
      <mc:AlternateContent>
        <mc:Choice Requires="wps">
          <w:drawing>
            <wp:anchor distT="0" distB="0" distL="114300" distR="114300" simplePos="0" relativeHeight="251978752" behindDoc="0" locked="0" layoutInCell="1" allowOverlap="1">
              <wp:simplePos x="0" y="0"/>
              <wp:positionH relativeFrom="column">
                <wp:posOffset>34290</wp:posOffset>
              </wp:positionH>
              <wp:positionV relativeFrom="paragraph">
                <wp:posOffset>-210185</wp:posOffset>
              </wp:positionV>
              <wp:extent cx="3399155" cy="616585"/>
              <wp:effectExtent l="0" t="0" r="0" b="0"/>
              <wp:wrapNone/>
              <wp:docPr id="2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399155" cy="616585"/>
                      </a:xfrm>
                      <a:prstGeom prst="rect">
                        <a:avLst/>
                      </a:prstGeom>
                      <a:noFill/>
                      <a:ln w="9525">
                        <a:noFill/>
                        <a:miter lim="800000"/>
                      </a:ln>
                    </wps:spPr>
                    <wps:txbx>
                      <w:txbxContent>
                        <w:p>
                          <w:pPr>
                            <w:spacing w:line="240" w:lineRule="auto"/>
                            <w:ind w:firstLine="482" w:firstLineChars="200"/>
                            <w:jc w:val="center"/>
                            <w:rPr>
                              <w:b/>
                              <w:sz w:val="28"/>
                              <w:szCs w:val="28"/>
                            </w:rPr>
                          </w:pPr>
                          <w:r>
                            <w:rPr>
                              <w:rFonts w:hint="eastAsia"/>
                              <w:b/>
                              <w:sz w:val="24"/>
                              <w:szCs w:val="24"/>
                            </w:rPr>
                            <w:t>南 昌 双 港 供 水 有 限 公 司</w:t>
                          </w:r>
                        </w:p>
                        <w:p>
                          <w:pPr>
                            <w:spacing w:line="240" w:lineRule="auto"/>
                            <w:ind w:firstLine="443" w:firstLineChars="245"/>
                            <w:jc w:val="center"/>
                            <w:rPr>
                              <w:rFonts w:ascii="Times New Roman" w:hAnsi="Times New Roman" w:cs="Times New Roman"/>
                              <w:b/>
                              <w:sz w:val="18"/>
                              <w:szCs w:val="18"/>
                            </w:rPr>
                          </w:pPr>
                          <w:r>
                            <w:rPr>
                              <w:rFonts w:ascii="Times New Roman" w:hAnsi="Times New Roman" w:cs="Times New Roman"/>
                              <w:b/>
                              <w:sz w:val="18"/>
                              <w:szCs w:val="18"/>
                            </w:rPr>
                            <w:t>Nanchang Shuanggang Water Supply Co.,</w:t>
                          </w:r>
                          <w:r>
                            <w:rPr>
                              <w:rFonts w:hint="eastAsia" w:ascii="Times New Roman" w:hAnsi="Times New Roman" w:cs="Times New Roman"/>
                              <w:b/>
                              <w:sz w:val="18"/>
                              <w:szCs w:val="18"/>
                            </w:rPr>
                            <w:t xml:space="preserve"> </w:t>
                          </w:r>
                          <w:r>
                            <w:rPr>
                              <w:rFonts w:ascii="Times New Roman" w:hAnsi="Times New Roman" w:cs="Times New Roman"/>
                              <w:b/>
                              <w:sz w:val="18"/>
                              <w:szCs w:val="18"/>
                            </w:rPr>
                            <w:t>LTD.</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7pt;margin-top:-16.55pt;height:48.55pt;width:267.65pt;z-index:251978752;mso-width-relative:page;mso-height-relative:page;" filled="f" stroked="f" coordsize="21600,21600" o:gfxdata="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dNmJ6tYAAAAIAQAADwAAAAAAAAABACAAAAAiAAAA&#10;ZHJzL2Rvd25yZXYueG1sUEsBAhQAFAAAAAgAh07iQE1dGEsJAgAA3AMAAA4AAAAAAAAAAQAgAAAA&#10;JQEAAGRycy9lMm9Eb2MueG1sUEsFBgAAAAAGAAYAWQEAAKAFAAAAAA==&#10;">
              <v:fill on="f" focussize="0,0"/>
              <v:stroke on="f" miterlimit="8" joinstyle="miter"/>
              <v:imagedata o:title=""/>
              <o:lock v:ext="edit" aspectratio="f"/>
              <v:textbox>
                <w:txbxContent>
                  <w:p>
                    <w:pPr>
                      <w:spacing w:line="240" w:lineRule="auto"/>
                      <w:ind w:firstLine="482" w:firstLineChars="200"/>
                      <w:jc w:val="center"/>
                      <w:rPr>
                        <w:b/>
                        <w:sz w:val="28"/>
                        <w:szCs w:val="28"/>
                      </w:rPr>
                    </w:pPr>
                    <w:r>
                      <w:rPr>
                        <w:rFonts w:hint="eastAsia"/>
                        <w:b/>
                        <w:sz w:val="24"/>
                        <w:szCs w:val="24"/>
                      </w:rPr>
                      <w:t>南 昌 双 港 供 水 有 限 公 司</w:t>
                    </w:r>
                  </w:p>
                  <w:p>
                    <w:pPr>
                      <w:spacing w:line="240" w:lineRule="auto"/>
                      <w:ind w:firstLine="443" w:firstLineChars="245"/>
                      <w:jc w:val="center"/>
                      <w:rPr>
                        <w:rFonts w:ascii="Times New Roman" w:hAnsi="Times New Roman" w:cs="Times New Roman"/>
                        <w:b/>
                        <w:sz w:val="18"/>
                        <w:szCs w:val="18"/>
                      </w:rPr>
                    </w:pPr>
                    <w:r>
                      <w:rPr>
                        <w:rFonts w:ascii="Times New Roman" w:hAnsi="Times New Roman" w:cs="Times New Roman"/>
                        <w:b/>
                        <w:sz w:val="18"/>
                        <w:szCs w:val="18"/>
                      </w:rPr>
                      <w:t>Nanchang Shuanggang Water Supply Co.,</w:t>
                    </w:r>
                    <w:r>
                      <w:rPr>
                        <w:rFonts w:hint="eastAsia" w:ascii="Times New Roman" w:hAnsi="Times New Roman" w:cs="Times New Roman"/>
                        <w:b/>
                        <w:sz w:val="18"/>
                        <w:szCs w:val="18"/>
                      </w:rPr>
                      <w:t xml:space="preserve"> </w:t>
                    </w:r>
                    <w:r>
                      <w:rPr>
                        <w:rFonts w:ascii="Times New Roman" w:hAnsi="Times New Roman" w:cs="Times New Roman"/>
                        <w:b/>
                        <w:sz w:val="18"/>
                        <w:szCs w:val="18"/>
                      </w:rPr>
                      <w:t>LTD.</w:t>
                    </w:r>
                  </w:p>
                </w:txbxContent>
              </v:textbox>
            </v:shape>
          </w:pict>
        </mc:Fallback>
      </mc:AlternateContent>
    </w:r>
    <w:r>
      <w:rPr>
        <w:rFonts w:hint="eastAsia"/>
        <w:lang w:eastAsia="zh-CN"/>
      </w:rPr>
      <w:t>南昌双港供水有限公司</w:t>
    </w:r>
    <w:r>
      <w:rPr>
        <w:rFonts w:hint="eastAsia"/>
      </w:rPr>
      <w:t>突发环境事件应急资源调查报告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thinThickSmallGap" w:color="auto" w:sz="24" w:space="1"/>
      </w:pBdr>
      <w:ind w:firstLine="360"/>
      <w:rPr>
        <w:rFonts w:hint="eastAsia"/>
        <w:lang w:eastAsia="zh-CN"/>
      </w:rPr>
    </w:pPr>
    <w:r>
      <w:drawing>
        <wp:anchor distT="0" distB="0" distL="114300" distR="114300" simplePos="0" relativeHeight="252178432" behindDoc="0" locked="0" layoutInCell="1" allowOverlap="1">
          <wp:simplePos x="0" y="0"/>
          <wp:positionH relativeFrom="column">
            <wp:posOffset>24765</wp:posOffset>
          </wp:positionH>
          <wp:positionV relativeFrom="paragraph">
            <wp:posOffset>31115</wp:posOffset>
          </wp:positionV>
          <wp:extent cx="814705" cy="347980"/>
          <wp:effectExtent l="0" t="0" r="10795" b="7620"/>
          <wp:wrapNone/>
          <wp:docPr id="24" name="图片 2" descr="C:\Users\ncsg\Desktop\中法新标识\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descr="C:\Users\ncsg\Desktop\中法新标识\image001.jpg"/>
                  <pic:cNvPicPr>
                    <a:picLocks noChangeAspect="1"/>
                  </pic:cNvPicPr>
                </pic:nvPicPr>
                <pic:blipFill>
                  <a:blip r:embed="rId1"/>
                  <a:stretch>
                    <a:fillRect/>
                  </a:stretch>
                </pic:blipFill>
                <pic:spPr>
                  <a:xfrm>
                    <a:off x="0" y="0"/>
                    <a:ext cx="814705" cy="347980"/>
                  </a:xfrm>
                  <a:prstGeom prst="rect">
                    <a:avLst/>
                  </a:prstGeom>
                  <a:noFill/>
                  <a:ln>
                    <a:noFill/>
                  </a:ln>
                </pic:spPr>
              </pic:pic>
            </a:graphicData>
          </a:graphic>
        </wp:anchor>
      </w:drawing>
    </w:r>
  </w:p>
  <w:p>
    <w:pPr>
      <w:pStyle w:val="11"/>
      <w:pBdr>
        <w:bottom w:val="thinThickSmallGap" w:color="auto" w:sz="24" w:space="1"/>
      </w:pBdr>
      <w:ind w:firstLine="360"/>
      <w:rPr>
        <w:rFonts w:hint="eastAsia"/>
        <w:lang w:eastAsia="zh-CN"/>
      </w:rPr>
    </w:pPr>
  </w:p>
  <w:p>
    <w:pPr>
      <w:pStyle w:val="11"/>
      <w:pBdr>
        <w:bottom w:val="thinThickSmallGap" w:color="auto" w:sz="24" w:space="1"/>
      </w:pBdr>
      <w:ind w:firstLine="360"/>
      <w:jc w:val="right"/>
      <w:rPr>
        <w:rFonts w:hint="eastAsia" w:eastAsia="宋体"/>
        <w:lang w:eastAsia="zh-CN"/>
      </w:rPr>
    </w:pPr>
    <w:r>
      <mc:AlternateContent>
        <mc:Choice Requires="wps">
          <w:drawing>
            <wp:anchor distT="0" distB="0" distL="114300" distR="114300" simplePos="0" relativeHeight="252499968" behindDoc="0" locked="0" layoutInCell="1" allowOverlap="1">
              <wp:simplePos x="0" y="0"/>
              <wp:positionH relativeFrom="column">
                <wp:posOffset>34290</wp:posOffset>
              </wp:positionH>
              <wp:positionV relativeFrom="paragraph">
                <wp:posOffset>-210185</wp:posOffset>
              </wp:positionV>
              <wp:extent cx="3399155" cy="616585"/>
              <wp:effectExtent l="0" t="0" r="0" b="0"/>
              <wp:wrapNone/>
              <wp:docPr id="2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399155" cy="616585"/>
                      </a:xfrm>
                      <a:prstGeom prst="rect">
                        <a:avLst/>
                      </a:prstGeom>
                      <a:noFill/>
                      <a:ln w="9525">
                        <a:noFill/>
                        <a:miter lim="800000"/>
                      </a:ln>
                    </wps:spPr>
                    <wps:txbx>
                      <w:txbxContent>
                        <w:p>
                          <w:pPr>
                            <w:spacing w:line="240" w:lineRule="auto"/>
                            <w:ind w:firstLine="482" w:firstLineChars="200"/>
                            <w:jc w:val="center"/>
                            <w:rPr>
                              <w:b/>
                              <w:sz w:val="28"/>
                              <w:szCs w:val="28"/>
                            </w:rPr>
                          </w:pPr>
                          <w:r>
                            <w:rPr>
                              <w:rFonts w:hint="eastAsia"/>
                              <w:b/>
                              <w:sz w:val="24"/>
                              <w:szCs w:val="24"/>
                            </w:rPr>
                            <w:t>南 昌 双 港 供 水 有 限 公 司</w:t>
                          </w:r>
                        </w:p>
                        <w:p>
                          <w:pPr>
                            <w:spacing w:line="240" w:lineRule="auto"/>
                            <w:ind w:firstLine="443" w:firstLineChars="245"/>
                            <w:jc w:val="center"/>
                            <w:rPr>
                              <w:rFonts w:ascii="Times New Roman" w:hAnsi="Times New Roman" w:cs="Times New Roman"/>
                              <w:b/>
                              <w:sz w:val="18"/>
                              <w:szCs w:val="18"/>
                            </w:rPr>
                          </w:pPr>
                          <w:r>
                            <w:rPr>
                              <w:rFonts w:ascii="Times New Roman" w:hAnsi="Times New Roman" w:cs="Times New Roman"/>
                              <w:b/>
                              <w:sz w:val="18"/>
                              <w:szCs w:val="18"/>
                            </w:rPr>
                            <w:t>Nanchang Shuanggang Water Supply Co.,</w:t>
                          </w:r>
                          <w:r>
                            <w:rPr>
                              <w:rFonts w:hint="eastAsia" w:ascii="Times New Roman" w:hAnsi="Times New Roman" w:cs="Times New Roman"/>
                              <w:b/>
                              <w:sz w:val="18"/>
                              <w:szCs w:val="18"/>
                            </w:rPr>
                            <w:t xml:space="preserve"> </w:t>
                          </w:r>
                          <w:r>
                            <w:rPr>
                              <w:rFonts w:ascii="Times New Roman" w:hAnsi="Times New Roman" w:cs="Times New Roman"/>
                              <w:b/>
                              <w:sz w:val="18"/>
                              <w:szCs w:val="18"/>
                            </w:rPr>
                            <w:t>LTD.</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7pt;margin-top:-16.55pt;height:48.55pt;width:267.65pt;z-index:252499968;mso-width-relative:page;mso-height-relative:page;" filled="f" stroked="f" coordsize="21600,21600" o:gfxdata="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02Ynq1gAAAAgBAAAPAAAAAAAAAAEAIAAAACIAAABk&#10;cnMvZG93bnJldi54bWxQSwECFAAUAAAACACHTuJAvEQIuggCAADcAwAADgAAAAAAAAABACAAAAAl&#10;AQAAZHJzL2Uyb0RvYy54bWxQSwUGAAAAAAYABgBZAQAAnwUAAAAA&#10;">
              <v:fill on="f" focussize="0,0"/>
              <v:stroke on="f" miterlimit="8" joinstyle="miter"/>
              <v:imagedata o:title=""/>
              <o:lock v:ext="edit" aspectratio="f"/>
              <v:textbox>
                <w:txbxContent>
                  <w:p>
                    <w:pPr>
                      <w:spacing w:line="240" w:lineRule="auto"/>
                      <w:ind w:firstLine="482" w:firstLineChars="200"/>
                      <w:jc w:val="center"/>
                      <w:rPr>
                        <w:b/>
                        <w:sz w:val="28"/>
                        <w:szCs w:val="28"/>
                      </w:rPr>
                    </w:pPr>
                    <w:r>
                      <w:rPr>
                        <w:rFonts w:hint="eastAsia"/>
                        <w:b/>
                        <w:sz w:val="24"/>
                        <w:szCs w:val="24"/>
                      </w:rPr>
                      <w:t>南 昌 双 港 供 水 有 限 公 司</w:t>
                    </w:r>
                  </w:p>
                  <w:p>
                    <w:pPr>
                      <w:spacing w:line="240" w:lineRule="auto"/>
                      <w:ind w:firstLine="443" w:firstLineChars="245"/>
                      <w:jc w:val="center"/>
                      <w:rPr>
                        <w:rFonts w:ascii="Times New Roman" w:hAnsi="Times New Roman" w:cs="Times New Roman"/>
                        <w:b/>
                        <w:sz w:val="18"/>
                        <w:szCs w:val="18"/>
                      </w:rPr>
                    </w:pPr>
                    <w:r>
                      <w:rPr>
                        <w:rFonts w:ascii="Times New Roman" w:hAnsi="Times New Roman" w:cs="Times New Roman"/>
                        <w:b/>
                        <w:sz w:val="18"/>
                        <w:szCs w:val="18"/>
                      </w:rPr>
                      <w:t>Nanchang Shuanggang Water Supply Co.,</w:t>
                    </w:r>
                    <w:r>
                      <w:rPr>
                        <w:rFonts w:hint="eastAsia" w:ascii="Times New Roman" w:hAnsi="Times New Roman" w:cs="Times New Roman"/>
                        <w:b/>
                        <w:sz w:val="18"/>
                        <w:szCs w:val="18"/>
                      </w:rPr>
                      <w:t xml:space="preserve"> </w:t>
                    </w:r>
                    <w:r>
                      <w:rPr>
                        <w:rFonts w:ascii="Times New Roman" w:hAnsi="Times New Roman" w:cs="Times New Roman"/>
                        <w:b/>
                        <w:sz w:val="18"/>
                        <w:szCs w:val="18"/>
                      </w:rPr>
                      <w:t>LTD.</w:t>
                    </w:r>
                  </w:p>
                </w:txbxContent>
              </v:textbox>
            </v:shape>
          </w:pict>
        </mc:Fallback>
      </mc:AlternateContent>
    </w:r>
    <w:r>
      <w:rPr>
        <w:rFonts w:hint="eastAsia"/>
        <w:lang w:eastAsia="zh-CN"/>
      </w:rPr>
      <w:t>南昌双港供水有限公司</w:t>
    </w:r>
    <w:r>
      <w:rPr>
        <w:rFonts w:hint="eastAsia"/>
      </w:rPr>
      <w:t>突发环境事件应急预案评审意见</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582EAD"/>
    <w:multiLevelType w:val="multilevel"/>
    <w:tmpl w:val="0F582EAD"/>
    <w:lvl w:ilvl="0" w:tentative="0">
      <w:start w:val="1"/>
      <w:numFmt w:val="decimal"/>
      <w:pStyle w:val="4"/>
      <w:suff w:val="space"/>
      <w:lvlText w:val="%1"/>
      <w:lvlJc w:val="left"/>
      <w:pPr>
        <w:ind w:left="425" w:hanging="425"/>
      </w:pPr>
      <w:rPr>
        <w:rFonts w:hint="default" w:ascii="Times New Roman" w:hAnsi="Times New Roman" w:eastAsia="宋体"/>
        <w:b/>
        <w:i w:val="0"/>
        <w:sz w:val="32"/>
      </w:rPr>
    </w:lvl>
    <w:lvl w:ilvl="1" w:tentative="0">
      <w:start w:val="1"/>
      <w:numFmt w:val="decimal"/>
      <w:pStyle w:val="5"/>
      <w:suff w:val="space"/>
      <w:lvlText w:val="%1.%2"/>
      <w:lvlJc w:val="left"/>
      <w:pPr>
        <w:ind w:left="992" w:hanging="992"/>
      </w:pPr>
      <w:rPr>
        <w:rFonts w:hint="default" w:ascii="Times New Roman" w:hAnsi="Times New Roman" w:eastAsia="宋体"/>
        <w:b/>
        <w:i w:val="0"/>
        <w:sz w:val="30"/>
        <w:szCs w:val="30"/>
      </w:rPr>
    </w:lvl>
    <w:lvl w:ilvl="2" w:tentative="0">
      <w:start w:val="1"/>
      <w:numFmt w:val="decimal"/>
      <w:pStyle w:val="6"/>
      <w:suff w:val="space"/>
      <w:lvlText w:val="%1.%2.%3"/>
      <w:lvlJc w:val="left"/>
      <w:pPr>
        <w:ind w:left="1418" w:hanging="1418"/>
      </w:pPr>
      <w:rPr>
        <w:rFonts w:hint="default" w:ascii="Times New Roman" w:hAnsi="Times New Roman" w:eastAsia="宋体"/>
        <w:b/>
        <w:i w:val="0"/>
        <w:sz w:val="28"/>
      </w:rPr>
    </w:lvl>
    <w:lvl w:ilvl="3" w:tentative="0">
      <w:start w:val="1"/>
      <w:numFmt w:val="decimal"/>
      <w:pStyle w:val="7"/>
      <w:suff w:val="space"/>
      <w:lvlText w:val="%1.%2.%3.%4"/>
      <w:lvlJc w:val="left"/>
      <w:pPr>
        <w:ind w:left="1984" w:hanging="1984"/>
      </w:pPr>
      <w:rPr>
        <w:rFonts w:hint="default" w:ascii="Times New Roman" w:hAnsi="Times New Roman" w:eastAsia="宋体"/>
        <w:b/>
        <w:i w:val="0"/>
        <w:sz w:val="28"/>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
    <w:nsid w:val="1F88C94C"/>
    <w:multiLevelType w:val="singleLevel"/>
    <w:tmpl w:val="1F88C94C"/>
    <w:lvl w:ilvl="0" w:tentative="0">
      <w:start w:val="1"/>
      <w:numFmt w:val="decimal"/>
      <w:suff w:val="nothing"/>
      <w:lvlText w:val="（%1）"/>
      <w:lvlJc w:val="left"/>
    </w:lvl>
  </w:abstractNum>
  <w:abstractNum w:abstractNumId="2">
    <w:nsid w:val="4C301734"/>
    <w:multiLevelType w:val="multilevel"/>
    <w:tmpl w:val="4C301734"/>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val="0"/>
  <w:bordersDoNotSurroundFooter w:val="0"/>
  <w:documentProtection w:enforcement="0"/>
  <w:defaultTabStop w:val="420"/>
  <w:drawingGridHorizontalSpacing w:val="144"/>
  <w:drawingGridVerticalSpacing w:val="190"/>
  <w:displayHorizontalDrawingGridEvery w:val="1"/>
  <w:displayVerticalDrawingGridEvery w:val="2"/>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7C3E"/>
    <w:rsid w:val="0000061E"/>
    <w:rsid w:val="000068A1"/>
    <w:rsid w:val="00007FA4"/>
    <w:rsid w:val="00010D8F"/>
    <w:rsid w:val="00013D35"/>
    <w:rsid w:val="000155C3"/>
    <w:rsid w:val="00016D4A"/>
    <w:rsid w:val="000176CD"/>
    <w:rsid w:val="00023160"/>
    <w:rsid w:val="00024EF6"/>
    <w:rsid w:val="00027D93"/>
    <w:rsid w:val="00030360"/>
    <w:rsid w:val="000342F1"/>
    <w:rsid w:val="00034412"/>
    <w:rsid w:val="0003466F"/>
    <w:rsid w:val="0003561F"/>
    <w:rsid w:val="000418BB"/>
    <w:rsid w:val="00043DCC"/>
    <w:rsid w:val="00047277"/>
    <w:rsid w:val="00047499"/>
    <w:rsid w:val="00051B25"/>
    <w:rsid w:val="00052330"/>
    <w:rsid w:val="000534C8"/>
    <w:rsid w:val="00054EDE"/>
    <w:rsid w:val="00061B87"/>
    <w:rsid w:val="00063E85"/>
    <w:rsid w:val="00064387"/>
    <w:rsid w:val="00065393"/>
    <w:rsid w:val="00065F6F"/>
    <w:rsid w:val="0006655F"/>
    <w:rsid w:val="00066858"/>
    <w:rsid w:val="00066C15"/>
    <w:rsid w:val="00070505"/>
    <w:rsid w:val="00071D28"/>
    <w:rsid w:val="000733B9"/>
    <w:rsid w:val="00073F92"/>
    <w:rsid w:val="0007404E"/>
    <w:rsid w:val="00074B2A"/>
    <w:rsid w:val="00075688"/>
    <w:rsid w:val="00075E80"/>
    <w:rsid w:val="000827CC"/>
    <w:rsid w:val="00085F13"/>
    <w:rsid w:val="000872CD"/>
    <w:rsid w:val="0009113F"/>
    <w:rsid w:val="00091B17"/>
    <w:rsid w:val="0009284B"/>
    <w:rsid w:val="00093DD0"/>
    <w:rsid w:val="000A1848"/>
    <w:rsid w:val="000A1D86"/>
    <w:rsid w:val="000A5D37"/>
    <w:rsid w:val="000A75B3"/>
    <w:rsid w:val="000B0487"/>
    <w:rsid w:val="000B07C2"/>
    <w:rsid w:val="000B0B57"/>
    <w:rsid w:val="000B0FA0"/>
    <w:rsid w:val="000B270D"/>
    <w:rsid w:val="000B2FF1"/>
    <w:rsid w:val="000B4E35"/>
    <w:rsid w:val="000B7169"/>
    <w:rsid w:val="000C1857"/>
    <w:rsid w:val="000C1EC1"/>
    <w:rsid w:val="000C4095"/>
    <w:rsid w:val="000C5EAE"/>
    <w:rsid w:val="000D07A4"/>
    <w:rsid w:val="000D3DB0"/>
    <w:rsid w:val="000D5813"/>
    <w:rsid w:val="000D6A42"/>
    <w:rsid w:val="000D761C"/>
    <w:rsid w:val="000D7C63"/>
    <w:rsid w:val="000E17CB"/>
    <w:rsid w:val="000E1EA1"/>
    <w:rsid w:val="000E2541"/>
    <w:rsid w:val="000E2A26"/>
    <w:rsid w:val="000E3226"/>
    <w:rsid w:val="000E375A"/>
    <w:rsid w:val="000E430D"/>
    <w:rsid w:val="000E46BF"/>
    <w:rsid w:val="000E6B83"/>
    <w:rsid w:val="000F31BE"/>
    <w:rsid w:val="000F3D80"/>
    <w:rsid w:val="000F49CC"/>
    <w:rsid w:val="000F739F"/>
    <w:rsid w:val="00100141"/>
    <w:rsid w:val="00100766"/>
    <w:rsid w:val="00101889"/>
    <w:rsid w:val="00101978"/>
    <w:rsid w:val="00101D17"/>
    <w:rsid w:val="001028E7"/>
    <w:rsid w:val="00106419"/>
    <w:rsid w:val="00106CF4"/>
    <w:rsid w:val="00106EBF"/>
    <w:rsid w:val="001077A0"/>
    <w:rsid w:val="00107D91"/>
    <w:rsid w:val="00110B0F"/>
    <w:rsid w:val="00111500"/>
    <w:rsid w:val="0011172A"/>
    <w:rsid w:val="00112F55"/>
    <w:rsid w:val="00114F2C"/>
    <w:rsid w:val="00115326"/>
    <w:rsid w:val="00115DB3"/>
    <w:rsid w:val="00120228"/>
    <w:rsid w:val="0012076D"/>
    <w:rsid w:val="00120E5E"/>
    <w:rsid w:val="00121A9C"/>
    <w:rsid w:val="00124424"/>
    <w:rsid w:val="001250AD"/>
    <w:rsid w:val="001270B7"/>
    <w:rsid w:val="001273F1"/>
    <w:rsid w:val="00131777"/>
    <w:rsid w:val="00132091"/>
    <w:rsid w:val="001356F1"/>
    <w:rsid w:val="00136C84"/>
    <w:rsid w:val="001371EC"/>
    <w:rsid w:val="00137ADA"/>
    <w:rsid w:val="001402C2"/>
    <w:rsid w:val="0014253E"/>
    <w:rsid w:val="001430CD"/>
    <w:rsid w:val="00144C6B"/>
    <w:rsid w:val="001453A6"/>
    <w:rsid w:val="001463DE"/>
    <w:rsid w:val="001466B9"/>
    <w:rsid w:val="001466BC"/>
    <w:rsid w:val="001467E8"/>
    <w:rsid w:val="00147580"/>
    <w:rsid w:val="00151C59"/>
    <w:rsid w:val="00151FE1"/>
    <w:rsid w:val="00152129"/>
    <w:rsid w:val="0015236F"/>
    <w:rsid w:val="00152BF9"/>
    <w:rsid w:val="001535FB"/>
    <w:rsid w:val="00153BB0"/>
    <w:rsid w:val="00154C98"/>
    <w:rsid w:val="00154F10"/>
    <w:rsid w:val="0015671B"/>
    <w:rsid w:val="001620B5"/>
    <w:rsid w:val="00162FCB"/>
    <w:rsid w:val="00163CDF"/>
    <w:rsid w:val="0016457C"/>
    <w:rsid w:val="00170A2C"/>
    <w:rsid w:val="00176CB7"/>
    <w:rsid w:val="001805E0"/>
    <w:rsid w:val="001815E2"/>
    <w:rsid w:val="00182EB5"/>
    <w:rsid w:val="00183A0A"/>
    <w:rsid w:val="00183FAE"/>
    <w:rsid w:val="0018694F"/>
    <w:rsid w:val="00187120"/>
    <w:rsid w:val="00191046"/>
    <w:rsid w:val="00194FC0"/>
    <w:rsid w:val="0019529E"/>
    <w:rsid w:val="001966C2"/>
    <w:rsid w:val="0019713A"/>
    <w:rsid w:val="001A79D2"/>
    <w:rsid w:val="001B0292"/>
    <w:rsid w:val="001B0A0A"/>
    <w:rsid w:val="001B0DA4"/>
    <w:rsid w:val="001B1392"/>
    <w:rsid w:val="001B24C0"/>
    <w:rsid w:val="001B2EE0"/>
    <w:rsid w:val="001B7105"/>
    <w:rsid w:val="001B71BE"/>
    <w:rsid w:val="001C2068"/>
    <w:rsid w:val="001C358C"/>
    <w:rsid w:val="001C4286"/>
    <w:rsid w:val="001C6842"/>
    <w:rsid w:val="001C6C08"/>
    <w:rsid w:val="001C7365"/>
    <w:rsid w:val="001D01C7"/>
    <w:rsid w:val="001D0575"/>
    <w:rsid w:val="001D2B66"/>
    <w:rsid w:val="001D39BD"/>
    <w:rsid w:val="001D533D"/>
    <w:rsid w:val="001D5481"/>
    <w:rsid w:val="001E0674"/>
    <w:rsid w:val="001E12A7"/>
    <w:rsid w:val="001E19C6"/>
    <w:rsid w:val="001E1D6B"/>
    <w:rsid w:val="001E2113"/>
    <w:rsid w:val="001E31AA"/>
    <w:rsid w:val="001E5471"/>
    <w:rsid w:val="001E5B2C"/>
    <w:rsid w:val="001E63A2"/>
    <w:rsid w:val="001E66C5"/>
    <w:rsid w:val="001E7C9E"/>
    <w:rsid w:val="001F4384"/>
    <w:rsid w:val="001F4B74"/>
    <w:rsid w:val="001F5969"/>
    <w:rsid w:val="00200292"/>
    <w:rsid w:val="002025F2"/>
    <w:rsid w:val="002029B7"/>
    <w:rsid w:val="0020711D"/>
    <w:rsid w:val="002073B3"/>
    <w:rsid w:val="00215650"/>
    <w:rsid w:val="00216C23"/>
    <w:rsid w:val="00220D4E"/>
    <w:rsid w:val="002210AA"/>
    <w:rsid w:val="002224BA"/>
    <w:rsid w:val="00222AC8"/>
    <w:rsid w:val="00223A07"/>
    <w:rsid w:val="0022444B"/>
    <w:rsid w:val="00226B3A"/>
    <w:rsid w:val="00231CC7"/>
    <w:rsid w:val="00232531"/>
    <w:rsid w:val="00232F88"/>
    <w:rsid w:val="00233E7D"/>
    <w:rsid w:val="0023515A"/>
    <w:rsid w:val="00243080"/>
    <w:rsid w:val="00243FAB"/>
    <w:rsid w:val="00244DBC"/>
    <w:rsid w:val="002479B3"/>
    <w:rsid w:val="00251069"/>
    <w:rsid w:val="002536FE"/>
    <w:rsid w:val="002574A9"/>
    <w:rsid w:val="00257640"/>
    <w:rsid w:val="002712FD"/>
    <w:rsid w:val="00271720"/>
    <w:rsid w:val="00272701"/>
    <w:rsid w:val="00272B9C"/>
    <w:rsid w:val="00273119"/>
    <w:rsid w:val="00274505"/>
    <w:rsid w:val="00274718"/>
    <w:rsid w:val="002776FA"/>
    <w:rsid w:val="002778D3"/>
    <w:rsid w:val="00277A64"/>
    <w:rsid w:val="00280274"/>
    <w:rsid w:val="00282C8C"/>
    <w:rsid w:val="00283161"/>
    <w:rsid w:val="00283B17"/>
    <w:rsid w:val="0028619C"/>
    <w:rsid w:val="002861C4"/>
    <w:rsid w:val="002862C8"/>
    <w:rsid w:val="00290174"/>
    <w:rsid w:val="00290F50"/>
    <w:rsid w:val="0029374A"/>
    <w:rsid w:val="002942CE"/>
    <w:rsid w:val="00294CF7"/>
    <w:rsid w:val="00295458"/>
    <w:rsid w:val="002A0B29"/>
    <w:rsid w:val="002A2EC8"/>
    <w:rsid w:val="002A30CC"/>
    <w:rsid w:val="002A6F4C"/>
    <w:rsid w:val="002B2418"/>
    <w:rsid w:val="002B2EF7"/>
    <w:rsid w:val="002B2F3E"/>
    <w:rsid w:val="002B381B"/>
    <w:rsid w:val="002B5EFA"/>
    <w:rsid w:val="002B75E0"/>
    <w:rsid w:val="002C20D4"/>
    <w:rsid w:val="002C2D0A"/>
    <w:rsid w:val="002C3975"/>
    <w:rsid w:val="002C53F8"/>
    <w:rsid w:val="002C62F8"/>
    <w:rsid w:val="002C79FB"/>
    <w:rsid w:val="002D086D"/>
    <w:rsid w:val="002D134D"/>
    <w:rsid w:val="002D515E"/>
    <w:rsid w:val="002D51E3"/>
    <w:rsid w:val="002E385D"/>
    <w:rsid w:val="002E56D5"/>
    <w:rsid w:val="002E62D0"/>
    <w:rsid w:val="002E6649"/>
    <w:rsid w:val="002E699E"/>
    <w:rsid w:val="002E72D4"/>
    <w:rsid w:val="002F6549"/>
    <w:rsid w:val="00302A60"/>
    <w:rsid w:val="00303B94"/>
    <w:rsid w:val="00307022"/>
    <w:rsid w:val="003113D2"/>
    <w:rsid w:val="00312E2F"/>
    <w:rsid w:val="003141CD"/>
    <w:rsid w:val="00314479"/>
    <w:rsid w:val="00314534"/>
    <w:rsid w:val="00316352"/>
    <w:rsid w:val="00317580"/>
    <w:rsid w:val="00320616"/>
    <w:rsid w:val="0032086E"/>
    <w:rsid w:val="00320A2D"/>
    <w:rsid w:val="0033161B"/>
    <w:rsid w:val="00334962"/>
    <w:rsid w:val="00337D81"/>
    <w:rsid w:val="00340DA4"/>
    <w:rsid w:val="003435C0"/>
    <w:rsid w:val="00344819"/>
    <w:rsid w:val="0034596D"/>
    <w:rsid w:val="003460C5"/>
    <w:rsid w:val="003535D8"/>
    <w:rsid w:val="00353755"/>
    <w:rsid w:val="003551EF"/>
    <w:rsid w:val="00356CE7"/>
    <w:rsid w:val="00356D4D"/>
    <w:rsid w:val="00357128"/>
    <w:rsid w:val="00360CB1"/>
    <w:rsid w:val="00361301"/>
    <w:rsid w:val="00361E25"/>
    <w:rsid w:val="0036395E"/>
    <w:rsid w:val="003646DB"/>
    <w:rsid w:val="00365294"/>
    <w:rsid w:val="00366C5A"/>
    <w:rsid w:val="003671D5"/>
    <w:rsid w:val="00367E26"/>
    <w:rsid w:val="00371394"/>
    <w:rsid w:val="00371D47"/>
    <w:rsid w:val="00374E07"/>
    <w:rsid w:val="00375F41"/>
    <w:rsid w:val="0037741D"/>
    <w:rsid w:val="00380EDD"/>
    <w:rsid w:val="00382ED6"/>
    <w:rsid w:val="00383D7D"/>
    <w:rsid w:val="0038519B"/>
    <w:rsid w:val="00385A8B"/>
    <w:rsid w:val="00390E5F"/>
    <w:rsid w:val="0039165B"/>
    <w:rsid w:val="003935AD"/>
    <w:rsid w:val="003947DB"/>
    <w:rsid w:val="0039789D"/>
    <w:rsid w:val="003A06AF"/>
    <w:rsid w:val="003A1B92"/>
    <w:rsid w:val="003A2A3F"/>
    <w:rsid w:val="003A417D"/>
    <w:rsid w:val="003A43C7"/>
    <w:rsid w:val="003A4734"/>
    <w:rsid w:val="003A4D6E"/>
    <w:rsid w:val="003A5524"/>
    <w:rsid w:val="003B5AB8"/>
    <w:rsid w:val="003B7F78"/>
    <w:rsid w:val="003C35F0"/>
    <w:rsid w:val="003C4181"/>
    <w:rsid w:val="003D1285"/>
    <w:rsid w:val="003D2A51"/>
    <w:rsid w:val="003D441B"/>
    <w:rsid w:val="003D583B"/>
    <w:rsid w:val="003D5AAE"/>
    <w:rsid w:val="003D74C1"/>
    <w:rsid w:val="003D76D0"/>
    <w:rsid w:val="003E35F6"/>
    <w:rsid w:val="003E3AA5"/>
    <w:rsid w:val="003E3CF6"/>
    <w:rsid w:val="003E4899"/>
    <w:rsid w:val="003E61B4"/>
    <w:rsid w:val="003E7E4E"/>
    <w:rsid w:val="003F2751"/>
    <w:rsid w:val="003F45E7"/>
    <w:rsid w:val="003F47D9"/>
    <w:rsid w:val="00401D01"/>
    <w:rsid w:val="004032C5"/>
    <w:rsid w:val="0040418A"/>
    <w:rsid w:val="0040558D"/>
    <w:rsid w:val="0041193B"/>
    <w:rsid w:val="0041256E"/>
    <w:rsid w:val="00413BEB"/>
    <w:rsid w:val="00413FF3"/>
    <w:rsid w:val="00415AE7"/>
    <w:rsid w:val="004171D8"/>
    <w:rsid w:val="00417874"/>
    <w:rsid w:val="0042073A"/>
    <w:rsid w:val="00421EAF"/>
    <w:rsid w:val="004221D7"/>
    <w:rsid w:val="0043004B"/>
    <w:rsid w:val="004306B7"/>
    <w:rsid w:val="00432096"/>
    <w:rsid w:val="0043262B"/>
    <w:rsid w:val="004335A5"/>
    <w:rsid w:val="0043397D"/>
    <w:rsid w:val="0043529F"/>
    <w:rsid w:val="0044333A"/>
    <w:rsid w:val="004438CB"/>
    <w:rsid w:val="00444602"/>
    <w:rsid w:val="00444D28"/>
    <w:rsid w:val="00445508"/>
    <w:rsid w:val="004476A1"/>
    <w:rsid w:val="00447E2E"/>
    <w:rsid w:val="00451614"/>
    <w:rsid w:val="00451C0E"/>
    <w:rsid w:val="0045338F"/>
    <w:rsid w:val="00455322"/>
    <w:rsid w:val="0045792C"/>
    <w:rsid w:val="00461996"/>
    <w:rsid w:val="00462835"/>
    <w:rsid w:val="0046691A"/>
    <w:rsid w:val="00471559"/>
    <w:rsid w:val="00471695"/>
    <w:rsid w:val="00473C90"/>
    <w:rsid w:val="004742EE"/>
    <w:rsid w:val="00474E51"/>
    <w:rsid w:val="00476E95"/>
    <w:rsid w:val="00480B7B"/>
    <w:rsid w:val="0048361F"/>
    <w:rsid w:val="00483D61"/>
    <w:rsid w:val="0048445A"/>
    <w:rsid w:val="00493326"/>
    <w:rsid w:val="00495316"/>
    <w:rsid w:val="004961E7"/>
    <w:rsid w:val="00497318"/>
    <w:rsid w:val="004A30BD"/>
    <w:rsid w:val="004A6060"/>
    <w:rsid w:val="004A6696"/>
    <w:rsid w:val="004B1D54"/>
    <w:rsid w:val="004B1F33"/>
    <w:rsid w:val="004B3616"/>
    <w:rsid w:val="004B48B1"/>
    <w:rsid w:val="004B54C2"/>
    <w:rsid w:val="004B5C3F"/>
    <w:rsid w:val="004C2466"/>
    <w:rsid w:val="004C27D5"/>
    <w:rsid w:val="004C46E0"/>
    <w:rsid w:val="004D09FD"/>
    <w:rsid w:val="004D2EAB"/>
    <w:rsid w:val="004D3CB2"/>
    <w:rsid w:val="004D52FB"/>
    <w:rsid w:val="004D5872"/>
    <w:rsid w:val="004D5F33"/>
    <w:rsid w:val="004D6D37"/>
    <w:rsid w:val="004D74E3"/>
    <w:rsid w:val="004E47B4"/>
    <w:rsid w:val="004E495A"/>
    <w:rsid w:val="004E7E48"/>
    <w:rsid w:val="004F1648"/>
    <w:rsid w:val="004F19FF"/>
    <w:rsid w:val="004F336D"/>
    <w:rsid w:val="004F6B7B"/>
    <w:rsid w:val="004F7F82"/>
    <w:rsid w:val="00501499"/>
    <w:rsid w:val="005027D6"/>
    <w:rsid w:val="00503240"/>
    <w:rsid w:val="00504032"/>
    <w:rsid w:val="00505744"/>
    <w:rsid w:val="0050695F"/>
    <w:rsid w:val="00506B8A"/>
    <w:rsid w:val="00506E72"/>
    <w:rsid w:val="0051160F"/>
    <w:rsid w:val="00511D50"/>
    <w:rsid w:val="00513DEF"/>
    <w:rsid w:val="00515D2E"/>
    <w:rsid w:val="00524D2A"/>
    <w:rsid w:val="0052502A"/>
    <w:rsid w:val="00525A2C"/>
    <w:rsid w:val="005342C3"/>
    <w:rsid w:val="00535C05"/>
    <w:rsid w:val="00535F0C"/>
    <w:rsid w:val="005365D0"/>
    <w:rsid w:val="0053660C"/>
    <w:rsid w:val="005374F9"/>
    <w:rsid w:val="0053783C"/>
    <w:rsid w:val="005379AE"/>
    <w:rsid w:val="005427DD"/>
    <w:rsid w:val="00544450"/>
    <w:rsid w:val="005449C5"/>
    <w:rsid w:val="00544B2C"/>
    <w:rsid w:val="00544C4A"/>
    <w:rsid w:val="005450F9"/>
    <w:rsid w:val="00547140"/>
    <w:rsid w:val="00547FF9"/>
    <w:rsid w:val="00550EAB"/>
    <w:rsid w:val="00551E85"/>
    <w:rsid w:val="005523E3"/>
    <w:rsid w:val="00554FA5"/>
    <w:rsid w:val="00555600"/>
    <w:rsid w:val="005602F4"/>
    <w:rsid w:val="00560F5E"/>
    <w:rsid w:val="00565D13"/>
    <w:rsid w:val="0056632F"/>
    <w:rsid w:val="00571A0F"/>
    <w:rsid w:val="0057308C"/>
    <w:rsid w:val="005731D7"/>
    <w:rsid w:val="00574FCB"/>
    <w:rsid w:val="005751EB"/>
    <w:rsid w:val="0058055B"/>
    <w:rsid w:val="005809C5"/>
    <w:rsid w:val="00581645"/>
    <w:rsid w:val="005817DF"/>
    <w:rsid w:val="00581A14"/>
    <w:rsid w:val="00581EAD"/>
    <w:rsid w:val="00582B76"/>
    <w:rsid w:val="00582F0F"/>
    <w:rsid w:val="005855DC"/>
    <w:rsid w:val="00586599"/>
    <w:rsid w:val="00586BE3"/>
    <w:rsid w:val="005903A3"/>
    <w:rsid w:val="00590E40"/>
    <w:rsid w:val="00592524"/>
    <w:rsid w:val="005A34EA"/>
    <w:rsid w:val="005A5DEA"/>
    <w:rsid w:val="005B2E3D"/>
    <w:rsid w:val="005B38CC"/>
    <w:rsid w:val="005B69D1"/>
    <w:rsid w:val="005C1537"/>
    <w:rsid w:val="005C42E5"/>
    <w:rsid w:val="005C6168"/>
    <w:rsid w:val="005C6555"/>
    <w:rsid w:val="005C7BE7"/>
    <w:rsid w:val="005D0CEE"/>
    <w:rsid w:val="005D18F3"/>
    <w:rsid w:val="005D2A5E"/>
    <w:rsid w:val="005D4742"/>
    <w:rsid w:val="005D5F44"/>
    <w:rsid w:val="005D621B"/>
    <w:rsid w:val="005D6BC2"/>
    <w:rsid w:val="005D7D4D"/>
    <w:rsid w:val="005E2068"/>
    <w:rsid w:val="005E49AC"/>
    <w:rsid w:val="005E6635"/>
    <w:rsid w:val="005E7166"/>
    <w:rsid w:val="005E777F"/>
    <w:rsid w:val="005F1750"/>
    <w:rsid w:val="005F2276"/>
    <w:rsid w:val="005F2680"/>
    <w:rsid w:val="005F26AB"/>
    <w:rsid w:val="005F2A7B"/>
    <w:rsid w:val="005F41DF"/>
    <w:rsid w:val="005F48C9"/>
    <w:rsid w:val="00601EEF"/>
    <w:rsid w:val="00607275"/>
    <w:rsid w:val="00612577"/>
    <w:rsid w:val="00612763"/>
    <w:rsid w:val="006129D9"/>
    <w:rsid w:val="00612A38"/>
    <w:rsid w:val="00615E99"/>
    <w:rsid w:val="00620AD4"/>
    <w:rsid w:val="00622D10"/>
    <w:rsid w:val="00623720"/>
    <w:rsid w:val="006326D7"/>
    <w:rsid w:val="00634760"/>
    <w:rsid w:val="00637C3E"/>
    <w:rsid w:val="0064099F"/>
    <w:rsid w:val="006424B3"/>
    <w:rsid w:val="00644793"/>
    <w:rsid w:val="00644CA4"/>
    <w:rsid w:val="0064617E"/>
    <w:rsid w:val="00651A02"/>
    <w:rsid w:val="00652620"/>
    <w:rsid w:val="00652756"/>
    <w:rsid w:val="006536BA"/>
    <w:rsid w:val="006540AF"/>
    <w:rsid w:val="0065479C"/>
    <w:rsid w:val="006564B8"/>
    <w:rsid w:val="00656BC2"/>
    <w:rsid w:val="00660F7A"/>
    <w:rsid w:val="00663779"/>
    <w:rsid w:val="00663A2A"/>
    <w:rsid w:val="0066622E"/>
    <w:rsid w:val="0066730B"/>
    <w:rsid w:val="006677C5"/>
    <w:rsid w:val="00667E5D"/>
    <w:rsid w:val="0067394E"/>
    <w:rsid w:val="006739A0"/>
    <w:rsid w:val="00674255"/>
    <w:rsid w:val="00674E73"/>
    <w:rsid w:val="006765A9"/>
    <w:rsid w:val="00676649"/>
    <w:rsid w:val="00677852"/>
    <w:rsid w:val="00680C37"/>
    <w:rsid w:val="006812C5"/>
    <w:rsid w:val="0068278D"/>
    <w:rsid w:val="00683A2E"/>
    <w:rsid w:val="006840D0"/>
    <w:rsid w:val="00684C5E"/>
    <w:rsid w:val="0068649A"/>
    <w:rsid w:val="00690223"/>
    <w:rsid w:val="006913AA"/>
    <w:rsid w:val="006927D1"/>
    <w:rsid w:val="00693385"/>
    <w:rsid w:val="00694948"/>
    <w:rsid w:val="006953A5"/>
    <w:rsid w:val="006969E2"/>
    <w:rsid w:val="00697C01"/>
    <w:rsid w:val="006A0EFE"/>
    <w:rsid w:val="006A3303"/>
    <w:rsid w:val="006A3A83"/>
    <w:rsid w:val="006A58CF"/>
    <w:rsid w:val="006A61F8"/>
    <w:rsid w:val="006A6454"/>
    <w:rsid w:val="006B2580"/>
    <w:rsid w:val="006B5C79"/>
    <w:rsid w:val="006B7B96"/>
    <w:rsid w:val="006C0013"/>
    <w:rsid w:val="006C1315"/>
    <w:rsid w:val="006C1352"/>
    <w:rsid w:val="006C16AC"/>
    <w:rsid w:val="006C2618"/>
    <w:rsid w:val="006C4188"/>
    <w:rsid w:val="006C49A1"/>
    <w:rsid w:val="006C4A18"/>
    <w:rsid w:val="006C74AF"/>
    <w:rsid w:val="006C7F63"/>
    <w:rsid w:val="006D051A"/>
    <w:rsid w:val="006D7568"/>
    <w:rsid w:val="006E0886"/>
    <w:rsid w:val="006E264B"/>
    <w:rsid w:val="006E3CE1"/>
    <w:rsid w:val="006E7EA2"/>
    <w:rsid w:val="006F6075"/>
    <w:rsid w:val="00700A5E"/>
    <w:rsid w:val="00701CA6"/>
    <w:rsid w:val="00703456"/>
    <w:rsid w:val="007047CB"/>
    <w:rsid w:val="0070649B"/>
    <w:rsid w:val="00707C08"/>
    <w:rsid w:val="007109EE"/>
    <w:rsid w:val="00715793"/>
    <w:rsid w:val="00722910"/>
    <w:rsid w:val="007263E0"/>
    <w:rsid w:val="00731684"/>
    <w:rsid w:val="00732CB0"/>
    <w:rsid w:val="00734BD0"/>
    <w:rsid w:val="00735E8C"/>
    <w:rsid w:val="00736944"/>
    <w:rsid w:val="00736FB1"/>
    <w:rsid w:val="00740C09"/>
    <w:rsid w:val="0074108B"/>
    <w:rsid w:val="00742EC4"/>
    <w:rsid w:val="0074583F"/>
    <w:rsid w:val="00745E30"/>
    <w:rsid w:val="007467B9"/>
    <w:rsid w:val="00746DB1"/>
    <w:rsid w:val="00746FC0"/>
    <w:rsid w:val="00750470"/>
    <w:rsid w:val="00750BEC"/>
    <w:rsid w:val="00751001"/>
    <w:rsid w:val="007512AF"/>
    <w:rsid w:val="00752643"/>
    <w:rsid w:val="007531DD"/>
    <w:rsid w:val="00754275"/>
    <w:rsid w:val="007575D0"/>
    <w:rsid w:val="00763A47"/>
    <w:rsid w:val="0076544B"/>
    <w:rsid w:val="00765E94"/>
    <w:rsid w:val="0076604D"/>
    <w:rsid w:val="0076612A"/>
    <w:rsid w:val="00766533"/>
    <w:rsid w:val="0076748C"/>
    <w:rsid w:val="00767863"/>
    <w:rsid w:val="00771FC5"/>
    <w:rsid w:val="007737D9"/>
    <w:rsid w:val="00775AEC"/>
    <w:rsid w:val="007777E2"/>
    <w:rsid w:val="0078089D"/>
    <w:rsid w:val="00783F5D"/>
    <w:rsid w:val="0078636E"/>
    <w:rsid w:val="00786557"/>
    <w:rsid w:val="0079073E"/>
    <w:rsid w:val="007915B2"/>
    <w:rsid w:val="00795080"/>
    <w:rsid w:val="00796C6A"/>
    <w:rsid w:val="007A1396"/>
    <w:rsid w:val="007A4ADB"/>
    <w:rsid w:val="007B1365"/>
    <w:rsid w:val="007B1F25"/>
    <w:rsid w:val="007B2ADF"/>
    <w:rsid w:val="007B3740"/>
    <w:rsid w:val="007B5A39"/>
    <w:rsid w:val="007B60CE"/>
    <w:rsid w:val="007B7405"/>
    <w:rsid w:val="007C4C46"/>
    <w:rsid w:val="007C5110"/>
    <w:rsid w:val="007C6F6F"/>
    <w:rsid w:val="007D1EAE"/>
    <w:rsid w:val="007D1F10"/>
    <w:rsid w:val="007D428B"/>
    <w:rsid w:val="007D50C1"/>
    <w:rsid w:val="007D6147"/>
    <w:rsid w:val="007D655B"/>
    <w:rsid w:val="007D7E6D"/>
    <w:rsid w:val="007E0646"/>
    <w:rsid w:val="007E07BD"/>
    <w:rsid w:val="007E3DDA"/>
    <w:rsid w:val="007E41C5"/>
    <w:rsid w:val="007E4201"/>
    <w:rsid w:val="007E4A48"/>
    <w:rsid w:val="007E6058"/>
    <w:rsid w:val="007E6290"/>
    <w:rsid w:val="007E73C7"/>
    <w:rsid w:val="007F17A1"/>
    <w:rsid w:val="007F2368"/>
    <w:rsid w:val="007F318E"/>
    <w:rsid w:val="007F3CBD"/>
    <w:rsid w:val="007F55E3"/>
    <w:rsid w:val="007F7F9C"/>
    <w:rsid w:val="00800BAE"/>
    <w:rsid w:val="00800F96"/>
    <w:rsid w:val="00800FA3"/>
    <w:rsid w:val="00800FC1"/>
    <w:rsid w:val="00804FE7"/>
    <w:rsid w:val="00811569"/>
    <w:rsid w:val="00813A21"/>
    <w:rsid w:val="00814669"/>
    <w:rsid w:val="00815532"/>
    <w:rsid w:val="00815EFD"/>
    <w:rsid w:val="008178D7"/>
    <w:rsid w:val="00822477"/>
    <w:rsid w:val="0082322B"/>
    <w:rsid w:val="00823808"/>
    <w:rsid w:val="008267B7"/>
    <w:rsid w:val="00826884"/>
    <w:rsid w:val="008309C0"/>
    <w:rsid w:val="00830C4C"/>
    <w:rsid w:val="00831ACF"/>
    <w:rsid w:val="0083320D"/>
    <w:rsid w:val="0083342A"/>
    <w:rsid w:val="00835709"/>
    <w:rsid w:val="008374CF"/>
    <w:rsid w:val="0084130F"/>
    <w:rsid w:val="00841B72"/>
    <w:rsid w:val="0084241B"/>
    <w:rsid w:val="00842BFA"/>
    <w:rsid w:val="0084786A"/>
    <w:rsid w:val="00847B21"/>
    <w:rsid w:val="008514DC"/>
    <w:rsid w:val="008555D0"/>
    <w:rsid w:val="0085577C"/>
    <w:rsid w:val="00855F6B"/>
    <w:rsid w:val="00856383"/>
    <w:rsid w:val="0086005A"/>
    <w:rsid w:val="00860AE8"/>
    <w:rsid w:val="00862607"/>
    <w:rsid w:val="00862822"/>
    <w:rsid w:val="00866BC3"/>
    <w:rsid w:val="00872D2E"/>
    <w:rsid w:val="00875473"/>
    <w:rsid w:val="00875ECC"/>
    <w:rsid w:val="00880567"/>
    <w:rsid w:val="00880E98"/>
    <w:rsid w:val="00881AE5"/>
    <w:rsid w:val="0088467A"/>
    <w:rsid w:val="008859F1"/>
    <w:rsid w:val="00891027"/>
    <w:rsid w:val="0089103D"/>
    <w:rsid w:val="008910B4"/>
    <w:rsid w:val="00891F92"/>
    <w:rsid w:val="008923D2"/>
    <w:rsid w:val="00893FC8"/>
    <w:rsid w:val="00896694"/>
    <w:rsid w:val="00896A38"/>
    <w:rsid w:val="00896D8C"/>
    <w:rsid w:val="008974D9"/>
    <w:rsid w:val="008A0C9A"/>
    <w:rsid w:val="008A141D"/>
    <w:rsid w:val="008A1C1F"/>
    <w:rsid w:val="008A1F22"/>
    <w:rsid w:val="008A7AE2"/>
    <w:rsid w:val="008B2599"/>
    <w:rsid w:val="008B27C8"/>
    <w:rsid w:val="008B51A8"/>
    <w:rsid w:val="008B56A5"/>
    <w:rsid w:val="008C2141"/>
    <w:rsid w:val="008C271B"/>
    <w:rsid w:val="008C3099"/>
    <w:rsid w:val="008D0FFC"/>
    <w:rsid w:val="008D1283"/>
    <w:rsid w:val="008D2935"/>
    <w:rsid w:val="008D5765"/>
    <w:rsid w:val="008D6085"/>
    <w:rsid w:val="008D6AEB"/>
    <w:rsid w:val="008D6EC8"/>
    <w:rsid w:val="008D7534"/>
    <w:rsid w:val="008E1576"/>
    <w:rsid w:val="008E2F9C"/>
    <w:rsid w:val="008E41AD"/>
    <w:rsid w:val="008E6072"/>
    <w:rsid w:val="008E6428"/>
    <w:rsid w:val="008E6F86"/>
    <w:rsid w:val="008E76BE"/>
    <w:rsid w:val="008F0B9A"/>
    <w:rsid w:val="008F4233"/>
    <w:rsid w:val="008F4235"/>
    <w:rsid w:val="00900416"/>
    <w:rsid w:val="00901E21"/>
    <w:rsid w:val="0090223D"/>
    <w:rsid w:val="009035D6"/>
    <w:rsid w:val="0090469A"/>
    <w:rsid w:val="00906A2F"/>
    <w:rsid w:val="00912C34"/>
    <w:rsid w:val="0091347C"/>
    <w:rsid w:val="00913B18"/>
    <w:rsid w:val="009144C8"/>
    <w:rsid w:val="0091591F"/>
    <w:rsid w:val="00916D95"/>
    <w:rsid w:val="00917E70"/>
    <w:rsid w:val="00917ED8"/>
    <w:rsid w:val="0092371E"/>
    <w:rsid w:val="00923E1E"/>
    <w:rsid w:val="00924DAC"/>
    <w:rsid w:val="00926D4B"/>
    <w:rsid w:val="00927C30"/>
    <w:rsid w:val="00927D61"/>
    <w:rsid w:val="00932630"/>
    <w:rsid w:val="0093272C"/>
    <w:rsid w:val="0093342B"/>
    <w:rsid w:val="009351DD"/>
    <w:rsid w:val="009354C6"/>
    <w:rsid w:val="009357C1"/>
    <w:rsid w:val="00936286"/>
    <w:rsid w:val="00936B07"/>
    <w:rsid w:val="00936FDC"/>
    <w:rsid w:val="00937F96"/>
    <w:rsid w:val="009412E1"/>
    <w:rsid w:val="00944737"/>
    <w:rsid w:val="00944869"/>
    <w:rsid w:val="00945403"/>
    <w:rsid w:val="009516FA"/>
    <w:rsid w:val="00952C00"/>
    <w:rsid w:val="00953B5A"/>
    <w:rsid w:val="00953E6C"/>
    <w:rsid w:val="00956376"/>
    <w:rsid w:val="009573DD"/>
    <w:rsid w:val="0095743F"/>
    <w:rsid w:val="009662C0"/>
    <w:rsid w:val="009669ED"/>
    <w:rsid w:val="00966C29"/>
    <w:rsid w:val="00973854"/>
    <w:rsid w:val="00975878"/>
    <w:rsid w:val="0098027A"/>
    <w:rsid w:val="009802E4"/>
    <w:rsid w:val="00983B16"/>
    <w:rsid w:val="00984C25"/>
    <w:rsid w:val="00985A61"/>
    <w:rsid w:val="009930BE"/>
    <w:rsid w:val="0099336E"/>
    <w:rsid w:val="00995D86"/>
    <w:rsid w:val="009A157A"/>
    <w:rsid w:val="009A1A8B"/>
    <w:rsid w:val="009A226D"/>
    <w:rsid w:val="009A36B8"/>
    <w:rsid w:val="009A4AE8"/>
    <w:rsid w:val="009A5435"/>
    <w:rsid w:val="009B0DB0"/>
    <w:rsid w:val="009B2705"/>
    <w:rsid w:val="009B4838"/>
    <w:rsid w:val="009B4F73"/>
    <w:rsid w:val="009B730A"/>
    <w:rsid w:val="009C29B0"/>
    <w:rsid w:val="009C6C4C"/>
    <w:rsid w:val="009C74D0"/>
    <w:rsid w:val="009D18A4"/>
    <w:rsid w:val="009D38CC"/>
    <w:rsid w:val="009D59FF"/>
    <w:rsid w:val="009D7179"/>
    <w:rsid w:val="009E172D"/>
    <w:rsid w:val="009E413E"/>
    <w:rsid w:val="009E4DC8"/>
    <w:rsid w:val="009E6185"/>
    <w:rsid w:val="009E776E"/>
    <w:rsid w:val="009E7BFB"/>
    <w:rsid w:val="009F0410"/>
    <w:rsid w:val="009F27B3"/>
    <w:rsid w:val="009F329D"/>
    <w:rsid w:val="009F679E"/>
    <w:rsid w:val="00A00135"/>
    <w:rsid w:val="00A00DEC"/>
    <w:rsid w:val="00A01235"/>
    <w:rsid w:val="00A034A0"/>
    <w:rsid w:val="00A1244E"/>
    <w:rsid w:val="00A14B78"/>
    <w:rsid w:val="00A15401"/>
    <w:rsid w:val="00A2091B"/>
    <w:rsid w:val="00A2619C"/>
    <w:rsid w:val="00A32729"/>
    <w:rsid w:val="00A37518"/>
    <w:rsid w:val="00A37DA9"/>
    <w:rsid w:val="00A408E3"/>
    <w:rsid w:val="00A41755"/>
    <w:rsid w:val="00A42264"/>
    <w:rsid w:val="00A468BE"/>
    <w:rsid w:val="00A46DBC"/>
    <w:rsid w:val="00A47628"/>
    <w:rsid w:val="00A50BD7"/>
    <w:rsid w:val="00A5106B"/>
    <w:rsid w:val="00A56CCE"/>
    <w:rsid w:val="00A6044F"/>
    <w:rsid w:val="00A6327D"/>
    <w:rsid w:val="00A64F7F"/>
    <w:rsid w:val="00A652C3"/>
    <w:rsid w:val="00A66F16"/>
    <w:rsid w:val="00A67551"/>
    <w:rsid w:val="00A67CB6"/>
    <w:rsid w:val="00A7055B"/>
    <w:rsid w:val="00A718D0"/>
    <w:rsid w:val="00A71C53"/>
    <w:rsid w:val="00A7236F"/>
    <w:rsid w:val="00A73562"/>
    <w:rsid w:val="00A743F3"/>
    <w:rsid w:val="00A74784"/>
    <w:rsid w:val="00A74CBD"/>
    <w:rsid w:val="00A772CC"/>
    <w:rsid w:val="00A775C8"/>
    <w:rsid w:val="00A778DB"/>
    <w:rsid w:val="00A80A9C"/>
    <w:rsid w:val="00A82A2B"/>
    <w:rsid w:val="00A85379"/>
    <w:rsid w:val="00A85C9F"/>
    <w:rsid w:val="00A85E6E"/>
    <w:rsid w:val="00A8733B"/>
    <w:rsid w:val="00A90E65"/>
    <w:rsid w:val="00A90FF4"/>
    <w:rsid w:val="00A9154F"/>
    <w:rsid w:val="00A92060"/>
    <w:rsid w:val="00A93B0D"/>
    <w:rsid w:val="00A9590E"/>
    <w:rsid w:val="00AA2511"/>
    <w:rsid w:val="00AA2C9C"/>
    <w:rsid w:val="00AA3D11"/>
    <w:rsid w:val="00AA76E8"/>
    <w:rsid w:val="00AB0337"/>
    <w:rsid w:val="00AB0771"/>
    <w:rsid w:val="00AB13E0"/>
    <w:rsid w:val="00AB5687"/>
    <w:rsid w:val="00AB5E19"/>
    <w:rsid w:val="00AC14C0"/>
    <w:rsid w:val="00AC315C"/>
    <w:rsid w:val="00AC3CEA"/>
    <w:rsid w:val="00AC3F5A"/>
    <w:rsid w:val="00AC5BA4"/>
    <w:rsid w:val="00AD00D5"/>
    <w:rsid w:val="00AD0462"/>
    <w:rsid w:val="00AD06A9"/>
    <w:rsid w:val="00AD123B"/>
    <w:rsid w:val="00AD34B8"/>
    <w:rsid w:val="00AD6BA4"/>
    <w:rsid w:val="00AE1E70"/>
    <w:rsid w:val="00AE2219"/>
    <w:rsid w:val="00AE250D"/>
    <w:rsid w:val="00AE3236"/>
    <w:rsid w:val="00AE3BDD"/>
    <w:rsid w:val="00AE64AF"/>
    <w:rsid w:val="00AF0137"/>
    <w:rsid w:val="00AF0445"/>
    <w:rsid w:val="00AF07D6"/>
    <w:rsid w:val="00AF355A"/>
    <w:rsid w:val="00AF4619"/>
    <w:rsid w:val="00AF46E8"/>
    <w:rsid w:val="00AF4C80"/>
    <w:rsid w:val="00AF5D7A"/>
    <w:rsid w:val="00AF692B"/>
    <w:rsid w:val="00B00C0B"/>
    <w:rsid w:val="00B00F5E"/>
    <w:rsid w:val="00B04131"/>
    <w:rsid w:val="00B0428D"/>
    <w:rsid w:val="00B14C1B"/>
    <w:rsid w:val="00B14D1B"/>
    <w:rsid w:val="00B159FE"/>
    <w:rsid w:val="00B2233D"/>
    <w:rsid w:val="00B225DC"/>
    <w:rsid w:val="00B2492A"/>
    <w:rsid w:val="00B30ACA"/>
    <w:rsid w:val="00B33D39"/>
    <w:rsid w:val="00B35EC7"/>
    <w:rsid w:val="00B36C04"/>
    <w:rsid w:val="00B36FF0"/>
    <w:rsid w:val="00B37837"/>
    <w:rsid w:val="00B41C6E"/>
    <w:rsid w:val="00B4208A"/>
    <w:rsid w:val="00B42FF6"/>
    <w:rsid w:val="00B4727E"/>
    <w:rsid w:val="00B47A35"/>
    <w:rsid w:val="00B510C3"/>
    <w:rsid w:val="00B51C1A"/>
    <w:rsid w:val="00B528C5"/>
    <w:rsid w:val="00B52B53"/>
    <w:rsid w:val="00B52CB9"/>
    <w:rsid w:val="00B52D0F"/>
    <w:rsid w:val="00B53F2C"/>
    <w:rsid w:val="00B55817"/>
    <w:rsid w:val="00B56F17"/>
    <w:rsid w:val="00B57CD4"/>
    <w:rsid w:val="00B57DF1"/>
    <w:rsid w:val="00B60319"/>
    <w:rsid w:val="00B61056"/>
    <w:rsid w:val="00B6130F"/>
    <w:rsid w:val="00B63F73"/>
    <w:rsid w:val="00B66F0B"/>
    <w:rsid w:val="00B67326"/>
    <w:rsid w:val="00B701B2"/>
    <w:rsid w:val="00B71804"/>
    <w:rsid w:val="00B729CC"/>
    <w:rsid w:val="00B731B5"/>
    <w:rsid w:val="00B80A96"/>
    <w:rsid w:val="00B823B5"/>
    <w:rsid w:val="00B82EA4"/>
    <w:rsid w:val="00B853B3"/>
    <w:rsid w:val="00B8643D"/>
    <w:rsid w:val="00B90C76"/>
    <w:rsid w:val="00B90FB8"/>
    <w:rsid w:val="00B9115C"/>
    <w:rsid w:val="00B91AF2"/>
    <w:rsid w:val="00B92672"/>
    <w:rsid w:val="00B95119"/>
    <w:rsid w:val="00B97A2F"/>
    <w:rsid w:val="00BA0205"/>
    <w:rsid w:val="00BA3909"/>
    <w:rsid w:val="00BA423B"/>
    <w:rsid w:val="00BA48F6"/>
    <w:rsid w:val="00BA5DF6"/>
    <w:rsid w:val="00BA7C3D"/>
    <w:rsid w:val="00BB1423"/>
    <w:rsid w:val="00BB156B"/>
    <w:rsid w:val="00BB3694"/>
    <w:rsid w:val="00BB6855"/>
    <w:rsid w:val="00BB753E"/>
    <w:rsid w:val="00BC24F8"/>
    <w:rsid w:val="00BC2D83"/>
    <w:rsid w:val="00BC2EA4"/>
    <w:rsid w:val="00BC38C1"/>
    <w:rsid w:val="00BC3B9B"/>
    <w:rsid w:val="00BD0E6A"/>
    <w:rsid w:val="00BD2282"/>
    <w:rsid w:val="00BD351E"/>
    <w:rsid w:val="00BD38DE"/>
    <w:rsid w:val="00BD4576"/>
    <w:rsid w:val="00BD571D"/>
    <w:rsid w:val="00BF175B"/>
    <w:rsid w:val="00BF1ECB"/>
    <w:rsid w:val="00BF3A6A"/>
    <w:rsid w:val="00BF7CAD"/>
    <w:rsid w:val="00C0141F"/>
    <w:rsid w:val="00C02156"/>
    <w:rsid w:val="00C04841"/>
    <w:rsid w:val="00C05332"/>
    <w:rsid w:val="00C06BF9"/>
    <w:rsid w:val="00C07232"/>
    <w:rsid w:val="00C0745D"/>
    <w:rsid w:val="00C07A2F"/>
    <w:rsid w:val="00C07C94"/>
    <w:rsid w:val="00C108D0"/>
    <w:rsid w:val="00C11A97"/>
    <w:rsid w:val="00C12FF6"/>
    <w:rsid w:val="00C16D50"/>
    <w:rsid w:val="00C2530F"/>
    <w:rsid w:val="00C35E2B"/>
    <w:rsid w:val="00C35F2C"/>
    <w:rsid w:val="00C37000"/>
    <w:rsid w:val="00C374A0"/>
    <w:rsid w:val="00C43A8B"/>
    <w:rsid w:val="00C45302"/>
    <w:rsid w:val="00C46843"/>
    <w:rsid w:val="00C46B87"/>
    <w:rsid w:val="00C50F5C"/>
    <w:rsid w:val="00C53E01"/>
    <w:rsid w:val="00C5433D"/>
    <w:rsid w:val="00C5537F"/>
    <w:rsid w:val="00C553B3"/>
    <w:rsid w:val="00C61222"/>
    <w:rsid w:val="00C61BD5"/>
    <w:rsid w:val="00C64D3F"/>
    <w:rsid w:val="00C65D68"/>
    <w:rsid w:val="00C665A5"/>
    <w:rsid w:val="00C66F95"/>
    <w:rsid w:val="00C708C8"/>
    <w:rsid w:val="00C719A9"/>
    <w:rsid w:val="00C769A1"/>
    <w:rsid w:val="00C81815"/>
    <w:rsid w:val="00C82BC9"/>
    <w:rsid w:val="00C84555"/>
    <w:rsid w:val="00C85247"/>
    <w:rsid w:val="00C85488"/>
    <w:rsid w:val="00C87212"/>
    <w:rsid w:val="00C87FC0"/>
    <w:rsid w:val="00C90BCC"/>
    <w:rsid w:val="00C93721"/>
    <w:rsid w:val="00C94B0F"/>
    <w:rsid w:val="00C973E2"/>
    <w:rsid w:val="00CA27A4"/>
    <w:rsid w:val="00CA2BD0"/>
    <w:rsid w:val="00CA32BF"/>
    <w:rsid w:val="00CA32CD"/>
    <w:rsid w:val="00CA7693"/>
    <w:rsid w:val="00CB0F26"/>
    <w:rsid w:val="00CB1BB0"/>
    <w:rsid w:val="00CB2DC7"/>
    <w:rsid w:val="00CB4ED2"/>
    <w:rsid w:val="00CB5157"/>
    <w:rsid w:val="00CB5255"/>
    <w:rsid w:val="00CB6452"/>
    <w:rsid w:val="00CC0732"/>
    <w:rsid w:val="00CC096E"/>
    <w:rsid w:val="00CC713E"/>
    <w:rsid w:val="00CD011F"/>
    <w:rsid w:val="00CD540E"/>
    <w:rsid w:val="00CE0F5C"/>
    <w:rsid w:val="00CE6721"/>
    <w:rsid w:val="00CE7610"/>
    <w:rsid w:val="00CF226E"/>
    <w:rsid w:val="00CF3753"/>
    <w:rsid w:val="00CF4E74"/>
    <w:rsid w:val="00CF7514"/>
    <w:rsid w:val="00CF7A09"/>
    <w:rsid w:val="00D01DCC"/>
    <w:rsid w:val="00D04D23"/>
    <w:rsid w:val="00D0604E"/>
    <w:rsid w:val="00D07352"/>
    <w:rsid w:val="00D0778A"/>
    <w:rsid w:val="00D07FE8"/>
    <w:rsid w:val="00D10189"/>
    <w:rsid w:val="00D11ECE"/>
    <w:rsid w:val="00D1378D"/>
    <w:rsid w:val="00D23318"/>
    <w:rsid w:val="00D23CA2"/>
    <w:rsid w:val="00D24B38"/>
    <w:rsid w:val="00D272AC"/>
    <w:rsid w:val="00D34A3F"/>
    <w:rsid w:val="00D34CA2"/>
    <w:rsid w:val="00D34CA8"/>
    <w:rsid w:val="00D362FD"/>
    <w:rsid w:val="00D3635F"/>
    <w:rsid w:val="00D3661F"/>
    <w:rsid w:val="00D3760B"/>
    <w:rsid w:val="00D406C4"/>
    <w:rsid w:val="00D4086F"/>
    <w:rsid w:val="00D40BF7"/>
    <w:rsid w:val="00D42DB3"/>
    <w:rsid w:val="00D45ED5"/>
    <w:rsid w:val="00D46713"/>
    <w:rsid w:val="00D46BE2"/>
    <w:rsid w:val="00D50867"/>
    <w:rsid w:val="00D513BB"/>
    <w:rsid w:val="00D5719F"/>
    <w:rsid w:val="00D57D93"/>
    <w:rsid w:val="00D60885"/>
    <w:rsid w:val="00D60D6D"/>
    <w:rsid w:val="00D616DB"/>
    <w:rsid w:val="00D61725"/>
    <w:rsid w:val="00D62433"/>
    <w:rsid w:val="00D64C71"/>
    <w:rsid w:val="00D64C9B"/>
    <w:rsid w:val="00D66027"/>
    <w:rsid w:val="00D70075"/>
    <w:rsid w:val="00D70702"/>
    <w:rsid w:val="00D725A1"/>
    <w:rsid w:val="00D730C4"/>
    <w:rsid w:val="00D738A0"/>
    <w:rsid w:val="00D74A83"/>
    <w:rsid w:val="00D8075D"/>
    <w:rsid w:val="00D82FA7"/>
    <w:rsid w:val="00D849E9"/>
    <w:rsid w:val="00D87D9E"/>
    <w:rsid w:val="00D922D3"/>
    <w:rsid w:val="00D9443C"/>
    <w:rsid w:val="00D946F8"/>
    <w:rsid w:val="00D96119"/>
    <w:rsid w:val="00D96C1E"/>
    <w:rsid w:val="00DA3234"/>
    <w:rsid w:val="00DA58DA"/>
    <w:rsid w:val="00DA71A2"/>
    <w:rsid w:val="00DA7636"/>
    <w:rsid w:val="00DB1EFB"/>
    <w:rsid w:val="00DB33B6"/>
    <w:rsid w:val="00DB3757"/>
    <w:rsid w:val="00DB3E5D"/>
    <w:rsid w:val="00DC1A2C"/>
    <w:rsid w:val="00DC2508"/>
    <w:rsid w:val="00DC6A15"/>
    <w:rsid w:val="00DC7D9A"/>
    <w:rsid w:val="00DD1A05"/>
    <w:rsid w:val="00DD2333"/>
    <w:rsid w:val="00DD48B1"/>
    <w:rsid w:val="00DD663D"/>
    <w:rsid w:val="00DD6D0A"/>
    <w:rsid w:val="00DD72DB"/>
    <w:rsid w:val="00DD7C77"/>
    <w:rsid w:val="00DE3E41"/>
    <w:rsid w:val="00DE3F49"/>
    <w:rsid w:val="00DE4421"/>
    <w:rsid w:val="00DF1F31"/>
    <w:rsid w:val="00DF236C"/>
    <w:rsid w:val="00DF35AE"/>
    <w:rsid w:val="00DF36AF"/>
    <w:rsid w:val="00E03D1E"/>
    <w:rsid w:val="00E044FA"/>
    <w:rsid w:val="00E04FC3"/>
    <w:rsid w:val="00E068C6"/>
    <w:rsid w:val="00E10F32"/>
    <w:rsid w:val="00E10FAB"/>
    <w:rsid w:val="00E132FB"/>
    <w:rsid w:val="00E137D4"/>
    <w:rsid w:val="00E14825"/>
    <w:rsid w:val="00E14968"/>
    <w:rsid w:val="00E201A1"/>
    <w:rsid w:val="00E20493"/>
    <w:rsid w:val="00E23936"/>
    <w:rsid w:val="00E23AEB"/>
    <w:rsid w:val="00E2563E"/>
    <w:rsid w:val="00E25AF2"/>
    <w:rsid w:val="00E30273"/>
    <w:rsid w:val="00E31E68"/>
    <w:rsid w:val="00E3299F"/>
    <w:rsid w:val="00E33186"/>
    <w:rsid w:val="00E35162"/>
    <w:rsid w:val="00E36ED1"/>
    <w:rsid w:val="00E4173B"/>
    <w:rsid w:val="00E42316"/>
    <w:rsid w:val="00E42832"/>
    <w:rsid w:val="00E4366C"/>
    <w:rsid w:val="00E46700"/>
    <w:rsid w:val="00E47983"/>
    <w:rsid w:val="00E50298"/>
    <w:rsid w:val="00E50419"/>
    <w:rsid w:val="00E5145F"/>
    <w:rsid w:val="00E51A34"/>
    <w:rsid w:val="00E52CBD"/>
    <w:rsid w:val="00E540ED"/>
    <w:rsid w:val="00E55557"/>
    <w:rsid w:val="00E55B4D"/>
    <w:rsid w:val="00E63171"/>
    <w:rsid w:val="00E64B44"/>
    <w:rsid w:val="00E6524F"/>
    <w:rsid w:val="00E666B1"/>
    <w:rsid w:val="00E66723"/>
    <w:rsid w:val="00E67451"/>
    <w:rsid w:val="00E679BE"/>
    <w:rsid w:val="00E701FB"/>
    <w:rsid w:val="00E705F1"/>
    <w:rsid w:val="00E71FBD"/>
    <w:rsid w:val="00E72981"/>
    <w:rsid w:val="00E731EA"/>
    <w:rsid w:val="00E75CBA"/>
    <w:rsid w:val="00E761B0"/>
    <w:rsid w:val="00E76BA6"/>
    <w:rsid w:val="00E76C60"/>
    <w:rsid w:val="00E77096"/>
    <w:rsid w:val="00E8378E"/>
    <w:rsid w:val="00E8641A"/>
    <w:rsid w:val="00E86466"/>
    <w:rsid w:val="00E8663E"/>
    <w:rsid w:val="00E91FB9"/>
    <w:rsid w:val="00E97CE0"/>
    <w:rsid w:val="00EA0955"/>
    <w:rsid w:val="00EA3744"/>
    <w:rsid w:val="00EA7414"/>
    <w:rsid w:val="00EA765D"/>
    <w:rsid w:val="00EB11E4"/>
    <w:rsid w:val="00EB151B"/>
    <w:rsid w:val="00EB70D0"/>
    <w:rsid w:val="00EC0CEA"/>
    <w:rsid w:val="00EC324E"/>
    <w:rsid w:val="00EC3F6A"/>
    <w:rsid w:val="00ED1D51"/>
    <w:rsid w:val="00ED4BB3"/>
    <w:rsid w:val="00ED7C84"/>
    <w:rsid w:val="00EE004D"/>
    <w:rsid w:val="00EE02CE"/>
    <w:rsid w:val="00EE317F"/>
    <w:rsid w:val="00EE3BE1"/>
    <w:rsid w:val="00EE7AA1"/>
    <w:rsid w:val="00EF1EED"/>
    <w:rsid w:val="00EF5625"/>
    <w:rsid w:val="00EF5B9D"/>
    <w:rsid w:val="00EF787B"/>
    <w:rsid w:val="00EF7F08"/>
    <w:rsid w:val="00F008D6"/>
    <w:rsid w:val="00F073E5"/>
    <w:rsid w:val="00F12E81"/>
    <w:rsid w:val="00F1693B"/>
    <w:rsid w:val="00F20C4D"/>
    <w:rsid w:val="00F22273"/>
    <w:rsid w:val="00F235BB"/>
    <w:rsid w:val="00F248ED"/>
    <w:rsid w:val="00F25790"/>
    <w:rsid w:val="00F27910"/>
    <w:rsid w:val="00F30E52"/>
    <w:rsid w:val="00F3103C"/>
    <w:rsid w:val="00F347B6"/>
    <w:rsid w:val="00F35246"/>
    <w:rsid w:val="00F352C5"/>
    <w:rsid w:val="00F402B6"/>
    <w:rsid w:val="00F440B2"/>
    <w:rsid w:val="00F4590C"/>
    <w:rsid w:val="00F46C88"/>
    <w:rsid w:val="00F55371"/>
    <w:rsid w:val="00F5642A"/>
    <w:rsid w:val="00F56889"/>
    <w:rsid w:val="00F61304"/>
    <w:rsid w:val="00F620D1"/>
    <w:rsid w:val="00F66667"/>
    <w:rsid w:val="00F708C7"/>
    <w:rsid w:val="00F71DDD"/>
    <w:rsid w:val="00F7329D"/>
    <w:rsid w:val="00F738D5"/>
    <w:rsid w:val="00F73DFE"/>
    <w:rsid w:val="00F75CB0"/>
    <w:rsid w:val="00F767F2"/>
    <w:rsid w:val="00F76BA5"/>
    <w:rsid w:val="00F77010"/>
    <w:rsid w:val="00F81169"/>
    <w:rsid w:val="00F84596"/>
    <w:rsid w:val="00F84BA2"/>
    <w:rsid w:val="00F910E9"/>
    <w:rsid w:val="00F91391"/>
    <w:rsid w:val="00F91738"/>
    <w:rsid w:val="00F92A37"/>
    <w:rsid w:val="00F92DD4"/>
    <w:rsid w:val="00F9585E"/>
    <w:rsid w:val="00F95AAC"/>
    <w:rsid w:val="00FA349A"/>
    <w:rsid w:val="00FA37AD"/>
    <w:rsid w:val="00FA4CB9"/>
    <w:rsid w:val="00FA5379"/>
    <w:rsid w:val="00FA6600"/>
    <w:rsid w:val="00FB0B08"/>
    <w:rsid w:val="00FB1E0D"/>
    <w:rsid w:val="00FB298A"/>
    <w:rsid w:val="00FB5CAE"/>
    <w:rsid w:val="00FB6BD7"/>
    <w:rsid w:val="00FC01CF"/>
    <w:rsid w:val="00FC0572"/>
    <w:rsid w:val="00FC111C"/>
    <w:rsid w:val="00FC125C"/>
    <w:rsid w:val="00FC3291"/>
    <w:rsid w:val="00FC3841"/>
    <w:rsid w:val="00FC4BBD"/>
    <w:rsid w:val="00FC6539"/>
    <w:rsid w:val="00FC6CF0"/>
    <w:rsid w:val="00FC7F4B"/>
    <w:rsid w:val="00FD5D27"/>
    <w:rsid w:val="00FD7A54"/>
    <w:rsid w:val="00FE06CC"/>
    <w:rsid w:val="00FE22E9"/>
    <w:rsid w:val="00FE4901"/>
    <w:rsid w:val="00FE7C81"/>
    <w:rsid w:val="00FF029D"/>
    <w:rsid w:val="00FF0E05"/>
    <w:rsid w:val="00FF149B"/>
    <w:rsid w:val="00FF25BC"/>
    <w:rsid w:val="00FF2E66"/>
    <w:rsid w:val="00FF34F7"/>
    <w:rsid w:val="00FF3822"/>
    <w:rsid w:val="00FF4A63"/>
    <w:rsid w:val="01713C33"/>
    <w:rsid w:val="03F10772"/>
    <w:rsid w:val="04944E1C"/>
    <w:rsid w:val="04BD73BD"/>
    <w:rsid w:val="04CA6C99"/>
    <w:rsid w:val="0763420C"/>
    <w:rsid w:val="07CB0AEC"/>
    <w:rsid w:val="07F10FBD"/>
    <w:rsid w:val="084D5F6B"/>
    <w:rsid w:val="08BB23C7"/>
    <w:rsid w:val="092020F5"/>
    <w:rsid w:val="099E7D6F"/>
    <w:rsid w:val="0A6B1C32"/>
    <w:rsid w:val="0BE628D6"/>
    <w:rsid w:val="0C723826"/>
    <w:rsid w:val="0C865AAC"/>
    <w:rsid w:val="0E0E5199"/>
    <w:rsid w:val="0E874518"/>
    <w:rsid w:val="121B58B3"/>
    <w:rsid w:val="12B5094B"/>
    <w:rsid w:val="148048E9"/>
    <w:rsid w:val="14A72F32"/>
    <w:rsid w:val="14FF5510"/>
    <w:rsid w:val="16B72210"/>
    <w:rsid w:val="16EC1210"/>
    <w:rsid w:val="1B0A706F"/>
    <w:rsid w:val="1BA27885"/>
    <w:rsid w:val="1C913556"/>
    <w:rsid w:val="1D414039"/>
    <w:rsid w:val="1D4A6147"/>
    <w:rsid w:val="1DAC5643"/>
    <w:rsid w:val="1DC575EB"/>
    <w:rsid w:val="1DFF765C"/>
    <w:rsid w:val="1E36447A"/>
    <w:rsid w:val="1EF31AFC"/>
    <w:rsid w:val="1F6E6985"/>
    <w:rsid w:val="20106C12"/>
    <w:rsid w:val="20265223"/>
    <w:rsid w:val="209C13EB"/>
    <w:rsid w:val="21A45881"/>
    <w:rsid w:val="26151E61"/>
    <w:rsid w:val="26A14F2D"/>
    <w:rsid w:val="29B049CD"/>
    <w:rsid w:val="2A6500D0"/>
    <w:rsid w:val="2AEE1991"/>
    <w:rsid w:val="2C1D258A"/>
    <w:rsid w:val="2C681EEA"/>
    <w:rsid w:val="2CF27DED"/>
    <w:rsid w:val="2F3571B3"/>
    <w:rsid w:val="330700B9"/>
    <w:rsid w:val="335766E1"/>
    <w:rsid w:val="33E074B4"/>
    <w:rsid w:val="341E3697"/>
    <w:rsid w:val="35AF1CDE"/>
    <w:rsid w:val="38246EF1"/>
    <w:rsid w:val="385E4CFF"/>
    <w:rsid w:val="393673EF"/>
    <w:rsid w:val="3AB63863"/>
    <w:rsid w:val="3FB8441B"/>
    <w:rsid w:val="40032EA8"/>
    <w:rsid w:val="41A27CD0"/>
    <w:rsid w:val="41AC7139"/>
    <w:rsid w:val="41AD0B8C"/>
    <w:rsid w:val="423E635F"/>
    <w:rsid w:val="426B60AF"/>
    <w:rsid w:val="43D4614E"/>
    <w:rsid w:val="461737EE"/>
    <w:rsid w:val="4750485A"/>
    <w:rsid w:val="47A6075C"/>
    <w:rsid w:val="48216BF6"/>
    <w:rsid w:val="48465D5D"/>
    <w:rsid w:val="48A91356"/>
    <w:rsid w:val="4AAE1A49"/>
    <w:rsid w:val="4C641F1B"/>
    <w:rsid w:val="4C714337"/>
    <w:rsid w:val="4DB42233"/>
    <w:rsid w:val="4E035ABE"/>
    <w:rsid w:val="4FC442F0"/>
    <w:rsid w:val="504B19A0"/>
    <w:rsid w:val="5101755D"/>
    <w:rsid w:val="517F1127"/>
    <w:rsid w:val="51CC122C"/>
    <w:rsid w:val="52B63E11"/>
    <w:rsid w:val="53A32788"/>
    <w:rsid w:val="54B35A61"/>
    <w:rsid w:val="56B4359F"/>
    <w:rsid w:val="56CA01CA"/>
    <w:rsid w:val="58215094"/>
    <w:rsid w:val="58A65F6E"/>
    <w:rsid w:val="59AF48E9"/>
    <w:rsid w:val="59CF7B4D"/>
    <w:rsid w:val="5A0C6E40"/>
    <w:rsid w:val="5A261653"/>
    <w:rsid w:val="5A793239"/>
    <w:rsid w:val="5A801F93"/>
    <w:rsid w:val="5ABA71A9"/>
    <w:rsid w:val="5BA90DE3"/>
    <w:rsid w:val="5BD948DE"/>
    <w:rsid w:val="5CB54A2C"/>
    <w:rsid w:val="5F192863"/>
    <w:rsid w:val="60AD680E"/>
    <w:rsid w:val="62275444"/>
    <w:rsid w:val="629D4073"/>
    <w:rsid w:val="63217535"/>
    <w:rsid w:val="63C7337A"/>
    <w:rsid w:val="64F24E8F"/>
    <w:rsid w:val="66DC665C"/>
    <w:rsid w:val="673B4CE4"/>
    <w:rsid w:val="679E1443"/>
    <w:rsid w:val="686A59CE"/>
    <w:rsid w:val="68D20DEA"/>
    <w:rsid w:val="6903528D"/>
    <w:rsid w:val="694E01AD"/>
    <w:rsid w:val="6BAC1632"/>
    <w:rsid w:val="6BF563EE"/>
    <w:rsid w:val="6CF70C66"/>
    <w:rsid w:val="6D0E72E4"/>
    <w:rsid w:val="6E274F54"/>
    <w:rsid w:val="6EE23C24"/>
    <w:rsid w:val="6FC73C08"/>
    <w:rsid w:val="6FFD6F7D"/>
    <w:rsid w:val="71016222"/>
    <w:rsid w:val="71875D92"/>
    <w:rsid w:val="74086CBB"/>
    <w:rsid w:val="7610410D"/>
    <w:rsid w:val="762B5310"/>
    <w:rsid w:val="76B06F85"/>
    <w:rsid w:val="771D2B07"/>
    <w:rsid w:val="7AB1285A"/>
    <w:rsid w:val="7AB73B3A"/>
    <w:rsid w:val="7AF350BD"/>
    <w:rsid w:val="7EC80D9D"/>
    <w:rsid w:val="7FA9419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200" w:firstLineChars="200"/>
      <w:jc w:val="both"/>
    </w:pPr>
    <w:rPr>
      <w:rFonts w:ascii="Times New Roman" w:hAnsi="Times New Roman" w:eastAsia="宋体" w:cstheme="minorBidi"/>
      <w:kern w:val="2"/>
      <w:sz w:val="28"/>
      <w:szCs w:val="22"/>
      <w:lang w:val="en-US" w:eastAsia="zh-CN" w:bidi="ar-SA"/>
    </w:rPr>
  </w:style>
  <w:style w:type="paragraph" w:styleId="4">
    <w:name w:val="heading 1"/>
    <w:basedOn w:val="1"/>
    <w:next w:val="5"/>
    <w:link w:val="22"/>
    <w:qFormat/>
    <w:uiPriority w:val="9"/>
    <w:pPr>
      <w:keepNext/>
      <w:keepLines/>
      <w:numPr>
        <w:ilvl w:val="0"/>
        <w:numId w:val="1"/>
      </w:numPr>
      <w:ind w:left="425" w:hanging="425" w:firstLineChars="0"/>
      <w:jc w:val="left"/>
      <w:outlineLvl w:val="0"/>
    </w:pPr>
    <w:rPr>
      <w:b/>
      <w:bCs/>
      <w:kern w:val="44"/>
      <w:sz w:val="32"/>
      <w:szCs w:val="44"/>
    </w:rPr>
  </w:style>
  <w:style w:type="paragraph" w:styleId="5">
    <w:name w:val="heading 2"/>
    <w:basedOn w:val="1"/>
    <w:next w:val="6"/>
    <w:link w:val="24"/>
    <w:unhideWhenUsed/>
    <w:qFormat/>
    <w:uiPriority w:val="9"/>
    <w:pPr>
      <w:keepNext/>
      <w:keepLines/>
      <w:numPr>
        <w:ilvl w:val="1"/>
        <w:numId w:val="1"/>
      </w:numPr>
      <w:ind w:left="992" w:hanging="992" w:firstLineChars="0"/>
      <w:jc w:val="left"/>
      <w:outlineLvl w:val="1"/>
    </w:pPr>
    <w:rPr>
      <w:rFonts w:cstheme="majorBidi"/>
      <w:b/>
      <w:bCs/>
      <w:sz w:val="30"/>
      <w:szCs w:val="32"/>
    </w:rPr>
  </w:style>
  <w:style w:type="paragraph" w:styleId="6">
    <w:name w:val="heading 3"/>
    <w:basedOn w:val="1"/>
    <w:next w:val="7"/>
    <w:link w:val="25"/>
    <w:unhideWhenUsed/>
    <w:qFormat/>
    <w:uiPriority w:val="9"/>
    <w:pPr>
      <w:keepNext/>
      <w:keepLines/>
      <w:numPr>
        <w:ilvl w:val="2"/>
        <w:numId w:val="1"/>
      </w:numPr>
      <w:ind w:left="1418" w:hanging="1418" w:firstLineChars="0"/>
      <w:jc w:val="left"/>
      <w:outlineLvl w:val="2"/>
    </w:pPr>
    <w:rPr>
      <w:b/>
      <w:bCs/>
      <w:szCs w:val="32"/>
    </w:rPr>
  </w:style>
  <w:style w:type="paragraph" w:styleId="7">
    <w:name w:val="heading 4"/>
    <w:basedOn w:val="1"/>
    <w:next w:val="1"/>
    <w:link w:val="26"/>
    <w:unhideWhenUsed/>
    <w:qFormat/>
    <w:uiPriority w:val="9"/>
    <w:pPr>
      <w:keepNext/>
      <w:keepLines/>
      <w:numPr>
        <w:ilvl w:val="3"/>
        <w:numId w:val="1"/>
      </w:numPr>
      <w:ind w:left="1984" w:hanging="1984" w:firstLineChars="0"/>
      <w:jc w:val="left"/>
      <w:outlineLvl w:val="3"/>
    </w:pPr>
    <w:rPr>
      <w:rFonts w:cstheme="majorBidi"/>
      <w:b/>
      <w:bCs/>
      <w:szCs w:val="28"/>
    </w:rPr>
  </w:style>
  <w:style w:type="character" w:default="1" w:styleId="17">
    <w:name w:val="Default Paragraph Font"/>
    <w:semiHidden/>
    <w:unhideWhenUsed/>
    <w:qFormat/>
    <w:uiPriority w:val="1"/>
  </w:style>
  <w:style w:type="table" w:default="1" w:styleId="15">
    <w:name w:val="Normal Table"/>
    <w:semiHidden/>
    <w:unhideWhenUsed/>
    <w:qFormat/>
    <w:uiPriority w:val="99"/>
    <w:tblPr>
      <w:tblCellMar>
        <w:top w:w="0" w:type="dxa"/>
        <w:left w:w="108" w:type="dxa"/>
        <w:bottom w:w="0" w:type="dxa"/>
        <w:right w:w="108" w:type="dxa"/>
      </w:tblCellMar>
    </w:tblPr>
  </w:style>
  <w:style w:type="paragraph" w:styleId="2">
    <w:name w:val="footer"/>
    <w:basedOn w:val="1"/>
    <w:next w:val="3"/>
    <w:link w:val="21"/>
    <w:unhideWhenUsed/>
    <w:qFormat/>
    <w:uiPriority w:val="99"/>
    <w:pPr>
      <w:tabs>
        <w:tab w:val="center" w:pos="4153"/>
        <w:tab w:val="right" w:pos="8306"/>
      </w:tabs>
      <w:snapToGrid w:val="0"/>
      <w:jc w:val="left"/>
    </w:pPr>
    <w:rPr>
      <w:sz w:val="18"/>
      <w:szCs w:val="18"/>
    </w:rPr>
  </w:style>
  <w:style w:type="paragraph" w:styleId="3">
    <w:name w:val="Normal (Web)"/>
    <w:basedOn w:val="1"/>
    <w:unhideWhenUsed/>
    <w:qFormat/>
    <w:uiPriority w:val="99"/>
    <w:pPr>
      <w:widowControl/>
      <w:spacing w:before="100" w:beforeAutospacing="1" w:after="100" w:afterAutospacing="1" w:line="240" w:lineRule="auto"/>
      <w:ind w:firstLine="0" w:firstLineChars="0"/>
      <w:jc w:val="left"/>
    </w:pPr>
    <w:rPr>
      <w:rFonts w:ascii="Arial Unicode MS" w:hAnsi="Arial Unicode MS" w:eastAsia="Arial Unicode MS" w:cs="Times New Roman"/>
      <w:kern w:val="0"/>
      <w:sz w:val="24"/>
      <w:szCs w:val="24"/>
    </w:rPr>
  </w:style>
  <w:style w:type="paragraph" w:styleId="8">
    <w:name w:val="caption"/>
    <w:basedOn w:val="1"/>
    <w:next w:val="1"/>
    <w:unhideWhenUsed/>
    <w:qFormat/>
    <w:uiPriority w:val="35"/>
    <w:pPr>
      <w:ind w:firstLine="0" w:firstLineChars="0"/>
      <w:jc w:val="center"/>
    </w:pPr>
    <w:rPr>
      <w:rFonts w:cstheme="majorBidi"/>
      <w:szCs w:val="20"/>
    </w:rPr>
  </w:style>
  <w:style w:type="paragraph" w:styleId="9">
    <w:name w:val="Body Text"/>
    <w:basedOn w:val="1"/>
    <w:link w:val="35"/>
    <w:semiHidden/>
    <w:unhideWhenUsed/>
    <w:qFormat/>
    <w:uiPriority w:val="99"/>
    <w:pPr>
      <w:spacing w:after="120"/>
    </w:pPr>
  </w:style>
  <w:style w:type="paragraph" w:styleId="10">
    <w:name w:val="Balloon Text"/>
    <w:basedOn w:val="1"/>
    <w:link w:val="28"/>
    <w:semiHidden/>
    <w:unhideWhenUsed/>
    <w:qFormat/>
    <w:uiPriority w:val="99"/>
    <w:pPr>
      <w:spacing w:line="240" w:lineRule="auto"/>
    </w:pPr>
    <w:rPr>
      <w:sz w:val="18"/>
      <w:szCs w:val="18"/>
    </w:rPr>
  </w:style>
  <w:style w:type="paragraph" w:styleId="11">
    <w:name w:val="header"/>
    <w:basedOn w:val="1"/>
    <w:link w:val="20"/>
    <w:unhideWhenUsed/>
    <w:qFormat/>
    <w:uiPriority w:val="99"/>
    <w:pPr>
      <w:pBdr>
        <w:bottom w:val="single" w:color="auto" w:sz="6" w:space="1"/>
      </w:pBdr>
      <w:tabs>
        <w:tab w:val="center" w:pos="4153"/>
        <w:tab w:val="right" w:pos="8306"/>
      </w:tabs>
      <w:snapToGrid w:val="0"/>
      <w:jc w:val="center"/>
    </w:pPr>
    <w:rPr>
      <w:sz w:val="18"/>
      <w:szCs w:val="18"/>
    </w:rPr>
  </w:style>
  <w:style w:type="paragraph" w:styleId="12">
    <w:name w:val="toc 1"/>
    <w:basedOn w:val="1"/>
    <w:next w:val="1"/>
    <w:unhideWhenUsed/>
    <w:qFormat/>
    <w:uiPriority w:val="39"/>
    <w:pPr>
      <w:tabs>
        <w:tab w:val="right" w:leader="dot" w:pos="9118"/>
      </w:tabs>
      <w:ind w:firstLine="0" w:firstLineChars="0"/>
    </w:pPr>
  </w:style>
  <w:style w:type="paragraph" w:styleId="13">
    <w:name w:val="toc 2"/>
    <w:basedOn w:val="1"/>
    <w:next w:val="1"/>
    <w:unhideWhenUsed/>
    <w:qFormat/>
    <w:uiPriority w:val="39"/>
    <w:pPr>
      <w:tabs>
        <w:tab w:val="right" w:leader="dot" w:pos="9118"/>
      </w:tabs>
      <w:ind w:firstLine="560"/>
    </w:pPr>
  </w:style>
  <w:style w:type="paragraph" w:styleId="14">
    <w:name w:val="Body Text First Indent"/>
    <w:basedOn w:val="9"/>
    <w:link w:val="34"/>
    <w:qFormat/>
    <w:uiPriority w:val="0"/>
    <w:pPr>
      <w:spacing w:line="240" w:lineRule="auto"/>
      <w:ind w:firstLine="420" w:firstLineChars="100"/>
    </w:pPr>
    <w:rPr>
      <w:rFonts w:asciiTheme="minorHAnsi" w:hAnsiTheme="minorHAnsi"/>
      <w:sz w:val="30"/>
    </w:rPr>
  </w:style>
  <w:style w:type="table" w:styleId="16">
    <w:name w:val="Table Grid"/>
    <w:basedOn w:val="15"/>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8">
    <w:name w:val="Hyperlink"/>
    <w:basedOn w:val="17"/>
    <w:unhideWhenUsed/>
    <w:qFormat/>
    <w:uiPriority w:val="99"/>
    <w:rPr>
      <w:color w:val="0563C1" w:themeColor="hyperlink"/>
      <w:u w:val="single"/>
      <w14:textFill>
        <w14:solidFill>
          <w14:schemeClr w14:val="hlink"/>
        </w14:solidFill>
      </w14:textFill>
    </w:rPr>
  </w:style>
  <w:style w:type="paragraph" w:customStyle="1" w:styleId="19">
    <w:name w:val="Default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character" w:customStyle="1" w:styleId="20">
    <w:name w:val="页眉 字符"/>
    <w:basedOn w:val="17"/>
    <w:link w:val="11"/>
    <w:qFormat/>
    <w:uiPriority w:val="99"/>
    <w:rPr>
      <w:sz w:val="18"/>
      <w:szCs w:val="18"/>
    </w:rPr>
  </w:style>
  <w:style w:type="character" w:customStyle="1" w:styleId="21">
    <w:name w:val="页脚 字符"/>
    <w:basedOn w:val="17"/>
    <w:link w:val="2"/>
    <w:qFormat/>
    <w:uiPriority w:val="99"/>
    <w:rPr>
      <w:sz w:val="18"/>
      <w:szCs w:val="18"/>
    </w:rPr>
  </w:style>
  <w:style w:type="character" w:customStyle="1" w:styleId="22">
    <w:name w:val="标题 1 字符"/>
    <w:basedOn w:val="17"/>
    <w:link w:val="4"/>
    <w:qFormat/>
    <w:uiPriority w:val="9"/>
    <w:rPr>
      <w:rFonts w:ascii="Times New Roman" w:hAnsi="Times New Roman" w:eastAsia="宋体"/>
      <w:b/>
      <w:bCs/>
      <w:kern w:val="44"/>
      <w:sz w:val="32"/>
      <w:szCs w:val="44"/>
    </w:rPr>
  </w:style>
  <w:style w:type="paragraph" w:styleId="23">
    <w:name w:val="List Paragraph"/>
    <w:basedOn w:val="1"/>
    <w:qFormat/>
    <w:uiPriority w:val="34"/>
    <w:pPr>
      <w:ind w:firstLine="420"/>
    </w:pPr>
  </w:style>
  <w:style w:type="character" w:customStyle="1" w:styleId="24">
    <w:name w:val="标题 2 字符"/>
    <w:basedOn w:val="17"/>
    <w:link w:val="5"/>
    <w:qFormat/>
    <w:uiPriority w:val="9"/>
    <w:rPr>
      <w:rFonts w:ascii="Times New Roman" w:hAnsi="Times New Roman" w:eastAsia="宋体" w:cstheme="majorBidi"/>
      <w:b/>
      <w:bCs/>
      <w:sz w:val="30"/>
      <w:szCs w:val="32"/>
    </w:rPr>
  </w:style>
  <w:style w:type="character" w:customStyle="1" w:styleId="25">
    <w:name w:val="标题 3 字符"/>
    <w:basedOn w:val="17"/>
    <w:link w:val="6"/>
    <w:qFormat/>
    <w:uiPriority w:val="9"/>
    <w:rPr>
      <w:rFonts w:ascii="Times New Roman" w:hAnsi="Times New Roman" w:eastAsia="宋体"/>
      <w:b/>
      <w:bCs/>
      <w:sz w:val="28"/>
      <w:szCs w:val="32"/>
    </w:rPr>
  </w:style>
  <w:style w:type="character" w:customStyle="1" w:styleId="26">
    <w:name w:val="标题 4 字符"/>
    <w:basedOn w:val="17"/>
    <w:link w:val="7"/>
    <w:qFormat/>
    <w:uiPriority w:val="9"/>
    <w:rPr>
      <w:rFonts w:ascii="Times New Roman" w:hAnsi="Times New Roman" w:eastAsia="宋体" w:cstheme="majorBidi"/>
      <w:b/>
      <w:bCs/>
      <w:sz w:val="24"/>
      <w:szCs w:val="28"/>
    </w:rPr>
  </w:style>
  <w:style w:type="paragraph" w:customStyle="1" w:styleId="27">
    <w:name w:val="Default"/>
    <w:qFormat/>
    <w:uiPriority w:val="0"/>
    <w:pPr>
      <w:widowControl w:val="0"/>
      <w:autoSpaceDE w:val="0"/>
      <w:autoSpaceDN w:val="0"/>
      <w:adjustRightInd w:val="0"/>
    </w:pPr>
    <w:rPr>
      <w:rFonts w:ascii="Times New Roman" w:hAnsi="Times New Roman" w:cs="Times New Roman" w:eastAsiaTheme="minorEastAsia"/>
      <w:color w:val="000000"/>
      <w:kern w:val="0"/>
      <w:sz w:val="24"/>
      <w:szCs w:val="24"/>
      <w:lang w:val="en-US" w:eastAsia="zh-CN" w:bidi="ar-SA"/>
    </w:rPr>
  </w:style>
  <w:style w:type="character" w:customStyle="1" w:styleId="28">
    <w:name w:val="批注框文本 字符"/>
    <w:basedOn w:val="17"/>
    <w:link w:val="10"/>
    <w:semiHidden/>
    <w:qFormat/>
    <w:uiPriority w:val="99"/>
    <w:rPr>
      <w:rFonts w:ascii="Times New Roman" w:hAnsi="Times New Roman" w:eastAsia="宋体"/>
      <w:sz w:val="18"/>
      <w:szCs w:val="18"/>
    </w:rPr>
  </w:style>
  <w:style w:type="paragraph" w:customStyle="1" w:styleId="29">
    <w:name w:val="Table Paragraph"/>
    <w:basedOn w:val="1"/>
    <w:qFormat/>
    <w:uiPriority w:val="0"/>
    <w:pPr>
      <w:spacing w:line="240" w:lineRule="auto"/>
      <w:ind w:firstLine="0" w:firstLineChars="0"/>
      <w:jc w:val="left"/>
    </w:pPr>
    <w:rPr>
      <w:rFonts w:asciiTheme="minorHAnsi" w:hAnsiTheme="minorHAnsi" w:eastAsiaTheme="minorEastAsia"/>
      <w:kern w:val="0"/>
      <w:sz w:val="22"/>
      <w:lang w:eastAsia="en-US"/>
    </w:rPr>
  </w:style>
  <w:style w:type="table" w:customStyle="1" w:styleId="30">
    <w:name w:val="Table Normal"/>
    <w:semiHidden/>
    <w:unhideWhenUsed/>
    <w:qFormat/>
    <w:uiPriority w:val="2"/>
    <w:rPr>
      <w:rFonts w:ascii="Times New Roman" w:hAnsi="Times New Roman" w:eastAsia="宋体" w:cs="Times New Roman"/>
      <w:kern w:val="0"/>
      <w:sz w:val="20"/>
      <w:szCs w:val="20"/>
    </w:rPr>
    <w:tblPr>
      <w:tblCellMar>
        <w:top w:w="0" w:type="dxa"/>
        <w:left w:w="0" w:type="dxa"/>
        <w:bottom w:w="0" w:type="dxa"/>
        <w:right w:w="0" w:type="dxa"/>
      </w:tblCellMar>
    </w:tblPr>
  </w:style>
  <w:style w:type="table" w:customStyle="1" w:styleId="31">
    <w:name w:val="网格型1"/>
    <w:basedOn w:val="15"/>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2">
    <w:name w:val="环评正文 Char"/>
    <w:link w:val="33"/>
    <w:qFormat/>
    <w:uiPriority w:val="0"/>
    <w:rPr>
      <w:rFonts w:ascii="宋体" w:hAnsi="宋体" w:cs="宋体"/>
      <w:sz w:val="24"/>
      <w:szCs w:val="24"/>
    </w:rPr>
  </w:style>
  <w:style w:type="paragraph" w:customStyle="1" w:styleId="33">
    <w:name w:val="环评正文"/>
    <w:basedOn w:val="1"/>
    <w:link w:val="32"/>
    <w:qFormat/>
    <w:uiPriority w:val="0"/>
    <w:pPr>
      <w:ind w:firstLine="0" w:firstLineChars="0"/>
    </w:pPr>
    <w:rPr>
      <w:rFonts w:ascii="宋体" w:hAnsi="宋体" w:cs="宋体" w:eastAsiaTheme="minorEastAsia"/>
      <w:sz w:val="24"/>
      <w:szCs w:val="24"/>
    </w:rPr>
  </w:style>
  <w:style w:type="character" w:customStyle="1" w:styleId="34">
    <w:name w:val="正文文本首行缩进 字符"/>
    <w:link w:val="14"/>
    <w:qFormat/>
    <w:uiPriority w:val="0"/>
    <w:rPr>
      <w:rFonts w:eastAsia="宋体"/>
      <w:sz w:val="30"/>
    </w:rPr>
  </w:style>
  <w:style w:type="character" w:customStyle="1" w:styleId="35">
    <w:name w:val="正文文本 字符"/>
    <w:basedOn w:val="17"/>
    <w:link w:val="9"/>
    <w:semiHidden/>
    <w:qFormat/>
    <w:uiPriority w:val="99"/>
    <w:rPr>
      <w:rFonts w:ascii="Times New Roman" w:hAnsi="Times New Roman" w:eastAsia="宋体"/>
      <w:sz w:val="28"/>
    </w:rPr>
  </w:style>
  <w:style w:type="character" w:customStyle="1" w:styleId="36">
    <w:name w:val="正文文本首行缩进 字符1"/>
    <w:basedOn w:val="35"/>
    <w:semiHidden/>
    <w:qFormat/>
    <w:uiPriority w:val="99"/>
    <w:rPr>
      <w:rFonts w:ascii="Times New Roman" w:hAnsi="Times New Roman" w:eastAsia="宋体"/>
      <w:sz w:val="28"/>
    </w:rPr>
  </w:style>
  <w:style w:type="paragraph" w:customStyle="1" w:styleId="37">
    <w:name w:val="文本"/>
    <w:basedOn w:val="1"/>
    <w:qFormat/>
    <w:uiPriority w:val="0"/>
    <w:pPr>
      <w:widowControl w:val="0"/>
      <w:spacing w:line="360" w:lineRule="auto"/>
      <w:ind w:firstLine="480" w:firstLineChars="200"/>
      <w:jc w:val="both"/>
    </w:pPr>
    <w:rPr>
      <w:rFonts w:eastAsiaTheme="minorEastAsia"/>
      <w:kern w:val="2"/>
      <w:sz w:val="24"/>
      <w:szCs w:val="24"/>
    </w:rPr>
  </w:style>
  <w:style w:type="paragraph" w:customStyle="1" w:styleId="38">
    <w:name w:val="表内文字-XSCQ"/>
    <w:basedOn w:val="1"/>
    <w:qFormat/>
    <w:uiPriority w:val="0"/>
    <w:pPr>
      <w:widowControl w:val="0"/>
      <w:snapToGrid w:val="0"/>
      <w:spacing w:beforeLines="30"/>
      <w:jc w:val="center"/>
    </w:pPr>
    <w:rPr>
      <w:rFonts w:ascii="Times New Roman" w:hAnsiTheme="minorEastAsia" w:eastAsiaTheme="minorEastAsia"/>
      <w:sz w:val="21"/>
      <w:szCs w:val="21"/>
    </w:rPr>
  </w:style>
  <w:style w:type="table" w:customStyle="1" w:styleId="39">
    <w:name w:val="12"/>
    <w:basedOn w:val="15"/>
    <w:qFormat/>
    <w:uiPriority w:val="99"/>
    <w:pPr>
      <w:jc w:val="center"/>
    </w:pPr>
    <w:rPr>
      <w:rFonts w:ascii="Times New Roman" w:hAnsi="Times New Roman"/>
    </w:rPr>
    <w:tblPr>
      <w:jc w:val="center"/>
      <w:tblBorders>
        <w:top w:val="single" w:color="auto" w:sz="12" w:space="0"/>
        <w:bottom w:val="single" w:color="auto" w:sz="12" w:space="0"/>
        <w:insideH w:val="single" w:color="auto" w:sz="6" w:space="0"/>
        <w:insideV w:val="single" w:color="auto" w:sz="6" w:space="0"/>
      </w:tblBorders>
      <w:tblCellMar>
        <w:top w:w="0" w:type="dxa"/>
        <w:left w:w="108" w:type="dxa"/>
        <w:bottom w:w="0" w:type="dxa"/>
        <w:right w:w="108" w:type="dxa"/>
      </w:tblCellMar>
    </w:tblPr>
    <w:trPr>
      <w:jc w:val="center"/>
    </w:trPr>
    <w:tcPr>
      <w:vAlign w:val="center"/>
    </w:tcPr>
    <w:tblStylePr w:type="firstRow">
      <w:tcPr>
        <w:tcBorders>
          <w:top w:val="single" w:color="auto" w:sz="12" w:space="0"/>
          <w:left w:val="nil"/>
          <w:bottom w:val="double" w:color="auto" w:sz="4" w:space="0"/>
          <w:right w:val="nil"/>
          <w:insideH w:val="double" w:sz="4" w:space="0"/>
          <w:insideV w:val="single" w:sz="6" w:space="0"/>
          <w:tl2br w:val="nil"/>
          <w:tr2bl w:val="nil"/>
        </w:tcBorders>
      </w:tcPr>
    </w:tblStyle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6" Type="http://schemas.openxmlformats.org/officeDocument/2006/relationships/fontTable" Target="fontTable.xml"/><Relationship Id="rId55" Type="http://schemas.openxmlformats.org/officeDocument/2006/relationships/customXml" Target="../customXml/item2.xml"/><Relationship Id="rId54" Type="http://schemas.openxmlformats.org/officeDocument/2006/relationships/numbering" Target="numbering.xml"/><Relationship Id="rId53" Type="http://schemas.openxmlformats.org/officeDocument/2006/relationships/customXml" Target="../customXml/item1.xml"/><Relationship Id="rId52" Type="http://schemas.openxmlformats.org/officeDocument/2006/relationships/image" Target="media/image35.png"/><Relationship Id="rId51" Type="http://schemas.openxmlformats.org/officeDocument/2006/relationships/image" Target="media/image34.png"/><Relationship Id="rId50" Type="http://schemas.openxmlformats.org/officeDocument/2006/relationships/image" Target="media/image33.png"/><Relationship Id="rId5" Type="http://schemas.openxmlformats.org/officeDocument/2006/relationships/header" Target="header3.xml"/><Relationship Id="rId49" Type="http://schemas.openxmlformats.org/officeDocument/2006/relationships/image" Target="media/image32.emf"/><Relationship Id="rId48" Type="http://schemas.openxmlformats.org/officeDocument/2006/relationships/oleObject" Target="embeddings/oleObject1.bin"/><Relationship Id="rId47" Type="http://schemas.openxmlformats.org/officeDocument/2006/relationships/image" Target="media/image31.png"/><Relationship Id="rId46" Type="http://schemas.openxmlformats.org/officeDocument/2006/relationships/image" Target="media/image30.png"/><Relationship Id="rId45" Type="http://schemas.openxmlformats.org/officeDocument/2006/relationships/image" Target="media/image29.png"/><Relationship Id="rId44" Type="http://schemas.openxmlformats.org/officeDocument/2006/relationships/image" Target="media/image28.png"/><Relationship Id="rId43" Type="http://schemas.openxmlformats.org/officeDocument/2006/relationships/image" Target="media/image27.png"/><Relationship Id="rId42" Type="http://schemas.openxmlformats.org/officeDocument/2006/relationships/image" Target="media/image26.png"/><Relationship Id="rId41" Type="http://schemas.openxmlformats.org/officeDocument/2006/relationships/image" Target="media/image25.png"/><Relationship Id="rId40" Type="http://schemas.openxmlformats.org/officeDocument/2006/relationships/image" Target="media/image24.png"/><Relationship Id="rId4" Type="http://schemas.openxmlformats.org/officeDocument/2006/relationships/header" Target="header2.xml"/><Relationship Id="rId39" Type="http://schemas.openxmlformats.org/officeDocument/2006/relationships/image" Target="media/image23.png"/><Relationship Id="rId38" Type="http://schemas.openxmlformats.org/officeDocument/2006/relationships/image" Target="media/image22.jpeg"/><Relationship Id="rId37" Type="http://schemas.openxmlformats.org/officeDocument/2006/relationships/image" Target="media/image21.jpeg"/><Relationship Id="rId36" Type="http://schemas.openxmlformats.org/officeDocument/2006/relationships/image" Target="media/image20.jpeg"/><Relationship Id="rId35" Type="http://schemas.openxmlformats.org/officeDocument/2006/relationships/image" Target="media/image19.jpeg"/><Relationship Id="rId34" Type="http://schemas.openxmlformats.org/officeDocument/2006/relationships/image" Target="media/image18.png"/><Relationship Id="rId33" Type="http://schemas.openxmlformats.org/officeDocument/2006/relationships/image" Target="media/image17.jpeg"/><Relationship Id="rId32" Type="http://schemas.openxmlformats.org/officeDocument/2006/relationships/image" Target="media/image16.jpeg"/><Relationship Id="rId31" Type="http://schemas.openxmlformats.org/officeDocument/2006/relationships/image" Target="media/image15.png"/><Relationship Id="rId30" Type="http://schemas.openxmlformats.org/officeDocument/2006/relationships/image" Target="media/image14.png"/><Relationship Id="rId3" Type="http://schemas.openxmlformats.org/officeDocument/2006/relationships/header" Target="header1.xml"/><Relationship Id="rId29" Type="http://schemas.openxmlformats.org/officeDocument/2006/relationships/image" Target="media/image13.png"/><Relationship Id="rId28" Type="http://schemas.openxmlformats.org/officeDocument/2006/relationships/image" Target="media/image12.jpeg"/><Relationship Id="rId27" Type="http://schemas.openxmlformats.org/officeDocument/2006/relationships/image" Target="media/image11.png"/><Relationship Id="rId26" Type="http://schemas.openxmlformats.org/officeDocument/2006/relationships/image" Target="media/image10.png"/><Relationship Id="rId25" Type="http://schemas.openxmlformats.org/officeDocument/2006/relationships/image" Target="media/image9.png"/><Relationship Id="rId24" Type="http://schemas.openxmlformats.org/officeDocument/2006/relationships/image" Target="media/image8.png"/><Relationship Id="rId23" Type="http://schemas.openxmlformats.org/officeDocument/2006/relationships/image" Target="media/image7.png"/><Relationship Id="rId22" Type="http://schemas.openxmlformats.org/officeDocument/2006/relationships/image" Target="media/image6.png"/><Relationship Id="rId21" Type="http://schemas.openxmlformats.org/officeDocument/2006/relationships/image" Target="media/image5.png"/><Relationship Id="rId20" Type="http://schemas.openxmlformats.org/officeDocument/2006/relationships/image" Target="media/image4.png"/><Relationship Id="rId2" Type="http://schemas.openxmlformats.org/officeDocument/2006/relationships/settings" Target="settings.xml"/><Relationship Id="rId19" Type="http://schemas.openxmlformats.org/officeDocument/2006/relationships/image" Target="media/image3.png"/><Relationship Id="rId18" Type="http://schemas.openxmlformats.org/officeDocument/2006/relationships/image" Target="media/image2.png"/><Relationship Id="rId17" Type="http://schemas.openxmlformats.org/officeDocument/2006/relationships/theme" Target="theme/theme1.xml"/><Relationship Id="rId16" Type="http://schemas.openxmlformats.org/officeDocument/2006/relationships/header" Target="header8.xml"/><Relationship Id="rId15" Type="http://schemas.openxmlformats.org/officeDocument/2006/relationships/footer" Target="footer6.xml"/><Relationship Id="rId14" Type="http://schemas.openxmlformats.org/officeDocument/2006/relationships/header" Target="header7.xml"/><Relationship Id="rId13" Type="http://schemas.openxmlformats.org/officeDocument/2006/relationships/footer" Target="footer5.xml"/><Relationship Id="rId12" Type="http://schemas.openxmlformats.org/officeDocument/2006/relationships/header" Target="header6.xml"/><Relationship Id="rId11" Type="http://schemas.openxmlformats.org/officeDocument/2006/relationships/header" Target="header5.xml"/><Relationship Id="rId10" Type="http://schemas.openxmlformats.org/officeDocument/2006/relationships/footer" Target="footer4.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2049994-BBF5-43B0-B260-9E79655657DB}">
  <ds:schemaRefs/>
</ds:datastoreItem>
</file>

<file path=docProps/app.xml><?xml version="1.0" encoding="utf-8"?>
<Properties xmlns="http://schemas.openxmlformats.org/officeDocument/2006/extended-properties" xmlns:vt="http://schemas.openxmlformats.org/officeDocument/2006/docPropsVTypes">
  <Template>Normal.dotm</Template>
  <Pages>133</Pages>
  <Words>7434</Words>
  <Characters>42374</Characters>
  <Lines>353</Lines>
  <Paragraphs>99</Paragraphs>
  <TotalTime>7</TotalTime>
  <ScaleCrop>false</ScaleCrop>
  <LinksUpToDate>false</LinksUpToDate>
  <CharactersWithSpaces>49709</CharactersWithSpaces>
  <Application>WPS Office_11.1.0.9828_F1E327BC-269C-435d-A152-05C5408002CA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2018-05-24T03:09:00Z</dcterms:created>
  <dc:creator>谢玉锦 赣安</dc:creator>
  <cp:lastModifiedBy>  ZHENG WEI</cp:lastModifiedBy>
  <cp:lastPrinted>2018-09-05T07:01:00Z</cp:lastPrinted>
  <dcterms:modified xsi:type="dcterms:W3CDTF">2020-07-30T05:07:11Z</dcterms:modified>
  <cp:revision>1124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2052-11.1.0.9828</vt:lpwstr>
  </property>
</Properties>
</file>