
<file path=[Content_Types].xml><?xml version="1.0" encoding="utf-8"?>
<Types xmlns="http://schemas.openxmlformats.org/package/2006/content-types">
  <Default Extension="xml" ContentType="application/xml"/>
  <Default Extension="emf" ContentType="image/x-emf"/>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lang w:val="zh-CN"/>
        </w:rPr>
        <w:id w:val="-707176256"/>
        <w:docPartObj>
          <w:docPartGallery w:val="Table of Contents"/>
          <w:docPartUnique/>
        </w:docPartObj>
      </w:sdtPr>
      <w:sdtEndPr>
        <w:rPr>
          <w:rFonts w:asciiTheme="minorHAnsi" w:hAnsiTheme="minorHAnsi" w:eastAsiaTheme="minorEastAsia" w:cstheme="minorBidi"/>
          <w:bCs/>
          <w:sz w:val="21"/>
          <w:szCs w:val="22"/>
          <w:lang w:val="zh-CN"/>
        </w:rPr>
      </w:sdtEndPr>
      <w:sdtContent>
        <w:p>
          <w:pPr>
            <w:pStyle w:val="82"/>
            <w:spacing w:before="156"/>
            <w:rPr>
              <w:rStyle w:val="33"/>
              <w:b/>
            </w:rPr>
          </w:pPr>
          <w:r>
            <w:rPr>
              <w:rStyle w:val="33"/>
              <w:b/>
            </w:rPr>
            <w:t>目</w:t>
          </w:r>
          <w:r>
            <w:rPr>
              <w:rStyle w:val="33"/>
              <w:rFonts w:hint="eastAsia"/>
              <w:b/>
              <w:lang w:val="en-US" w:eastAsia="zh-CN"/>
            </w:rPr>
            <w:t xml:space="preserve">  </w:t>
          </w:r>
          <w:r>
            <w:rPr>
              <w:rStyle w:val="33"/>
              <w:b/>
            </w:rPr>
            <w:t>录</w:t>
          </w:r>
        </w:p>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TOC \o "1-2" \t "附图附件,2" \h</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_Toc15213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 总则</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_Toc15213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_Toc1237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 任务由来及编制目的</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_Toc1237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_Toc29954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1.2 </w:t>
          </w:r>
          <w:r>
            <w:rPr>
              <w:rFonts w:hint="default" w:ascii="Times New Roman" w:hAnsi="Times New Roman" w:eastAsia="宋体" w:cs="Times New Roman"/>
              <w:b w:val="0"/>
              <w:bCs/>
              <w:sz w:val="24"/>
              <w:szCs w:val="24"/>
            </w:rPr>
            <w:t>编制依据</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_Toc29954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_Toc16958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1.3 </w:t>
          </w:r>
          <w:r>
            <w:rPr>
              <w:rFonts w:hint="default" w:ascii="Times New Roman" w:hAnsi="Times New Roman" w:eastAsia="宋体" w:cs="Times New Roman"/>
              <w:b w:val="0"/>
              <w:bCs/>
              <w:sz w:val="24"/>
              <w:szCs w:val="24"/>
            </w:rPr>
            <w:t>适用范围</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_Toc16958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_Toc14448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1.4 </w:t>
          </w:r>
          <w:r>
            <w:rPr>
              <w:rFonts w:hint="default" w:ascii="Times New Roman" w:hAnsi="Times New Roman" w:eastAsia="宋体" w:cs="Times New Roman"/>
              <w:b w:val="0"/>
              <w:bCs/>
              <w:sz w:val="24"/>
              <w:szCs w:val="24"/>
            </w:rPr>
            <w:t>工作原则</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_Toc14448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_Toc22173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1.5</w:t>
          </w:r>
          <w:r>
            <w:rPr>
              <w:rFonts w:hint="default" w:ascii="Times New Roman" w:hAnsi="Times New Roman" w:eastAsia="宋体" w:cs="Times New Roman"/>
              <w:b w:val="0"/>
              <w:bCs/>
              <w:sz w:val="24"/>
              <w:szCs w:val="24"/>
            </w:rPr>
            <w:t xml:space="preserve"> 应急预案体系</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_Toc22173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_Toc27258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1.6 </w:t>
          </w:r>
          <w:r>
            <w:rPr>
              <w:rFonts w:hint="default" w:ascii="Times New Roman" w:hAnsi="Times New Roman" w:eastAsia="宋体" w:cs="Times New Roman"/>
              <w:b w:val="0"/>
              <w:bCs/>
              <w:sz w:val="24"/>
              <w:szCs w:val="24"/>
            </w:rPr>
            <w:t>应急预案编制程序</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_Toc27258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_Toc20905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1.7 </w:t>
          </w:r>
          <w:r>
            <w:rPr>
              <w:rFonts w:hint="default" w:ascii="Times New Roman" w:hAnsi="Times New Roman" w:eastAsia="宋体" w:cs="Times New Roman"/>
              <w:b w:val="0"/>
              <w:bCs/>
              <w:sz w:val="24"/>
              <w:szCs w:val="24"/>
            </w:rPr>
            <w:t>编制内容</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_Toc20905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_Toc10741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1.8</w:t>
          </w:r>
          <w:r>
            <w:rPr>
              <w:rFonts w:hint="default" w:ascii="Times New Roman" w:hAnsi="Times New Roman" w:eastAsia="宋体" w:cs="Times New Roman"/>
              <w:b w:val="0"/>
              <w:bCs/>
              <w:sz w:val="24"/>
              <w:szCs w:val="24"/>
            </w:rPr>
            <w:t xml:space="preserve"> 预案衔接</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_Toc10741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_Toc21752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lang w:val="en-US" w:eastAsia="zh-CN"/>
            </w:rPr>
            <w:t xml:space="preserve">2 </w:t>
          </w:r>
          <w:r>
            <w:rPr>
              <w:rFonts w:hint="default" w:ascii="Times New Roman" w:hAnsi="Times New Roman" w:eastAsia="宋体" w:cs="Times New Roman"/>
              <w:b/>
              <w:bCs w:val="0"/>
              <w:sz w:val="24"/>
              <w:szCs w:val="24"/>
            </w:rPr>
            <w:t>企业概况与周围环境概况</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_Toc21752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8</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_Toc24555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2.1 </w:t>
          </w:r>
          <w:r>
            <w:rPr>
              <w:rFonts w:hint="default" w:ascii="Times New Roman" w:hAnsi="Times New Roman" w:eastAsia="宋体" w:cs="Times New Roman"/>
              <w:b w:val="0"/>
              <w:bCs/>
              <w:sz w:val="24"/>
              <w:szCs w:val="24"/>
            </w:rPr>
            <w:t>企业基本情况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_Toc24555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_Toc25610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2.2 </w:t>
          </w:r>
          <w:r>
            <w:rPr>
              <w:rFonts w:hint="default" w:ascii="Times New Roman" w:hAnsi="Times New Roman" w:eastAsia="宋体" w:cs="Times New Roman"/>
              <w:b w:val="0"/>
              <w:bCs/>
              <w:sz w:val="24"/>
              <w:szCs w:val="24"/>
            </w:rPr>
            <w:t>主要建设内容</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_Toc25610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_Toc19959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 xml:space="preserve">2.3 </w:t>
          </w:r>
          <w:r>
            <w:rPr>
              <w:rFonts w:hint="default" w:ascii="Times New Roman" w:hAnsi="Times New Roman" w:eastAsia="宋体" w:cs="Times New Roman"/>
              <w:b w:val="0"/>
              <w:bCs/>
              <w:sz w:val="24"/>
              <w:szCs w:val="24"/>
            </w:rPr>
            <w:t>主要设备情况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_Toc19959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_Toc15813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2.4 主要原辅材料</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_Toc15813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_Toc29775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2.5 工艺流程</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_Toc29775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_Toc21188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2.6 本项目污染物产生及处理情况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_Toc21188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_Toc13658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2.7 公司所在地区概况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_Toc13658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_Toc18214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2.8 环境受体情况调查</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_Toc18214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_Toc2760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3 环境风险辨识</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_Toc2760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18</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_Toc9149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3.1 环境风险物质</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_Toc9149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_Toc127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3.2 突发大气环境事件风险等级评估</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_Toc127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_Toc14796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3.3 环境风险受体</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_Toc14796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_Toc3034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3.4 突发水环境事件风险等级评估</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_Toc3034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_Toc5566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3.5 环境风险等级</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_Toc5566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_Toc18966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3.6 环境风险单元</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_Toc18966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_Toc117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3.7 环境物质风险辨识</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_Toc117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_Toc18136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4 应急组织指挥体系与职责</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_Toc18136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32</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_Toc19485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4.1</w:t>
          </w:r>
          <w:r>
            <w:rPr>
              <w:rFonts w:hint="default"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rPr>
            <w:t>组织机构</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_Toc19485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_Toc13363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4.2 各部门职责</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_Toc13363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_Toc20658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5 预防与预警</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_Toc20658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36</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_Toc1948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5.1 预防工作</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_Toc1948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_Toc23961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5.2 应急准备</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_Toc23961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_Toc19364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5.3 预警分级</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_Toc19364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_Toc20718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5.4 预警行动</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_Toc20718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_Toc13435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5.5 报警、通讯联络方式</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_Toc13435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_Toc19077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5.6 预警解除</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_Toc19077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_Toc24492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6 应急响应</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_Toc24492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43</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_Toc2169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6.1 应急预案启动条件</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_Toc2169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_Toc7721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6.2 信息报告与通报</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_Toc7721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_Toc23303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6.3 应急响应</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_Toc23303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_Toc24592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6.4 应急处理</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_Toc24592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_Toc15800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6.5 污染监测和治理</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_Toc15800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_Toc16229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6.6 应急结束</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_Toc16229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_Toc1951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7 后期处理</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_Toc1951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55</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_Toc12193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7.1 善后处置</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_Toc12193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_Toc15415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7.2 现场保护</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_Toc15415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_Toc13463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7.3 现场净化方法</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_Toc13463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_Toc11586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7.4 事故后生态恢复措施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_Toc11586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_Toc10573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7.5 生产恢复</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_Toc10573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_Toc8377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8 应急保障措施</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_Toc8377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57</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_Toc24255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8.1 通信与信息保障</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_Toc24255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_Toc17152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8.2 应急队伍保障</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_Toc17152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_Toc22958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8.3 应急设施与物资保障</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_Toc22958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_Toc12290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8.4 经费及其他保障</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_Toc12290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_Toc28641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8.5 医疗急救保障</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_Toc28641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_Toc29150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9 培训与演练</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_Toc29150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60</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_Toc18571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9.1 应急培训与频次</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_Toc18571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_Toc2633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9.2</w:t>
          </w:r>
          <w:r>
            <w:rPr>
              <w:rFonts w:hint="default"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rPr>
            <w:t>应急演练</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_Toc2633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_Toc8363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10 奖惩</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_Toc8363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64</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_Toc992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10.1 奖励</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_Toc992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_Toc31650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10.2 责任追究</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_Toc31650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7"/>
            <w:tabs>
              <w:tab w:val="right" w:leader="dot" w:pos="8503"/>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_Toc13035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11 附则</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_Toc13035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65</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_Toc26968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11.1 名词术语</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_Toc26968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_Toc18791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11.2 预案评估</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_Toc18791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_Toc5796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11.3 预案备案</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_Toc5796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_Toc16477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11.4 预案发布与发放</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_Toc16477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_Toc16852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11.5 应急预案的实施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_Toc16852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_Toc26813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lang w:val="en-US" w:eastAsia="zh-CN"/>
            </w:rPr>
            <w:t>附图一 地理位置图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_Toc26813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67</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_Toc15490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附图二 周边环境受体分布图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_Toc15490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68</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_Toc18532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附图三 厂区</w:t>
          </w:r>
          <w:r>
            <w:rPr>
              <w:rFonts w:hint="eastAsia" w:ascii="黑体" w:hAnsi="黑体" w:eastAsia="黑体" w:cs="黑体"/>
              <w:b w:val="0"/>
              <w:bCs/>
              <w:sz w:val="24"/>
              <w:szCs w:val="24"/>
              <w:highlight w:val="none"/>
            </w:rPr>
            <w:t>平面布置图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_Toc18532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69</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_Toc11553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附图四 紧急疏散示意图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_Toc11553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70</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_Toc19439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附图五 应急资源图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_Toc19439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71</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_Toc5607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附图六 项目雨水排水走向图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_Toc5607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72</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_Toc23688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附图七 项目污水管网图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_Toc23688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73</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_Toc5113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附图八 白水湖污水处理厂纳污范围图</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_Toc5113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74</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_Toc8411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附件一 环评批复</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_Toc8411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75</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pPr>
            <w:pStyle w:val="18"/>
            <w:tabs>
              <w:tab w:val="right" w:leader="dot" w:pos="8503"/>
            </w:tabs>
            <w:rPr>
              <w:rFonts w:hint="eastAsia" w:ascii="黑体" w:hAnsi="黑体" w:eastAsia="黑体" w:cs="黑体"/>
              <w:b w:val="0"/>
              <w:bCs/>
              <w:sz w:val="24"/>
              <w:szCs w:val="24"/>
            </w:rPr>
          </w:pP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HYPERLINK \l _Toc8453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附件二 标准化文件</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_Toc8453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79</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r>
            <w:rPr>
              <w:rFonts w:hint="default" w:ascii="Times New Roman" w:hAnsi="Times New Roman" w:eastAsia="宋体" w:cs="Times New Roman"/>
              <w:b w:val="0"/>
              <w:bCs/>
              <w:sz w:val="24"/>
              <w:szCs w:val="24"/>
            </w:rPr>
            <w:fldChar w:fldCharType="end"/>
          </w:r>
        </w:p>
      </w:sdtContent>
    </w:sdt>
    <w:p>
      <w:pPr>
        <w:pStyle w:val="30"/>
        <w:rPr>
          <w:b/>
        </w:rPr>
        <w:sectPr>
          <w:headerReference r:id="rId5" w:type="first"/>
          <w:footerReference r:id="rId8" w:type="first"/>
          <w:headerReference r:id="rId3" w:type="default"/>
          <w:footerReference r:id="rId6" w:type="default"/>
          <w:headerReference r:id="rId4" w:type="even"/>
          <w:footerReference r:id="rId7" w:type="even"/>
          <w:pgSz w:w="11905" w:h="16838"/>
          <w:pgMar w:top="1417" w:right="1701" w:bottom="1417" w:left="1701" w:header="851" w:footer="992" w:gutter="0"/>
          <w:pgBorders>
            <w:top w:val="none" w:sz="0" w:space="0"/>
            <w:left w:val="none" w:sz="0" w:space="0"/>
            <w:bottom w:val="none" w:sz="0" w:space="0"/>
            <w:right w:val="none" w:sz="0" w:space="0"/>
          </w:pgBorders>
          <w:pgNumType w:fmt="upperRoman" w:start="1"/>
          <w:cols w:space="0" w:num="1"/>
          <w:rtlGutter w:val="0"/>
          <w:docGrid w:type="lines" w:linePitch="333" w:charSpace="0"/>
        </w:sectPr>
      </w:pPr>
    </w:p>
    <w:p>
      <w:pPr>
        <w:pStyle w:val="4"/>
        <w:bidi w:val="0"/>
        <w:sectPr>
          <w:headerReference r:id="rId9" w:type="default"/>
          <w:footerReference r:id="rId10" w:type="default"/>
          <w:pgSz w:w="11905" w:h="16838"/>
          <w:pgMar w:top="1417" w:right="1701" w:bottom="1417" w:left="1701" w:header="851" w:footer="992" w:gutter="0"/>
          <w:pgBorders>
            <w:top w:val="none" w:sz="0" w:space="0"/>
            <w:left w:val="none" w:sz="0" w:space="0"/>
            <w:bottom w:val="none" w:sz="0" w:space="0"/>
            <w:right w:val="none" w:sz="0" w:space="0"/>
          </w:pgBorders>
          <w:pgNumType w:fmt="decimal" w:start="1"/>
          <w:cols w:space="0" w:num="1"/>
          <w:rtlGutter w:val="0"/>
          <w:docGrid w:type="lines" w:linePitch="333" w:charSpace="0"/>
        </w:sectPr>
      </w:pPr>
      <w:bookmarkStart w:id="0" w:name="_Toc15213"/>
      <w:bookmarkStart w:id="1" w:name="_Toc1871"/>
      <w:bookmarkStart w:id="2" w:name="_Toc10538"/>
      <w:bookmarkStart w:id="3" w:name="_Toc5225"/>
      <w:bookmarkStart w:id="4" w:name="_Toc37600005"/>
      <w:bookmarkStart w:id="5" w:name="_Toc6088"/>
    </w:p>
    <w:p>
      <w:pPr>
        <w:pStyle w:val="4"/>
        <w:bidi w:val="0"/>
      </w:pPr>
      <w:r>
        <w:t>1</w:t>
      </w:r>
      <w:r>
        <w:rPr>
          <w:rFonts w:hint="eastAsia"/>
        </w:rPr>
        <w:t xml:space="preserve"> </w:t>
      </w:r>
      <w:r>
        <w:t>总则</w:t>
      </w:r>
      <w:bookmarkEnd w:id="0"/>
      <w:bookmarkEnd w:id="1"/>
      <w:bookmarkEnd w:id="2"/>
      <w:bookmarkEnd w:id="3"/>
      <w:bookmarkEnd w:id="4"/>
      <w:bookmarkEnd w:id="5"/>
    </w:p>
    <w:p>
      <w:pPr>
        <w:pStyle w:val="5"/>
        <w:bidi w:val="0"/>
      </w:pPr>
      <w:bookmarkStart w:id="6" w:name="_Toc1237"/>
      <w:bookmarkStart w:id="7" w:name="_Toc26163"/>
      <w:bookmarkStart w:id="8" w:name="_Toc23534"/>
      <w:bookmarkStart w:id="9" w:name="_Toc27717"/>
      <w:bookmarkStart w:id="10" w:name="_Toc342"/>
      <w:bookmarkStart w:id="11" w:name="_Toc37600006"/>
      <w:r>
        <w:rPr>
          <w:rFonts w:hint="eastAsia"/>
        </w:rPr>
        <w:t>1.1</w:t>
      </w:r>
      <w:r>
        <w:t xml:space="preserve"> </w:t>
      </w:r>
      <w:r>
        <w:rPr>
          <w:rFonts w:hint="eastAsia"/>
        </w:rPr>
        <w:t>任务由来及</w:t>
      </w:r>
      <w:r>
        <w:t>编制目的</w:t>
      </w:r>
      <w:bookmarkEnd w:id="6"/>
      <w:bookmarkEnd w:id="7"/>
      <w:bookmarkEnd w:id="8"/>
      <w:bookmarkEnd w:id="9"/>
      <w:bookmarkEnd w:id="10"/>
      <w:bookmarkEnd w:id="11"/>
    </w:p>
    <w:p>
      <w:pPr>
        <w:pStyle w:val="90"/>
        <w:ind w:firstLine="480"/>
      </w:pPr>
      <w:r>
        <w:t>为提高</w:t>
      </w:r>
      <w:r>
        <w:rPr>
          <w:rFonts w:hint="eastAsia"/>
        </w:rPr>
        <w:t>南昌瀛宇金属制品有限公司</w:t>
      </w:r>
      <w:r>
        <w:t>应对突发环境事件的能力，最大限度地预防和减少突发环境事件的发生及其危害，保护环境，维护社会稳定，保障企业员工、群众生命健康和财产安全，根据《突发环境事件应急预案管理暂行办法》、《关于进一步加强企业事业单位突发环境事件应急预案备案管理工作的通知》等相关法律法规，</w:t>
      </w:r>
      <w:r>
        <w:rPr>
          <w:rFonts w:hint="eastAsia"/>
          <w:kern w:val="44"/>
        </w:rPr>
        <w:t>南昌瀛宇金属制品有限公司</w:t>
      </w:r>
      <w:r>
        <w:rPr>
          <w:rFonts w:hint="eastAsia"/>
        </w:rPr>
        <w:t>委托江西南大融汇环境技术有限公司</w:t>
      </w:r>
      <w:r>
        <w:t>根据</w:t>
      </w:r>
      <w:r>
        <w:rPr>
          <w:rFonts w:hint="eastAsia"/>
        </w:rPr>
        <w:t>项目</w:t>
      </w:r>
      <w:r>
        <w:t>实际管理和生产情况，编制完成《</w:t>
      </w:r>
      <w:r>
        <w:rPr>
          <w:rFonts w:hint="eastAsia"/>
        </w:rPr>
        <w:t>南昌瀛宇金属制品有限公司</w:t>
      </w:r>
      <w:r>
        <w:t>突发环境事件应急预案》。</w:t>
      </w:r>
    </w:p>
    <w:p>
      <w:pPr>
        <w:pStyle w:val="5"/>
        <w:bidi w:val="0"/>
      </w:pPr>
      <w:bookmarkStart w:id="12" w:name="_Toc13559"/>
      <w:bookmarkStart w:id="13" w:name="_Toc31321"/>
      <w:bookmarkStart w:id="14" w:name="_Toc29954"/>
      <w:bookmarkStart w:id="15" w:name="_Toc31427"/>
      <w:bookmarkStart w:id="16" w:name="_Toc1984"/>
      <w:bookmarkStart w:id="17" w:name="_Toc5820"/>
      <w:bookmarkStart w:id="18" w:name="_Toc37600007"/>
      <w:r>
        <w:rPr>
          <w:rFonts w:hint="eastAsia"/>
          <w:lang w:val="en-US" w:eastAsia="zh-CN"/>
        </w:rPr>
        <w:t xml:space="preserve">1.2 </w:t>
      </w:r>
      <w:r>
        <w:t>编制依据</w:t>
      </w:r>
      <w:bookmarkEnd w:id="12"/>
      <w:bookmarkEnd w:id="13"/>
      <w:bookmarkEnd w:id="14"/>
      <w:bookmarkEnd w:id="15"/>
      <w:bookmarkEnd w:id="16"/>
      <w:bookmarkEnd w:id="17"/>
      <w:bookmarkEnd w:id="18"/>
    </w:p>
    <w:p>
      <w:pPr>
        <w:pStyle w:val="6"/>
        <w:bidi w:val="0"/>
      </w:pPr>
      <w:bookmarkStart w:id="19" w:name="_Toc10260"/>
      <w:bookmarkStart w:id="20" w:name="_Toc37600008"/>
      <w:bookmarkStart w:id="21" w:name="_Toc20002"/>
      <w:bookmarkStart w:id="22" w:name="_Toc31463"/>
      <w:r>
        <w:t>1.2.1 法律法规、规章、指导性文件</w:t>
      </w:r>
      <w:bookmarkEnd w:id="19"/>
      <w:bookmarkEnd w:id="20"/>
      <w:bookmarkEnd w:id="21"/>
      <w:bookmarkEnd w:id="22"/>
    </w:p>
    <w:p>
      <w:pPr>
        <w:pStyle w:val="90"/>
        <w:ind w:firstLine="480"/>
      </w:pPr>
      <w:r>
        <w:t>（1）《中华人民共和国环境保护法》（</w:t>
      </w:r>
      <w:r>
        <w:rPr>
          <w:highlight w:val="none"/>
        </w:rPr>
        <w:t>1989</w:t>
      </w:r>
      <w:r>
        <w:t>年12月26日第七届全国人民代表大会常务委员会第十一次会议通过，2014年4月24日第十二届全国人民代表大会常务委员会第八次会议修订，2015年1月1日起施行）；</w:t>
      </w:r>
    </w:p>
    <w:p>
      <w:pPr>
        <w:pStyle w:val="90"/>
        <w:ind w:firstLine="480"/>
      </w:pPr>
      <w:r>
        <w:t>（2）《中华人民共和国突发事件应对法》（中华人民共和国第十届全国人民代表大会常务委员会第二十九次会议于2007年8月30日通过，自2007年11月1日起施行）；</w:t>
      </w:r>
    </w:p>
    <w:p>
      <w:pPr>
        <w:pStyle w:val="90"/>
        <w:ind w:firstLine="480"/>
      </w:pPr>
      <w:r>
        <w:t>（3）《中华人民共和国安全生产法》（第九届全国人民代表大会常务委员会第二十八次会议于2002年6月29日通过，2014年8 月31日第十二届全国人民代表大会常务委员会第十次会议修订，2014年12月1日实施）；</w:t>
      </w:r>
    </w:p>
    <w:p>
      <w:pPr>
        <w:pStyle w:val="90"/>
        <w:ind w:firstLine="480"/>
      </w:pPr>
      <w:r>
        <w:t>（4）《中华人民共和国消防法》（</w:t>
      </w:r>
      <w:r>
        <w:rPr>
          <w:rFonts w:hint="eastAsia"/>
        </w:rPr>
        <w:t>2019年修订</w:t>
      </w:r>
      <w:r>
        <w:t>）；</w:t>
      </w:r>
    </w:p>
    <w:p>
      <w:pPr>
        <w:pStyle w:val="90"/>
        <w:ind w:firstLine="480"/>
      </w:pPr>
      <w:r>
        <w:t>（5）《危险化学品安全管理条例》（2002年1月26日国务院令第344号公布，2013年12月4日国务院第32次常务会议修订通过，自2013年12月7日起施行）；</w:t>
      </w:r>
    </w:p>
    <w:p>
      <w:pPr>
        <w:pStyle w:val="90"/>
        <w:ind w:firstLine="480"/>
      </w:pPr>
      <w:r>
        <w:t>（6）《国务院关于加强环境保护重点工作的意见》（国发〔2011〕35号）；</w:t>
      </w:r>
    </w:p>
    <w:p>
      <w:pPr>
        <w:pStyle w:val="90"/>
        <w:ind w:firstLine="480"/>
      </w:pPr>
      <w:r>
        <w:t>（7）《突发事件应急预案管理办法》（国办发〔2013〕101号）；</w:t>
      </w:r>
    </w:p>
    <w:p>
      <w:pPr>
        <w:pStyle w:val="90"/>
        <w:ind w:firstLine="480"/>
      </w:pPr>
      <w:r>
        <w:t>（8）《突发环境事件信息报告办法》（</w:t>
      </w:r>
      <w:r>
        <w:rPr>
          <w:highlight w:val="none"/>
        </w:rPr>
        <w:t>环境保护部</w:t>
      </w:r>
      <w:r>
        <w:t>令第17号）；</w:t>
      </w:r>
    </w:p>
    <w:p>
      <w:pPr>
        <w:pStyle w:val="90"/>
        <w:ind w:firstLine="480"/>
      </w:pPr>
      <w:r>
        <w:t>（9）《危险化学品重大危险源监督管理暂行规定》（安全监管总局令第40号）；</w:t>
      </w:r>
    </w:p>
    <w:p>
      <w:pPr>
        <w:pStyle w:val="90"/>
        <w:ind w:firstLine="480"/>
      </w:pPr>
      <w:r>
        <w:t>（10）《企业事业单位突发环境事件应急预案备案管理办法（试行）》（环发[2015]4号）；</w:t>
      </w:r>
    </w:p>
    <w:p>
      <w:pPr>
        <w:pStyle w:val="90"/>
        <w:ind w:firstLine="480"/>
      </w:pPr>
      <w:r>
        <w:t>（11）《建设项目环境影响评价分类管理名录》（2018年4月28日修订）；</w:t>
      </w:r>
    </w:p>
    <w:p>
      <w:pPr>
        <w:pStyle w:val="90"/>
        <w:ind w:firstLine="480"/>
      </w:pPr>
      <w:r>
        <w:t>（12）《产业结构调整指导目录》（</w:t>
      </w:r>
      <w:r>
        <w:rPr>
          <w:rFonts w:hint="eastAsia"/>
        </w:rPr>
        <w:t>2019年本</w:t>
      </w:r>
      <w:r>
        <w:t>）；</w:t>
      </w:r>
    </w:p>
    <w:p>
      <w:pPr>
        <w:pStyle w:val="90"/>
        <w:ind w:firstLine="480"/>
        <w:rPr>
          <w:rFonts w:hint="eastAsia"/>
        </w:rPr>
      </w:pPr>
      <w:r>
        <w:t>（13）《国家重点监管危险化学品名录》（2013年完整版）</w:t>
      </w:r>
      <w:r>
        <w:rPr>
          <w:rFonts w:hint="eastAsia"/>
        </w:rPr>
        <w:t>；</w:t>
      </w:r>
    </w:p>
    <w:p>
      <w:pPr>
        <w:pStyle w:val="90"/>
        <w:ind w:firstLine="480"/>
      </w:pPr>
      <w:r>
        <w:t>（14）《企业突发环境事件隐患排查和治理工作指南（试行）》（</w:t>
      </w:r>
      <w:r>
        <w:rPr>
          <w:highlight w:val="none"/>
        </w:rPr>
        <w:t>环境保护部</w:t>
      </w:r>
      <w:r>
        <w:t>公告2016年第74号）；</w:t>
      </w:r>
    </w:p>
    <w:p>
      <w:pPr>
        <w:pStyle w:val="90"/>
        <w:ind w:firstLine="480"/>
      </w:pPr>
      <w:r>
        <w:t>（15）关于印发《</w:t>
      </w:r>
      <w:r>
        <w:rPr>
          <w:rFonts w:hint="default" w:ascii="Times New Roman" w:hAnsi="Times New Roman" w:cs="Times New Roman"/>
        </w:rPr>
        <w:t>江西省</w:t>
      </w:r>
      <w:r>
        <w:rPr>
          <w:rFonts w:hint="eastAsia" w:cs="Times New Roman"/>
          <w:lang w:val="en-US" w:eastAsia="zh-CN"/>
        </w:rPr>
        <w:t>突发环境事件</w:t>
      </w:r>
      <w:r>
        <w:rPr>
          <w:rFonts w:hint="default" w:ascii="Times New Roman" w:hAnsi="Times New Roman" w:cs="Times New Roman"/>
        </w:rPr>
        <w:t>应急预案的通知</w:t>
      </w:r>
      <w:r>
        <w:t>》的通知（赣府厅字〔2016〕14号）</w:t>
      </w:r>
      <w:r>
        <w:rPr>
          <w:rFonts w:hint="eastAsia"/>
        </w:rPr>
        <w:t>。</w:t>
      </w:r>
    </w:p>
    <w:p>
      <w:pPr>
        <w:pStyle w:val="6"/>
        <w:bidi w:val="0"/>
      </w:pPr>
      <w:bookmarkStart w:id="23" w:name="_Toc23485"/>
      <w:bookmarkStart w:id="24" w:name="_Toc24501"/>
      <w:bookmarkStart w:id="25" w:name="_Toc9988"/>
      <w:bookmarkStart w:id="26" w:name="_Toc37600009"/>
      <w:r>
        <w:t>1.2.2 标准、技术规范</w:t>
      </w:r>
      <w:bookmarkEnd w:id="23"/>
      <w:bookmarkEnd w:id="24"/>
      <w:bookmarkEnd w:id="25"/>
      <w:bookmarkEnd w:id="26"/>
    </w:p>
    <w:p>
      <w:pPr>
        <w:pStyle w:val="90"/>
        <w:ind w:firstLine="480"/>
      </w:pPr>
      <w:r>
        <w:t>（1）《危险化学品重大危险源辨识》（GB 18218-</w:t>
      </w:r>
      <w:r>
        <w:rPr>
          <w:rFonts w:hint="eastAsia"/>
        </w:rPr>
        <w:t>2018</w:t>
      </w:r>
      <w:r>
        <w:t>）；</w:t>
      </w:r>
    </w:p>
    <w:p>
      <w:pPr>
        <w:pStyle w:val="90"/>
        <w:ind w:firstLine="480"/>
      </w:pPr>
      <w:r>
        <w:t>（2）《建筑设计防火规范》（GB50016-2014）；</w:t>
      </w:r>
    </w:p>
    <w:p>
      <w:pPr>
        <w:pStyle w:val="90"/>
        <w:ind w:firstLine="480"/>
      </w:pPr>
      <w:r>
        <w:t>（3）《化学品分类和标签规范》（GB30000-2013）；</w:t>
      </w:r>
    </w:p>
    <w:p>
      <w:pPr>
        <w:pStyle w:val="90"/>
        <w:ind w:firstLine="480"/>
      </w:pPr>
      <w:r>
        <w:t>（4）《环境影响评价技术导则地下水环境》（HJ610-2016）；</w:t>
      </w:r>
    </w:p>
    <w:p>
      <w:pPr>
        <w:pStyle w:val="90"/>
        <w:ind w:firstLine="480"/>
      </w:pPr>
      <w:r>
        <w:t>（5）《建设项目环境风险评价技术导则》（HJ/T169-20</w:t>
      </w:r>
      <w:r>
        <w:rPr>
          <w:rFonts w:hint="eastAsia"/>
        </w:rPr>
        <w:t>18</w:t>
      </w:r>
      <w:r>
        <w:t>）；</w:t>
      </w:r>
    </w:p>
    <w:p>
      <w:pPr>
        <w:pStyle w:val="90"/>
        <w:ind w:firstLine="480"/>
      </w:pPr>
      <w:r>
        <w:t>（</w:t>
      </w:r>
      <w:r>
        <w:rPr>
          <w:rFonts w:hint="eastAsia"/>
        </w:rPr>
        <w:t>6</w:t>
      </w:r>
      <w:r>
        <w:t>）《化学品毒性鉴定技术规范》（卫监督发〔2005〕272号）；</w:t>
      </w:r>
    </w:p>
    <w:p>
      <w:pPr>
        <w:pStyle w:val="90"/>
        <w:ind w:firstLine="480"/>
      </w:pPr>
      <w:r>
        <w:t>（</w:t>
      </w:r>
      <w:r>
        <w:rPr>
          <w:rFonts w:hint="eastAsia"/>
        </w:rPr>
        <w:t>7</w:t>
      </w:r>
      <w:r>
        <w:t>）《事故状态下水体污染的预防与控制技术要求》（中国石油企业标准Q/SY1190-2013）；</w:t>
      </w:r>
    </w:p>
    <w:p>
      <w:pPr>
        <w:pStyle w:val="90"/>
        <w:ind w:firstLine="480"/>
      </w:pPr>
      <w:r>
        <w:t>（</w:t>
      </w:r>
      <w:r>
        <w:rPr>
          <w:rFonts w:hint="eastAsia"/>
        </w:rPr>
        <w:t>8</w:t>
      </w:r>
      <w:r>
        <w:t>）《</w:t>
      </w:r>
      <w:r>
        <w:rPr>
          <w:highlight w:val="none"/>
        </w:rPr>
        <w:t>水体污染</w:t>
      </w:r>
      <w:r>
        <w:t>事故风险预防与控制措施运行管理要求》（中国石油企业标准Q/SY1310-2010）；</w:t>
      </w:r>
    </w:p>
    <w:p>
      <w:pPr>
        <w:pStyle w:val="90"/>
        <w:ind w:firstLine="480"/>
      </w:pPr>
      <w:r>
        <w:t>（</w:t>
      </w:r>
      <w:r>
        <w:rPr>
          <w:rFonts w:hint="eastAsia"/>
        </w:rPr>
        <w:t>9</w:t>
      </w:r>
      <w:r>
        <w:t>）《危险化学品名录》（201</w:t>
      </w:r>
      <w:r>
        <w:rPr>
          <w:rFonts w:hint="eastAsia"/>
        </w:rPr>
        <w:t>8</w:t>
      </w:r>
      <w:r>
        <w:t>版）；</w:t>
      </w:r>
    </w:p>
    <w:p>
      <w:pPr>
        <w:pStyle w:val="90"/>
        <w:ind w:firstLine="480"/>
      </w:pPr>
      <w:r>
        <w:t>（1</w:t>
      </w:r>
      <w:r>
        <w:rPr>
          <w:rFonts w:hint="eastAsia"/>
        </w:rPr>
        <w:t>0</w:t>
      </w:r>
      <w:r>
        <w:t>）《生产经营单位安全生产事故应急预案编制导则》（GB/T29639-2013）；</w:t>
      </w:r>
    </w:p>
    <w:p>
      <w:pPr>
        <w:pStyle w:val="90"/>
        <w:ind w:firstLine="480"/>
      </w:pPr>
      <w:r>
        <w:t>（1</w:t>
      </w:r>
      <w:r>
        <w:rPr>
          <w:rFonts w:hint="eastAsia"/>
        </w:rPr>
        <w:t>1</w:t>
      </w:r>
      <w:r>
        <w:t>）《消防给水及消防栓系统技术设计规范》（GB50974-2014）；</w:t>
      </w:r>
    </w:p>
    <w:p>
      <w:pPr>
        <w:pStyle w:val="90"/>
        <w:ind w:firstLine="480"/>
      </w:pPr>
      <w:r>
        <w:t>（1</w:t>
      </w:r>
      <w:r>
        <w:rPr>
          <w:rFonts w:hint="eastAsia"/>
        </w:rPr>
        <w:t>2</w:t>
      </w:r>
      <w:r>
        <w:t>）《建筑灭火器配置设计规范》</w:t>
      </w:r>
      <w:r>
        <w:rPr>
          <w:highlight w:val="none"/>
        </w:rPr>
        <w:t>(</w:t>
      </w:r>
      <w:r>
        <w:t>GB50140-2010</w:t>
      </w:r>
      <w:r>
        <w:rPr>
          <w:highlight w:val="none"/>
        </w:rPr>
        <w:t>)</w:t>
      </w:r>
      <w:r>
        <w:t>；</w:t>
      </w:r>
    </w:p>
    <w:p>
      <w:pPr>
        <w:pStyle w:val="90"/>
        <w:ind w:firstLine="480"/>
      </w:pPr>
      <w:r>
        <w:t>（1</w:t>
      </w:r>
      <w:r>
        <w:rPr>
          <w:rFonts w:hint="eastAsia"/>
        </w:rPr>
        <w:t>3</w:t>
      </w:r>
      <w:r>
        <w:t>）《危险化学品单位应急救援物资配备要求危化品应急物资配备标准》（GB30077-2013</w:t>
      </w:r>
      <w:r>
        <w:rPr>
          <w:highlight w:val="none"/>
        </w:rPr>
        <w:t>)</w:t>
      </w:r>
      <w:r>
        <w:t>；</w:t>
      </w:r>
    </w:p>
    <w:p>
      <w:pPr>
        <w:pStyle w:val="90"/>
        <w:ind w:firstLine="480"/>
      </w:pPr>
      <w:r>
        <w:t>（1</w:t>
      </w:r>
      <w:r>
        <w:rPr>
          <w:rFonts w:hint="eastAsia"/>
        </w:rPr>
        <w:t>4</w:t>
      </w:r>
      <w:r>
        <w:t>）《危险化学品安全措施和处置原则》；</w:t>
      </w:r>
    </w:p>
    <w:p>
      <w:pPr>
        <w:pStyle w:val="90"/>
        <w:ind w:firstLine="480"/>
      </w:pPr>
      <w:r>
        <w:t>（1</w:t>
      </w:r>
      <w:r>
        <w:rPr>
          <w:rFonts w:hint="eastAsia"/>
        </w:rPr>
        <w:t>5</w:t>
      </w:r>
      <w:r>
        <w:t>）《环境空气质量标准》（GB3095-2012）；</w:t>
      </w:r>
    </w:p>
    <w:p>
      <w:pPr>
        <w:pStyle w:val="90"/>
        <w:ind w:firstLine="480"/>
      </w:pPr>
      <w:r>
        <w:t>（1</w:t>
      </w:r>
      <w:r>
        <w:rPr>
          <w:rFonts w:hint="eastAsia"/>
        </w:rPr>
        <w:t>6</w:t>
      </w:r>
      <w:r>
        <w:t>）《地下水质量标准》（GB/T14848-2017</w:t>
      </w:r>
      <w:r>
        <w:rPr>
          <w:highlight w:val="none"/>
        </w:rPr>
        <w:t>)</w:t>
      </w:r>
      <w:r>
        <w:t>；</w:t>
      </w:r>
    </w:p>
    <w:p>
      <w:pPr>
        <w:pStyle w:val="90"/>
        <w:ind w:firstLine="480"/>
      </w:pPr>
      <w:r>
        <w:t>（1</w:t>
      </w:r>
      <w:r>
        <w:rPr>
          <w:rFonts w:hint="eastAsia"/>
        </w:rPr>
        <w:t>7</w:t>
      </w:r>
      <w:r>
        <w:t>）《地表水环境质量标准》（</w:t>
      </w:r>
      <w:r>
        <w:rPr>
          <w:kern w:val="44"/>
        </w:rPr>
        <w:t>GB3838-20</w:t>
      </w:r>
      <w:r>
        <w:rPr>
          <w:rFonts w:hint="eastAsia"/>
          <w:kern w:val="44"/>
        </w:rPr>
        <w:t>15</w:t>
      </w:r>
      <w:r>
        <w:t>）；</w:t>
      </w:r>
    </w:p>
    <w:p>
      <w:pPr>
        <w:pStyle w:val="90"/>
        <w:ind w:firstLine="480"/>
      </w:pPr>
      <w:r>
        <w:t>（1</w:t>
      </w:r>
      <w:r>
        <w:rPr>
          <w:rFonts w:hint="eastAsia"/>
        </w:rPr>
        <w:t>8</w:t>
      </w:r>
      <w:r>
        <w:t>）《声环境质量标准》（GB3096-2008）；</w:t>
      </w:r>
    </w:p>
    <w:p>
      <w:pPr>
        <w:pStyle w:val="90"/>
        <w:ind w:firstLine="480"/>
      </w:pPr>
      <w:r>
        <w:t>（</w:t>
      </w:r>
      <w:r>
        <w:rPr>
          <w:rFonts w:hint="eastAsia"/>
        </w:rPr>
        <w:t>19</w:t>
      </w:r>
      <w:r>
        <w:t>）《工业企业厂界环境噪声排放标准》（GB12348—2008</w:t>
      </w:r>
      <w:r>
        <w:rPr>
          <w:highlight w:val="none"/>
        </w:rPr>
        <w:t>)</w:t>
      </w:r>
      <w:r>
        <w:t>；</w:t>
      </w:r>
    </w:p>
    <w:p>
      <w:pPr>
        <w:pStyle w:val="90"/>
        <w:ind w:firstLine="480"/>
      </w:pPr>
      <w:r>
        <w:t>（2</w:t>
      </w:r>
      <w:r>
        <w:rPr>
          <w:rFonts w:hint="eastAsia"/>
        </w:rPr>
        <w:t>0</w:t>
      </w:r>
      <w:r>
        <w:t>）《大气污染物综合排放标准》GB16297-1996；</w:t>
      </w:r>
    </w:p>
    <w:p>
      <w:pPr>
        <w:pStyle w:val="90"/>
        <w:ind w:firstLine="480"/>
      </w:pPr>
      <w:r>
        <w:t>（2</w:t>
      </w:r>
      <w:r>
        <w:rPr>
          <w:rFonts w:hint="eastAsia"/>
        </w:rPr>
        <w:t>1</w:t>
      </w:r>
      <w:r>
        <w:t>）《危险化学品事故应急救援指挥导则》（AQ/T3052-2015）；</w:t>
      </w:r>
    </w:p>
    <w:p>
      <w:pPr>
        <w:pStyle w:val="90"/>
        <w:ind w:firstLine="480"/>
      </w:pPr>
      <w:bookmarkStart w:id="27" w:name="_Toc13779"/>
      <w:r>
        <w:t>（2</w:t>
      </w:r>
      <w:r>
        <w:rPr>
          <w:rFonts w:hint="eastAsia"/>
        </w:rPr>
        <w:t>2</w:t>
      </w:r>
      <w:r>
        <w:t>）《危险化学品单位应急物资配备要求》</w:t>
      </w:r>
      <w:r>
        <w:rPr>
          <w:highlight w:val="none"/>
        </w:rPr>
        <w:t>(</w:t>
      </w:r>
      <w:r>
        <w:t>GB30077-2013</w:t>
      </w:r>
      <w:r>
        <w:rPr>
          <w:highlight w:val="none"/>
        </w:rPr>
        <w:t>)</w:t>
      </w:r>
      <w:r>
        <w:t>；</w:t>
      </w:r>
      <w:bookmarkEnd w:id="27"/>
    </w:p>
    <w:p>
      <w:pPr>
        <w:pStyle w:val="90"/>
        <w:ind w:firstLine="480"/>
      </w:pPr>
      <w:r>
        <w:t>（2</w:t>
      </w:r>
      <w:r>
        <w:rPr>
          <w:rFonts w:hint="eastAsia"/>
        </w:rPr>
        <w:t>3</w:t>
      </w:r>
      <w:r>
        <w:t>）《企业事业单位突发环境事件应急预案评审工作指南（试行）》（环办应急[2018]8号）；</w:t>
      </w:r>
    </w:p>
    <w:p>
      <w:pPr>
        <w:pStyle w:val="90"/>
        <w:ind w:firstLine="480"/>
      </w:pPr>
      <w:r>
        <w:t>（2</w:t>
      </w:r>
      <w:r>
        <w:rPr>
          <w:rFonts w:hint="eastAsia"/>
        </w:rPr>
        <w:t>4</w:t>
      </w:r>
      <w:r>
        <w:t>）《企业突发环境事件风险评估指南</w:t>
      </w:r>
      <w:r>
        <w:rPr>
          <w:highlight w:val="none"/>
        </w:rPr>
        <w:t>(</w:t>
      </w:r>
      <w:r>
        <w:t>试行</w:t>
      </w:r>
      <w:r>
        <w:rPr>
          <w:highlight w:val="none"/>
        </w:rPr>
        <w:t>)</w:t>
      </w:r>
      <w:r>
        <w:t>》（环办[2014]34号）；</w:t>
      </w:r>
    </w:p>
    <w:p>
      <w:pPr>
        <w:pStyle w:val="90"/>
        <w:ind w:firstLine="480"/>
      </w:pPr>
      <w:r>
        <w:t>（2</w:t>
      </w:r>
      <w:r>
        <w:rPr>
          <w:rFonts w:hint="eastAsia"/>
        </w:rPr>
        <w:t>5</w:t>
      </w:r>
      <w:r>
        <w:t>）《企业突发环境事件风险分级方法》（HJ941-2018</w:t>
      </w:r>
      <w:r>
        <w:rPr>
          <w:highlight w:val="none"/>
        </w:rPr>
        <w:t>)</w:t>
      </w:r>
      <w:r>
        <w:t>。</w:t>
      </w:r>
    </w:p>
    <w:p>
      <w:pPr>
        <w:pStyle w:val="6"/>
        <w:bidi w:val="0"/>
      </w:pPr>
      <w:bookmarkStart w:id="28" w:name="_Toc1971"/>
      <w:bookmarkStart w:id="29" w:name="_Toc37600010"/>
      <w:bookmarkStart w:id="30" w:name="_Toc23623"/>
      <w:bookmarkStart w:id="31" w:name="_Toc11008"/>
      <w:r>
        <w:t>1.2.3 其他资料</w:t>
      </w:r>
      <w:bookmarkEnd w:id="28"/>
      <w:bookmarkEnd w:id="29"/>
      <w:bookmarkEnd w:id="30"/>
      <w:bookmarkEnd w:id="31"/>
    </w:p>
    <w:p>
      <w:pPr>
        <w:pStyle w:val="90"/>
        <w:ind w:firstLine="480"/>
      </w:pPr>
      <w:r>
        <w:t>《</w:t>
      </w:r>
      <w:r>
        <w:rPr>
          <w:rFonts w:hint="eastAsia"/>
        </w:rPr>
        <w:t>南昌瀛宇金属制品有限公司年产6000万件空调压缩机配件项目环境影响报告表</w:t>
      </w:r>
      <w:r>
        <w:t>》</w:t>
      </w:r>
    </w:p>
    <w:p>
      <w:pPr>
        <w:pStyle w:val="90"/>
        <w:ind w:firstLine="480"/>
      </w:pPr>
      <w:r>
        <w:t>《</w:t>
      </w:r>
      <w:r>
        <w:rPr>
          <w:rFonts w:hint="eastAsia"/>
        </w:rPr>
        <w:t>南昌瀛宇金属制品有限公司年产6000万件空调压缩机配件项目环境影响报告表</w:t>
      </w:r>
      <w:r>
        <w:t>》</w:t>
      </w:r>
      <w:r>
        <w:rPr>
          <w:rFonts w:hint="eastAsia"/>
        </w:rPr>
        <w:t>的批复赣新环评字[2019]25号</w:t>
      </w:r>
    </w:p>
    <w:p>
      <w:pPr>
        <w:pStyle w:val="5"/>
        <w:bidi w:val="0"/>
      </w:pPr>
      <w:bookmarkStart w:id="32" w:name="_Toc3971"/>
      <w:bookmarkStart w:id="33" w:name="_Toc5531"/>
      <w:bookmarkStart w:id="34" w:name="_Toc37600011"/>
      <w:bookmarkStart w:id="35" w:name="_Toc30315"/>
      <w:bookmarkStart w:id="36" w:name="_Toc16958"/>
      <w:bookmarkStart w:id="37" w:name="_Toc21017"/>
      <w:r>
        <w:rPr>
          <w:rFonts w:hint="eastAsia"/>
          <w:lang w:val="en-US" w:eastAsia="zh-CN"/>
        </w:rPr>
        <w:t xml:space="preserve">1.3 </w:t>
      </w:r>
      <w:r>
        <w:t>适用范围</w:t>
      </w:r>
      <w:bookmarkEnd w:id="32"/>
      <w:bookmarkEnd w:id="33"/>
      <w:bookmarkEnd w:id="34"/>
      <w:bookmarkEnd w:id="35"/>
      <w:bookmarkEnd w:id="36"/>
      <w:bookmarkEnd w:id="37"/>
    </w:p>
    <w:p>
      <w:pPr>
        <w:pStyle w:val="90"/>
        <w:ind w:firstLine="480"/>
      </w:pPr>
      <w:r>
        <w:t>本预案主要针对</w:t>
      </w:r>
      <w:r>
        <w:rPr>
          <w:rFonts w:hint="eastAsia"/>
        </w:rPr>
        <w:t>南昌瀛宇金属制品有限公司</w:t>
      </w:r>
      <w:r>
        <w:t>突发内部环境事件的应对工作，适用于</w:t>
      </w:r>
      <w:r>
        <w:rPr>
          <w:rFonts w:hint="eastAsia"/>
        </w:rPr>
        <w:t>南昌瀛宇金属制品有限公司</w:t>
      </w:r>
      <w:r>
        <w:t>生产过程中各种因素引发的所有可能造成环境污染和生态破坏的突发环境事件，重点侧重于原料、产物贮存和危险废物贮存、转移等过程中泄漏、火灾、环保设施故障等造成的大气、水、土壤环境影响和破坏、危险废物泄漏污染等事件的应急处置。</w:t>
      </w:r>
    </w:p>
    <w:p>
      <w:pPr>
        <w:pStyle w:val="5"/>
        <w:bidi w:val="0"/>
      </w:pPr>
      <w:bookmarkStart w:id="38" w:name="_Toc15150"/>
      <w:bookmarkStart w:id="39" w:name="_Toc37600012"/>
      <w:bookmarkStart w:id="40" w:name="_Toc16295"/>
      <w:bookmarkStart w:id="41" w:name="_Toc20888"/>
      <w:bookmarkStart w:id="42" w:name="_Toc13386"/>
      <w:bookmarkStart w:id="43" w:name="_Toc14448"/>
      <w:r>
        <w:rPr>
          <w:rFonts w:hint="eastAsia"/>
          <w:lang w:val="en-US" w:eastAsia="zh-CN"/>
        </w:rPr>
        <w:t xml:space="preserve">1.4 </w:t>
      </w:r>
      <w:r>
        <w:t>工作原则</w:t>
      </w:r>
      <w:bookmarkEnd w:id="38"/>
      <w:bookmarkEnd w:id="39"/>
      <w:bookmarkEnd w:id="40"/>
      <w:bookmarkEnd w:id="41"/>
      <w:bookmarkEnd w:id="42"/>
      <w:bookmarkEnd w:id="43"/>
    </w:p>
    <w:p>
      <w:pPr>
        <w:pStyle w:val="90"/>
        <w:ind w:firstLine="480"/>
      </w:pPr>
      <w:r>
        <w:t>1、坚持以人为本，预防为主</w:t>
      </w:r>
    </w:p>
    <w:p>
      <w:pPr>
        <w:pStyle w:val="90"/>
        <w:ind w:firstLine="480"/>
      </w:pPr>
      <w:r>
        <w:t>加强对环境事故风险源的监测、监控并实施监督管理，建立环境事故风险防范体系，积极预防、及时控制、消除隐患，提高突发性环境污染事故防范和处理能力，尽可能地避免或减少突发环境污染事故的发生，消除或减轻环境污染事故造成的中长期影响，</w:t>
      </w:r>
      <w:r>
        <w:rPr>
          <w:highlight w:val="none"/>
        </w:rPr>
        <w:t>最大程度</w:t>
      </w:r>
      <w:r>
        <w:t>地保障公众健康，保护人民群众生命财产安全。</w:t>
      </w:r>
    </w:p>
    <w:p>
      <w:pPr>
        <w:pStyle w:val="90"/>
        <w:ind w:firstLine="480"/>
      </w:pPr>
      <w:r>
        <w:t xml:space="preserve">2、坚持统一领导，分类管理，分级响应 </w:t>
      </w:r>
    </w:p>
    <w:p>
      <w:pPr>
        <w:pStyle w:val="90"/>
        <w:ind w:firstLine="480"/>
      </w:pPr>
      <w:r>
        <w:t>接受政府环保部门的指导，使企业的突发性环境污染事故应急系统成为区域系统的有机组成部分。加强企业各部门之间协同与合作，提高快速反应能力。针对不同污染源所造成的环境污染的特点，实行分类管理，充分发挥部门专业优势，使采取的措施与突发环境污染事故造成的危害范围和社会影响相适应。</w:t>
      </w:r>
    </w:p>
    <w:p>
      <w:pPr>
        <w:pStyle w:val="90"/>
        <w:ind w:firstLine="480"/>
      </w:pPr>
      <w:r>
        <w:t xml:space="preserve">3、坚持平战结合，专兼结合，充分利用现有资源 </w:t>
      </w:r>
    </w:p>
    <w:p>
      <w:pPr>
        <w:pStyle w:val="90"/>
        <w:ind w:firstLine="480"/>
      </w:pPr>
      <w:r>
        <w:t>积极做好应对突发性环境污染事故的思想准备、物资准备、技术准备、工作准备，加强培训演练，应急系统做到常备不懈，可为本企业</w:t>
      </w:r>
      <w:r>
        <w:rPr>
          <w:highlight w:val="none"/>
        </w:rPr>
        <w:t>和其它</w:t>
      </w:r>
      <w:r>
        <w:t>企业及社会提供服务，在应急时快速有效。</w:t>
      </w:r>
    </w:p>
    <w:p>
      <w:pPr>
        <w:pStyle w:val="90"/>
        <w:ind w:firstLine="480"/>
      </w:pPr>
      <w:r>
        <w:t xml:space="preserve">4、依法规范，加强管理 </w:t>
      </w:r>
    </w:p>
    <w:p>
      <w:pPr>
        <w:pStyle w:val="90"/>
        <w:ind w:firstLine="480"/>
      </w:pPr>
      <w:r>
        <w:t>依据国家法律法规，本着对国家、社会、员工和公众高度负责的态度，加强应急管理，使应急工作规范化、科学化、制度化。</w:t>
      </w:r>
    </w:p>
    <w:p>
      <w:pPr>
        <w:pStyle w:val="90"/>
        <w:ind w:firstLine="480"/>
      </w:pPr>
      <w:r>
        <w:t>5、加强教育，增强素质</w:t>
      </w:r>
    </w:p>
    <w:p>
      <w:pPr>
        <w:pStyle w:val="90"/>
        <w:ind w:firstLine="480"/>
      </w:pPr>
      <w:r>
        <w:t>加强宣传和培训教育工作，提高广大员工自救、互救和应对各类突发环境事件的综合素质。</w:t>
      </w:r>
    </w:p>
    <w:p>
      <w:pPr>
        <w:pStyle w:val="5"/>
        <w:bidi w:val="0"/>
      </w:pPr>
      <w:bookmarkStart w:id="44" w:name="_Toc397586966"/>
      <w:bookmarkStart w:id="45" w:name="_Toc21232"/>
      <w:bookmarkStart w:id="46" w:name="_Toc19209"/>
      <w:bookmarkStart w:id="47" w:name="_Toc9202"/>
      <w:bookmarkStart w:id="48" w:name="_Toc37600013"/>
      <w:bookmarkStart w:id="49" w:name="_Toc22173"/>
      <w:bookmarkStart w:id="50" w:name="_Toc6818_WPSOffice_Level1"/>
      <w:bookmarkStart w:id="51" w:name="_Toc27645"/>
      <w:bookmarkStart w:id="52" w:name="_Toc7226"/>
      <w:r>
        <w:rPr>
          <w:rFonts w:hint="eastAsia"/>
          <w:lang w:val="en-US" w:eastAsia="zh-CN"/>
        </w:rPr>
        <w:t>1.5</w:t>
      </w:r>
      <w:r>
        <w:rPr>
          <w:rFonts w:hint="eastAsia"/>
        </w:rPr>
        <w:t xml:space="preserve"> </w:t>
      </w:r>
      <w:r>
        <w:t>应急预案体系</w:t>
      </w:r>
      <w:bookmarkEnd w:id="44"/>
      <w:bookmarkEnd w:id="45"/>
      <w:bookmarkEnd w:id="46"/>
      <w:bookmarkEnd w:id="47"/>
      <w:bookmarkEnd w:id="48"/>
      <w:bookmarkEnd w:id="49"/>
      <w:bookmarkEnd w:id="50"/>
      <w:bookmarkEnd w:id="51"/>
      <w:bookmarkEnd w:id="52"/>
    </w:p>
    <w:p>
      <w:pPr>
        <w:pStyle w:val="90"/>
        <w:ind w:firstLine="480"/>
      </w:pPr>
      <w:r>
        <w:t>明确应急预案与内部企业应急预案和外部其他应急预案的关系，</w:t>
      </w:r>
      <w:r>
        <w:rPr>
          <w:highlight w:val="none"/>
        </w:rPr>
        <w:t>并</w:t>
      </w:r>
      <w:r>
        <w:rPr>
          <w:rFonts w:hint="eastAsia"/>
          <w:highlight w:val="none"/>
          <w:lang w:val="en-US" w:eastAsia="zh-CN"/>
        </w:rPr>
        <w:t>附</w:t>
      </w:r>
      <w:r>
        <w:t>相应的关系图，表述预案之间的横向关联及上下衔接关系。</w:t>
      </w:r>
    </w:p>
    <w:p>
      <w:pPr>
        <w:pStyle w:val="90"/>
        <w:ind w:firstLine="480"/>
      </w:pPr>
      <w:r>
        <w:rPr>
          <w:rFonts w:hint="eastAsia"/>
        </w:rPr>
        <w:t>南昌瀛宇金属制品有限公司</w:t>
      </w:r>
      <w:r>
        <w:t>的突发环境应急预案体系是由公司突发环境事件综合应急预案、现场处置方案组成。</w:t>
      </w:r>
    </w:p>
    <w:p>
      <w:pPr>
        <w:pStyle w:val="5"/>
        <w:bidi w:val="0"/>
      </w:pPr>
      <w:bookmarkStart w:id="53" w:name="_Toc5464"/>
      <w:bookmarkStart w:id="54" w:name="_Toc13407"/>
      <w:bookmarkStart w:id="55" w:name="_Toc37600014"/>
      <w:bookmarkStart w:id="56" w:name="_Toc31790"/>
      <w:bookmarkStart w:id="57" w:name="_Toc29277"/>
      <w:bookmarkStart w:id="58" w:name="_Toc27258"/>
      <w:r>
        <w:rPr>
          <w:rFonts w:hint="eastAsia"/>
          <w:lang w:val="en-US" w:eastAsia="zh-CN"/>
        </w:rPr>
        <w:t xml:space="preserve">1.6 </w:t>
      </w:r>
      <w:r>
        <w:t>应急预案编制程序</w:t>
      </w:r>
      <w:bookmarkEnd w:id="53"/>
      <w:bookmarkEnd w:id="54"/>
      <w:bookmarkEnd w:id="55"/>
      <w:bookmarkEnd w:id="56"/>
      <w:bookmarkEnd w:id="57"/>
      <w:bookmarkEnd w:id="58"/>
    </w:p>
    <w:p>
      <w:pPr>
        <w:ind w:firstLine="480"/>
        <w:jc w:val="center"/>
        <w:rPr>
          <w:color w:val="000000"/>
        </w:rPr>
      </w:pPr>
      <w:r>
        <w:rPr>
          <w:color w:val="000000"/>
        </w:rPr>
        <w:drawing>
          <wp:inline distT="0" distB="0" distL="114300" distR="114300">
            <wp:extent cx="3799840" cy="4011930"/>
            <wp:effectExtent l="0" t="0" r="10160" b="762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4"/>
                    <a:stretch>
                      <a:fillRect/>
                    </a:stretch>
                  </pic:blipFill>
                  <pic:spPr>
                    <a:xfrm>
                      <a:off x="0" y="0"/>
                      <a:ext cx="3799840" cy="4011930"/>
                    </a:xfrm>
                    <a:prstGeom prst="rect">
                      <a:avLst/>
                    </a:prstGeom>
                    <a:noFill/>
                    <a:ln>
                      <a:noFill/>
                    </a:ln>
                  </pic:spPr>
                </pic:pic>
              </a:graphicData>
            </a:graphic>
          </wp:inline>
        </w:drawing>
      </w:r>
    </w:p>
    <w:p>
      <w:pPr>
        <w:bidi w:val="0"/>
        <w:spacing w:line="240" w:lineRule="auto"/>
        <w:jc w:val="center"/>
        <w:rPr>
          <w:rFonts w:hint="eastAsia" w:ascii="黑体" w:hAnsi="黑体" w:eastAsia="黑体" w:cs="黑体"/>
          <w:sz w:val="24"/>
          <w:szCs w:val="24"/>
        </w:rPr>
      </w:pPr>
      <w:bookmarkStart w:id="59" w:name="_Toc37600015"/>
      <w:r>
        <w:rPr>
          <w:rFonts w:hint="eastAsia" w:ascii="黑体" w:hAnsi="黑体" w:eastAsia="黑体" w:cs="黑体"/>
          <w:sz w:val="24"/>
          <w:szCs w:val="24"/>
        </w:rPr>
        <w:t>图1.6-1 环境应急预案编制程序图</w:t>
      </w:r>
      <w:bookmarkEnd w:id="59"/>
    </w:p>
    <w:p>
      <w:pPr>
        <w:pStyle w:val="5"/>
        <w:bidi w:val="0"/>
      </w:pPr>
      <w:bookmarkStart w:id="60" w:name="_Toc20905"/>
      <w:bookmarkStart w:id="61" w:name="_Toc23580"/>
      <w:bookmarkStart w:id="62" w:name="_Toc37600016"/>
      <w:bookmarkStart w:id="63" w:name="_Toc7749"/>
      <w:bookmarkStart w:id="64" w:name="_Toc31309"/>
      <w:bookmarkStart w:id="65" w:name="_Toc26888"/>
      <w:r>
        <w:rPr>
          <w:rFonts w:hint="eastAsia"/>
          <w:lang w:val="en-US" w:eastAsia="zh-CN"/>
        </w:rPr>
        <w:t xml:space="preserve">1.7 </w:t>
      </w:r>
      <w:r>
        <w:t>编制内容</w:t>
      </w:r>
      <w:bookmarkEnd w:id="60"/>
      <w:bookmarkEnd w:id="61"/>
      <w:bookmarkEnd w:id="62"/>
      <w:bookmarkEnd w:id="63"/>
      <w:bookmarkEnd w:id="64"/>
      <w:bookmarkEnd w:id="65"/>
    </w:p>
    <w:p>
      <w:pPr>
        <w:pStyle w:val="90"/>
        <w:ind w:firstLine="480"/>
      </w:pPr>
      <w:r>
        <w:t>本预案的编制内容共分为1</w:t>
      </w:r>
      <w:r>
        <w:rPr>
          <w:rFonts w:hint="eastAsia"/>
        </w:rPr>
        <w:t>1</w:t>
      </w:r>
      <w:r>
        <w:t>个部分，即：总则、企业概况与周围环境概况、环境风险</w:t>
      </w:r>
      <w:r>
        <w:rPr>
          <w:rFonts w:hint="eastAsia"/>
        </w:rPr>
        <w:t>辨识、应急组织指挥体系与职责、预防与预警、应急响应、后期处理、应急保障措施、培训与演练、奖惩</w:t>
      </w:r>
      <w:r>
        <w:t>、附则以及附图附件。</w:t>
      </w:r>
    </w:p>
    <w:p>
      <w:pPr>
        <w:pStyle w:val="90"/>
        <w:ind w:firstLine="480"/>
      </w:pPr>
      <w:r>
        <w:t>事件分级</w:t>
      </w:r>
    </w:p>
    <w:p>
      <w:pPr>
        <w:pStyle w:val="90"/>
        <w:ind w:firstLine="480"/>
      </w:pPr>
      <w:r>
        <w:t>根据</w:t>
      </w:r>
      <w:r>
        <w:rPr>
          <w:rFonts w:hint="eastAsia"/>
        </w:rPr>
        <w:t>本公司</w:t>
      </w:r>
      <w:r>
        <w:t>的实际情况，按照严重性和紧急程度将</w:t>
      </w:r>
      <w:r>
        <w:rPr>
          <w:rFonts w:hint="eastAsia"/>
        </w:rPr>
        <w:t>南昌瀛宇金属制品有限公司年产6000万件空调压缩机配件项目</w:t>
      </w:r>
      <w:r>
        <w:t>突发环境事件分为三级，分别为</w:t>
      </w:r>
      <w:r>
        <w:rPr>
          <w:rFonts w:hint="eastAsia"/>
        </w:rPr>
        <w:t>社会级</w:t>
      </w:r>
      <w:r>
        <w:t>（I级）、公司级（</w:t>
      </w:r>
      <w:r>
        <w:rPr>
          <w:highlight w:val="none"/>
        </w:rPr>
        <w:t>II</w:t>
      </w:r>
      <w:r>
        <w:t>级）和车间级（</w:t>
      </w:r>
      <w:r>
        <w:rPr>
          <w:highlight w:val="none"/>
        </w:rPr>
        <w:t>II</w:t>
      </w:r>
      <w:r>
        <w:t>I级）。具体事件分级与应急响应分级见下表。</w:t>
      </w:r>
    </w:p>
    <w:p>
      <w:pPr>
        <w:pStyle w:val="82"/>
        <w:spacing w:before="163"/>
      </w:pPr>
      <w:r>
        <w:t xml:space="preserve">表1.7-1 </w:t>
      </w:r>
      <w:r>
        <w:rPr>
          <w:rFonts w:hint="eastAsia"/>
        </w:rPr>
        <w:t>南昌瀛宇金属制品有限公司</w:t>
      </w:r>
      <w:r>
        <w:t>突发环境事件应急响应级别</w:t>
      </w:r>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57"/>
        <w:gridCol w:w="1303"/>
        <w:gridCol w:w="605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78" w:type="pct"/>
            <w:tcBorders>
              <w:bottom w:val="single" w:color="auto" w:sz="12" w:space="0"/>
            </w:tcBorders>
            <w:vAlign w:val="center"/>
          </w:tcPr>
          <w:p>
            <w:pPr>
              <w:pStyle w:val="93"/>
              <w:bidi w:val="0"/>
              <w:rPr>
                <w:b/>
                <w:bCs/>
              </w:rPr>
            </w:pPr>
            <w:r>
              <w:rPr>
                <w:b/>
                <w:bCs/>
              </w:rPr>
              <w:t>事件</w:t>
            </w:r>
          </w:p>
          <w:p>
            <w:pPr>
              <w:pStyle w:val="93"/>
              <w:bidi w:val="0"/>
              <w:rPr>
                <w:b/>
                <w:bCs/>
              </w:rPr>
            </w:pPr>
            <w:r>
              <w:rPr>
                <w:b/>
                <w:bCs/>
              </w:rPr>
              <w:t>分级</w:t>
            </w:r>
          </w:p>
        </w:tc>
        <w:tc>
          <w:tcPr>
            <w:tcW w:w="747" w:type="pct"/>
            <w:tcBorders>
              <w:bottom w:val="single" w:color="auto" w:sz="12" w:space="0"/>
            </w:tcBorders>
            <w:vAlign w:val="center"/>
          </w:tcPr>
          <w:p>
            <w:pPr>
              <w:pStyle w:val="93"/>
              <w:bidi w:val="0"/>
              <w:rPr>
                <w:b/>
                <w:bCs/>
              </w:rPr>
            </w:pPr>
            <w:r>
              <w:rPr>
                <w:b/>
                <w:bCs/>
              </w:rPr>
              <w:t>响应</w:t>
            </w:r>
          </w:p>
          <w:p>
            <w:pPr>
              <w:pStyle w:val="93"/>
              <w:bidi w:val="0"/>
              <w:rPr>
                <w:b/>
                <w:bCs/>
              </w:rPr>
            </w:pPr>
            <w:r>
              <w:rPr>
                <w:b/>
                <w:bCs/>
              </w:rPr>
              <w:t>分级</w:t>
            </w:r>
          </w:p>
        </w:tc>
        <w:tc>
          <w:tcPr>
            <w:tcW w:w="3473" w:type="pct"/>
            <w:tcBorders>
              <w:bottom w:val="single" w:color="auto" w:sz="12" w:space="0"/>
            </w:tcBorders>
            <w:vAlign w:val="center"/>
          </w:tcPr>
          <w:p>
            <w:pPr>
              <w:pStyle w:val="93"/>
              <w:bidi w:val="0"/>
              <w:rPr>
                <w:b/>
                <w:bCs/>
              </w:rPr>
            </w:pPr>
            <w:r>
              <w:rPr>
                <w:b/>
                <w:bCs/>
              </w:rPr>
              <w:t>事故危害程度及影响范围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78" w:type="pct"/>
            <w:tcBorders>
              <w:top w:val="single" w:color="auto" w:sz="12" w:space="0"/>
              <w:tl2br w:val="nil"/>
              <w:tr2bl w:val="nil"/>
            </w:tcBorders>
            <w:vAlign w:val="center"/>
          </w:tcPr>
          <w:p>
            <w:pPr>
              <w:pStyle w:val="93"/>
              <w:bidi w:val="0"/>
            </w:pPr>
            <w:r>
              <w:rPr>
                <w:rFonts w:hint="eastAsia"/>
              </w:rPr>
              <w:t>社会级</w:t>
            </w:r>
          </w:p>
          <w:p>
            <w:pPr>
              <w:pStyle w:val="93"/>
              <w:bidi w:val="0"/>
            </w:pPr>
            <w:r>
              <w:t>（I级）</w:t>
            </w:r>
          </w:p>
        </w:tc>
        <w:tc>
          <w:tcPr>
            <w:tcW w:w="747" w:type="pct"/>
            <w:tcBorders>
              <w:top w:val="single" w:color="auto" w:sz="12" w:space="0"/>
              <w:tl2br w:val="nil"/>
              <w:tr2bl w:val="nil"/>
            </w:tcBorders>
            <w:vAlign w:val="center"/>
          </w:tcPr>
          <w:p>
            <w:pPr>
              <w:pStyle w:val="93"/>
              <w:bidi w:val="0"/>
            </w:pPr>
            <w:r>
              <w:t>I级响应</w:t>
            </w:r>
          </w:p>
        </w:tc>
        <w:tc>
          <w:tcPr>
            <w:tcW w:w="3473" w:type="pct"/>
            <w:tcBorders>
              <w:top w:val="single" w:color="auto" w:sz="12" w:space="0"/>
              <w:tl2br w:val="nil"/>
              <w:tr2bl w:val="nil"/>
            </w:tcBorders>
            <w:vAlign w:val="center"/>
          </w:tcPr>
          <w:p>
            <w:pPr>
              <w:pStyle w:val="93"/>
              <w:bidi w:val="0"/>
            </w:pPr>
            <w:r>
              <w:rPr>
                <w:highlight w:val="none"/>
              </w:rPr>
              <w:t>事件范围</w:t>
            </w:r>
            <w:r>
              <w:t>大，难以控制，如超出了南昌瀛宇金属制品有限公司年产6000万件空调压缩机配件项目厂区所辖场所，使临近单位受到影响；或者产生连锁反应，次生出其他危害事件；或危害严重，对生命和财产构成极端威胁，可能需要大范围撤离；或需要外部力量进行支持的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78" w:type="pct"/>
            <w:tcBorders>
              <w:tl2br w:val="nil"/>
              <w:tr2bl w:val="nil"/>
            </w:tcBorders>
            <w:vAlign w:val="center"/>
          </w:tcPr>
          <w:p>
            <w:pPr>
              <w:pStyle w:val="93"/>
              <w:bidi w:val="0"/>
            </w:pPr>
            <w:r>
              <w:t>公司级（</w:t>
            </w:r>
            <w:r>
              <w:rPr>
                <w:highlight w:val="none"/>
              </w:rPr>
              <w:t>II</w:t>
            </w:r>
            <w:r>
              <w:t>级）</w:t>
            </w:r>
          </w:p>
        </w:tc>
        <w:tc>
          <w:tcPr>
            <w:tcW w:w="747" w:type="pct"/>
            <w:tcBorders>
              <w:tl2br w:val="nil"/>
              <w:tr2bl w:val="nil"/>
            </w:tcBorders>
            <w:vAlign w:val="center"/>
          </w:tcPr>
          <w:p>
            <w:pPr>
              <w:pStyle w:val="93"/>
              <w:bidi w:val="0"/>
            </w:pPr>
            <w:r>
              <w:rPr>
                <w:highlight w:val="none"/>
              </w:rPr>
              <w:t>II</w:t>
            </w:r>
            <w:r>
              <w:t>级响应</w:t>
            </w:r>
          </w:p>
        </w:tc>
        <w:tc>
          <w:tcPr>
            <w:tcW w:w="3473" w:type="pct"/>
            <w:tcBorders>
              <w:tl2br w:val="nil"/>
              <w:tr2bl w:val="nil"/>
            </w:tcBorders>
            <w:vAlign w:val="center"/>
          </w:tcPr>
          <w:p>
            <w:pPr>
              <w:pStyle w:val="93"/>
              <w:bidi w:val="0"/>
            </w:pPr>
            <w:r>
              <w:rPr>
                <w:highlight w:val="none"/>
              </w:rPr>
              <w:t>事件范围</w:t>
            </w:r>
            <w:r>
              <w:t>较大，</w:t>
            </w:r>
            <w:r>
              <w:rPr>
                <w:highlight w:val="none"/>
              </w:rPr>
              <w:t>事件控制</w:t>
            </w:r>
            <w:r>
              <w:t>在公司内部区域或只有有限的扩散范围，影响到相邻的生产设施；或较大威胁的事件，该事件对生命和财产构成潜在威胁，南昌瀛宇金属制品有限公司年产6000万件空调压缩机配件项目工作人员需要有限撤离。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78" w:type="pct"/>
            <w:tcBorders>
              <w:tl2br w:val="nil"/>
              <w:tr2bl w:val="nil"/>
            </w:tcBorders>
            <w:vAlign w:val="center"/>
          </w:tcPr>
          <w:p>
            <w:pPr>
              <w:pStyle w:val="93"/>
              <w:bidi w:val="0"/>
            </w:pPr>
            <w:r>
              <w:t>车间级（</w:t>
            </w:r>
            <w:r>
              <w:rPr>
                <w:highlight w:val="none"/>
              </w:rPr>
              <w:t>III</w:t>
            </w:r>
            <w:r>
              <w:t>级）</w:t>
            </w:r>
          </w:p>
        </w:tc>
        <w:tc>
          <w:tcPr>
            <w:tcW w:w="747" w:type="pct"/>
            <w:tcBorders>
              <w:tl2br w:val="nil"/>
              <w:tr2bl w:val="nil"/>
            </w:tcBorders>
            <w:vAlign w:val="center"/>
          </w:tcPr>
          <w:p>
            <w:pPr>
              <w:pStyle w:val="93"/>
              <w:bidi w:val="0"/>
            </w:pPr>
            <w:r>
              <w:rPr>
                <w:highlight w:val="none"/>
              </w:rPr>
              <w:t>III</w:t>
            </w:r>
            <w:r>
              <w:t>级响应</w:t>
            </w:r>
          </w:p>
        </w:tc>
        <w:tc>
          <w:tcPr>
            <w:tcW w:w="3473" w:type="pct"/>
            <w:tcBorders>
              <w:tl2br w:val="nil"/>
              <w:tr2bl w:val="nil"/>
            </w:tcBorders>
            <w:vAlign w:val="center"/>
          </w:tcPr>
          <w:p>
            <w:pPr>
              <w:pStyle w:val="93"/>
              <w:bidi w:val="0"/>
            </w:pPr>
            <w:r>
              <w:rPr>
                <w:highlight w:val="none"/>
              </w:rPr>
              <w:t>事件范围</w:t>
            </w:r>
            <w:r>
              <w:t>较小，可以被第一发现人或所在部门力量控制，一般不需要外部援助。除所</w:t>
            </w:r>
            <w:r>
              <w:rPr>
                <w:highlight w:val="none"/>
              </w:rPr>
              <w:t>涉及到的设施</w:t>
            </w:r>
            <w:r>
              <w:t>及其邻近设施的人员外，不需要撤离其他人员。事件能控制在事发区域内。</w:t>
            </w:r>
          </w:p>
        </w:tc>
      </w:tr>
    </w:tbl>
    <w:p>
      <w:pPr>
        <w:pStyle w:val="5"/>
        <w:bidi w:val="0"/>
      </w:pPr>
      <w:bookmarkStart w:id="66" w:name="_Toc13863"/>
      <w:bookmarkStart w:id="67" w:name="_Toc10741"/>
      <w:bookmarkStart w:id="68" w:name="_Toc13679"/>
      <w:bookmarkStart w:id="69" w:name="_Toc28572"/>
      <w:bookmarkStart w:id="70" w:name="_Toc21955"/>
      <w:bookmarkStart w:id="71" w:name="_Toc37600017"/>
      <w:r>
        <w:rPr>
          <w:rFonts w:hint="eastAsia"/>
          <w:lang w:val="en-US" w:eastAsia="zh-CN"/>
        </w:rPr>
        <w:t>1.8</w:t>
      </w:r>
      <w:r>
        <w:rPr>
          <w:rFonts w:hint="eastAsia"/>
        </w:rPr>
        <w:t xml:space="preserve"> </w:t>
      </w:r>
      <w:r>
        <w:t>预案衔接</w:t>
      </w:r>
      <w:bookmarkEnd w:id="66"/>
      <w:bookmarkEnd w:id="67"/>
      <w:bookmarkEnd w:id="68"/>
      <w:bookmarkEnd w:id="69"/>
      <w:bookmarkEnd w:id="70"/>
      <w:bookmarkEnd w:id="71"/>
    </w:p>
    <w:p>
      <w:pPr>
        <w:pStyle w:val="90"/>
        <w:ind w:firstLine="480"/>
      </w:pPr>
      <w:r>
        <w:t>本预案要加强与南昌市政府和</w:t>
      </w:r>
      <w:r>
        <w:rPr>
          <w:rFonts w:hint="eastAsia"/>
          <w:lang w:val="en-US" w:eastAsia="zh-CN"/>
        </w:rPr>
        <w:t>南昌市生态环境局昌北分局</w:t>
      </w:r>
      <w:r>
        <w:t>相关的联系、沟通和合作，突发环境事件状况下积极配合环保部门及有关部门的工作。</w:t>
      </w:r>
    </w:p>
    <w:p>
      <w:pPr>
        <w:pStyle w:val="90"/>
        <w:ind w:firstLine="480"/>
      </w:pPr>
      <w:r>
        <w:t>1、应急组织机构、人员的衔接</w:t>
      </w:r>
    </w:p>
    <w:p>
      <w:pPr>
        <w:pStyle w:val="90"/>
        <w:ind w:firstLine="480"/>
      </w:pPr>
      <w:r>
        <w:rPr>
          <w:lang w:val="zh-CN"/>
        </w:rPr>
        <w:t>当发生突发环境事件时，</w:t>
      </w:r>
      <w:r>
        <w:rPr>
          <w:rFonts w:hint="eastAsia"/>
        </w:rPr>
        <w:t>南昌瀛宇金属制品有限公司</w:t>
      </w:r>
      <w:r>
        <w:t>应急领导小组应及时承担起与当地区域或各职能管理部门的应急指挥机构的联系工作，及时将事件发生情况及最新进展向有关部门汇报；编制突发环境事件报告单，并将报告单上报上级部门。</w:t>
      </w:r>
    </w:p>
    <w:p>
      <w:pPr>
        <w:pStyle w:val="90"/>
        <w:ind w:firstLine="480"/>
        <w:rPr>
          <w:lang w:val="zh-CN"/>
        </w:rPr>
      </w:pPr>
      <w:r>
        <w:rPr>
          <w:lang w:val="zh-CN"/>
        </w:rPr>
        <w:t>2、预案分级响应的衔接</w:t>
      </w:r>
    </w:p>
    <w:p>
      <w:pPr>
        <w:pStyle w:val="90"/>
        <w:ind w:firstLine="480"/>
        <w:rPr>
          <w:lang w:val="zh-CN"/>
        </w:rPr>
      </w:pPr>
      <w:r>
        <w:rPr>
          <w:lang w:val="zh-CN"/>
        </w:rPr>
        <w:t>（1）一般污染事故：在污染事故现场处置妥当后，经应急指挥小组研究确定后，向</w:t>
      </w:r>
      <w:r>
        <w:t>当地</w:t>
      </w:r>
      <w:r>
        <w:rPr>
          <w:rFonts w:hint="eastAsia"/>
          <w:lang w:val="en-US" w:eastAsia="zh-CN"/>
        </w:rPr>
        <w:t>生态环境局</w:t>
      </w:r>
      <w:r>
        <w:rPr>
          <w:lang w:val="zh-CN"/>
        </w:rPr>
        <w:t>报告处理结果。</w:t>
      </w:r>
    </w:p>
    <w:p>
      <w:pPr>
        <w:pStyle w:val="90"/>
        <w:ind w:firstLine="480"/>
      </w:pPr>
      <w:r>
        <w:rPr>
          <w:lang w:val="zh-CN"/>
        </w:rPr>
        <w:t>（2）较大或重大污染事故：</w:t>
      </w:r>
      <w:r>
        <w:t>应急领导小组在接到事故报警后，及时向当地环境应急指挥部，并请求支援；当地环境应急指挥部进行紧急动员，适时启动区域的突发环境事件应急预案迅速调集救援力量，指挥各成员单位、相关职能部门，根据应急预案组成各个应急行动小组，按照各自的职责和现场救援具体方案开展抢险救援工作，</w:t>
      </w:r>
      <w:r>
        <w:rPr>
          <w:rFonts w:hint="eastAsia"/>
          <w:lang w:val="zh-CN"/>
        </w:rPr>
        <w:t>南昌瀛宇金属制品有限公司</w:t>
      </w:r>
      <w:r>
        <w:t>听从环保部门现场指挥部的领导指挥。突发环境事件基本控制稳定后，应急指挥中心将根据专家意见，迅速调集后援力量展开事故处置工作。</w:t>
      </w:r>
    </w:p>
    <w:p>
      <w:pPr>
        <w:pStyle w:val="90"/>
        <w:ind w:firstLine="480"/>
        <w:rPr>
          <w:lang w:val="zh-CN"/>
        </w:rPr>
      </w:pPr>
      <w:r>
        <w:rPr>
          <w:lang w:val="zh-CN"/>
        </w:rPr>
        <w:t>（3）应急救援保障的衔接</w:t>
      </w:r>
    </w:p>
    <w:p>
      <w:pPr>
        <w:pStyle w:val="90"/>
        <w:ind w:firstLine="480"/>
      </w:pPr>
      <w:r>
        <w:rPr>
          <w:rFonts w:hint="eastAsia" w:ascii="宋体" w:hAnsi="宋体"/>
        </w:rPr>
        <w:t>①</w:t>
      </w:r>
      <w:r>
        <w:t>企业自身保障：企业拥有完善的应急保障体系，包括队伍保障、医疗保障、物资保障、人员防护、财力保障、通信保障、技术保证等。</w:t>
      </w:r>
    </w:p>
    <w:p>
      <w:pPr>
        <w:pStyle w:val="90"/>
        <w:ind w:firstLine="480"/>
      </w:pPr>
      <w:r>
        <w:rPr>
          <w:rFonts w:hint="eastAsia" w:ascii="宋体" w:hAnsi="宋体"/>
        </w:rPr>
        <w:t>②</w:t>
      </w:r>
      <w:r>
        <w:t>单位互助体系：建设单位和周边企业建立良好的应急互助关系，在重大事故发生后，相互支援。</w:t>
      </w:r>
    </w:p>
    <w:p>
      <w:pPr>
        <w:pStyle w:val="90"/>
        <w:ind w:firstLine="480"/>
      </w:pPr>
      <w:r>
        <w:rPr>
          <w:rFonts w:hint="eastAsia" w:ascii="宋体" w:hAnsi="宋体"/>
        </w:rPr>
        <w:t>③</w:t>
      </w:r>
      <w:r>
        <w:t>公共援助力量：在进行第二点的同时，厂区还可以通过联网的方式及时联系当地政府、消防大队、</w:t>
      </w:r>
      <w:r>
        <w:rPr>
          <w:rFonts w:hint="eastAsia"/>
          <w:lang w:val="en-US" w:eastAsia="zh-CN"/>
        </w:rPr>
        <w:t>生态环境局</w:t>
      </w:r>
      <w:r>
        <w:t>等各相关职能部门，请求救援力量。</w:t>
      </w:r>
    </w:p>
    <w:p>
      <w:pPr>
        <w:pStyle w:val="90"/>
        <w:ind w:firstLine="480"/>
      </w:pPr>
      <w:r>
        <w:rPr>
          <w:rFonts w:hint="eastAsia" w:ascii="宋体" w:hAnsi="宋体"/>
        </w:rPr>
        <w:t>④</w:t>
      </w:r>
      <w:r>
        <w:t>专家援助：企业建立风险事故救援安全专家库，在紧急情况下，可以联系获取救援支持。</w:t>
      </w:r>
    </w:p>
    <w:p>
      <w:pPr>
        <w:pStyle w:val="90"/>
        <w:ind w:firstLine="480"/>
        <w:rPr>
          <w:lang w:val="zh-CN"/>
        </w:rPr>
      </w:pPr>
      <w:r>
        <w:rPr>
          <w:lang w:val="zh-CN"/>
        </w:rPr>
        <w:t>（4）应急培训计划的衔接</w:t>
      </w:r>
    </w:p>
    <w:p>
      <w:pPr>
        <w:pStyle w:val="90"/>
        <w:ind w:firstLine="480"/>
        <w:rPr>
          <w:lang w:val="zh-CN"/>
        </w:rPr>
      </w:pPr>
      <w:r>
        <w:rPr>
          <w:lang w:val="zh-CN"/>
        </w:rPr>
        <w:t>企业在开展应急培训计划的同时，还应积极配合</w:t>
      </w:r>
      <w:r>
        <w:t>南昌市</w:t>
      </w:r>
      <w:r>
        <w:rPr>
          <w:lang w:val="zh-CN"/>
        </w:rPr>
        <w:t>环境保护局开展的应急培训工作；在发生环境风险事件时，及时与</w:t>
      </w:r>
      <w:r>
        <w:t>南昌市</w:t>
      </w:r>
      <w:r>
        <w:rPr>
          <w:lang w:val="zh-CN"/>
        </w:rPr>
        <w:t>突发环境事件应急指挥部取得联系。</w:t>
      </w:r>
    </w:p>
    <w:p>
      <w:pPr>
        <w:pStyle w:val="90"/>
        <w:ind w:firstLine="480"/>
        <w:rPr>
          <w:lang w:val="zh-CN"/>
        </w:rPr>
      </w:pPr>
      <w:r>
        <w:rPr>
          <w:lang w:val="zh-CN"/>
        </w:rPr>
        <w:t>（5）公众教育的衔接</w:t>
      </w:r>
    </w:p>
    <w:p>
      <w:pPr>
        <w:pStyle w:val="90"/>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start="1"/>
          <w:cols w:space="0" w:num="1"/>
          <w:rtlGutter w:val="0"/>
          <w:docGrid w:type="lines" w:linePitch="333" w:charSpace="0"/>
        </w:sectPr>
      </w:pPr>
      <w:bookmarkStart w:id="72" w:name="_Toc2171"/>
      <w:bookmarkStart w:id="73" w:name="_Toc1489"/>
      <w:bookmarkStart w:id="74" w:name="_Toc2290"/>
      <w:bookmarkStart w:id="75" w:name="_Toc22417"/>
      <w:bookmarkStart w:id="76" w:name="_Toc11346"/>
      <w:r>
        <w:rPr>
          <w:lang w:val="zh-CN"/>
        </w:rPr>
        <w:t>企业对厂内员工和附近地区公众开展教育、培训时，应加强与周边公众和相关单位的交流，如发生事故，可更好的疏散和撤离</w:t>
      </w:r>
      <w:r>
        <w:t>。</w:t>
      </w:r>
      <w:bookmarkEnd w:id="72"/>
      <w:bookmarkEnd w:id="73"/>
      <w:bookmarkEnd w:id="74"/>
      <w:bookmarkEnd w:id="75"/>
      <w:bookmarkEnd w:id="76"/>
    </w:p>
    <w:p>
      <w:pPr>
        <w:pStyle w:val="4"/>
        <w:bidi w:val="0"/>
      </w:pPr>
      <w:bookmarkStart w:id="77" w:name="_Toc37600018"/>
      <w:bookmarkStart w:id="78" w:name="_Toc21752"/>
      <w:bookmarkStart w:id="79" w:name="_Toc27432"/>
      <w:bookmarkStart w:id="80" w:name="_Toc16357"/>
      <w:bookmarkStart w:id="81" w:name="_Toc13075"/>
      <w:bookmarkStart w:id="82" w:name="_Toc28995"/>
      <w:r>
        <w:rPr>
          <w:rFonts w:hint="eastAsia"/>
          <w:lang w:val="en-US" w:eastAsia="zh-CN"/>
        </w:rPr>
        <w:t xml:space="preserve">2 </w:t>
      </w:r>
      <w:r>
        <w:t>企业概况与周围环境概况</w:t>
      </w:r>
      <w:bookmarkEnd w:id="77"/>
      <w:bookmarkEnd w:id="78"/>
      <w:bookmarkEnd w:id="79"/>
      <w:bookmarkEnd w:id="80"/>
      <w:bookmarkEnd w:id="81"/>
      <w:bookmarkEnd w:id="82"/>
    </w:p>
    <w:p>
      <w:pPr>
        <w:pStyle w:val="5"/>
        <w:bidi w:val="0"/>
      </w:pPr>
      <w:bookmarkStart w:id="83" w:name="_Toc25866"/>
      <w:bookmarkStart w:id="84" w:name="_Toc24126"/>
      <w:bookmarkStart w:id="85" w:name="_Toc37600019"/>
      <w:bookmarkStart w:id="86" w:name="_Toc2811"/>
      <w:bookmarkStart w:id="87" w:name="_Toc24555"/>
      <w:bookmarkStart w:id="88" w:name="_Toc13399"/>
      <w:r>
        <w:rPr>
          <w:rFonts w:hint="eastAsia"/>
          <w:lang w:val="en-US" w:eastAsia="zh-CN"/>
        </w:rPr>
        <w:t xml:space="preserve">2.1 </w:t>
      </w:r>
      <w:r>
        <w:t>企业基本情况</w:t>
      </w:r>
      <w:bookmarkEnd w:id="83"/>
      <w:bookmarkEnd w:id="84"/>
      <w:bookmarkEnd w:id="85"/>
      <w:bookmarkEnd w:id="86"/>
      <w:bookmarkEnd w:id="87"/>
      <w:bookmarkEnd w:id="88"/>
    </w:p>
    <w:p>
      <w:pPr>
        <w:pStyle w:val="90"/>
        <w:ind w:firstLine="480"/>
      </w:pPr>
      <w:r>
        <w:rPr>
          <w:rFonts w:hint="eastAsia"/>
          <w:snapToGrid w:val="0"/>
          <w:kern w:val="0"/>
        </w:rPr>
        <w:t>南昌瀛宇金属制品有限公司位于南昌经济技术开发区昱博科技园一期二#厂房内</w:t>
      </w:r>
      <w:r>
        <w:t>（江西省南昌经济技术开发区英雄大道以北，南北三路以东，西河路以西），中心地理坐标为：E 115°5</w:t>
      </w:r>
      <w:r>
        <w:rPr>
          <w:rFonts w:hint="eastAsia"/>
        </w:rPr>
        <w:t>3</w:t>
      </w:r>
      <w:r>
        <w:t>′</w:t>
      </w:r>
      <w:r>
        <w:rPr>
          <w:rFonts w:hint="eastAsia"/>
        </w:rPr>
        <w:t>52.701</w:t>
      </w:r>
      <w:r>
        <w:t>″，N28°4</w:t>
      </w:r>
      <w:r>
        <w:rPr>
          <w:rFonts w:hint="eastAsia"/>
        </w:rPr>
        <w:t>7</w:t>
      </w:r>
      <w:r>
        <w:t>′</w:t>
      </w:r>
      <w:r>
        <w:rPr>
          <w:rFonts w:hint="eastAsia"/>
        </w:rPr>
        <w:t>2.043</w:t>
      </w:r>
      <w:r>
        <w:t>″。</w:t>
      </w:r>
    </w:p>
    <w:p>
      <w:pPr>
        <w:pStyle w:val="90"/>
        <w:ind w:firstLine="480"/>
        <w:rPr>
          <w:snapToGrid w:val="0"/>
          <w:kern w:val="0"/>
        </w:rPr>
      </w:pPr>
      <w:r>
        <w:rPr>
          <w:rFonts w:hint="eastAsia" w:cs="Times New Roman"/>
          <w:snapToGrid w:val="0"/>
          <w:kern w:val="0"/>
        </w:rPr>
        <w:t>南昌瀛宇金属制品有限公司以落料片、消声器加工品、排气管、接线柱、吊钩、防锈剂、脱脂剂、机油等为原材料，经冲压、剪切、车削、干燥、焊接、滚抛等工序加工生产空调压缩机配件，预计形成年产6000万件空调压缩机配件的生产规模。</w:t>
      </w:r>
    </w:p>
    <w:p>
      <w:pPr>
        <w:pStyle w:val="90"/>
        <w:ind w:firstLine="480"/>
        <w:rPr>
          <w:snapToGrid w:val="0"/>
          <w:kern w:val="0"/>
        </w:rPr>
      </w:pPr>
      <w:r>
        <w:rPr>
          <w:rFonts w:hint="eastAsia" w:cs="Times New Roman"/>
          <w:snapToGrid w:val="0"/>
          <w:kern w:val="0"/>
        </w:rPr>
        <w:t>项目东面为南昌同兴达精密光电有限公司，南面为南昌昱博科技园办公室，西侧为毗邻园区道路，北侧为江西名匠智能系统有限公司。</w:t>
      </w:r>
    </w:p>
    <w:p>
      <w:pPr>
        <w:pStyle w:val="82"/>
        <w:spacing w:before="163"/>
      </w:pPr>
      <w:r>
        <w:t>表2.1-1 企业基本信息表</w:t>
      </w:r>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044"/>
        <w:gridCol w:w="2666"/>
        <w:gridCol w:w="2188"/>
        <w:gridCol w:w="181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bottom w:val="single" w:color="auto" w:sz="12" w:space="0"/>
            </w:tcBorders>
            <w:vAlign w:val="center"/>
          </w:tcPr>
          <w:p>
            <w:pPr>
              <w:pStyle w:val="93"/>
              <w:bidi w:val="0"/>
            </w:pPr>
            <w:r>
              <w:t>建设单位</w:t>
            </w:r>
          </w:p>
        </w:tc>
        <w:tc>
          <w:tcPr>
            <w:tcW w:w="3827" w:type="pct"/>
            <w:gridSpan w:val="3"/>
            <w:tcBorders>
              <w:bottom w:val="single" w:color="auto" w:sz="12" w:space="0"/>
            </w:tcBorders>
            <w:vAlign w:val="center"/>
          </w:tcPr>
          <w:p>
            <w:pPr>
              <w:pStyle w:val="93"/>
              <w:bidi w:val="0"/>
            </w:pPr>
            <w:r>
              <w:t>南昌瀛宇金属制品有限公司</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op w:val="single" w:color="auto" w:sz="12" w:space="0"/>
              <w:tl2br w:val="nil"/>
              <w:tr2bl w:val="nil"/>
            </w:tcBorders>
            <w:vAlign w:val="center"/>
          </w:tcPr>
          <w:p>
            <w:pPr>
              <w:pStyle w:val="93"/>
              <w:bidi w:val="0"/>
            </w:pPr>
            <w:r>
              <w:rPr>
                <w:highlight w:val="none"/>
              </w:rPr>
              <w:t>通讯地址</w:t>
            </w:r>
          </w:p>
        </w:tc>
        <w:tc>
          <w:tcPr>
            <w:tcW w:w="3827" w:type="pct"/>
            <w:gridSpan w:val="3"/>
            <w:tcBorders>
              <w:top w:val="single" w:color="auto" w:sz="12" w:space="0"/>
              <w:tl2br w:val="nil"/>
              <w:tr2bl w:val="nil"/>
            </w:tcBorders>
            <w:vAlign w:val="center"/>
          </w:tcPr>
          <w:p>
            <w:pPr>
              <w:pStyle w:val="93"/>
              <w:bidi w:val="0"/>
            </w:pPr>
            <w:r>
              <w:rPr>
                <w:rFonts w:hint="eastAsia"/>
              </w:rPr>
              <w:t>江西省南昌经济技术开发区昱博科技园一期二#厂房</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建设地点</w:t>
            </w:r>
          </w:p>
        </w:tc>
        <w:tc>
          <w:tcPr>
            <w:tcW w:w="3827" w:type="pct"/>
            <w:gridSpan w:val="3"/>
            <w:tcBorders>
              <w:tl2br w:val="nil"/>
              <w:tr2bl w:val="nil"/>
            </w:tcBorders>
            <w:vAlign w:val="center"/>
          </w:tcPr>
          <w:p>
            <w:pPr>
              <w:pStyle w:val="93"/>
              <w:bidi w:val="0"/>
            </w:pPr>
            <w:r>
              <w:rPr>
                <w:rFonts w:hint="eastAsia"/>
              </w:rPr>
              <w:t>江西省南昌经济技术开发区昱博科技园一期二#厂房</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地理位置</w:t>
            </w:r>
          </w:p>
        </w:tc>
        <w:tc>
          <w:tcPr>
            <w:tcW w:w="3827" w:type="pct"/>
            <w:gridSpan w:val="3"/>
            <w:tcBorders>
              <w:tl2br w:val="nil"/>
              <w:tr2bl w:val="nil"/>
            </w:tcBorders>
            <w:vAlign w:val="center"/>
          </w:tcPr>
          <w:p>
            <w:pPr>
              <w:pStyle w:val="93"/>
              <w:bidi w:val="0"/>
            </w:pPr>
            <w:r>
              <w:t>东经115°53′52.701″</w:t>
            </w:r>
            <w:r>
              <w:rPr>
                <w:rFonts w:hint="eastAsia"/>
              </w:rPr>
              <w:t>，</w:t>
            </w:r>
            <w:r>
              <w:t>北纬28°47′2.043″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营业执照注册号</w:t>
            </w:r>
          </w:p>
        </w:tc>
        <w:tc>
          <w:tcPr>
            <w:tcW w:w="1529" w:type="pct"/>
            <w:tcBorders>
              <w:tl2br w:val="nil"/>
              <w:tr2bl w:val="nil"/>
            </w:tcBorders>
            <w:vAlign w:val="center"/>
          </w:tcPr>
          <w:p>
            <w:pPr>
              <w:pStyle w:val="93"/>
              <w:bidi w:val="0"/>
            </w:pPr>
            <w:r>
              <w:rPr>
                <w:rFonts w:hint="eastAsia"/>
              </w:rPr>
              <w:t>913601085711983802</w:t>
            </w:r>
          </w:p>
        </w:tc>
        <w:tc>
          <w:tcPr>
            <w:tcW w:w="1255" w:type="pct"/>
            <w:tcBorders>
              <w:tl2br w:val="nil"/>
              <w:tr2bl w:val="nil"/>
            </w:tcBorders>
            <w:vAlign w:val="center"/>
          </w:tcPr>
          <w:p>
            <w:pPr>
              <w:pStyle w:val="93"/>
              <w:bidi w:val="0"/>
            </w:pPr>
            <w:r>
              <w:t>行业类别及代码</w:t>
            </w:r>
          </w:p>
        </w:tc>
        <w:tc>
          <w:tcPr>
            <w:tcW w:w="1042" w:type="pct"/>
            <w:tcBorders>
              <w:tl2br w:val="nil"/>
              <w:tr2bl w:val="nil"/>
            </w:tcBorders>
            <w:vAlign w:val="center"/>
          </w:tcPr>
          <w:p>
            <w:pPr>
              <w:pStyle w:val="93"/>
              <w:bidi w:val="0"/>
            </w:pPr>
            <w:r>
              <w:rPr>
                <w:rFonts w:hint="eastAsia"/>
              </w:rPr>
              <w:t>C3489其他通用零部件制造</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注册日期</w:t>
            </w:r>
          </w:p>
        </w:tc>
        <w:tc>
          <w:tcPr>
            <w:tcW w:w="1529" w:type="pct"/>
            <w:tcBorders>
              <w:tl2br w:val="nil"/>
              <w:tr2bl w:val="nil"/>
            </w:tcBorders>
            <w:vAlign w:val="center"/>
          </w:tcPr>
          <w:p>
            <w:pPr>
              <w:pStyle w:val="93"/>
              <w:bidi w:val="0"/>
            </w:pPr>
            <w:r>
              <w:t>201</w:t>
            </w:r>
            <w:r>
              <w:rPr>
                <w:rFonts w:hint="eastAsia"/>
              </w:rPr>
              <w:t>1</w:t>
            </w:r>
            <w:r>
              <w:t>年</w:t>
            </w:r>
            <w:r>
              <w:rPr>
                <w:rFonts w:hint="eastAsia"/>
              </w:rPr>
              <w:t>04</w:t>
            </w:r>
            <w:r>
              <w:t>月</w:t>
            </w:r>
            <w:r>
              <w:rPr>
                <w:rFonts w:hint="eastAsia"/>
              </w:rPr>
              <w:t>15</w:t>
            </w:r>
            <w:r>
              <w:t>日</w:t>
            </w:r>
          </w:p>
        </w:tc>
        <w:tc>
          <w:tcPr>
            <w:tcW w:w="1255" w:type="pct"/>
            <w:tcBorders>
              <w:tl2br w:val="nil"/>
              <w:tr2bl w:val="nil"/>
            </w:tcBorders>
            <w:vAlign w:val="center"/>
          </w:tcPr>
          <w:p>
            <w:pPr>
              <w:pStyle w:val="93"/>
              <w:bidi w:val="0"/>
            </w:pPr>
            <w:r>
              <w:t>最新技改、扩建时间</w:t>
            </w:r>
          </w:p>
        </w:tc>
        <w:tc>
          <w:tcPr>
            <w:tcW w:w="1042" w:type="pct"/>
            <w:tcBorders>
              <w:tl2br w:val="nil"/>
              <w:tr2bl w:val="nil"/>
            </w:tcBorders>
            <w:vAlign w:val="center"/>
          </w:tcPr>
          <w:p>
            <w:pPr>
              <w:pStyle w:val="93"/>
              <w:bidi w:val="0"/>
            </w:pPr>
            <w:r>
              <w:t>无</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rPr>
                <w:rFonts w:hint="default" w:eastAsia="宋体"/>
                <w:lang w:val="en-US" w:eastAsia="zh-CN"/>
              </w:rPr>
            </w:pPr>
            <w:r>
              <w:rPr>
                <w:rFonts w:hint="eastAsia"/>
                <w:lang w:val="en-US" w:eastAsia="zh-CN"/>
              </w:rPr>
              <w:t>法定代表人</w:t>
            </w:r>
          </w:p>
        </w:tc>
        <w:tc>
          <w:tcPr>
            <w:tcW w:w="1529" w:type="pct"/>
            <w:tcBorders>
              <w:tl2br w:val="nil"/>
              <w:tr2bl w:val="nil"/>
            </w:tcBorders>
            <w:vAlign w:val="center"/>
          </w:tcPr>
          <w:p>
            <w:pPr>
              <w:pStyle w:val="93"/>
              <w:bidi w:val="0"/>
            </w:pPr>
            <w:r>
              <w:rPr>
                <w:rFonts w:hint="eastAsia"/>
              </w:rPr>
              <w:t>俞建新</w:t>
            </w:r>
          </w:p>
        </w:tc>
        <w:tc>
          <w:tcPr>
            <w:tcW w:w="1255" w:type="pct"/>
            <w:tcBorders>
              <w:tl2br w:val="nil"/>
              <w:tr2bl w:val="nil"/>
            </w:tcBorders>
            <w:vAlign w:val="center"/>
          </w:tcPr>
          <w:p>
            <w:pPr>
              <w:pStyle w:val="93"/>
              <w:bidi w:val="0"/>
            </w:pPr>
            <w:r>
              <w:rPr>
                <w:rFonts w:hint="eastAsia"/>
              </w:rPr>
              <w:t>联系电话</w:t>
            </w:r>
          </w:p>
        </w:tc>
        <w:tc>
          <w:tcPr>
            <w:tcW w:w="1042" w:type="pct"/>
            <w:tcBorders>
              <w:tl2br w:val="nil"/>
              <w:tr2bl w:val="nil"/>
            </w:tcBorders>
            <w:vAlign w:val="center"/>
          </w:tcPr>
          <w:p>
            <w:pPr>
              <w:pStyle w:val="93"/>
              <w:bidi w:val="0"/>
            </w:pPr>
            <w:r>
              <w:rPr>
                <w:rFonts w:hint="eastAsia"/>
              </w:rPr>
              <w:t>13311871526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rPr>
                <w:rFonts w:hint="eastAsia"/>
              </w:rPr>
              <w:t>联系人</w:t>
            </w:r>
          </w:p>
        </w:tc>
        <w:tc>
          <w:tcPr>
            <w:tcW w:w="1529" w:type="pct"/>
            <w:tcBorders>
              <w:tl2br w:val="nil"/>
              <w:tr2bl w:val="nil"/>
            </w:tcBorders>
            <w:vAlign w:val="center"/>
          </w:tcPr>
          <w:p>
            <w:pPr>
              <w:pStyle w:val="93"/>
              <w:bidi w:val="0"/>
            </w:pPr>
            <w:r>
              <w:rPr>
                <w:rFonts w:hint="eastAsia"/>
              </w:rPr>
              <w:t>秦俭</w:t>
            </w:r>
          </w:p>
        </w:tc>
        <w:tc>
          <w:tcPr>
            <w:tcW w:w="1255" w:type="pct"/>
            <w:tcBorders>
              <w:tl2br w:val="nil"/>
              <w:tr2bl w:val="nil"/>
            </w:tcBorders>
            <w:vAlign w:val="center"/>
          </w:tcPr>
          <w:p>
            <w:pPr>
              <w:pStyle w:val="93"/>
              <w:bidi w:val="0"/>
            </w:pPr>
            <w:r>
              <w:rPr>
                <w:rFonts w:hint="eastAsia"/>
              </w:rPr>
              <w:t>联系电话</w:t>
            </w:r>
          </w:p>
        </w:tc>
        <w:tc>
          <w:tcPr>
            <w:tcW w:w="1042" w:type="pct"/>
            <w:tcBorders>
              <w:tl2br w:val="nil"/>
              <w:tr2bl w:val="nil"/>
            </w:tcBorders>
            <w:vAlign w:val="center"/>
          </w:tcPr>
          <w:p>
            <w:pPr>
              <w:pStyle w:val="93"/>
              <w:bidi w:val="0"/>
            </w:pPr>
            <w:r>
              <w:rPr>
                <w:rFonts w:hint="eastAsia"/>
              </w:rPr>
              <w:t>13501660667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项目投资</w:t>
            </w:r>
          </w:p>
        </w:tc>
        <w:tc>
          <w:tcPr>
            <w:tcW w:w="1529" w:type="pct"/>
            <w:tcBorders>
              <w:tl2br w:val="nil"/>
              <w:tr2bl w:val="nil"/>
            </w:tcBorders>
            <w:vAlign w:val="center"/>
          </w:tcPr>
          <w:p>
            <w:pPr>
              <w:pStyle w:val="93"/>
              <w:bidi w:val="0"/>
            </w:pPr>
            <w:r>
              <w:rPr>
                <w:rFonts w:hint="eastAsia"/>
              </w:rPr>
              <w:t>180万元</w:t>
            </w:r>
          </w:p>
        </w:tc>
        <w:tc>
          <w:tcPr>
            <w:tcW w:w="1255" w:type="pct"/>
            <w:tcBorders>
              <w:tl2br w:val="nil"/>
              <w:tr2bl w:val="nil"/>
            </w:tcBorders>
            <w:vAlign w:val="center"/>
          </w:tcPr>
          <w:p>
            <w:pPr>
              <w:pStyle w:val="93"/>
              <w:bidi w:val="0"/>
            </w:pPr>
            <w:r>
              <w:t>总产值</w:t>
            </w:r>
          </w:p>
        </w:tc>
        <w:tc>
          <w:tcPr>
            <w:tcW w:w="1042" w:type="pct"/>
            <w:tcBorders>
              <w:tl2br w:val="nil"/>
              <w:tr2bl w:val="nil"/>
            </w:tcBorders>
            <w:vAlign w:val="center"/>
          </w:tcPr>
          <w:p>
            <w:pPr>
              <w:pStyle w:val="93"/>
              <w:bidi w:val="0"/>
            </w:pPr>
            <w: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项目现状</w:t>
            </w:r>
          </w:p>
        </w:tc>
        <w:tc>
          <w:tcPr>
            <w:tcW w:w="3827" w:type="pct"/>
            <w:gridSpan w:val="3"/>
            <w:tcBorders>
              <w:tl2br w:val="nil"/>
              <w:tr2bl w:val="nil"/>
            </w:tcBorders>
            <w:vAlign w:val="center"/>
          </w:tcPr>
          <w:p>
            <w:pPr>
              <w:pStyle w:val="93"/>
              <w:bidi w:val="0"/>
            </w:pPr>
            <w:r>
              <w:t>正常运行</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环评审批情况</w:t>
            </w:r>
          </w:p>
        </w:tc>
        <w:tc>
          <w:tcPr>
            <w:tcW w:w="3827" w:type="pct"/>
            <w:gridSpan w:val="3"/>
            <w:tcBorders>
              <w:tl2br w:val="nil"/>
              <w:tr2bl w:val="nil"/>
            </w:tcBorders>
            <w:vAlign w:val="center"/>
          </w:tcPr>
          <w:p>
            <w:pPr>
              <w:pStyle w:val="93"/>
              <w:bidi w:val="0"/>
            </w:pPr>
            <w:r>
              <w:t>已取得环评批复</w:t>
            </w:r>
            <w:r>
              <w:rPr>
                <w:rFonts w:hint="eastAsia"/>
              </w:rPr>
              <w:t>赣新环评字[2019]25号</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三同时验收情况</w:t>
            </w:r>
          </w:p>
        </w:tc>
        <w:tc>
          <w:tcPr>
            <w:tcW w:w="3827" w:type="pct"/>
            <w:gridSpan w:val="3"/>
            <w:tcBorders>
              <w:tl2br w:val="nil"/>
              <w:tr2bl w:val="nil"/>
            </w:tcBorders>
            <w:vAlign w:val="center"/>
          </w:tcPr>
          <w:p>
            <w:pPr>
              <w:pStyle w:val="93"/>
              <w:bidi w:val="0"/>
            </w:pPr>
            <w:r>
              <w:rPr>
                <w:rFonts w:hint="eastAsia"/>
              </w:rPr>
              <w:t>已验收</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劳动定员</w:t>
            </w:r>
          </w:p>
        </w:tc>
        <w:tc>
          <w:tcPr>
            <w:tcW w:w="3827" w:type="pct"/>
            <w:gridSpan w:val="3"/>
            <w:tcBorders>
              <w:tl2br w:val="nil"/>
              <w:tr2bl w:val="nil"/>
            </w:tcBorders>
            <w:shd w:val="clear" w:color="auto" w:fill="auto"/>
            <w:vAlign w:val="center"/>
          </w:tcPr>
          <w:p>
            <w:pPr>
              <w:pStyle w:val="93"/>
              <w:bidi w:val="0"/>
            </w:pPr>
            <w:r>
              <w:t>劳动定员</w:t>
            </w:r>
            <w:r>
              <w:rPr>
                <w:rFonts w:hint="eastAsia"/>
              </w:rPr>
              <w:t>60</w:t>
            </w:r>
            <w:r>
              <w:t>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2" w:hRule="atLeast"/>
          <w:jc w:val="center"/>
        </w:trPr>
        <w:tc>
          <w:tcPr>
            <w:tcW w:w="1172" w:type="pct"/>
            <w:tcBorders>
              <w:tl2br w:val="nil"/>
              <w:tr2bl w:val="nil"/>
            </w:tcBorders>
            <w:vAlign w:val="center"/>
          </w:tcPr>
          <w:p>
            <w:pPr>
              <w:pStyle w:val="93"/>
              <w:bidi w:val="0"/>
            </w:pPr>
            <w:r>
              <w:t>工作制度</w:t>
            </w:r>
          </w:p>
        </w:tc>
        <w:tc>
          <w:tcPr>
            <w:tcW w:w="3827" w:type="pct"/>
            <w:gridSpan w:val="3"/>
            <w:tcBorders>
              <w:tl2br w:val="nil"/>
              <w:tr2bl w:val="nil"/>
            </w:tcBorders>
            <w:shd w:val="clear" w:color="auto" w:fill="auto"/>
            <w:vAlign w:val="center"/>
          </w:tcPr>
          <w:p>
            <w:pPr>
              <w:pStyle w:val="93"/>
              <w:bidi w:val="0"/>
            </w:pPr>
            <w:r>
              <w:rPr>
                <w:rFonts w:hint="eastAsia"/>
              </w:rPr>
              <w:t>年工作时间300d，值班人员8小时制，单班制</w:t>
            </w:r>
          </w:p>
        </w:tc>
      </w:tr>
    </w:tbl>
    <w:p>
      <w:pPr>
        <w:pStyle w:val="6"/>
        <w:bidi w:val="0"/>
      </w:pPr>
      <w:bookmarkStart w:id="89" w:name="_Toc37600020"/>
      <w:bookmarkStart w:id="90" w:name="_Toc28089"/>
      <w:bookmarkStart w:id="91" w:name="_Toc16417"/>
      <w:bookmarkStart w:id="92" w:name="_Toc20533"/>
      <w:r>
        <w:rPr>
          <w:rFonts w:hint="eastAsia"/>
        </w:rPr>
        <w:t>2.1.1</w:t>
      </w:r>
      <w:r>
        <w:t xml:space="preserve"> </w:t>
      </w:r>
      <w:r>
        <w:rPr>
          <w:rFonts w:hint="eastAsia"/>
        </w:rPr>
        <w:t>环保手续情况</w:t>
      </w:r>
      <w:bookmarkEnd w:id="89"/>
      <w:bookmarkEnd w:id="90"/>
      <w:bookmarkEnd w:id="91"/>
      <w:bookmarkEnd w:id="92"/>
    </w:p>
    <w:p>
      <w:pPr>
        <w:pStyle w:val="90"/>
        <w:ind w:firstLine="480"/>
      </w:pPr>
      <w:r>
        <w:t>项目名称：</w:t>
      </w:r>
      <w:r>
        <w:rPr>
          <w:rFonts w:hint="eastAsia"/>
        </w:rPr>
        <w:t>南昌瀛宇金属制品有限公司建设项目环境影响报告表</w:t>
      </w:r>
      <w:r>
        <w:t>；</w:t>
      </w:r>
    </w:p>
    <w:p>
      <w:pPr>
        <w:pStyle w:val="90"/>
        <w:ind w:firstLine="480"/>
      </w:pPr>
      <w:r>
        <w:t>环评单位：</w:t>
      </w:r>
      <w:r>
        <w:rPr>
          <w:rFonts w:hint="eastAsia"/>
        </w:rPr>
        <w:t>江西南大融汇环境技术有限公司</w:t>
      </w:r>
      <w:r>
        <w:t>；</w:t>
      </w:r>
    </w:p>
    <w:p>
      <w:pPr>
        <w:pStyle w:val="90"/>
        <w:ind w:firstLine="480"/>
      </w:pPr>
      <w:r>
        <w:t>批复单位：</w:t>
      </w:r>
      <w:r>
        <w:rPr>
          <w:rFonts w:hint="eastAsia"/>
        </w:rPr>
        <w:t>2019年5月20日</w:t>
      </w:r>
      <w:r>
        <w:t>，</w:t>
      </w:r>
      <w:r>
        <w:rPr>
          <w:rFonts w:hint="eastAsia"/>
          <w:lang w:val="en-US" w:eastAsia="zh-CN"/>
        </w:rPr>
        <w:t>赣江新区生态环境局</w:t>
      </w:r>
      <w:r>
        <w:t>对《</w:t>
      </w:r>
      <w:r>
        <w:rPr>
          <w:rFonts w:hint="eastAsia"/>
        </w:rPr>
        <w:t>南昌瀛宇金属制品有限公司建设项目环境影响报告表</w:t>
      </w:r>
      <w:r>
        <w:t>》进行批复，批复文号为</w:t>
      </w:r>
      <w:r>
        <w:rPr>
          <w:rFonts w:hint="eastAsia"/>
        </w:rPr>
        <w:t>赣新环评字[2019]25号</w:t>
      </w:r>
      <w:r>
        <w:t>。</w:t>
      </w:r>
    </w:p>
    <w:p>
      <w:pPr>
        <w:pStyle w:val="5"/>
        <w:bidi w:val="0"/>
      </w:pPr>
      <w:bookmarkStart w:id="93" w:name="_Toc14940"/>
      <w:bookmarkStart w:id="94" w:name="_Toc37600021"/>
      <w:bookmarkStart w:id="95" w:name="_Toc12245"/>
      <w:bookmarkStart w:id="96" w:name="_Toc11969"/>
      <w:bookmarkStart w:id="97" w:name="_Toc30527"/>
      <w:bookmarkStart w:id="98" w:name="_Toc25610"/>
      <w:r>
        <w:rPr>
          <w:rFonts w:hint="eastAsia"/>
          <w:lang w:val="en-US" w:eastAsia="zh-CN"/>
        </w:rPr>
        <w:t xml:space="preserve">2.2 </w:t>
      </w:r>
      <w:r>
        <w:rPr>
          <w:rFonts w:hint="eastAsia"/>
        </w:rPr>
        <w:t>主要建设内容</w:t>
      </w:r>
      <w:bookmarkEnd w:id="93"/>
      <w:bookmarkEnd w:id="94"/>
      <w:bookmarkEnd w:id="95"/>
      <w:bookmarkEnd w:id="96"/>
      <w:bookmarkEnd w:id="97"/>
      <w:bookmarkEnd w:id="98"/>
    </w:p>
    <w:p>
      <w:pPr>
        <w:pStyle w:val="82"/>
        <w:spacing w:before="163"/>
      </w:pPr>
      <w:r>
        <w:t>表2.</w:t>
      </w:r>
      <w:r>
        <w:rPr>
          <w:rFonts w:hint="eastAsia"/>
        </w:rPr>
        <w:t>2</w:t>
      </w:r>
      <w:r>
        <w:t>-</w:t>
      </w:r>
      <w:r>
        <w:rPr>
          <w:rFonts w:hint="eastAsia"/>
        </w:rPr>
        <w:t>1</w:t>
      </w:r>
      <w:r>
        <w:t xml:space="preserve"> 主要建设内容一览表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1402"/>
        <w:gridCol w:w="2534"/>
        <w:gridCol w:w="1416"/>
        <w:gridCol w:w="786"/>
        <w:gridCol w:w="1515"/>
        <w:gridCol w:w="1063"/>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tcBorders>
              <w:tl2br w:val="nil"/>
              <w:tr2bl w:val="nil"/>
            </w:tcBorders>
            <w:vAlign w:val="center"/>
          </w:tcPr>
          <w:p>
            <w:pPr>
              <w:pStyle w:val="93"/>
              <w:bidi w:val="0"/>
              <w:rPr>
                <w:b/>
                <w:bCs/>
              </w:rPr>
            </w:pPr>
            <w:r>
              <w:rPr>
                <w:b/>
                <w:bCs/>
              </w:rPr>
              <w:t>项目组成</w:t>
            </w:r>
          </w:p>
        </w:tc>
        <w:tc>
          <w:tcPr>
            <w:tcW w:w="1453" w:type="pct"/>
            <w:tcBorders>
              <w:tl2br w:val="nil"/>
              <w:tr2bl w:val="nil"/>
            </w:tcBorders>
            <w:vAlign w:val="center"/>
          </w:tcPr>
          <w:p>
            <w:pPr>
              <w:pStyle w:val="93"/>
              <w:bidi w:val="0"/>
              <w:rPr>
                <w:b/>
                <w:bCs/>
              </w:rPr>
            </w:pPr>
            <w:r>
              <w:rPr>
                <w:rFonts w:hint="eastAsia"/>
                <w:b/>
                <w:bCs/>
              </w:rPr>
              <w:t>工程内容</w:t>
            </w:r>
          </w:p>
        </w:tc>
        <w:tc>
          <w:tcPr>
            <w:tcW w:w="812" w:type="pct"/>
            <w:tcBorders>
              <w:tl2br w:val="nil"/>
              <w:tr2bl w:val="nil"/>
            </w:tcBorders>
            <w:vAlign w:val="center"/>
          </w:tcPr>
          <w:p>
            <w:pPr>
              <w:pStyle w:val="93"/>
              <w:bidi w:val="0"/>
              <w:rPr>
                <w:b/>
                <w:bCs/>
              </w:rPr>
            </w:pPr>
            <w:r>
              <w:rPr>
                <w:rFonts w:hint="eastAsia"/>
                <w:b/>
                <w:bCs/>
              </w:rPr>
              <w:t>建筑面积（㎡）</w:t>
            </w:r>
          </w:p>
        </w:tc>
        <w:tc>
          <w:tcPr>
            <w:tcW w:w="451" w:type="pct"/>
            <w:tcBorders>
              <w:tl2br w:val="nil"/>
              <w:tr2bl w:val="nil"/>
            </w:tcBorders>
            <w:vAlign w:val="center"/>
          </w:tcPr>
          <w:p>
            <w:pPr>
              <w:pStyle w:val="93"/>
              <w:bidi w:val="0"/>
              <w:rPr>
                <w:b/>
                <w:bCs/>
              </w:rPr>
            </w:pPr>
            <w:r>
              <w:rPr>
                <w:rFonts w:hint="eastAsia"/>
                <w:b/>
                <w:bCs/>
              </w:rPr>
              <w:t>楼层</w:t>
            </w:r>
          </w:p>
        </w:tc>
        <w:tc>
          <w:tcPr>
            <w:tcW w:w="868" w:type="pct"/>
            <w:tcBorders>
              <w:tl2br w:val="nil"/>
              <w:tr2bl w:val="nil"/>
            </w:tcBorders>
            <w:vAlign w:val="center"/>
          </w:tcPr>
          <w:p>
            <w:pPr>
              <w:pStyle w:val="93"/>
              <w:bidi w:val="0"/>
              <w:rPr>
                <w:b/>
                <w:bCs/>
              </w:rPr>
            </w:pPr>
            <w:r>
              <w:rPr>
                <w:rFonts w:hint="eastAsia"/>
                <w:b/>
                <w:bCs/>
              </w:rPr>
              <w:t>污染产生情况</w:t>
            </w:r>
          </w:p>
        </w:tc>
        <w:tc>
          <w:tcPr>
            <w:tcW w:w="609" w:type="pct"/>
            <w:tcBorders>
              <w:tl2br w:val="nil"/>
              <w:tr2bl w:val="nil"/>
            </w:tcBorders>
            <w:vAlign w:val="center"/>
          </w:tcPr>
          <w:p>
            <w:pPr>
              <w:pStyle w:val="93"/>
              <w:bidi w:val="0"/>
              <w:rPr>
                <w:b/>
                <w:bCs/>
              </w:rPr>
            </w:pPr>
            <w:r>
              <w:rPr>
                <w:rFonts w:hint="eastAsia"/>
                <w:b/>
                <w:bCs/>
              </w:rPr>
              <w:t>备注</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12" w:hRule="atLeast"/>
          <w:jc w:val="center"/>
        </w:trPr>
        <w:tc>
          <w:tcPr>
            <w:tcW w:w="804" w:type="pct"/>
            <w:vMerge w:val="restart"/>
            <w:tcBorders>
              <w:tl2br w:val="nil"/>
              <w:tr2bl w:val="nil"/>
            </w:tcBorders>
            <w:vAlign w:val="center"/>
          </w:tcPr>
          <w:p>
            <w:pPr>
              <w:pStyle w:val="93"/>
              <w:bidi w:val="0"/>
              <w:rPr>
                <w:b/>
                <w:bCs/>
              </w:rPr>
            </w:pPr>
            <w:r>
              <w:rPr>
                <w:b/>
                <w:bCs/>
              </w:rPr>
              <w:t>主体工程</w:t>
            </w:r>
          </w:p>
        </w:tc>
        <w:tc>
          <w:tcPr>
            <w:tcW w:w="1453" w:type="pct"/>
            <w:vMerge w:val="restart"/>
            <w:tcBorders>
              <w:tl2br w:val="nil"/>
              <w:tr2bl w:val="nil"/>
            </w:tcBorders>
            <w:vAlign w:val="center"/>
          </w:tcPr>
          <w:p>
            <w:pPr>
              <w:pStyle w:val="93"/>
              <w:bidi w:val="0"/>
            </w:pPr>
            <w:r>
              <w:rPr>
                <w:rFonts w:hint="eastAsia"/>
              </w:rPr>
              <w:t>一条年加工1000万件上壳盖生产线、一条年加工1000万件下壳盖生产线、一条年加工2000万件消声器生产线、一条年加工2000万件挡板生产线</w:t>
            </w:r>
          </w:p>
        </w:tc>
        <w:tc>
          <w:tcPr>
            <w:tcW w:w="812" w:type="pct"/>
            <w:vMerge w:val="restart"/>
            <w:tcBorders>
              <w:tl2br w:val="nil"/>
              <w:tr2bl w:val="nil"/>
            </w:tcBorders>
            <w:vAlign w:val="center"/>
          </w:tcPr>
          <w:p>
            <w:pPr>
              <w:pStyle w:val="93"/>
              <w:bidi w:val="0"/>
            </w:pPr>
            <w:r>
              <w:rPr>
                <w:rFonts w:hint="eastAsia"/>
              </w:rPr>
              <w:t>4363.9</w:t>
            </w:r>
          </w:p>
        </w:tc>
        <w:tc>
          <w:tcPr>
            <w:tcW w:w="451" w:type="pct"/>
            <w:vMerge w:val="restart"/>
            <w:tcBorders>
              <w:tl2br w:val="nil"/>
              <w:tr2bl w:val="nil"/>
            </w:tcBorders>
            <w:vAlign w:val="center"/>
          </w:tcPr>
          <w:p>
            <w:pPr>
              <w:pStyle w:val="93"/>
              <w:bidi w:val="0"/>
            </w:pPr>
            <w:r>
              <w:rPr>
                <w:rFonts w:hint="eastAsia"/>
              </w:rPr>
              <w:t>1F</w:t>
            </w:r>
          </w:p>
        </w:tc>
        <w:tc>
          <w:tcPr>
            <w:tcW w:w="868" w:type="pct"/>
            <w:vMerge w:val="restart"/>
            <w:tcBorders>
              <w:tl2br w:val="nil"/>
              <w:tr2bl w:val="nil"/>
            </w:tcBorders>
            <w:vAlign w:val="center"/>
          </w:tcPr>
          <w:p>
            <w:pPr>
              <w:pStyle w:val="93"/>
              <w:bidi w:val="0"/>
            </w:pPr>
            <w:r>
              <w:rPr>
                <w:rFonts w:hint="eastAsia"/>
              </w:rPr>
              <w:t>生活污水、生产废气、固体废物</w:t>
            </w:r>
            <w:r>
              <w:rPr>
                <w:rFonts w:hint="eastAsia"/>
                <w:highlight w:val="none"/>
              </w:rPr>
              <w:t>(</w:t>
            </w:r>
            <w:r>
              <w:rPr>
                <w:rFonts w:hint="eastAsia"/>
              </w:rPr>
              <w:t>包含生活垃圾及工业废物）、生产噪声</w:t>
            </w:r>
          </w:p>
        </w:tc>
        <w:tc>
          <w:tcPr>
            <w:tcW w:w="609" w:type="pct"/>
            <w:vMerge w:val="restart"/>
            <w:tcBorders>
              <w:tl2br w:val="nil"/>
              <w:tr2bl w:val="nil"/>
            </w:tcBorders>
            <w:vAlign w:val="center"/>
          </w:tcPr>
          <w:p>
            <w:pPr>
              <w:pStyle w:val="93"/>
              <w:bidi w:val="0"/>
            </w:pPr>
            <w:r>
              <w:rPr>
                <w:rFonts w:hint="eastAsia"/>
              </w:rPr>
              <w:t>租用现有生产厂房</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12" w:hRule="atLeast"/>
          <w:jc w:val="center"/>
        </w:trPr>
        <w:tc>
          <w:tcPr>
            <w:tcW w:w="804" w:type="pct"/>
            <w:vMerge w:val="continue"/>
            <w:tcBorders>
              <w:tl2br w:val="nil"/>
              <w:tr2bl w:val="nil"/>
            </w:tcBorders>
            <w:vAlign w:val="center"/>
          </w:tcPr>
          <w:p>
            <w:pPr>
              <w:pStyle w:val="93"/>
              <w:bidi w:val="0"/>
            </w:pPr>
          </w:p>
        </w:tc>
        <w:tc>
          <w:tcPr>
            <w:tcW w:w="1453" w:type="pct"/>
            <w:vMerge w:val="continue"/>
            <w:tcBorders>
              <w:tl2br w:val="nil"/>
              <w:tr2bl w:val="nil"/>
            </w:tcBorders>
            <w:vAlign w:val="center"/>
          </w:tcPr>
          <w:p>
            <w:pPr>
              <w:pStyle w:val="93"/>
              <w:bidi w:val="0"/>
            </w:pPr>
          </w:p>
        </w:tc>
        <w:tc>
          <w:tcPr>
            <w:tcW w:w="812" w:type="pct"/>
            <w:vMerge w:val="continue"/>
            <w:tcBorders>
              <w:tl2br w:val="nil"/>
              <w:tr2bl w:val="nil"/>
            </w:tcBorders>
            <w:vAlign w:val="center"/>
          </w:tcPr>
          <w:p>
            <w:pPr>
              <w:pStyle w:val="93"/>
              <w:bidi w:val="0"/>
            </w:pPr>
          </w:p>
        </w:tc>
        <w:tc>
          <w:tcPr>
            <w:tcW w:w="451" w:type="pct"/>
            <w:vMerge w:val="continue"/>
            <w:tcBorders>
              <w:tl2br w:val="nil"/>
              <w:tr2bl w:val="nil"/>
            </w:tcBorders>
            <w:vAlign w:val="center"/>
          </w:tcPr>
          <w:p>
            <w:pPr>
              <w:pStyle w:val="93"/>
              <w:bidi w:val="0"/>
            </w:pPr>
          </w:p>
        </w:tc>
        <w:tc>
          <w:tcPr>
            <w:tcW w:w="868" w:type="pct"/>
            <w:vMerge w:val="continue"/>
            <w:tcBorders>
              <w:tl2br w:val="nil"/>
              <w:tr2bl w:val="nil"/>
            </w:tcBorders>
            <w:vAlign w:val="center"/>
          </w:tcPr>
          <w:p>
            <w:pPr>
              <w:pStyle w:val="93"/>
              <w:bidi w:val="0"/>
            </w:pPr>
          </w:p>
        </w:tc>
        <w:tc>
          <w:tcPr>
            <w:tcW w:w="609" w:type="pct"/>
            <w:vMerge w:val="continue"/>
            <w:tcBorders>
              <w:tl2br w:val="nil"/>
              <w:tr2bl w:val="nil"/>
            </w:tcBorders>
            <w:vAlign w:val="center"/>
          </w:tcPr>
          <w:p>
            <w:pPr>
              <w:pStyle w:val="93"/>
              <w:bidi w:val="0"/>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12" w:hRule="atLeast"/>
          <w:jc w:val="center"/>
        </w:trPr>
        <w:tc>
          <w:tcPr>
            <w:tcW w:w="804" w:type="pct"/>
            <w:vMerge w:val="continue"/>
            <w:tcBorders>
              <w:tl2br w:val="nil"/>
              <w:tr2bl w:val="nil"/>
            </w:tcBorders>
            <w:vAlign w:val="center"/>
          </w:tcPr>
          <w:p>
            <w:pPr>
              <w:pStyle w:val="93"/>
              <w:bidi w:val="0"/>
            </w:pPr>
          </w:p>
        </w:tc>
        <w:tc>
          <w:tcPr>
            <w:tcW w:w="1453" w:type="pct"/>
            <w:vMerge w:val="continue"/>
            <w:tcBorders>
              <w:tl2br w:val="nil"/>
              <w:tr2bl w:val="nil"/>
            </w:tcBorders>
            <w:vAlign w:val="center"/>
          </w:tcPr>
          <w:p>
            <w:pPr>
              <w:pStyle w:val="93"/>
              <w:bidi w:val="0"/>
            </w:pPr>
          </w:p>
        </w:tc>
        <w:tc>
          <w:tcPr>
            <w:tcW w:w="812" w:type="pct"/>
            <w:vMerge w:val="continue"/>
            <w:tcBorders>
              <w:tl2br w:val="nil"/>
              <w:tr2bl w:val="nil"/>
            </w:tcBorders>
            <w:vAlign w:val="center"/>
          </w:tcPr>
          <w:p>
            <w:pPr>
              <w:pStyle w:val="93"/>
              <w:bidi w:val="0"/>
            </w:pPr>
          </w:p>
        </w:tc>
        <w:tc>
          <w:tcPr>
            <w:tcW w:w="451" w:type="pct"/>
            <w:vMerge w:val="continue"/>
            <w:tcBorders>
              <w:tl2br w:val="nil"/>
              <w:tr2bl w:val="nil"/>
            </w:tcBorders>
            <w:vAlign w:val="center"/>
          </w:tcPr>
          <w:p>
            <w:pPr>
              <w:pStyle w:val="93"/>
              <w:bidi w:val="0"/>
            </w:pPr>
          </w:p>
        </w:tc>
        <w:tc>
          <w:tcPr>
            <w:tcW w:w="868" w:type="pct"/>
            <w:vMerge w:val="continue"/>
            <w:tcBorders>
              <w:tl2br w:val="nil"/>
              <w:tr2bl w:val="nil"/>
            </w:tcBorders>
            <w:vAlign w:val="center"/>
          </w:tcPr>
          <w:p>
            <w:pPr>
              <w:pStyle w:val="93"/>
              <w:bidi w:val="0"/>
            </w:pPr>
          </w:p>
        </w:tc>
        <w:tc>
          <w:tcPr>
            <w:tcW w:w="609" w:type="pct"/>
            <w:vMerge w:val="continue"/>
            <w:tcBorders>
              <w:tl2br w:val="nil"/>
              <w:tr2bl w:val="nil"/>
            </w:tcBorders>
            <w:vAlign w:val="center"/>
          </w:tcPr>
          <w:p>
            <w:pPr>
              <w:pStyle w:val="93"/>
              <w:bidi w:val="0"/>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tcBorders>
              <w:tl2br w:val="nil"/>
              <w:tr2bl w:val="nil"/>
            </w:tcBorders>
            <w:vAlign w:val="center"/>
          </w:tcPr>
          <w:p>
            <w:pPr>
              <w:pStyle w:val="93"/>
              <w:bidi w:val="0"/>
              <w:rPr>
                <w:b/>
                <w:bCs/>
              </w:rPr>
            </w:pPr>
            <w:r>
              <w:rPr>
                <w:rFonts w:hint="eastAsia"/>
                <w:b/>
                <w:bCs/>
              </w:rPr>
              <w:t>辅助工程</w:t>
            </w:r>
          </w:p>
        </w:tc>
        <w:tc>
          <w:tcPr>
            <w:tcW w:w="1453" w:type="pct"/>
            <w:tcBorders>
              <w:tl2br w:val="nil"/>
              <w:tr2bl w:val="nil"/>
            </w:tcBorders>
            <w:vAlign w:val="center"/>
          </w:tcPr>
          <w:p>
            <w:pPr>
              <w:pStyle w:val="93"/>
              <w:bidi w:val="0"/>
            </w:pPr>
            <w:r>
              <w:rPr>
                <w:rFonts w:hint="eastAsia"/>
              </w:rPr>
              <w:t>办公室</w:t>
            </w:r>
          </w:p>
        </w:tc>
        <w:tc>
          <w:tcPr>
            <w:tcW w:w="812" w:type="pct"/>
            <w:tcBorders>
              <w:tl2br w:val="nil"/>
              <w:tr2bl w:val="nil"/>
            </w:tcBorders>
            <w:vAlign w:val="center"/>
          </w:tcPr>
          <w:p>
            <w:pPr>
              <w:pStyle w:val="93"/>
              <w:bidi w:val="0"/>
            </w:pPr>
            <w:r>
              <w:rPr>
                <w:rFonts w:hint="eastAsia"/>
              </w:rPr>
              <w:t>400</w:t>
            </w:r>
          </w:p>
        </w:tc>
        <w:tc>
          <w:tcPr>
            <w:tcW w:w="451" w:type="pct"/>
            <w:tcBorders>
              <w:tl2br w:val="nil"/>
              <w:tr2bl w:val="nil"/>
            </w:tcBorders>
            <w:vAlign w:val="center"/>
          </w:tcPr>
          <w:p>
            <w:pPr>
              <w:pStyle w:val="93"/>
              <w:bidi w:val="0"/>
            </w:pPr>
            <w:r>
              <w:rPr>
                <w:rFonts w:hint="eastAsia"/>
              </w:rPr>
              <w:t>2F</w:t>
            </w:r>
          </w:p>
        </w:tc>
        <w:tc>
          <w:tcPr>
            <w:tcW w:w="868" w:type="pct"/>
            <w:tcBorders>
              <w:tl2br w:val="nil"/>
              <w:tr2bl w:val="nil"/>
            </w:tcBorders>
            <w:vAlign w:val="center"/>
          </w:tcPr>
          <w:p>
            <w:pPr>
              <w:pStyle w:val="93"/>
              <w:bidi w:val="0"/>
            </w:pPr>
            <w:r>
              <w:rPr>
                <w:rFonts w:hint="eastAsia"/>
              </w:rPr>
              <w:t>/</w:t>
            </w:r>
          </w:p>
        </w:tc>
        <w:tc>
          <w:tcPr>
            <w:tcW w:w="609" w:type="pct"/>
            <w:tcBorders>
              <w:tl2br w:val="nil"/>
              <w:tr2bl w:val="nil"/>
            </w:tcBorders>
            <w:vAlign w:val="center"/>
          </w:tcPr>
          <w:p>
            <w:pPr>
              <w:pStyle w:val="93"/>
              <w:bidi w:val="0"/>
            </w:pPr>
            <w:r>
              <w:rPr>
                <w:rFonts w:hint="eastAsia"/>
              </w:rPr>
              <w:t>依托现有</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restart"/>
            <w:tcBorders>
              <w:tl2br w:val="nil"/>
              <w:tr2bl w:val="nil"/>
            </w:tcBorders>
            <w:vAlign w:val="center"/>
          </w:tcPr>
          <w:p>
            <w:pPr>
              <w:pStyle w:val="93"/>
              <w:bidi w:val="0"/>
              <w:rPr>
                <w:b/>
                <w:bCs/>
              </w:rPr>
            </w:pPr>
            <w:r>
              <w:rPr>
                <w:rFonts w:hint="eastAsia"/>
                <w:b/>
                <w:bCs/>
              </w:rPr>
              <w:t>环保工程</w:t>
            </w:r>
          </w:p>
        </w:tc>
        <w:tc>
          <w:tcPr>
            <w:tcW w:w="1453" w:type="pct"/>
            <w:vMerge w:val="restart"/>
            <w:tcBorders>
              <w:tl2br w:val="nil"/>
              <w:tr2bl w:val="nil"/>
            </w:tcBorders>
            <w:vAlign w:val="center"/>
          </w:tcPr>
          <w:p>
            <w:pPr>
              <w:pStyle w:val="93"/>
              <w:bidi w:val="0"/>
            </w:pPr>
            <w:r>
              <w:rPr>
                <w:rFonts w:hint="eastAsia"/>
              </w:rPr>
              <w:t>污水处理</w:t>
            </w:r>
          </w:p>
        </w:tc>
        <w:tc>
          <w:tcPr>
            <w:tcW w:w="2132" w:type="pct"/>
            <w:gridSpan w:val="3"/>
            <w:tcBorders>
              <w:tl2br w:val="nil"/>
              <w:tr2bl w:val="nil"/>
            </w:tcBorders>
            <w:vAlign w:val="center"/>
          </w:tcPr>
          <w:p>
            <w:pPr>
              <w:pStyle w:val="93"/>
              <w:bidi w:val="0"/>
            </w:pPr>
            <w:r>
              <w:rPr>
                <w:rFonts w:hint="eastAsia"/>
              </w:rPr>
              <w:t>化粪池</w:t>
            </w:r>
          </w:p>
        </w:tc>
        <w:tc>
          <w:tcPr>
            <w:tcW w:w="609" w:type="pct"/>
            <w:tcBorders>
              <w:tl2br w:val="nil"/>
              <w:tr2bl w:val="nil"/>
            </w:tcBorders>
            <w:vAlign w:val="center"/>
          </w:tcPr>
          <w:p>
            <w:pPr>
              <w:pStyle w:val="93"/>
              <w:bidi w:val="0"/>
            </w:pPr>
            <w:r>
              <w:rPr>
                <w:rFonts w:hint="eastAsia"/>
              </w:rPr>
              <w:t>依托现有</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continue"/>
            <w:tcBorders>
              <w:tl2br w:val="nil"/>
              <w:tr2bl w:val="nil"/>
            </w:tcBorders>
            <w:vAlign w:val="center"/>
          </w:tcPr>
          <w:p>
            <w:pPr>
              <w:pStyle w:val="93"/>
              <w:bidi w:val="0"/>
              <w:rPr>
                <w:b/>
                <w:bCs/>
              </w:rPr>
            </w:pPr>
          </w:p>
        </w:tc>
        <w:tc>
          <w:tcPr>
            <w:tcW w:w="1453" w:type="pct"/>
            <w:vMerge w:val="continue"/>
            <w:tcBorders>
              <w:tl2br w:val="nil"/>
              <w:tr2bl w:val="nil"/>
            </w:tcBorders>
            <w:vAlign w:val="center"/>
          </w:tcPr>
          <w:p>
            <w:pPr>
              <w:pStyle w:val="93"/>
              <w:bidi w:val="0"/>
            </w:pPr>
          </w:p>
        </w:tc>
        <w:tc>
          <w:tcPr>
            <w:tcW w:w="2132" w:type="pct"/>
            <w:gridSpan w:val="3"/>
            <w:tcBorders>
              <w:tl2br w:val="nil"/>
              <w:tr2bl w:val="nil"/>
            </w:tcBorders>
            <w:vAlign w:val="center"/>
          </w:tcPr>
          <w:p>
            <w:pPr>
              <w:pStyle w:val="93"/>
              <w:bidi w:val="0"/>
            </w:pPr>
            <w:r>
              <w:rPr>
                <w:rFonts w:hint="eastAsia"/>
              </w:rPr>
              <w:t>1m³/h污水处理站（隔油池+气浮+生物氧化）</w:t>
            </w:r>
          </w:p>
        </w:tc>
        <w:tc>
          <w:tcPr>
            <w:tcW w:w="609" w:type="pct"/>
            <w:tcBorders>
              <w:tl2br w:val="nil"/>
              <w:tr2bl w:val="nil"/>
            </w:tcBorders>
            <w:vAlign w:val="center"/>
          </w:tcPr>
          <w:p>
            <w:pPr>
              <w:pStyle w:val="93"/>
              <w:bidi w:val="0"/>
            </w:pPr>
            <w:r>
              <w:rPr>
                <w:rFonts w:hint="eastAsia"/>
              </w:rPr>
              <w:t>新建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continue"/>
            <w:tcBorders>
              <w:tl2br w:val="nil"/>
              <w:tr2bl w:val="nil"/>
            </w:tcBorders>
            <w:vAlign w:val="center"/>
          </w:tcPr>
          <w:p>
            <w:pPr>
              <w:pStyle w:val="93"/>
              <w:bidi w:val="0"/>
              <w:rPr>
                <w:b/>
                <w:bCs/>
              </w:rPr>
            </w:pPr>
          </w:p>
        </w:tc>
        <w:tc>
          <w:tcPr>
            <w:tcW w:w="1453" w:type="pct"/>
            <w:tcBorders>
              <w:tl2br w:val="nil"/>
              <w:tr2bl w:val="nil"/>
            </w:tcBorders>
            <w:vAlign w:val="center"/>
          </w:tcPr>
          <w:p>
            <w:pPr>
              <w:pStyle w:val="93"/>
              <w:bidi w:val="0"/>
            </w:pPr>
            <w:r>
              <w:rPr>
                <w:rFonts w:hint="eastAsia"/>
              </w:rPr>
              <w:t>废气处理</w:t>
            </w:r>
          </w:p>
        </w:tc>
        <w:tc>
          <w:tcPr>
            <w:tcW w:w="2132" w:type="pct"/>
            <w:gridSpan w:val="3"/>
            <w:tcBorders>
              <w:tl2br w:val="nil"/>
              <w:tr2bl w:val="nil"/>
            </w:tcBorders>
            <w:vAlign w:val="center"/>
          </w:tcPr>
          <w:p>
            <w:pPr>
              <w:pStyle w:val="93"/>
              <w:bidi w:val="0"/>
            </w:pPr>
            <w:r>
              <w:rPr>
                <w:rFonts w:hint="eastAsia"/>
              </w:rPr>
              <w:t>排风扇</w:t>
            </w:r>
          </w:p>
        </w:tc>
        <w:tc>
          <w:tcPr>
            <w:tcW w:w="609" w:type="pct"/>
            <w:tcBorders>
              <w:tl2br w:val="nil"/>
              <w:tr2bl w:val="nil"/>
            </w:tcBorders>
            <w:vAlign w:val="center"/>
          </w:tcPr>
          <w:p>
            <w:pPr>
              <w:pStyle w:val="93"/>
              <w:bidi w:val="0"/>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continue"/>
            <w:tcBorders>
              <w:tl2br w:val="nil"/>
              <w:tr2bl w:val="nil"/>
            </w:tcBorders>
            <w:vAlign w:val="center"/>
          </w:tcPr>
          <w:p>
            <w:pPr>
              <w:pStyle w:val="93"/>
              <w:bidi w:val="0"/>
              <w:rPr>
                <w:b/>
                <w:bCs/>
              </w:rPr>
            </w:pPr>
          </w:p>
        </w:tc>
        <w:tc>
          <w:tcPr>
            <w:tcW w:w="1453" w:type="pct"/>
            <w:vMerge w:val="restart"/>
            <w:tcBorders>
              <w:tl2br w:val="nil"/>
              <w:tr2bl w:val="nil"/>
            </w:tcBorders>
            <w:vAlign w:val="center"/>
          </w:tcPr>
          <w:p>
            <w:pPr>
              <w:pStyle w:val="93"/>
              <w:bidi w:val="0"/>
            </w:pPr>
            <w:r>
              <w:rPr>
                <w:rFonts w:hint="eastAsia"/>
              </w:rPr>
              <w:t>固废处理</w:t>
            </w:r>
          </w:p>
        </w:tc>
        <w:tc>
          <w:tcPr>
            <w:tcW w:w="2132" w:type="pct"/>
            <w:gridSpan w:val="3"/>
            <w:tcBorders>
              <w:tl2br w:val="nil"/>
              <w:tr2bl w:val="nil"/>
            </w:tcBorders>
            <w:vAlign w:val="center"/>
          </w:tcPr>
          <w:p>
            <w:pPr>
              <w:pStyle w:val="93"/>
              <w:bidi w:val="0"/>
            </w:pPr>
            <w:r>
              <w:rPr>
                <w:rFonts w:hint="eastAsia"/>
              </w:rPr>
              <w:t>一般工业固废暂存库</w:t>
            </w:r>
          </w:p>
          <w:p>
            <w:pPr>
              <w:pStyle w:val="93"/>
              <w:bidi w:val="0"/>
            </w:pPr>
            <w:r>
              <w:rPr>
                <w:rFonts w:hint="eastAsia"/>
              </w:rPr>
              <w:t>（占地面积30㎡，最大储存量20t）</w:t>
            </w:r>
          </w:p>
        </w:tc>
        <w:tc>
          <w:tcPr>
            <w:tcW w:w="609" w:type="pct"/>
            <w:tcBorders>
              <w:tl2br w:val="nil"/>
              <w:tr2bl w:val="nil"/>
            </w:tcBorders>
            <w:vAlign w:val="center"/>
          </w:tcPr>
          <w:p>
            <w:pPr>
              <w:pStyle w:val="93"/>
              <w:bidi w:val="0"/>
            </w:pPr>
            <w:r>
              <w:rPr>
                <w:rFonts w:hint="eastAsia"/>
              </w:rPr>
              <w:t>新建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continue"/>
            <w:tcBorders>
              <w:tl2br w:val="nil"/>
              <w:tr2bl w:val="nil"/>
            </w:tcBorders>
            <w:vAlign w:val="center"/>
          </w:tcPr>
          <w:p>
            <w:pPr>
              <w:pStyle w:val="93"/>
              <w:bidi w:val="0"/>
              <w:rPr>
                <w:b/>
                <w:bCs/>
              </w:rPr>
            </w:pPr>
          </w:p>
        </w:tc>
        <w:tc>
          <w:tcPr>
            <w:tcW w:w="1453" w:type="pct"/>
            <w:vMerge w:val="continue"/>
            <w:tcBorders>
              <w:tl2br w:val="nil"/>
              <w:tr2bl w:val="nil"/>
            </w:tcBorders>
            <w:vAlign w:val="center"/>
          </w:tcPr>
          <w:p>
            <w:pPr>
              <w:pStyle w:val="93"/>
              <w:bidi w:val="0"/>
            </w:pPr>
          </w:p>
        </w:tc>
        <w:tc>
          <w:tcPr>
            <w:tcW w:w="2132" w:type="pct"/>
            <w:gridSpan w:val="3"/>
            <w:tcBorders>
              <w:tl2br w:val="nil"/>
              <w:tr2bl w:val="nil"/>
            </w:tcBorders>
            <w:vAlign w:val="center"/>
          </w:tcPr>
          <w:p>
            <w:pPr>
              <w:pStyle w:val="93"/>
              <w:bidi w:val="0"/>
            </w:pPr>
            <w:r>
              <w:rPr>
                <w:rFonts w:hint="eastAsia"/>
              </w:rPr>
              <w:t>危废暂存库（占地面积10㎡，最大储存量5t）</w:t>
            </w:r>
          </w:p>
        </w:tc>
        <w:tc>
          <w:tcPr>
            <w:tcW w:w="609" w:type="pct"/>
            <w:tcBorders>
              <w:tl2br w:val="nil"/>
              <w:tr2bl w:val="nil"/>
            </w:tcBorders>
            <w:vAlign w:val="center"/>
          </w:tcPr>
          <w:p>
            <w:pPr>
              <w:pStyle w:val="93"/>
              <w:bidi w:val="0"/>
            </w:pPr>
            <w:r>
              <w:rPr>
                <w:rFonts w:hint="eastAsia"/>
              </w:rPr>
              <w:t>新建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continue"/>
            <w:tcBorders>
              <w:tl2br w:val="nil"/>
              <w:tr2bl w:val="nil"/>
            </w:tcBorders>
            <w:vAlign w:val="center"/>
          </w:tcPr>
          <w:p>
            <w:pPr>
              <w:pStyle w:val="93"/>
              <w:bidi w:val="0"/>
              <w:rPr>
                <w:b/>
                <w:bCs/>
              </w:rPr>
            </w:pPr>
          </w:p>
        </w:tc>
        <w:tc>
          <w:tcPr>
            <w:tcW w:w="1453" w:type="pct"/>
            <w:tcBorders>
              <w:tl2br w:val="nil"/>
              <w:tr2bl w:val="nil"/>
            </w:tcBorders>
            <w:vAlign w:val="center"/>
          </w:tcPr>
          <w:p>
            <w:pPr>
              <w:pStyle w:val="93"/>
              <w:bidi w:val="0"/>
            </w:pPr>
            <w:r>
              <w:rPr>
                <w:rFonts w:hint="eastAsia"/>
              </w:rPr>
              <w:t>供水</w:t>
            </w:r>
          </w:p>
        </w:tc>
        <w:tc>
          <w:tcPr>
            <w:tcW w:w="2132" w:type="pct"/>
            <w:gridSpan w:val="3"/>
            <w:tcBorders>
              <w:tl2br w:val="nil"/>
              <w:tr2bl w:val="nil"/>
            </w:tcBorders>
            <w:vAlign w:val="center"/>
          </w:tcPr>
          <w:p>
            <w:pPr>
              <w:pStyle w:val="93"/>
              <w:bidi w:val="0"/>
            </w:pPr>
            <w:r>
              <w:rPr>
                <w:rFonts w:hint="eastAsia"/>
              </w:rPr>
              <w:t>市政供给</w:t>
            </w:r>
          </w:p>
        </w:tc>
        <w:tc>
          <w:tcPr>
            <w:tcW w:w="609" w:type="pct"/>
            <w:tcBorders>
              <w:tl2br w:val="nil"/>
              <w:tr2bl w:val="nil"/>
            </w:tcBorders>
            <w:vAlign w:val="center"/>
          </w:tcPr>
          <w:p>
            <w:pPr>
              <w:pStyle w:val="93"/>
              <w:bidi w:val="0"/>
            </w:pPr>
            <w:r>
              <w:rPr>
                <w:rFonts w:hint="eastAsia"/>
              </w:rPr>
              <w:t>依托现有</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restart"/>
            <w:tcBorders>
              <w:tl2br w:val="nil"/>
              <w:tr2bl w:val="nil"/>
            </w:tcBorders>
            <w:vAlign w:val="center"/>
          </w:tcPr>
          <w:p>
            <w:pPr>
              <w:pStyle w:val="93"/>
              <w:bidi w:val="0"/>
              <w:rPr>
                <w:b/>
                <w:bCs/>
              </w:rPr>
            </w:pPr>
            <w:r>
              <w:rPr>
                <w:rFonts w:hint="eastAsia"/>
                <w:b/>
                <w:bCs/>
              </w:rPr>
              <w:t>公用工程</w:t>
            </w:r>
          </w:p>
        </w:tc>
        <w:tc>
          <w:tcPr>
            <w:tcW w:w="1453" w:type="pct"/>
            <w:tcBorders>
              <w:tl2br w:val="nil"/>
              <w:tr2bl w:val="nil"/>
            </w:tcBorders>
            <w:vAlign w:val="center"/>
          </w:tcPr>
          <w:p>
            <w:pPr>
              <w:pStyle w:val="93"/>
              <w:bidi w:val="0"/>
            </w:pPr>
            <w:r>
              <w:rPr>
                <w:rFonts w:hint="eastAsia"/>
              </w:rPr>
              <w:t>供电</w:t>
            </w:r>
          </w:p>
        </w:tc>
        <w:tc>
          <w:tcPr>
            <w:tcW w:w="2132" w:type="pct"/>
            <w:gridSpan w:val="3"/>
            <w:tcBorders>
              <w:tl2br w:val="nil"/>
              <w:tr2bl w:val="nil"/>
            </w:tcBorders>
            <w:vAlign w:val="center"/>
          </w:tcPr>
          <w:p>
            <w:pPr>
              <w:pStyle w:val="93"/>
              <w:bidi w:val="0"/>
            </w:pPr>
            <w:r>
              <w:rPr>
                <w:rFonts w:hint="eastAsia"/>
              </w:rPr>
              <w:t>市政供给</w:t>
            </w:r>
          </w:p>
        </w:tc>
        <w:tc>
          <w:tcPr>
            <w:tcW w:w="609" w:type="pct"/>
            <w:tcBorders>
              <w:tl2br w:val="nil"/>
              <w:tr2bl w:val="nil"/>
            </w:tcBorders>
            <w:vAlign w:val="center"/>
          </w:tcPr>
          <w:p>
            <w:pPr>
              <w:pStyle w:val="93"/>
              <w:bidi w:val="0"/>
            </w:pPr>
            <w:r>
              <w:rPr>
                <w:rFonts w:hint="eastAsia"/>
              </w:rPr>
              <w:t>依托现有</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69" w:hRule="atLeast"/>
          <w:jc w:val="center"/>
        </w:trPr>
        <w:tc>
          <w:tcPr>
            <w:tcW w:w="804" w:type="pct"/>
            <w:vMerge w:val="continue"/>
            <w:tcBorders>
              <w:tl2br w:val="nil"/>
              <w:tr2bl w:val="nil"/>
            </w:tcBorders>
            <w:vAlign w:val="center"/>
          </w:tcPr>
          <w:p>
            <w:pPr>
              <w:pStyle w:val="93"/>
              <w:bidi w:val="0"/>
            </w:pPr>
          </w:p>
        </w:tc>
        <w:tc>
          <w:tcPr>
            <w:tcW w:w="1453" w:type="pct"/>
            <w:tcBorders>
              <w:tl2br w:val="nil"/>
              <w:tr2bl w:val="nil"/>
            </w:tcBorders>
            <w:vAlign w:val="center"/>
          </w:tcPr>
          <w:p>
            <w:pPr>
              <w:pStyle w:val="93"/>
              <w:bidi w:val="0"/>
            </w:pPr>
            <w:r>
              <w:rPr>
                <w:rFonts w:hint="eastAsia"/>
              </w:rPr>
              <w:t>排水</w:t>
            </w:r>
          </w:p>
        </w:tc>
        <w:tc>
          <w:tcPr>
            <w:tcW w:w="2132" w:type="pct"/>
            <w:gridSpan w:val="3"/>
            <w:tcBorders>
              <w:tl2br w:val="nil"/>
              <w:tr2bl w:val="nil"/>
            </w:tcBorders>
            <w:vAlign w:val="center"/>
          </w:tcPr>
          <w:p>
            <w:pPr>
              <w:pStyle w:val="93"/>
              <w:bidi w:val="0"/>
            </w:pPr>
            <w:r>
              <w:rPr>
                <w:rFonts w:hint="eastAsia"/>
              </w:rPr>
              <w:t>雨污分流，雨水排入市政雨水管网，本项目生活污水经化粪池预处理后与经自建污水处理站处理达标后的生产废水分别排入白水湖污水处理厂进一步处理</w:t>
            </w:r>
          </w:p>
        </w:tc>
        <w:tc>
          <w:tcPr>
            <w:tcW w:w="609" w:type="pct"/>
            <w:tcBorders>
              <w:tl2br w:val="nil"/>
              <w:tr2bl w:val="nil"/>
            </w:tcBorders>
            <w:vAlign w:val="center"/>
          </w:tcPr>
          <w:p>
            <w:pPr>
              <w:pStyle w:val="93"/>
              <w:bidi w:val="0"/>
            </w:pPr>
            <w:r>
              <w:rPr>
                <w:rFonts w:hint="eastAsia"/>
              </w:rPr>
              <w:t>依托现有</w:t>
            </w:r>
          </w:p>
        </w:tc>
      </w:tr>
    </w:tbl>
    <w:p>
      <w:pPr>
        <w:pStyle w:val="5"/>
        <w:bidi w:val="0"/>
      </w:pPr>
      <w:bookmarkStart w:id="99" w:name="_Toc12794"/>
      <w:bookmarkStart w:id="100" w:name="_Toc6229_WPSOffice_Level1"/>
      <w:bookmarkStart w:id="101" w:name="_Toc25439"/>
      <w:bookmarkStart w:id="102" w:name="_Toc21643"/>
      <w:bookmarkStart w:id="103" w:name="_Toc3134"/>
      <w:bookmarkStart w:id="104" w:name="_Toc25022"/>
      <w:bookmarkStart w:id="105" w:name="_Toc19959"/>
      <w:bookmarkStart w:id="106" w:name="_Toc37600022"/>
      <w:r>
        <w:rPr>
          <w:rFonts w:hint="eastAsia"/>
          <w:lang w:val="en-US" w:eastAsia="zh-CN"/>
        </w:rPr>
        <w:t xml:space="preserve">2.3 </w:t>
      </w:r>
      <w:r>
        <w:rPr>
          <w:rFonts w:hint="eastAsia"/>
        </w:rPr>
        <w:t>主要设备情况</w:t>
      </w:r>
      <w:bookmarkEnd w:id="99"/>
      <w:bookmarkEnd w:id="100"/>
      <w:bookmarkEnd w:id="101"/>
      <w:bookmarkEnd w:id="102"/>
      <w:bookmarkEnd w:id="103"/>
      <w:bookmarkEnd w:id="104"/>
      <w:bookmarkEnd w:id="105"/>
      <w:bookmarkEnd w:id="106"/>
    </w:p>
    <w:p>
      <w:pPr>
        <w:pStyle w:val="90"/>
        <w:ind w:firstLine="480"/>
      </w:pPr>
      <w:r>
        <w:rPr>
          <w:rFonts w:hint="eastAsia"/>
        </w:rPr>
        <w:t>公司建立了完善的设备检修制度，定期对公司设备进行巡查、检修，并做好相关记录，确保设备正常运转，有力保证了生产，确保产品产量和质量的稳定。公司主要设备情况见表</w:t>
      </w:r>
      <w:r>
        <w:t>2.3-1</w:t>
      </w:r>
      <w:r>
        <w:rPr>
          <w:rFonts w:hint="eastAsia"/>
        </w:rPr>
        <w:t>。</w:t>
      </w:r>
    </w:p>
    <w:p>
      <w:pPr>
        <w:pStyle w:val="82"/>
        <w:spacing w:before="163"/>
      </w:pPr>
      <w:r>
        <w:t>表2.</w:t>
      </w:r>
      <w:r>
        <w:rPr>
          <w:rFonts w:hint="eastAsia"/>
        </w:rPr>
        <w:t>3-1</w:t>
      </w:r>
      <w:r>
        <w:t xml:space="preserve"> 主要设备及数量</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832"/>
        <w:gridCol w:w="2220"/>
        <w:gridCol w:w="2069"/>
        <w:gridCol w:w="1430"/>
        <w:gridCol w:w="2165"/>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bottom w:val="single" w:color="auto" w:sz="12" w:space="0"/>
            </w:tcBorders>
            <w:vAlign w:val="center"/>
          </w:tcPr>
          <w:p>
            <w:pPr>
              <w:pStyle w:val="93"/>
              <w:bidi w:val="0"/>
              <w:rPr>
                <w:b/>
                <w:bCs/>
              </w:rPr>
            </w:pPr>
            <w:r>
              <w:rPr>
                <w:b/>
                <w:bCs/>
              </w:rPr>
              <w:t>序号</w:t>
            </w:r>
          </w:p>
        </w:tc>
        <w:tc>
          <w:tcPr>
            <w:tcW w:w="1273" w:type="pct"/>
            <w:tcBorders>
              <w:bottom w:val="single" w:color="auto" w:sz="12" w:space="0"/>
            </w:tcBorders>
            <w:vAlign w:val="center"/>
          </w:tcPr>
          <w:p>
            <w:pPr>
              <w:pStyle w:val="93"/>
              <w:bidi w:val="0"/>
              <w:rPr>
                <w:b/>
                <w:bCs/>
              </w:rPr>
            </w:pPr>
            <w:r>
              <w:rPr>
                <w:b/>
                <w:bCs/>
              </w:rPr>
              <w:t>设备名称</w:t>
            </w:r>
          </w:p>
        </w:tc>
        <w:tc>
          <w:tcPr>
            <w:tcW w:w="1186" w:type="pct"/>
            <w:tcBorders>
              <w:bottom w:val="single" w:color="auto" w:sz="12" w:space="0"/>
            </w:tcBorders>
            <w:vAlign w:val="center"/>
          </w:tcPr>
          <w:p>
            <w:pPr>
              <w:pStyle w:val="93"/>
              <w:bidi w:val="0"/>
              <w:rPr>
                <w:b/>
                <w:bCs/>
              </w:rPr>
            </w:pPr>
            <w:r>
              <w:rPr>
                <w:rFonts w:hint="eastAsia"/>
                <w:b/>
                <w:bCs/>
              </w:rPr>
              <w:t>型号</w:t>
            </w:r>
          </w:p>
        </w:tc>
        <w:tc>
          <w:tcPr>
            <w:tcW w:w="820" w:type="pct"/>
            <w:tcBorders>
              <w:bottom w:val="single" w:color="auto" w:sz="12" w:space="0"/>
            </w:tcBorders>
            <w:vAlign w:val="center"/>
          </w:tcPr>
          <w:p>
            <w:pPr>
              <w:pStyle w:val="93"/>
              <w:bidi w:val="0"/>
              <w:rPr>
                <w:b/>
                <w:bCs/>
              </w:rPr>
            </w:pPr>
            <w:r>
              <w:rPr>
                <w:b/>
                <w:bCs/>
              </w:rPr>
              <w:t>数量</w:t>
            </w:r>
            <w:r>
              <w:rPr>
                <w:b/>
                <w:bCs/>
                <w:highlight w:val="none"/>
              </w:rPr>
              <w:t>(</w:t>
            </w:r>
            <w:r>
              <w:rPr>
                <w:b/>
                <w:bCs/>
              </w:rPr>
              <w:t>台/套</w:t>
            </w:r>
            <w:r>
              <w:rPr>
                <w:b/>
                <w:bCs/>
                <w:highlight w:val="none"/>
              </w:rPr>
              <w:t>)</w:t>
            </w:r>
          </w:p>
        </w:tc>
        <w:tc>
          <w:tcPr>
            <w:tcW w:w="1241" w:type="pct"/>
            <w:tcBorders>
              <w:bottom w:val="single" w:color="auto" w:sz="12" w:space="0"/>
            </w:tcBorders>
            <w:vAlign w:val="center"/>
          </w:tcPr>
          <w:p>
            <w:pPr>
              <w:pStyle w:val="93"/>
              <w:bidi w:val="0"/>
              <w:rPr>
                <w:b/>
                <w:bCs/>
              </w:rPr>
            </w:pPr>
            <w:r>
              <w:rPr>
                <w:b/>
                <w:bCs/>
              </w:rPr>
              <w:t>放置位置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op w:val="single" w:color="auto" w:sz="12" w:space="0"/>
              <w:tl2br w:val="nil"/>
              <w:tr2bl w:val="nil"/>
            </w:tcBorders>
            <w:vAlign w:val="center"/>
          </w:tcPr>
          <w:p>
            <w:pPr>
              <w:pStyle w:val="93"/>
              <w:bidi w:val="0"/>
            </w:pPr>
            <w:r>
              <w:rPr>
                <w:rFonts w:hint="eastAsia"/>
              </w:rPr>
              <w:t>1</w:t>
            </w:r>
          </w:p>
        </w:tc>
        <w:tc>
          <w:tcPr>
            <w:tcW w:w="1273" w:type="pct"/>
            <w:tcBorders>
              <w:top w:val="single" w:color="auto" w:sz="12" w:space="0"/>
              <w:tl2br w:val="nil"/>
              <w:tr2bl w:val="nil"/>
            </w:tcBorders>
            <w:vAlign w:val="center"/>
          </w:tcPr>
          <w:p>
            <w:pPr>
              <w:pStyle w:val="93"/>
              <w:bidi w:val="0"/>
            </w:pPr>
            <w:r>
              <w:rPr>
                <w:rFonts w:hint="eastAsia"/>
              </w:rPr>
              <w:t>数控机床</w:t>
            </w:r>
          </w:p>
        </w:tc>
        <w:tc>
          <w:tcPr>
            <w:tcW w:w="1186" w:type="pct"/>
            <w:tcBorders>
              <w:top w:val="single" w:color="auto" w:sz="12" w:space="0"/>
              <w:tl2br w:val="nil"/>
              <w:tr2bl w:val="nil"/>
            </w:tcBorders>
            <w:vAlign w:val="center"/>
          </w:tcPr>
          <w:p>
            <w:pPr>
              <w:pStyle w:val="93"/>
              <w:bidi w:val="0"/>
            </w:pPr>
            <w:r>
              <w:t>/</w:t>
            </w:r>
          </w:p>
        </w:tc>
        <w:tc>
          <w:tcPr>
            <w:tcW w:w="820" w:type="pct"/>
            <w:tcBorders>
              <w:top w:val="single" w:color="auto" w:sz="12" w:space="0"/>
              <w:tl2br w:val="nil"/>
              <w:tr2bl w:val="nil"/>
            </w:tcBorders>
            <w:vAlign w:val="center"/>
          </w:tcPr>
          <w:p>
            <w:pPr>
              <w:pStyle w:val="93"/>
              <w:bidi w:val="0"/>
            </w:pPr>
            <w:r>
              <w:t>1</w:t>
            </w:r>
            <w:r>
              <w:rPr>
                <w:rFonts w:hint="eastAsia"/>
              </w:rPr>
              <w:t>3</w:t>
            </w:r>
            <w:r>
              <w:t>套</w:t>
            </w:r>
          </w:p>
        </w:tc>
        <w:tc>
          <w:tcPr>
            <w:tcW w:w="1241" w:type="pct"/>
            <w:tcBorders>
              <w:top w:val="single" w:color="auto" w:sz="12" w:space="0"/>
              <w:tl2br w:val="nil"/>
              <w:tr2bl w:val="nil"/>
            </w:tcBorders>
            <w:vAlign w:val="center"/>
          </w:tcPr>
          <w:p>
            <w:pPr>
              <w:pStyle w:val="93"/>
              <w:bidi w:val="0"/>
            </w:pPr>
            <w:r>
              <w:rPr>
                <w:rFonts w:hint="eastAsia"/>
              </w:rPr>
              <w:t>冲压、车削工序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2</w:t>
            </w:r>
          </w:p>
        </w:tc>
        <w:tc>
          <w:tcPr>
            <w:tcW w:w="1273" w:type="pct"/>
            <w:tcBorders>
              <w:tl2br w:val="nil"/>
              <w:tr2bl w:val="nil"/>
            </w:tcBorders>
            <w:vAlign w:val="center"/>
          </w:tcPr>
          <w:p>
            <w:pPr>
              <w:pStyle w:val="93"/>
              <w:bidi w:val="0"/>
            </w:pPr>
            <w:r>
              <w:rPr>
                <w:rFonts w:hint="eastAsia"/>
              </w:rPr>
              <w:t>冲床</w:t>
            </w:r>
          </w:p>
        </w:tc>
        <w:tc>
          <w:tcPr>
            <w:tcW w:w="1186" w:type="pct"/>
            <w:tcBorders>
              <w:tl2br w:val="nil"/>
              <w:tr2bl w:val="nil"/>
            </w:tcBorders>
            <w:vAlign w:val="center"/>
          </w:tcPr>
          <w:p>
            <w:pPr>
              <w:pStyle w:val="93"/>
              <w:bidi w:val="0"/>
            </w:pPr>
            <w:r>
              <w:t>/</w:t>
            </w:r>
          </w:p>
        </w:tc>
        <w:tc>
          <w:tcPr>
            <w:tcW w:w="820" w:type="pct"/>
            <w:tcBorders>
              <w:tl2br w:val="nil"/>
              <w:tr2bl w:val="nil"/>
            </w:tcBorders>
            <w:vAlign w:val="center"/>
          </w:tcPr>
          <w:p>
            <w:pPr>
              <w:pStyle w:val="93"/>
              <w:bidi w:val="0"/>
            </w:pPr>
            <w:r>
              <w:rPr>
                <w:rFonts w:hint="eastAsia"/>
              </w:rPr>
              <w:t>3</w:t>
            </w:r>
            <w:r>
              <w:t>套</w:t>
            </w:r>
          </w:p>
        </w:tc>
        <w:tc>
          <w:tcPr>
            <w:tcW w:w="1241" w:type="pct"/>
            <w:tcBorders>
              <w:tl2br w:val="nil"/>
              <w:tr2bl w:val="nil"/>
            </w:tcBorders>
            <w:vAlign w:val="center"/>
          </w:tcPr>
          <w:p>
            <w:pPr>
              <w:pStyle w:val="93"/>
              <w:bidi w:val="0"/>
            </w:pPr>
            <w:r>
              <w:rPr>
                <w:rFonts w:hint="eastAsia"/>
              </w:rPr>
              <w:t>冲压工序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3</w:t>
            </w:r>
          </w:p>
        </w:tc>
        <w:tc>
          <w:tcPr>
            <w:tcW w:w="1273" w:type="pct"/>
            <w:tcBorders>
              <w:tl2br w:val="nil"/>
              <w:tr2bl w:val="nil"/>
            </w:tcBorders>
            <w:vAlign w:val="center"/>
          </w:tcPr>
          <w:p>
            <w:pPr>
              <w:pStyle w:val="93"/>
              <w:bidi w:val="0"/>
            </w:pPr>
            <w:r>
              <w:rPr>
                <w:rFonts w:hint="eastAsia"/>
              </w:rPr>
              <w:t>切割机</w:t>
            </w:r>
          </w:p>
        </w:tc>
        <w:tc>
          <w:tcPr>
            <w:tcW w:w="1186" w:type="pct"/>
            <w:tcBorders>
              <w:tl2br w:val="nil"/>
              <w:tr2bl w:val="nil"/>
            </w:tcBorders>
            <w:vAlign w:val="center"/>
          </w:tcPr>
          <w:p>
            <w:pPr>
              <w:pStyle w:val="93"/>
              <w:bidi w:val="0"/>
            </w:pPr>
            <w:r>
              <w:t>/</w:t>
            </w:r>
          </w:p>
        </w:tc>
        <w:tc>
          <w:tcPr>
            <w:tcW w:w="820" w:type="pct"/>
            <w:tcBorders>
              <w:tl2br w:val="nil"/>
              <w:tr2bl w:val="nil"/>
            </w:tcBorders>
            <w:vAlign w:val="center"/>
          </w:tcPr>
          <w:p>
            <w:pPr>
              <w:pStyle w:val="93"/>
              <w:bidi w:val="0"/>
            </w:pPr>
            <w:r>
              <w:rPr>
                <w:rFonts w:hint="eastAsia"/>
              </w:rPr>
              <w:t>2套</w:t>
            </w:r>
          </w:p>
        </w:tc>
        <w:tc>
          <w:tcPr>
            <w:tcW w:w="1241" w:type="pct"/>
            <w:tcBorders>
              <w:tl2br w:val="nil"/>
              <w:tr2bl w:val="nil"/>
            </w:tcBorders>
            <w:vAlign w:val="center"/>
          </w:tcPr>
          <w:p>
            <w:pPr>
              <w:pStyle w:val="93"/>
              <w:bidi w:val="0"/>
            </w:pPr>
            <w:r>
              <w:rPr>
                <w:rFonts w:hint="eastAsia"/>
              </w:rPr>
              <w:t>车削工序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4</w:t>
            </w:r>
          </w:p>
        </w:tc>
        <w:tc>
          <w:tcPr>
            <w:tcW w:w="1273" w:type="pct"/>
            <w:tcBorders>
              <w:tl2br w:val="nil"/>
              <w:tr2bl w:val="nil"/>
            </w:tcBorders>
            <w:vAlign w:val="center"/>
          </w:tcPr>
          <w:p>
            <w:pPr>
              <w:pStyle w:val="93"/>
              <w:bidi w:val="0"/>
            </w:pPr>
            <w:r>
              <w:rPr>
                <w:rFonts w:hint="eastAsia"/>
              </w:rPr>
              <w:t>压力机</w:t>
            </w:r>
          </w:p>
        </w:tc>
        <w:tc>
          <w:tcPr>
            <w:tcW w:w="1186" w:type="pct"/>
            <w:tcBorders>
              <w:tl2br w:val="nil"/>
              <w:tr2bl w:val="nil"/>
            </w:tcBorders>
            <w:vAlign w:val="center"/>
          </w:tcPr>
          <w:p>
            <w:pPr>
              <w:pStyle w:val="93"/>
              <w:bidi w:val="0"/>
            </w:pPr>
            <w:r>
              <w:t>/</w:t>
            </w:r>
          </w:p>
        </w:tc>
        <w:tc>
          <w:tcPr>
            <w:tcW w:w="820" w:type="pct"/>
            <w:tcBorders>
              <w:tl2br w:val="nil"/>
              <w:tr2bl w:val="nil"/>
            </w:tcBorders>
            <w:vAlign w:val="center"/>
          </w:tcPr>
          <w:p>
            <w:pPr>
              <w:pStyle w:val="93"/>
              <w:bidi w:val="0"/>
            </w:pPr>
            <w:r>
              <w:rPr>
                <w:rFonts w:hint="eastAsia"/>
              </w:rPr>
              <w:t>27台</w:t>
            </w:r>
          </w:p>
        </w:tc>
        <w:tc>
          <w:tcPr>
            <w:tcW w:w="1241" w:type="pct"/>
            <w:tcBorders>
              <w:tl2br w:val="nil"/>
              <w:tr2bl w:val="nil"/>
            </w:tcBorders>
            <w:vAlign w:val="center"/>
          </w:tcPr>
          <w:p>
            <w:pPr>
              <w:pStyle w:val="93"/>
              <w:bidi w:val="0"/>
            </w:pPr>
            <w:r>
              <w:rPr>
                <w:rFonts w:hint="eastAsia"/>
              </w:rPr>
              <w:t>冲压工序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5</w:t>
            </w:r>
          </w:p>
        </w:tc>
        <w:tc>
          <w:tcPr>
            <w:tcW w:w="1273" w:type="pct"/>
            <w:tcBorders>
              <w:tl2br w:val="nil"/>
              <w:tr2bl w:val="nil"/>
            </w:tcBorders>
            <w:vAlign w:val="center"/>
          </w:tcPr>
          <w:p>
            <w:pPr>
              <w:pStyle w:val="93"/>
              <w:bidi w:val="0"/>
            </w:pPr>
            <w:r>
              <w:rPr>
                <w:rFonts w:hint="eastAsia"/>
              </w:rPr>
              <w:t>剪切机</w:t>
            </w:r>
          </w:p>
        </w:tc>
        <w:tc>
          <w:tcPr>
            <w:tcW w:w="1186" w:type="pct"/>
            <w:tcBorders>
              <w:tl2br w:val="nil"/>
              <w:tr2bl w:val="nil"/>
            </w:tcBorders>
            <w:vAlign w:val="center"/>
          </w:tcPr>
          <w:p>
            <w:pPr>
              <w:pStyle w:val="93"/>
              <w:bidi w:val="0"/>
            </w:pPr>
            <w:r>
              <w:t>/</w:t>
            </w:r>
          </w:p>
        </w:tc>
        <w:tc>
          <w:tcPr>
            <w:tcW w:w="820" w:type="pct"/>
            <w:tcBorders>
              <w:tl2br w:val="nil"/>
              <w:tr2bl w:val="nil"/>
            </w:tcBorders>
            <w:vAlign w:val="center"/>
          </w:tcPr>
          <w:p>
            <w:pPr>
              <w:pStyle w:val="93"/>
              <w:bidi w:val="0"/>
            </w:pPr>
            <w:r>
              <w:rPr>
                <w:rFonts w:hint="eastAsia"/>
              </w:rPr>
              <w:t>4台</w:t>
            </w:r>
          </w:p>
        </w:tc>
        <w:tc>
          <w:tcPr>
            <w:tcW w:w="1241" w:type="pct"/>
            <w:tcBorders>
              <w:tl2br w:val="nil"/>
              <w:tr2bl w:val="nil"/>
            </w:tcBorders>
            <w:vAlign w:val="center"/>
          </w:tcPr>
          <w:p>
            <w:pPr>
              <w:pStyle w:val="93"/>
              <w:bidi w:val="0"/>
            </w:pPr>
            <w:r>
              <w:rPr>
                <w:rFonts w:hint="eastAsia"/>
              </w:rPr>
              <w:t>剪切工序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6</w:t>
            </w:r>
          </w:p>
        </w:tc>
        <w:tc>
          <w:tcPr>
            <w:tcW w:w="1273" w:type="pct"/>
            <w:tcBorders>
              <w:tl2br w:val="nil"/>
              <w:tr2bl w:val="nil"/>
            </w:tcBorders>
            <w:vAlign w:val="center"/>
          </w:tcPr>
          <w:p>
            <w:pPr>
              <w:pStyle w:val="93"/>
              <w:bidi w:val="0"/>
            </w:pPr>
            <w:r>
              <w:rPr>
                <w:rFonts w:hint="eastAsia"/>
              </w:rPr>
              <w:t>焊接机</w:t>
            </w:r>
          </w:p>
        </w:tc>
        <w:tc>
          <w:tcPr>
            <w:tcW w:w="1186" w:type="pct"/>
            <w:tcBorders>
              <w:tl2br w:val="nil"/>
              <w:tr2bl w:val="nil"/>
            </w:tcBorders>
            <w:vAlign w:val="center"/>
          </w:tcPr>
          <w:p>
            <w:pPr>
              <w:pStyle w:val="93"/>
              <w:bidi w:val="0"/>
            </w:pPr>
            <w:r>
              <w:t>/</w:t>
            </w:r>
          </w:p>
        </w:tc>
        <w:tc>
          <w:tcPr>
            <w:tcW w:w="820" w:type="pct"/>
            <w:tcBorders>
              <w:tl2br w:val="nil"/>
              <w:tr2bl w:val="nil"/>
            </w:tcBorders>
            <w:vAlign w:val="center"/>
          </w:tcPr>
          <w:p>
            <w:pPr>
              <w:pStyle w:val="93"/>
              <w:bidi w:val="0"/>
            </w:pPr>
            <w:r>
              <w:rPr>
                <w:rFonts w:hint="eastAsia"/>
              </w:rPr>
              <w:t>17套</w:t>
            </w:r>
          </w:p>
        </w:tc>
        <w:tc>
          <w:tcPr>
            <w:tcW w:w="1241" w:type="pct"/>
            <w:tcBorders>
              <w:tl2br w:val="nil"/>
              <w:tr2bl w:val="nil"/>
            </w:tcBorders>
            <w:vAlign w:val="center"/>
          </w:tcPr>
          <w:p>
            <w:pPr>
              <w:pStyle w:val="93"/>
              <w:bidi w:val="0"/>
            </w:pPr>
            <w:r>
              <w:rPr>
                <w:rFonts w:hint="eastAsia"/>
              </w:rPr>
              <w:t>焊接工序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7</w:t>
            </w:r>
          </w:p>
        </w:tc>
        <w:tc>
          <w:tcPr>
            <w:tcW w:w="1273" w:type="pct"/>
            <w:tcBorders>
              <w:tl2br w:val="nil"/>
              <w:tr2bl w:val="nil"/>
            </w:tcBorders>
            <w:vAlign w:val="center"/>
          </w:tcPr>
          <w:p>
            <w:pPr>
              <w:pStyle w:val="93"/>
              <w:bidi w:val="0"/>
            </w:pPr>
            <w:r>
              <w:rPr>
                <w:rFonts w:hint="eastAsia"/>
              </w:rPr>
              <w:t>空压机</w:t>
            </w:r>
          </w:p>
        </w:tc>
        <w:tc>
          <w:tcPr>
            <w:tcW w:w="1186" w:type="pct"/>
            <w:tcBorders>
              <w:tl2br w:val="nil"/>
              <w:tr2bl w:val="nil"/>
            </w:tcBorders>
            <w:vAlign w:val="center"/>
          </w:tcPr>
          <w:p>
            <w:pPr>
              <w:pStyle w:val="93"/>
              <w:bidi w:val="0"/>
            </w:pPr>
            <w:r>
              <w:rPr>
                <w:rFonts w:hint="eastAsia"/>
              </w:rPr>
              <w:t>QRF-20A-8</w:t>
            </w:r>
          </w:p>
        </w:tc>
        <w:tc>
          <w:tcPr>
            <w:tcW w:w="820" w:type="pct"/>
            <w:tcBorders>
              <w:tl2br w:val="nil"/>
              <w:tr2bl w:val="nil"/>
            </w:tcBorders>
            <w:vAlign w:val="center"/>
          </w:tcPr>
          <w:p>
            <w:pPr>
              <w:pStyle w:val="93"/>
              <w:bidi w:val="0"/>
            </w:pPr>
            <w:r>
              <w:rPr>
                <w:rFonts w:hint="eastAsia"/>
              </w:rPr>
              <w:t>2</w:t>
            </w:r>
          </w:p>
        </w:tc>
        <w:tc>
          <w:tcPr>
            <w:tcW w:w="1241" w:type="pct"/>
            <w:tcBorders>
              <w:tl2br w:val="nil"/>
              <w:tr2bl w:val="nil"/>
            </w:tcBorders>
            <w:vAlign w:val="center"/>
          </w:tcPr>
          <w:p>
            <w:pPr>
              <w:pStyle w:val="93"/>
              <w:bidi w:val="0"/>
            </w:pPr>
            <w:r>
              <w:rPr>
                <w:rFonts w:hint="eastAsia"/>
              </w:rPr>
              <w:t>水洗工序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8</w:t>
            </w:r>
          </w:p>
        </w:tc>
        <w:tc>
          <w:tcPr>
            <w:tcW w:w="1273" w:type="pct"/>
            <w:tcBorders>
              <w:tl2br w:val="nil"/>
              <w:tr2bl w:val="nil"/>
            </w:tcBorders>
            <w:vAlign w:val="center"/>
          </w:tcPr>
          <w:p>
            <w:pPr>
              <w:pStyle w:val="93"/>
              <w:bidi w:val="0"/>
            </w:pPr>
            <w:r>
              <w:rPr>
                <w:rFonts w:hint="eastAsia"/>
              </w:rPr>
              <w:t>螺旋振动抛光机</w:t>
            </w:r>
          </w:p>
        </w:tc>
        <w:tc>
          <w:tcPr>
            <w:tcW w:w="1186" w:type="pct"/>
            <w:tcBorders>
              <w:tl2br w:val="nil"/>
              <w:tr2bl w:val="nil"/>
            </w:tcBorders>
            <w:vAlign w:val="center"/>
          </w:tcPr>
          <w:p>
            <w:pPr>
              <w:pStyle w:val="93"/>
              <w:bidi w:val="0"/>
            </w:pPr>
            <w:r>
              <w:t>/</w:t>
            </w:r>
          </w:p>
        </w:tc>
        <w:tc>
          <w:tcPr>
            <w:tcW w:w="820" w:type="pct"/>
            <w:tcBorders>
              <w:tl2br w:val="nil"/>
              <w:tr2bl w:val="nil"/>
            </w:tcBorders>
            <w:vAlign w:val="center"/>
          </w:tcPr>
          <w:p>
            <w:pPr>
              <w:pStyle w:val="93"/>
              <w:bidi w:val="0"/>
            </w:pPr>
            <w:r>
              <w:rPr>
                <w:rFonts w:hint="eastAsia"/>
              </w:rPr>
              <w:t>1</w:t>
            </w:r>
          </w:p>
        </w:tc>
        <w:tc>
          <w:tcPr>
            <w:tcW w:w="1241" w:type="pct"/>
            <w:tcBorders>
              <w:tl2br w:val="nil"/>
              <w:tr2bl w:val="nil"/>
            </w:tcBorders>
            <w:vAlign w:val="center"/>
          </w:tcPr>
          <w:p>
            <w:pPr>
              <w:pStyle w:val="93"/>
              <w:bidi w:val="0"/>
            </w:pPr>
            <w:r>
              <w:rPr>
                <w:rFonts w:hint="eastAsia"/>
              </w:rPr>
              <w:t>滚抛工序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05" w:hRule="atLeast"/>
          <w:jc w:val="center"/>
        </w:trPr>
        <w:tc>
          <w:tcPr>
            <w:tcW w:w="477" w:type="pct"/>
            <w:tcBorders>
              <w:tl2br w:val="nil"/>
              <w:tr2bl w:val="nil"/>
            </w:tcBorders>
            <w:vAlign w:val="center"/>
          </w:tcPr>
          <w:p>
            <w:pPr>
              <w:pStyle w:val="93"/>
              <w:bidi w:val="0"/>
            </w:pPr>
            <w:r>
              <w:rPr>
                <w:rFonts w:hint="eastAsia"/>
              </w:rPr>
              <w:t>9</w:t>
            </w:r>
          </w:p>
        </w:tc>
        <w:tc>
          <w:tcPr>
            <w:tcW w:w="1273" w:type="pct"/>
            <w:tcBorders>
              <w:tl2br w:val="nil"/>
              <w:tr2bl w:val="nil"/>
            </w:tcBorders>
            <w:vAlign w:val="center"/>
          </w:tcPr>
          <w:p>
            <w:pPr>
              <w:pStyle w:val="93"/>
              <w:bidi w:val="0"/>
            </w:pPr>
            <w:r>
              <w:rPr>
                <w:rFonts w:hint="eastAsia"/>
              </w:rPr>
              <w:t>连续通过式水洗机</w:t>
            </w:r>
          </w:p>
        </w:tc>
        <w:tc>
          <w:tcPr>
            <w:tcW w:w="1186" w:type="pct"/>
            <w:tcBorders>
              <w:tl2br w:val="nil"/>
              <w:tr2bl w:val="nil"/>
            </w:tcBorders>
            <w:vAlign w:val="center"/>
          </w:tcPr>
          <w:p>
            <w:pPr>
              <w:pStyle w:val="93"/>
              <w:bidi w:val="0"/>
            </w:pPr>
            <w:r>
              <w:rPr>
                <w:rFonts w:hint="eastAsia"/>
              </w:rPr>
              <w:t>BZJ-802-00</w:t>
            </w:r>
          </w:p>
        </w:tc>
        <w:tc>
          <w:tcPr>
            <w:tcW w:w="820" w:type="pct"/>
            <w:tcBorders>
              <w:tl2br w:val="nil"/>
              <w:tr2bl w:val="nil"/>
            </w:tcBorders>
            <w:vAlign w:val="center"/>
          </w:tcPr>
          <w:p>
            <w:pPr>
              <w:pStyle w:val="93"/>
              <w:bidi w:val="0"/>
            </w:pPr>
            <w:r>
              <w:rPr>
                <w:rFonts w:hint="eastAsia"/>
              </w:rPr>
              <w:t>1</w:t>
            </w:r>
          </w:p>
        </w:tc>
        <w:tc>
          <w:tcPr>
            <w:tcW w:w="1241" w:type="pct"/>
            <w:tcBorders>
              <w:tl2br w:val="nil"/>
              <w:tr2bl w:val="nil"/>
            </w:tcBorders>
            <w:vAlign w:val="center"/>
          </w:tcPr>
          <w:p>
            <w:pPr>
              <w:pStyle w:val="93"/>
              <w:bidi w:val="0"/>
            </w:pPr>
            <w:r>
              <w:rPr>
                <w:rFonts w:hint="eastAsia"/>
              </w:rPr>
              <w:t>水洗、干燥工序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25" w:hRule="atLeast"/>
          <w:jc w:val="center"/>
        </w:trPr>
        <w:tc>
          <w:tcPr>
            <w:tcW w:w="477" w:type="pct"/>
            <w:tcBorders>
              <w:tl2br w:val="nil"/>
              <w:tr2bl w:val="nil"/>
            </w:tcBorders>
            <w:vAlign w:val="center"/>
          </w:tcPr>
          <w:p>
            <w:pPr>
              <w:pStyle w:val="93"/>
              <w:bidi w:val="0"/>
            </w:pPr>
            <w:r>
              <w:rPr>
                <w:rFonts w:hint="eastAsia"/>
              </w:rPr>
              <w:t>10</w:t>
            </w:r>
          </w:p>
        </w:tc>
        <w:tc>
          <w:tcPr>
            <w:tcW w:w="1273" w:type="pct"/>
            <w:tcBorders>
              <w:tl2br w:val="nil"/>
              <w:tr2bl w:val="nil"/>
            </w:tcBorders>
            <w:vAlign w:val="center"/>
          </w:tcPr>
          <w:p>
            <w:pPr>
              <w:pStyle w:val="93"/>
              <w:bidi w:val="0"/>
            </w:pPr>
            <w:r>
              <w:rPr>
                <w:rFonts w:hint="eastAsia"/>
              </w:rPr>
              <w:t>超声波清洗机</w:t>
            </w:r>
          </w:p>
        </w:tc>
        <w:tc>
          <w:tcPr>
            <w:tcW w:w="1186" w:type="pct"/>
            <w:tcBorders>
              <w:tl2br w:val="nil"/>
              <w:tr2bl w:val="nil"/>
            </w:tcBorders>
            <w:vAlign w:val="center"/>
          </w:tcPr>
          <w:p>
            <w:pPr>
              <w:pStyle w:val="93"/>
              <w:bidi w:val="0"/>
            </w:pPr>
            <w:r>
              <w:rPr>
                <w:rFonts w:hint="eastAsia"/>
              </w:rPr>
              <w:t>BZJ-802-00</w:t>
            </w:r>
          </w:p>
        </w:tc>
        <w:tc>
          <w:tcPr>
            <w:tcW w:w="820" w:type="pct"/>
            <w:tcBorders>
              <w:tl2br w:val="nil"/>
              <w:tr2bl w:val="nil"/>
            </w:tcBorders>
            <w:vAlign w:val="center"/>
          </w:tcPr>
          <w:p>
            <w:pPr>
              <w:pStyle w:val="93"/>
              <w:bidi w:val="0"/>
            </w:pPr>
            <w:r>
              <w:rPr>
                <w:rFonts w:hint="eastAsia"/>
              </w:rPr>
              <w:t>1</w:t>
            </w:r>
          </w:p>
        </w:tc>
        <w:tc>
          <w:tcPr>
            <w:tcW w:w="1241" w:type="pct"/>
            <w:tcBorders>
              <w:tl2br w:val="nil"/>
              <w:tr2bl w:val="nil"/>
            </w:tcBorders>
            <w:vAlign w:val="center"/>
          </w:tcPr>
          <w:p>
            <w:pPr>
              <w:pStyle w:val="93"/>
              <w:bidi w:val="0"/>
            </w:pPr>
            <w:r>
              <w:rPr>
                <w:rFonts w:hint="eastAsia"/>
              </w:rPr>
              <w:t>水洗、干燥工序</w:t>
            </w:r>
          </w:p>
        </w:tc>
      </w:tr>
    </w:tbl>
    <w:p>
      <w:pPr>
        <w:pStyle w:val="5"/>
        <w:bidi w:val="0"/>
      </w:pPr>
      <w:bookmarkStart w:id="107" w:name="_Toc37600023"/>
      <w:bookmarkStart w:id="108" w:name="_Toc1008"/>
      <w:bookmarkStart w:id="109" w:name="_Toc2488"/>
      <w:bookmarkStart w:id="110" w:name="_Toc10533"/>
      <w:bookmarkStart w:id="111" w:name="_Toc15813"/>
      <w:bookmarkStart w:id="112" w:name="_Toc15952"/>
      <w:r>
        <w:rPr>
          <w:rFonts w:hint="eastAsia"/>
        </w:rPr>
        <w:t>2.4</w:t>
      </w:r>
      <w:r>
        <w:t xml:space="preserve"> </w:t>
      </w:r>
      <w:r>
        <w:rPr>
          <w:rFonts w:hint="eastAsia"/>
        </w:rPr>
        <w:t>主要原辅材料</w:t>
      </w:r>
      <w:bookmarkEnd w:id="107"/>
      <w:bookmarkEnd w:id="108"/>
      <w:bookmarkEnd w:id="109"/>
      <w:bookmarkEnd w:id="110"/>
      <w:bookmarkEnd w:id="111"/>
      <w:bookmarkEnd w:id="112"/>
    </w:p>
    <w:p>
      <w:pPr>
        <w:pStyle w:val="82"/>
        <w:spacing w:before="163"/>
      </w:pPr>
      <w:r>
        <w:t>表2.</w:t>
      </w:r>
      <w:r>
        <w:rPr>
          <w:rFonts w:hint="eastAsia"/>
        </w:rPr>
        <w:t>4-1</w:t>
      </w:r>
      <w:r>
        <w:t xml:space="preserve"> 主要设备及数量</w:t>
      </w:r>
    </w:p>
    <w:tbl>
      <w:tblPr>
        <w:tblStyle w:val="22"/>
        <w:tblW w:w="4997"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704"/>
        <w:gridCol w:w="1123"/>
        <w:gridCol w:w="2473"/>
        <w:gridCol w:w="1412"/>
        <w:gridCol w:w="1346"/>
        <w:gridCol w:w="165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13" w:hRule="atLeast"/>
          <w:jc w:val="center"/>
        </w:trPr>
        <w:tc>
          <w:tcPr>
            <w:tcW w:w="404" w:type="pct"/>
            <w:tcBorders>
              <w:bottom w:val="single" w:color="auto" w:sz="12" w:space="0"/>
            </w:tcBorders>
            <w:vAlign w:val="center"/>
          </w:tcPr>
          <w:p>
            <w:pPr>
              <w:pStyle w:val="93"/>
              <w:bidi w:val="0"/>
              <w:rPr>
                <w:b/>
                <w:bCs/>
              </w:rPr>
            </w:pPr>
            <w:r>
              <w:rPr>
                <w:rFonts w:hint="eastAsia"/>
                <w:b/>
                <w:bCs/>
              </w:rPr>
              <w:t>序号</w:t>
            </w:r>
          </w:p>
        </w:tc>
        <w:tc>
          <w:tcPr>
            <w:tcW w:w="644" w:type="pct"/>
            <w:tcBorders>
              <w:bottom w:val="single" w:color="auto" w:sz="12" w:space="0"/>
            </w:tcBorders>
            <w:vAlign w:val="center"/>
          </w:tcPr>
          <w:p>
            <w:pPr>
              <w:pStyle w:val="93"/>
              <w:bidi w:val="0"/>
              <w:rPr>
                <w:b/>
                <w:bCs/>
              </w:rPr>
            </w:pPr>
            <w:r>
              <w:rPr>
                <w:rFonts w:hint="eastAsia"/>
                <w:b/>
                <w:bCs/>
              </w:rPr>
              <w:t>类别</w:t>
            </w:r>
          </w:p>
        </w:tc>
        <w:tc>
          <w:tcPr>
            <w:tcW w:w="1418" w:type="pct"/>
            <w:tcBorders>
              <w:bottom w:val="single" w:color="auto" w:sz="12" w:space="0"/>
            </w:tcBorders>
            <w:vAlign w:val="center"/>
          </w:tcPr>
          <w:p>
            <w:pPr>
              <w:pStyle w:val="93"/>
              <w:bidi w:val="0"/>
              <w:rPr>
                <w:b/>
                <w:bCs/>
              </w:rPr>
            </w:pPr>
            <w:r>
              <w:rPr>
                <w:b/>
                <w:bCs/>
              </w:rPr>
              <w:t>名称</w:t>
            </w:r>
          </w:p>
        </w:tc>
        <w:tc>
          <w:tcPr>
            <w:tcW w:w="810" w:type="pct"/>
            <w:tcBorders>
              <w:bottom w:val="single" w:color="auto" w:sz="12" w:space="0"/>
            </w:tcBorders>
            <w:vAlign w:val="center"/>
          </w:tcPr>
          <w:p>
            <w:pPr>
              <w:pStyle w:val="93"/>
              <w:bidi w:val="0"/>
              <w:rPr>
                <w:b/>
                <w:bCs/>
              </w:rPr>
            </w:pPr>
            <w:r>
              <w:rPr>
                <w:rFonts w:hint="eastAsia"/>
                <w:b/>
                <w:bCs/>
              </w:rPr>
              <w:t>数量</w:t>
            </w:r>
          </w:p>
        </w:tc>
        <w:tc>
          <w:tcPr>
            <w:tcW w:w="772" w:type="pct"/>
            <w:tcBorders>
              <w:bottom w:val="single" w:color="auto" w:sz="12" w:space="0"/>
            </w:tcBorders>
            <w:vAlign w:val="center"/>
          </w:tcPr>
          <w:p>
            <w:pPr>
              <w:pStyle w:val="93"/>
              <w:bidi w:val="0"/>
              <w:rPr>
                <w:b/>
                <w:bCs/>
              </w:rPr>
            </w:pPr>
            <w:r>
              <w:rPr>
                <w:rFonts w:hint="eastAsia"/>
                <w:b/>
                <w:bCs/>
              </w:rPr>
              <w:t>最大储存量</w:t>
            </w:r>
          </w:p>
        </w:tc>
        <w:tc>
          <w:tcPr>
            <w:tcW w:w="949" w:type="pct"/>
            <w:tcBorders>
              <w:bottom w:val="single" w:color="auto" w:sz="12" w:space="0"/>
            </w:tcBorders>
            <w:vAlign w:val="center"/>
          </w:tcPr>
          <w:p>
            <w:pPr>
              <w:pStyle w:val="93"/>
              <w:bidi w:val="0"/>
              <w:rPr>
                <w:b/>
                <w:bCs/>
              </w:rPr>
            </w:pPr>
            <w:r>
              <w:rPr>
                <w:rFonts w:hint="eastAsia"/>
                <w:b/>
                <w:bCs/>
              </w:rPr>
              <w:t>来源</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op w:val="single" w:color="auto" w:sz="12" w:space="0"/>
              <w:tl2br w:val="nil"/>
              <w:tr2bl w:val="nil"/>
            </w:tcBorders>
            <w:vAlign w:val="center"/>
          </w:tcPr>
          <w:p>
            <w:pPr>
              <w:pStyle w:val="93"/>
              <w:bidi w:val="0"/>
            </w:pPr>
            <w:r>
              <w:rPr>
                <w:rFonts w:hint="eastAsia"/>
              </w:rPr>
              <w:t>1</w:t>
            </w:r>
          </w:p>
        </w:tc>
        <w:tc>
          <w:tcPr>
            <w:tcW w:w="644" w:type="pct"/>
            <w:vMerge w:val="restart"/>
            <w:tcBorders>
              <w:top w:val="single" w:color="auto" w:sz="12" w:space="0"/>
              <w:tl2br w:val="nil"/>
              <w:tr2bl w:val="nil"/>
            </w:tcBorders>
            <w:vAlign w:val="center"/>
          </w:tcPr>
          <w:p>
            <w:pPr>
              <w:pStyle w:val="93"/>
              <w:bidi w:val="0"/>
            </w:pPr>
            <w:r>
              <w:rPr>
                <w:rFonts w:hint="eastAsia"/>
              </w:rPr>
              <w:t>原材料</w:t>
            </w:r>
          </w:p>
        </w:tc>
        <w:tc>
          <w:tcPr>
            <w:tcW w:w="1418" w:type="pct"/>
            <w:tcBorders>
              <w:top w:val="single" w:color="auto" w:sz="12" w:space="0"/>
              <w:tl2br w:val="nil"/>
              <w:tr2bl w:val="nil"/>
            </w:tcBorders>
            <w:vAlign w:val="center"/>
          </w:tcPr>
          <w:p>
            <w:pPr>
              <w:pStyle w:val="93"/>
              <w:bidi w:val="0"/>
            </w:pPr>
            <w:r>
              <w:rPr>
                <w:rFonts w:hint="eastAsia"/>
              </w:rPr>
              <w:t>落料片</w:t>
            </w:r>
          </w:p>
        </w:tc>
        <w:tc>
          <w:tcPr>
            <w:tcW w:w="810" w:type="pct"/>
            <w:tcBorders>
              <w:top w:val="single" w:color="auto" w:sz="12" w:space="0"/>
              <w:tl2br w:val="nil"/>
              <w:tr2bl w:val="nil"/>
            </w:tcBorders>
            <w:vAlign w:val="center"/>
          </w:tcPr>
          <w:p>
            <w:pPr>
              <w:pStyle w:val="93"/>
              <w:bidi w:val="0"/>
            </w:pPr>
            <w:r>
              <w:rPr>
                <w:rFonts w:hint="eastAsia"/>
              </w:rPr>
              <w:t>2000万片</w:t>
            </w:r>
          </w:p>
        </w:tc>
        <w:tc>
          <w:tcPr>
            <w:tcW w:w="772" w:type="pct"/>
            <w:tcBorders>
              <w:top w:val="single" w:color="auto" w:sz="12" w:space="0"/>
              <w:tl2br w:val="nil"/>
              <w:tr2bl w:val="nil"/>
            </w:tcBorders>
            <w:vAlign w:val="center"/>
          </w:tcPr>
          <w:p>
            <w:pPr>
              <w:pStyle w:val="93"/>
              <w:bidi w:val="0"/>
            </w:pPr>
            <w:r>
              <w:rPr>
                <w:rFonts w:hint="eastAsia"/>
              </w:rPr>
              <w:t>200万片</w:t>
            </w:r>
          </w:p>
        </w:tc>
        <w:tc>
          <w:tcPr>
            <w:tcW w:w="949" w:type="pct"/>
            <w:tcBorders>
              <w:top w:val="single" w:color="auto" w:sz="12" w:space="0"/>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2</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消声器加工品</w:t>
            </w:r>
          </w:p>
        </w:tc>
        <w:tc>
          <w:tcPr>
            <w:tcW w:w="810" w:type="pct"/>
            <w:tcBorders>
              <w:tl2br w:val="nil"/>
              <w:tr2bl w:val="nil"/>
            </w:tcBorders>
            <w:vAlign w:val="center"/>
          </w:tcPr>
          <w:p>
            <w:pPr>
              <w:pStyle w:val="93"/>
              <w:bidi w:val="0"/>
            </w:pPr>
            <w:r>
              <w:rPr>
                <w:rFonts w:hint="eastAsia"/>
              </w:rPr>
              <w:t>2000万个</w:t>
            </w:r>
          </w:p>
        </w:tc>
        <w:tc>
          <w:tcPr>
            <w:tcW w:w="772" w:type="pct"/>
            <w:tcBorders>
              <w:tl2br w:val="nil"/>
              <w:tr2bl w:val="nil"/>
            </w:tcBorders>
            <w:vAlign w:val="center"/>
          </w:tcPr>
          <w:p>
            <w:pPr>
              <w:pStyle w:val="93"/>
              <w:bidi w:val="0"/>
            </w:pPr>
            <w:r>
              <w:rPr>
                <w:rFonts w:hint="eastAsia"/>
              </w:rPr>
              <w:t>200万个</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3</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挡板加工品</w:t>
            </w:r>
          </w:p>
        </w:tc>
        <w:tc>
          <w:tcPr>
            <w:tcW w:w="810" w:type="pct"/>
            <w:tcBorders>
              <w:tl2br w:val="nil"/>
              <w:tr2bl w:val="nil"/>
            </w:tcBorders>
            <w:vAlign w:val="center"/>
          </w:tcPr>
          <w:p>
            <w:pPr>
              <w:pStyle w:val="93"/>
              <w:bidi w:val="0"/>
            </w:pPr>
            <w:r>
              <w:rPr>
                <w:rFonts w:hint="eastAsia"/>
              </w:rPr>
              <w:t>2000万个</w:t>
            </w:r>
          </w:p>
        </w:tc>
        <w:tc>
          <w:tcPr>
            <w:tcW w:w="772" w:type="pct"/>
            <w:tcBorders>
              <w:tl2br w:val="nil"/>
              <w:tr2bl w:val="nil"/>
            </w:tcBorders>
            <w:vAlign w:val="center"/>
          </w:tcPr>
          <w:p>
            <w:pPr>
              <w:pStyle w:val="93"/>
              <w:bidi w:val="0"/>
            </w:pPr>
            <w:r>
              <w:rPr>
                <w:rFonts w:hint="eastAsia"/>
              </w:rPr>
              <w:t>200万个</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4</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排气管</w:t>
            </w:r>
          </w:p>
        </w:tc>
        <w:tc>
          <w:tcPr>
            <w:tcW w:w="810" w:type="pct"/>
            <w:tcBorders>
              <w:tl2br w:val="nil"/>
              <w:tr2bl w:val="nil"/>
            </w:tcBorders>
            <w:vAlign w:val="center"/>
          </w:tcPr>
          <w:p>
            <w:pPr>
              <w:pStyle w:val="93"/>
              <w:bidi w:val="0"/>
            </w:pPr>
            <w:r>
              <w:rPr>
                <w:rFonts w:hint="eastAsia"/>
              </w:rPr>
              <w:t>1000万个</w:t>
            </w:r>
          </w:p>
        </w:tc>
        <w:tc>
          <w:tcPr>
            <w:tcW w:w="772" w:type="pct"/>
            <w:tcBorders>
              <w:tl2br w:val="nil"/>
              <w:tr2bl w:val="nil"/>
            </w:tcBorders>
            <w:vAlign w:val="center"/>
          </w:tcPr>
          <w:p>
            <w:pPr>
              <w:pStyle w:val="93"/>
              <w:bidi w:val="0"/>
            </w:pPr>
            <w:r>
              <w:rPr>
                <w:rFonts w:hint="eastAsia"/>
              </w:rPr>
              <w:t>100万个</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5</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接线柱</w:t>
            </w:r>
          </w:p>
        </w:tc>
        <w:tc>
          <w:tcPr>
            <w:tcW w:w="810" w:type="pct"/>
            <w:tcBorders>
              <w:tl2br w:val="nil"/>
              <w:tr2bl w:val="nil"/>
            </w:tcBorders>
            <w:vAlign w:val="center"/>
          </w:tcPr>
          <w:p>
            <w:pPr>
              <w:pStyle w:val="93"/>
              <w:bidi w:val="0"/>
            </w:pPr>
            <w:r>
              <w:rPr>
                <w:rFonts w:hint="eastAsia"/>
              </w:rPr>
              <w:t>1000万个</w:t>
            </w:r>
          </w:p>
        </w:tc>
        <w:tc>
          <w:tcPr>
            <w:tcW w:w="772" w:type="pct"/>
            <w:tcBorders>
              <w:tl2br w:val="nil"/>
              <w:tr2bl w:val="nil"/>
            </w:tcBorders>
            <w:vAlign w:val="center"/>
          </w:tcPr>
          <w:p>
            <w:pPr>
              <w:pStyle w:val="93"/>
              <w:bidi w:val="0"/>
            </w:pPr>
            <w:r>
              <w:rPr>
                <w:rFonts w:hint="eastAsia"/>
              </w:rPr>
              <w:t>100万个</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6</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吊钩</w:t>
            </w:r>
          </w:p>
        </w:tc>
        <w:tc>
          <w:tcPr>
            <w:tcW w:w="810" w:type="pct"/>
            <w:tcBorders>
              <w:tl2br w:val="nil"/>
              <w:tr2bl w:val="nil"/>
            </w:tcBorders>
            <w:vAlign w:val="center"/>
          </w:tcPr>
          <w:p>
            <w:pPr>
              <w:pStyle w:val="93"/>
              <w:bidi w:val="0"/>
            </w:pPr>
            <w:r>
              <w:rPr>
                <w:rFonts w:hint="eastAsia"/>
              </w:rPr>
              <w:t>1000万个</w:t>
            </w:r>
          </w:p>
        </w:tc>
        <w:tc>
          <w:tcPr>
            <w:tcW w:w="772" w:type="pct"/>
            <w:tcBorders>
              <w:tl2br w:val="nil"/>
              <w:tr2bl w:val="nil"/>
            </w:tcBorders>
            <w:vAlign w:val="center"/>
          </w:tcPr>
          <w:p>
            <w:pPr>
              <w:pStyle w:val="93"/>
              <w:bidi w:val="0"/>
            </w:pPr>
            <w:r>
              <w:rPr>
                <w:rFonts w:hint="eastAsia"/>
              </w:rPr>
              <w:t>100万个</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7</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脱脂剂</w:t>
            </w:r>
          </w:p>
        </w:tc>
        <w:tc>
          <w:tcPr>
            <w:tcW w:w="810" w:type="pct"/>
            <w:tcBorders>
              <w:tl2br w:val="nil"/>
              <w:tr2bl w:val="nil"/>
            </w:tcBorders>
            <w:vAlign w:val="center"/>
          </w:tcPr>
          <w:p>
            <w:pPr>
              <w:pStyle w:val="93"/>
              <w:bidi w:val="0"/>
            </w:pPr>
            <w:r>
              <w:rPr>
                <w:rFonts w:hint="eastAsia"/>
              </w:rPr>
              <w:t>4t</w:t>
            </w:r>
          </w:p>
        </w:tc>
        <w:tc>
          <w:tcPr>
            <w:tcW w:w="772" w:type="pct"/>
            <w:tcBorders>
              <w:tl2br w:val="nil"/>
              <w:tr2bl w:val="nil"/>
            </w:tcBorders>
            <w:vAlign w:val="center"/>
          </w:tcPr>
          <w:p>
            <w:pPr>
              <w:pStyle w:val="93"/>
              <w:bidi w:val="0"/>
            </w:pPr>
            <w:r>
              <w:rPr>
                <w:rFonts w:hint="eastAsia"/>
              </w:rPr>
              <w:t>0.3t</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8</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防锈剂</w:t>
            </w:r>
          </w:p>
        </w:tc>
        <w:tc>
          <w:tcPr>
            <w:tcW w:w="810" w:type="pct"/>
            <w:tcBorders>
              <w:tl2br w:val="nil"/>
              <w:tr2bl w:val="nil"/>
            </w:tcBorders>
            <w:vAlign w:val="center"/>
          </w:tcPr>
          <w:p>
            <w:pPr>
              <w:pStyle w:val="93"/>
              <w:bidi w:val="0"/>
            </w:pPr>
            <w:r>
              <w:rPr>
                <w:rFonts w:hint="eastAsia"/>
              </w:rPr>
              <w:t>1t</w:t>
            </w:r>
          </w:p>
        </w:tc>
        <w:tc>
          <w:tcPr>
            <w:tcW w:w="772" w:type="pct"/>
            <w:tcBorders>
              <w:tl2br w:val="nil"/>
              <w:tr2bl w:val="nil"/>
            </w:tcBorders>
            <w:vAlign w:val="center"/>
          </w:tcPr>
          <w:p>
            <w:pPr>
              <w:pStyle w:val="93"/>
              <w:bidi w:val="0"/>
            </w:pPr>
            <w:r>
              <w:rPr>
                <w:rFonts w:hint="eastAsia"/>
              </w:rPr>
              <w:t>0.1t</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9</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机油</w:t>
            </w:r>
          </w:p>
        </w:tc>
        <w:tc>
          <w:tcPr>
            <w:tcW w:w="810" w:type="pct"/>
            <w:tcBorders>
              <w:tl2br w:val="nil"/>
              <w:tr2bl w:val="nil"/>
            </w:tcBorders>
            <w:vAlign w:val="center"/>
          </w:tcPr>
          <w:p>
            <w:pPr>
              <w:pStyle w:val="93"/>
              <w:bidi w:val="0"/>
            </w:pPr>
            <w:r>
              <w:rPr>
                <w:rFonts w:hint="eastAsia"/>
              </w:rPr>
              <w:t>0.2t</w:t>
            </w:r>
          </w:p>
        </w:tc>
        <w:tc>
          <w:tcPr>
            <w:tcW w:w="772" w:type="pct"/>
            <w:tcBorders>
              <w:tl2br w:val="nil"/>
              <w:tr2bl w:val="nil"/>
            </w:tcBorders>
            <w:vAlign w:val="center"/>
          </w:tcPr>
          <w:p>
            <w:pPr>
              <w:pStyle w:val="93"/>
              <w:bidi w:val="0"/>
            </w:pPr>
            <w:r>
              <w:rPr>
                <w:rFonts w:hint="eastAsia"/>
              </w:rPr>
              <w:t>0.1t</w:t>
            </w:r>
          </w:p>
        </w:tc>
        <w:tc>
          <w:tcPr>
            <w:tcW w:w="949" w:type="pct"/>
            <w:tcBorders>
              <w:tl2br w:val="nil"/>
              <w:tr2bl w:val="nil"/>
            </w:tcBorders>
            <w:vAlign w:val="center"/>
          </w:tcPr>
          <w:p>
            <w:pPr>
              <w:pStyle w:val="93"/>
              <w:bidi w:val="0"/>
            </w:pPr>
            <w:r>
              <w:rPr>
                <w:rFonts w:hint="eastAsia"/>
              </w:rPr>
              <w:t>外购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10</w:t>
            </w:r>
          </w:p>
        </w:tc>
        <w:tc>
          <w:tcPr>
            <w:tcW w:w="644" w:type="pct"/>
            <w:vMerge w:val="restart"/>
            <w:tcBorders>
              <w:tl2br w:val="nil"/>
              <w:tr2bl w:val="nil"/>
            </w:tcBorders>
            <w:vAlign w:val="center"/>
          </w:tcPr>
          <w:p>
            <w:pPr>
              <w:pStyle w:val="93"/>
              <w:bidi w:val="0"/>
            </w:pPr>
            <w:r>
              <w:rPr>
                <w:rFonts w:hint="eastAsia"/>
              </w:rPr>
              <w:t>能源消耗</w:t>
            </w:r>
          </w:p>
        </w:tc>
        <w:tc>
          <w:tcPr>
            <w:tcW w:w="1418" w:type="pct"/>
            <w:tcBorders>
              <w:tl2br w:val="nil"/>
              <w:tr2bl w:val="nil"/>
            </w:tcBorders>
            <w:vAlign w:val="center"/>
          </w:tcPr>
          <w:p>
            <w:pPr>
              <w:pStyle w:val="93"/>
              <w:bidi w:val="0"/>
            </w:pPr>
            <w:r>
              <w:rPr>
                <w:rFonts w:hint="eastAsia"/>
              </w:rPr>
              <w:t>电</w:t>
            </w:r>
          </w:p>
        </w:tc>
        <w:tc>
          <w:tcPr>
            <w:tcW w:w="810" w:type="pct"/>
            <w:tcBorders>
              <w:tl2br w:val="nil"/>
              <w:tr2bl w:val="nil"/>
            </w:tcBorders>
            <w:vAlign w:val="center"/>
          </w:tcPr>
          <w:p>
            <w:pPr>
              <w:pStyle w:val="93"/>
              <w:bidi w:val="0"/>
            </w:pPr>
            <w:r>
              <w:rPr>
                <w:rFonts w:hint="eastAsia"/>
              </w:rPr>
              <w:t>200万KWh</w:t>
            </w:r>
          </w:p>
        </w:tc>
        <w:tc>
          <w:tcPr>
            <w:tcW w:w="772" w:type="pct"/>
            <w:tcBorders>
              <w:tl2br w:val="nil"/>
              <w:tr2bl w:val="nil"/>
            </w:tcBorders>
            <w:vAlign w:val="center"/>
          </w:tcPr>
          <w:p>
            <w:pPr>
              <w:pStyle w:val="93"/>
              <w:bidi w:val="0"/>
            </w:pPr>
            <w:r>
              <w:rPr>
                <w:rFonts w:hint="eastAsia"/>
              </w:rPr>
              <w:t>/</w:t>
            </w:r>
          </w:p>
        </w:tc>
        <w:tc>
          <w:tcPr>
            <w:tcW w:w="949" w:type="pct"/>
            <w:tcBorders>
              <w:tl2br w:val="nil"/>
              <w:tr2bl w:val="nil"/>
            </w:tcBorders>
            <w:vAlign w:val="center"/>
          </w:tcPr>
          <w:p>
            <w:pPr>
              <w:pStyle w:val="93"/>
              <w:bidi w:val="0"/>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276" w:hRule="atLeast"/>
          <w:jc w:val="center"/>
        </w:trPr>
        <w:tc>
          <w:tcPr>
            <w:tcW w:w="404" w:type="pct"/>
            <w:tcBorders>
              <w:tl2br w:val="nil"/>
              <w:tr2bl w:val="nil"/>
            </w:tcBorders>
            <w:vAlign w:val="center"/>
          </w:tcPr>
          <w:p>
            <w:pPr>
              <w:pStyle w:val="93"/>
              <w:bidi w:val="0"/>
            </w:pPr>
            <w:r>
              <w:rPr>
                <w:rFonts w:hint="eastAsia"/>
              </w:rPr>
              <w:t>11</w:t>
            </w:r>
          </w:p>
        </w:tc>
        <w:tc>
          <w:tcPr>
            <w:tcW w:w="644" w:type="pct"/>
            <w:vMerge w:val="continue"/>
            <w:tcBorders>
              <w:tl2br w:val="nil"/>
              <w:tr2bl w:val="nil"/>
            </w:tcBorders>
            <w:vAlign w:val="center"/>
          </w:tcPr>
          <w:p>
            <w:pPr>
              <w:pStyle w:val="93"/>
              <w:bidi w:val="0"/>
            </w:pPr>
          </w:p>
        </w:tc>
        <w:tc>
          <w:tcPr>
            <w:tcW w:w="1418" w:type="pct"/>
            <w:tcBorders>
              <w:tl2br w:val="nil"/>
              <w:tr2bl w:val="nil"/>
            </w:tcBorders>
            <w:vAlign w:val="center"/>
          </w:tcPr>
          <w:p>
            <w:pPr>
              <w:pStyle w:val="93"/>
              <w:bidi w:val="0"/>
            </w:pPr>
            <w:r>
              <w:rPr>
                <w:rFonts w:hint="eastAsia"/>
              </w:rPr>
              <w:t>水</w:t>
            </w:r>
          </w:p>
        </w:tc>
        <w:tc>
          <w:tcPr>
            <w:tcW w:w="810" w:type="pct"/>
            <w:tcBorders>
              <w:tl2br w:val="nil"/>
              <w:tr2bl w:val="nil"/>
            </w:tcBorders>
            <w:vAlign w:val="center"/>
          </w:tcPr>
          <w:p>
            <w:pPr>
              <w:pStyle w:val="93"/>
              <w:bidi w:val="0"/>
            </w:pPr>
            <w:r>
              <w:rPr>
                <w:rFonts w:hint="eastAsia"/>
              </w:rPr>
              <w:t>1346m³/h</w:t>
            </w:r>
          </w:p>
        </w:tc>
        <w:tc>
          <w:tcPr>
            <w:tcW w:w="772" w:type="pct"/>
            <w:tcBorders>
              <w:tl2br w:val="nil"/>
              <w:tr2bl w:val="nil"/>
            </w:tcBorders>
            <w:vAlign w:val="center"/>
          </w:tcPr>
          <w:p>
            <w:pPr>
              <w:pStyle w:val="93"/>
              <w:bidi w:val="0"/>
            </w:pPr>
            <w:r>
              <w:rPr>
                <w:rFonts w:hint="eastAsia"/>
              </w:rPr>
              <w:t>/</w:t>
            </w:r>
          </w:p>
        </w:tc>
        <w:tc>
          <w:tcPr>
            <w:tcW w:w="949" w:type="pct"/>
            <w:tcBorders>
              <w:tl2br w:val="nil"/>
              <w:tr2bl w:val="nil"/>
            </w:tcBorders>
            <w:vAlign w:val="center"/>
          </w:tcPr>
          <w:p>
            <w:pPr>
              <w:pStyle w:val="93"/>
              <w:bidi w:val="0"/>
            </w:pPr>
            <w:r>
              <w:rPr>
                <w:rFonts w:hint="eastAsia"/>
              </w:rPr>
              <w:t>/</w:t>
            </w:r>
          </w:p>
        </w:tc>
      </w:tr>
    </w:tbl>
    <w:p>
      <w:pPr>
        <w:pStyle w:val="44"/>
        <w:spacing w:beforeLines="0" w:line="480" w:lineRule="exact"/>
        <w:ind w:firstLine="422"/>
        <w:rPr>
          <w:b/>
          <w:szCs w:val="21"/>
        </w:rPr>
      </w:pPr>
    </w:p>
    <w:p>
      <w:pPr>
        <w:pStyle w:val="5"/>
        <w:bidi w:val="0"/>
      </w:pPr>
      <w:bookmarkStart w:id="113" w:name="_Toc23658"/>
      <w:bookmarkStart w:id="114" w:name="_Toc37600024"/>
      <w:bookmarkStart w:id="115" w:name="_Toc6170"/>
      <w:bookmarkStart w:id="116" w:name="_Toc24064"/>
      <w:bookmarkStart w:id="117" w:name="_Toc6510"/>
      <w:bookmarkStart w:id="118" w:name="_Toc29775"/>
      <w:r>
        <w:rPr>
          <w:rFonts w:hint="eastAsia"/>
        </w:rPr>
        <w:t>2.5</w:t>
      </w:r>
      <w:r>
        <w:t xml:space="preserve"> </w:t>
      </w:r>
      <w:r>
        <w:rPr>
          <w:rFonts w:hint="eastAsia"/>
        </w:rPr>
        <w:t>工艺流程</w:t>
      </w:r>
      <w:bookmarkEnd w:id="113"/>
      <w:bookmarkEnd w:id="114"/>
      <w:bookmarkEnd w:id="115"/>
      <w:bookmarkEnd w:id="116"/>
      <w:bookmarkEnd w:id="117"/>
      <w:bookmarkEnd w:id="118"/>
    </w:p>
    <w:p>
      <w:pPr>
        <w:jc w:val="center"/>
      </w:pPr>
      <w:bookmarkStart w:id="119" w:name="_Toc30444"/>
      <w:bookmarkStart w:id="120" w:name="_Toc23439_WPSOffice_Level1"/>
      <w:r>
        <w:rPr>
          <w:rFonts w:hint="eastAsia"/>
        </w:rPr>
        <w:drawing>
          <wp:inline distT="0" distB="0" distL="114300" distR="114300">
            <wp:extent cx="2587625" cy="3241040"/>
            <wp:effectExtent l="9525" t="9525" r="12700" b="26035"/>
            <wp:docPr id="120" name="图片 120" descr="D:\桌面\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D:\桌面\图片1.png图片1"/>
                    <pic:cNvPicPr>
                      <a:picLocks noChangeAspect="1"/>
                    </pic:cNvPicPr>
                  </pic:nvPicPr>
                  <pic:blipFill>
                    <a:blip r:embed="rId15"/>
                    <a:srcRect/>
                    <a:stretch>
                      <a:fillRect/>
                    </a:stretch>
                  </pic:blipFill>
                  <pic:spPr>
                    <a:xfrm>
                      <a:off x="0" y="0"/>
                      <a:ext cx="2587625" cy="3241040"/>
                    </a:xfrm>
                    <a:prstGeom prst="rect">
                      <a:avLst/>
                    </a:prstGeom>
                    <a:ln>
                      <a:solidFill>
                        <a:schemeClr val="tx1"/>
                      </a:solidFill>
                    </a:ln>
                  </pic:spPr>
                </pic:pic>
              </a:graphicData>
            </a:graphic>
          </wp:inline>
        </w:drawing>
      </w:r>
      <w:r>
        <w:rPr>
          <w:rFonts w:hint="eastAsia"/>
        </w:rPr>
        <w:drawing>
          <wp:inline distT="0" distB="0" distL="114300" distR="114300">
            <wp:extent cx="2433955" cy="3239135"/>
            <wp:effectExtent l="9525" t="9525" r="13970" b="27940"/>
            <wp:docPr id="121" name="图片 121" descr="D:\桌面\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D:\桌面\图片2.png图片2"/>
                    <pic:cNvPicPr>
                      <a:picLocks noChangeAspect="1"/>
                    </pic:cNvPicPr>
                  </pic:nvPicPr>
                  <pic:blipFill>
                    <a:blip r:embed="rId16"/>
                    <a:srcRect/>
                    <a:stretch>
                      <a:fillRect/>
                    </a:stretch>
                  </pic:blipFill>
                  <pic:spPr>
                    <a:xfrm>
                      <a:off x="0" y="0"/>
                      <a:ext cx="2433955" cy="3239135"/>
                    </a:xfrm>
                    <a:prstGeom prst="rect">
                      <a:avLst/>
                    </a:prstGeom>
                    <a:ln>
                      <a:solidFill>
                        <a:schemeClr val="tx1"/>
                      </a:solidFill>
                    </a:ln>
                  </pic:spPr>
                </pic:pic>
              </a:graphicData>
            </a:graphic>
          </wp:inline>
        </w:drawing>
      </w:r>
      <w:r>
        <w:rPr>
          <w:rFonts w:hint="eastAsia"/>
        </w:rPr>
        <w:drawing>
          <wp:inline distT="0" distB="0" distL="114300" distR="114300">
            <wp:extent cx="3016250" cy="3239135"/>
            <wp:effectExtent l="9525" t="9525" r="22225" b="27940"/>
            <wp:docPr id="122" name="图片 122" descr="D:\桌面\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D:\桌面\图片3.png图片3"/>
                    <pic:cNvPicPr>
                      <a:picLocks noChangeAspect="1"/>
                    </pic:cNvPicPr>
                  </pic:nvPicPr>
                  <pic:blipFill>
                    <a:blip r:embed="rId17"/>
                    <a:srcRect/>
                    <a:stretch>
                      <a:fillRect/>
                    </a:stretch>
                  </pic:blipFill>
                  <pic:spPr>
                    <a:xfrm>
                      <a:off x="0" y="0"/>
                      <a:ext cx="3016250" cy="3239135"/>
                    </a:xfrm>
                    <a:prstGeom prst="rect">
                      <a:avLst/>
                    </a:prstGeom>
                    <a:ln>
                      <a:solidFill>
                        <a:schemeClr val="tx1"/>
                      </a:solidFill>
                    </a:ln>
                  </pic:spPr>
                </pic:pic>
              </a:graphicData>
            </a:graphic>
          </wp:inline>
        </w:drawing>
      </w:r>
    </w:p>
    <w:p>
      <w:pPr>
        <w:bidi w:val="0"/>
        <w:jc w:val="center"/>
        <w:rPr>
          <w:rFonts w:hint="eastAsia" w:ascii="黑体" w:hAnsi="黑体" w:eastAsia="黑体" w:cs="黑体"/>
          <w:sz w:val="24"/>
          <w:szCs w:val="24"/>
        </w:rPr>
      </w:pPr>
      <w:r>
        <w:rPr>
          <w:rFonts w:hint="eastAsia" w:ascii="黑体" w:hAnsi="黑体" w:eastAsia="黑体" w:cs="黑体"/>
          <w:sz w:val="24"/>
          <w:szCs w:val="24"/>
        </w:rPr>
        <w:t>图2.5-1 工艺流程</w:t>
      </w:r>
    </w:p>
    <w:p>
      <w:pPr>
        <w:pStyle w:val="90"/>
        <w:ind w:firstLine="480"/>
      </w:pPr>
      <w:r>
        <w:rPr>
          <w:rFonts w:hint="eastAsia"/>
        </w:rPr>
        <w:t>工艺流程说明：</w:t>
      </w:r>
    </w:p>
    <w:p>
      <w:pPr>
        <w:pStyle w:val="90"/>
        <w:ind w:firstLine="480"/>
      </w:pPr>
      <w:r>
        <w:rPr>
          <w:rFonts w:hint="eastAsia"/>
        </w:rPr>
        <w:t>上壳体生产工艺流程说明：</w:t>
      </w:r>
    </w:p>
    <w:p>
      <w:pPr>
        <w:pStyle w:val="90"/>
        <w:ind w:firstLine="480"/>
      </w:pPr>
      <w:r>
        <w:rPr>
          <w:rFonts w:hint="eastAsia"/>
        </w:rPr>
        <w:t>①冲压：落料片经压力机、冲床等设备冲压成产品所需规格。</w:t>
      </w:r>
    </w:p>
    <w:p>
      <w:pPr>
        <w:pStyle w:val="90"/>
        <w:ind w:firstLine="480"/>
      </w:pPr>
      <w:r>
        <w:rPr>
          <w:rFonts w:hint="eastAsia"/>
        </w:rPr>
        <w:t>②车削：冲压成型的壳盖经数控机床、剪切机、切割机等设备削去壳盖内外的毛刺。</w:t>
      </w:r>
    </w:p>
    <w:p>
      <w:pPr>
        <w:pStyle w:val="90"/>
        <w:ind w:firstLine="480"/>
      </w:pPr>
      <w:r>
        <w:rPr>
          <w:rFonts w:hint="eastAsia"/>
        </w:rPr>
        <w:t>③清洗、干燥：将去除毛刺后的壳盖经连续通过式水洗机清洗并经其自带热风烘干系统（采用电加热）烘干后进入下一道工序，水洗机清洗过程中加入脱脂剂、防锈剂。</w:t>
      </w:r>
    </w:p>
    <w:p>
      <w:pPr>
        <w:pStyle w:val="90"/>
        <w:ind w:firstLine="480"/>
      </w:pPr>
      <w:r>
        <w:rPr>
          <w:rFonts w:hint="eastAsia"/>
        </w:rPr>
        <w:t>④焊接：将排气管、接线柱、吊钩等配件组装成整体，组装过程包含电焊工艺，采用高频焊接，不使用焊丝，故无焊接扬尘产生。</w:t>
      </w:r>
    </w:p>
    <w:p>
      <w:pPr>
        <w:pStyle w:val="90"/>
        <w:ind w:firstLine="480"/>
      </w:pPr>
      <w:r>
        <w:rPr>
          <w:rFonts w:hint="eastAsia"/>
        </w:rPr>
        <w:t>⑤检验入库：检查外壳表面是否清洗干净，不合格品经收集后外售，经检验合格后即为成品并入库。</w:t>
      </w:r>
    </w:p>
    <w:p>
      <w:pPr>
        <w:pStyle w:val="90"/>
        <w:ind w:firstLine="480"/>
      </w:pPr>
      <w:r>
        <w:rPr>
          <w:rFonts w:hint="eastAsia"/>
        </w:rPr>
        <w:t>下壳体生产工艺流程说明：</w:t>
      </w:r>
    </w:p>
    <w:p>
      <w:pPr>
        <w:pStyle w:val="90"/>
        <w:ind w:firstLine="480"/>
      </w:pPr>
      <w:r>
        <w:rPr>
          <w:rFonts w:hint="eastAsia"/>
        </w:rPr>
        <w:t>①冲压：落料片经压力机、冲床等设备冲压成产品所需规格。</w:t>
      </w:r>
    </w:p>
    <w:p>
      <w:pPr>
        <w:pStyle w:val="90"/>
        <w:ind w:firstLine="480"/>
      </w:pPr>
      <w:r>
        <w:rPr>
          <w:rFonts w:hint="eastAsia"/>
        </w:rPr>
        <w:t>②车削：冲压成型的壳盖经数控机床、剪切机、切割机等设备削去壳盖内外的毛刺。</w:t>
      </w:r>
    </w:p>
    <w:p>
      <w:pPr>
        <w:pStyle w:val="90"/>
        <w:ind w:firstLine="480"/>
      </w:pPr>
      <w:r>
        <w:rPr>
          <w:rFonts w:hint="eastAsia"/>
        </w:rPr>
        <w:t>③清洗、干燥：将去除毛刺后的壳盖经水洗机清洗烘干后进入下一道工序，水洗机清洗过程中加入脱脂剂、防锈剂。</w:t>
      </w:r>
    </w:p>
    <w:p>
      <w:pPr>
        <w:pStyle w:val="90"/>
        <w:ind w:firstLine="480"/>
      </w:pPr>
      <w:r>
        <w:rPr>
          <w:rFonts w:hint="eastAsia"/>
        </w:rPr>
        <w:t>④检验入库：检查外壳表面是否清洗干净，不合格品经收集后外售，经检验合格后即为成品并入库。</w:t>
      </w:r>
    </w:p>
    <w:p>
      <w:pPr>
        <w:pStyle w:val="90"/>
        <w:ind w:firstLine="480"/>
      </w:pPr>
      <w:r>
        <w:rPr>
          <w:rFonts w:hint="eastAsia"/>
        </w:rPr>
        <w:t>消声器生产工艺流程说明：</w:t>
      </w:r>
    </w:p>
    <w:p>
      <w:pPr>
        <w:pStyle w:val="90"/>
        <w:ind w:firstLine="480"/>
      </w:pPr>
      <w:r>
        <w:rPr>
          <w:rFonts w:hint="eastAsia"/>
        </w:rPr>
        <w:t>①冲压、剪切：落料片经压力机、冲床等设备冲压成产品所需规格。</w:t>
      </w:r>
    </w:p>
    <w:p>
      <w:pPr>
        <w:pStyle w:val="90"/>
        <w:ind w:firstLine="480"/>
      </w:pPr>
      <w:r>
        <w:rPr>
          <w:rFonts w:hint="eastAsia"/>
        </w:rPr>
        <w:t>②滚抛：将冲压成型的消声器片放入螺旋振动抛光机内，加入滚抛石、脱脂剂、水等物质进行滚抛，去除工件表面毛刺。</w:t>
      </w:r>
    </w:p>
    <w:p>
      <w:pPr>
        <w:pStyle w:val="90"/>
        <w:ind w:firstLine="480"/>
      </w:pPr>
      <w:r>
        <w:rPr>
          <w:rFonts w:hint="eastAsia"/>
        </w:rPr>
        <w:t>③清洗、干燥：将去除毛刺后的壳盖经水洗机清洗烘干后进入下一道工序，水洗机清洗过程中加入脱脂剂、防锈剂。</w:t>
      </w:r>
    </w:p>
    <w:p>
      <w:pPr>
        <w:pStyle w:val="90"/>
        <w:ind w:firstLine="480"/>
        <w:rPr>
          <w:rFonts w:hint="eastAsia"/>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rPr>
          <w:rFonts w:hint="eastAsia"/>
        </w:rPr>
        <w:t>④检验入库：检查外壳表面是否清洗干净，不合格品经收集后外售，经检验合格后即为成品并入库。</w:t>
      </w:r>
    </w:p>
    <w:p>
      <w:pPr>
        <w:pStyle w:val="5"/>
        <w:bidi w:val="0"/>
      </w:pPr>
      <w:bookmarkStart w:id="121" w:name="_Toc37600025"/>
      <w:bookmarkStart w:id="122" w:name="_Toc3766"/>
      <w:bookmarkStart w:id="123" w:name="_Toc7181"/>
      <w:bookmarkStart w:id="124" w:name="_Toc30710"/>
      <w:bookmarkStart w:id="125" w:name="_Toc21188"/>
      <w:r>
        <w:rPr>
          <w:rFonts w:hint="eastAsia"/>
        </w:rPr>
        <w:t>2.6</w:t>
      </w:r>
      <w:r>
        <w:t xml:space="preserve"> </w:t>
      </w:r>
      <w:r>
        <w:rPr>
          <w:rFonts w:hint="eastAsia"/>
        </w:rPr>
        <w:t>本项目污染物产生及处理情况</w:t>
      </w:r>
      <w:bookmarkEnd w:id="119"/>
      <w:bookmarkEnd w:id="120"/>
      <w:bookmarkEnd w:id="121"/>
      <w:bookmarkEnd w:id="122"/>
      <w:bookmarkEnd w:id="123"/>
      <w:bookmarkEnd w:id="124"/>
      <w:bookmarkEnd w:id="125"/>
    </w:p>
    <w:p>
      <w:pPr>
        <w:pStyle w:val="6"/>
        <w:bidi w:val="0"/>
      </w:pPr>
      <w:bookmarkStart w:id="126" w:name="_Toc14111"/>
      <w:bookmarkStart w:id="127" w:name="_Toc4311"/>
      <w:bookmarkStart w:id="128" w:name="_Toc4149"/>
      <w:bookmarkStart w:id="129" w:name="_Toc37600026"/>
      <w:r>
        <w:t>2.</w:t>
      </w:r>
      <w:r>
        <w:rPr>
          <w:rFonts w:hint="eastAsia"/>
        </w:rPr>
        <w:t>6</w:t>
      </w:r>
      <w:r>
        <w:t xml:space="preserve">.1 </w:t>
      </w:r>
      <w:r>
        <w:rPr>
          <w:rFonts w:hint="eastAsia"/>
        </w:rPr>
        <w:t>主要污染物</w:t>
      </w:r>
      <w:bookmarkEnd w:id="126"/>
      <w:bookmarkEnd w:id="127"/>
      <w:bookmarkEnd w:id="128"/>
      <w:bookmarkEnd w:id="129"/>
    </w:p>
    <w:p>
      <w:pPr>
        <w:pStyle w:val="90"/>
        <w:ind w:firstLine="480"/>
        <w:rPr>
          <w:color w:val="FF0000"/>
        </w:rPr>
      </w:pPr>
      <w:r>
        <w:rPr>
          <w:rFonts w:hint="eastAsia"/>
        </w:rPr>
        <w:t>本项目主要污染物种类及污染源见表</w:t>
      </w:r>
      <w:r>
        <w:t>2.</w:t>
      </w:r>
      <w:r>
        <w:rPr>
          <w:rFonts w:hint="eastAsia"/>
        </w:rPr>
        <w:t>6</w:t>
      </w:r>
      <w:r>
        <w:t>.1-1</w:t>
      </w:r>
      <w:r>
        <w:rPr>
          <w:rFonts w:hint="eastAsia"/>
        </w:rPr>
        <w:t>、表2.6.1-2。</w:t>
      </w:r>
    </w:p>
    <w:p>
      <w:pPr>
        <w:pStyle w:val="82"/>
        <w:spacing w:before="163"/>
      </w:pPr>
      <w:r>
        <w:rPr>
          <w:rFonts w:hint="eastAsia"/>
        </w:rPr>
        <w:t>表2.6.1-1</w:t>
      </w:r>
      <w:r>
        <w:t xml:space="preserve"> </w:t>
      </w:r>
      <w:r>
        <w:rPr>
          <w:rFonts w:hint="eastAsia"/>
        </w:rPr>
        <w:t>本项目主要污染工序情况一览表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1548"/>
        <w:gridCol w:w="1487"/>
        <w:gridCol w:w="2052"/>
        <w:gridCol w:w="1844"/>
        <w:gridCol w:w="1785"/>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90" w:hRule="atLeast"/>
          <w:jc w:val="center"/>
        </w:trPr>
        <w:tc>
          <w:tcPr>
            <w:tcW w:w="888" w:type="pct"/>
            <w:tcBorders>
              <w:bottom w:val="single" w:color="auto" w:sz="12" w:space="0"/>
            </w:tcBorders>
            <w:vAlign w:val="center"/>
          </w:tcPr>
          <w:p>
            <w:pPr>
              <w:pStyle w:val="93"/>
              <w:bidi w:val="0"/>
              <w:rPr>
                <w:b/>
                <w:bCs/>
              </w:rPr>
            </w:pPr>
            <w:r>
              <w:rPr>
                <w:rFonts w:hint="eastAsia"/>
                <w:b/>
                <w:bCs/>
              </w:rPr>
              <w:t>时段</w:t>
            </w:r>
          </w:p>
        </w:tc>
        <w:tc>
          <w:tcPr>
            <w:tcW w:w="853" w:type="pct"/>
            <w:tcBorders>
              <w:bottom w:val="single" w:color="auto" w:sz="12" w:space="0"/>
            </w:tcBorders>
            <w:vAlign w:val="center"/>
          </w:tcPr>
          <w:p>
            <w:pPr>
              <w:pStyle w:val="93"/>
              <w:bidi w:val="0"/>
              <w:rPr>
                <w:b/>
                <w:bCs/>
              </w:rPr>
            </w:pPr>
            <w:r>
              <w:rPr>
                <w:rFonts w:hint="eastAsia"/>
                <w:b/>
                <w:bCs/>
              </w:rPr>
              <w:t>污染因子</w:t>
            </w:r>
          </w:p>
        </w:tc>
        <w:tc>
          <w:tcPr>
            <w:tcW w:w="1177" w:type="pct"/>
            <w:tcBorders>
              <w:bottom w:val="single" w:color="auto" w:sz="12" w:space="0"/>
            </w:tcBorders>
            <w:vAlign w:val="center"/>
          </w:tcPr>
          <w:p>
            <w:pPr>
              <w:pStyle w:val="93"/>
              <w:bidi w:val="0"/>
              <w:rPr>
                <w:b/>
                <w:bCs/>
              </w:rPr>
            </w:pPr>
            <w:r>
              <w:rPr>
                <w:rFonts w:hint="eastAsia"/>
                <w:b/>
                <w:bCs/>
              </w:rPr>
              <w:t>来源</w:t>
            </w:r>
          </w:p>
        </w:tc>
        <w:tc>
          <w:tcPr>
            <w:tcW w:w="1057" w:type="pct"/>
            <w:tcBorders>
              <w:bottom w:val="single" w:color="auto" w:sz="12" w:space="0"/>
            </w:tcBorders>
            <w:vAlign w:val="center"/>
          </w:tcPr>
          <w:p>
            <w:pPr>
              <w:pStyle w:val="93"/>
              <w:bidi w:val="0"/>
              <w:rPr>
                <w:b/>
                <w:bCs/>
              </w:rPr>
            </w:pPr>
            <w:r>
              <w:rPr>
                <w:rFonts w:hint="eastAsia"/>
                <w:b/>
                <w:bCs/>
              </w:rPr>
              <w:t>污染物种类</w:t>
            </w:r>
          </w:p>
        </w:tc>
        <w:tc>
          <w:tcPr>
            <w:tcW w:w="1023" w:type="pct"/>
            <w:tcBorders>
              <w:bottom w:val="single" w:color="auto" w:sz="12" w:space="0"/>
            </w:tcBorders>
            <w:vAlign w:val="center"/>
          </w:tcPr>
          <w:p>
            <w:pPr>
              <w:pStyle w:val="93"/>
              <w:bidi w:val="0"/>
              <w:rPr>
                <w:b/>
                <w:bCs/>
              </w:rPr>
            </w:pPr>
            <w:r>
              <w:rPr>
                <w:rFonts w:hint="eastAsia"/>
                <w:b/>
                <w:bCs/>
              </w:rPr>
              <w:t>排放方式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88" w:type="pct"/>
            <w:vMerge w:val="restart"/>
            <w:tcBorders>
              <w:top w:val="single" w:color="auto" w:sz="12" w:space="0"/>
              <w:tl2br w:val="nil"/>
              <w:tr2bl w:val="nil"/>
            </w:tcBorders>
            <w:vAlign w:val="center"/>
          </w:tcPr>
          <w:p>
            <w:pPr>
              <w:pStyle w:val="93"/>
              <w:bidi w:val="0"/>
            </w:pPr>
            <w:r>
              <w:rPr>
                <w:rFonts w:hint="eastAsia"/>
              </w:rPr>
              <w:t>营运期</w:t>
            </w:r>
          </w:p>
        </w:tc>
        <w:tc>
          <w:tcPr>
            <w:tcW w:w="853" w:type="pct"/>
            <w:tcBorders>
              <w:top w:val="single" w:color="auto" w:sz="12" w:space="0"/>
              <w:tl2br w:val="nil"/>
              <w:tr2bl w:val="nil"/>
            </w:tcBorders>
            <w:vAlign w:val="center"/>
          </w:tcPr>
          <w:p>
            <w:pPr>
              <w:pStyle w:val="93"/>
              <w:bidi w:val="0"/>
            </w:pPr>
            <w:r>
              <w:rPr>
                <w:rFonts w:hint="eastAsia"/>
              </w:rPr>
              <w:t>废气</w:t>
            </w:r>
          </w:p>
        </w:tc>
        <w:tc>
          <w:tcPr>
            <w:tcW w:w="1177" w:type="pct"/>
            <w:tcBorders>
              <w:top w:val="single" w:color="auto" w:sz="12" w:space="0"/>
              <w:tl2br w:val="nil"/>
              <w:tr2bl w:val="nil"/>
            </w:tcBorders>
            <w:vAlign w:val="center"/>
          </w:tcPr>
          <w:p>
            <w:pPr>
              <w:pStyle w:val="93"/>
              <w:bidi w:val="0"/>
            </w:pPr>
            <w:r>
              <w:rPr>
                <w:rFonts w:hint="eastAsia"/>
              </w:rPr>
              <w:t>车削</w:t>
            </w:r>
          </w:p>
        </w:tc>
        <w:tc>
          <w:tcPr>
            <w:tcW w:w="1057" w:type="pct"/>
            <w:tcBorders>
              <w:top w:val="single" w:color="auto" w:sz="12" w:space="0"/>
              <w:tl2br w:val="nil"/>
              <w:tr2bl w:val="nil"/>
            </w:tcBorders>
            <w:vAlign w:val="center"/>
          </w:tcPr>
          <w:p>
            <w:pPr>
              <w:pStyle w:val="93"/>
              <w:bidi w:val="0"/>
            </w:pPr>
            <w:r>
              <w:rPr>
                <w:rFonts w:hint="eastAsia"/>
              </w:rPr>
              <w:t>金属粉尘</w:t>
            </w:r>
          </w:p>
        </w:tc>
        <w:tc>
          <w:tcPr>
            <w:tcW w:w="1023" w:type="pct"/>
            <w:tcBorders>
              <w:top w:val="single" w:color="auto" w:sz="12" w:space="0"/>
              <w:tl2br w:val="nil"/>
              <w:tr2bl w:val="nil"/>
            </w:tcBorders>
            <w:vAlign w:val="center"/>
          </w:tcPr>
          <w:p>
            <w:pPr>
              <w:pStyle w:val="93"/>
              <w:bidi w:val="0"/>
            </w:pPr>
            <w:r>
              <w:rPr>
                <w:rFonts w:hint="eastAsia"/>
              </w:rPr>
              <w:t>无组织，自然沉降</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88" w:type="pct"/>
            <w:vMerge w:val="continue"/>
            <w:tcBorders>
              <w:tl2br w:val="nil"/>
              <w:tr2bl w:val="nil"/>
            </w:tcBorders>
            <w:vAlign w:val="center"/>
          </w:tcPr>
          <w:p>
            <w:pPr>
              <w:pStyle w:val="93"/>
              <w:bidi w:val="0"/>
            </w:pPr>
          </w:p>
        </w:tc>
        <w:tc>
          <w:tcPr>
            <w:tcW w:w="853" w:type="pct"/>
            <w:tcBorders>
              <w:tl2br w:val="nil"/>
              <w:tr2bl w:val="nil"/>
            </w:tcBorders>
            <w:vAlign w:val="center"/>
          </w:tcPr>
          <w:p>
            <w:pPr>
              <w:pStyle w:val="93"/>
              <w:bidi w:val="0"/>
            </w:pPr>
            <w:r>
              <w:rPr>
                <w:rFonts w:hint="eastAsia"/>
              </w:rPr>
              <w:t>废水</w:t>
            </w:r>
          </w:p>
        </w:tc>
        <w:tc>
          <w:tcPr>
            <w:tcW w:w="1177" w:type="pct"/>
            <w:tcBorders>
              <w:tl2br w:val="nil"/>
              <w:tr2bl w:val="nil"/>
            </w:tcBorders>
            <w:vAlign w:val="center"/>
          </w:tcPr>
          <w:p>
            <w:pPr>
              <w:pStyle w:val="93"/>
              <w:bidi w:val="0"/>
            </w:pPr>
            <w:r>
              <w:rPr>
                <w:rFonts w:hint="eastAsia"/>
              </w:rPr>
              <w:t>工作人员，生产过程</w:t>
            </w:r>
          </w:p>
        </w:tc>
        <w:tc>
          <w:tcPr>
            <w:tcW w:w="1057" w:type="pct"/>
            <w:tcBorders>
              <w:tl2br w:val="nil"/>
              <w:tr2bl w:val="nil"/>
            </w:tcBorders>
            <w:vAlign w:val="center"/>
          </w:tcPr>
          <w:p>
            <w:pPr>
              <w:pStyle w:val="93"/>
              <w:bidi w:val="0"/>
            </w:pPr>
            <w:r>
              <w:rPr>
                <w:rFonts w:hint="eastAsia"/>
              </w:rPr>
              <w:t>CODcr、BOD5、SS、NH3-N、石油类、LAS</w:t>
            </w:r>
          </w:p>
        </w:tc>
        <w:tc>
          <w:tcPr>
            <w:tcW w:w="1023" w:type="pct"/>
            <w:tcBorders>
              <w:tl2br w:val="nil"/>
              <w:tr2bl w:val="nil"/>
            </w:tcBorders>
            <w:vAlign w:val="center"/>
          </w:tcPr>
          <w:p>
            <w:pPr>
              <w:pStyle w:val="93"/>
              <w:bidi w:val="0"/>
            </w:pPr>
            <w:r>
              <w:rPr>
                <w:rFonts w:hint="eastAsia"/>
              </w:rPr>
              <w:t>间断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88" w:type="pct"/>
            <w:vMerge w:val="continue"/>
            <w:tcBorders>
              <w:tl2br w:val="nil"/>
              <w:tr2bl w:val="nil"/>
            </w:tcBorders>
            <w:vAlign w:val="center"/>
          </w:tcPr>
          <w:p>
            <w:pPr>
              <w:pStyle w:val="93"/>
              <w:bidi w:val="0"/>
            </w:pPr>
          </w:p>
        </w:tc>
        <w:tc>
          <w:tcPr>
            <w:tcW w:w="853" w:type="pct"/>
            <w:tcBorders>
              <w:tl2br w:val="nil"/>
              <w:tr2bl w:val="nil"/>
            </w:tcBorders>
            <w:vAlign w:val="center"/>
          </w:tcPr>
          <w:p>
            <w:pPr>
              <w:pStyle w:val="93"/>
              <w:bidi w:val="0"/>
            </w:pPr>
            <w:r>
              <w:rPr>
                <w:rFonts w:hint="eastAsia"/>
              </w:rPr>
              <w:t>噪声</w:t>
            </w:r>
          </w:p>
        </w:tc>
        <w:tc>
          <w:tcPr>
            <w:tcW w:w="1177" w:type="pct"/>
            <w:tcBorders>
              <w:tl2br w:val="nil"/>
              <w:tr2bl w:val="nil"/>
            </w:tcBorders>
            <w:vAlign w:val="center"/>
          </w:tcPr>
          <w:p>
            <w:pPr>
              <w:pStyle w:val="93"/>
              <w:bidi w:val="0"/>
            </w:pPr>
            <w:r>
              <w:rPr>
                <w:rFonts w:hint="eastAsia"/>
              </w:rPr>
              <w:t>设备生产噪声</w:t>
            </w:r>
          </w:p>
        </w:tc>
        <w:tc>
          <w:tcPr>
            <w:tcW w:w="1057" w:type="pct"/>
            <w:tcBorders>
              <w:tl2br w:val="nil"/>
              <w:tr2bl w:val="nil"/>
            </w:tcBorders>
            <w:vAlign w:val="center"/>
          </w:tcPr>
          <w:p>
            <w:pPr>
              <w:pStyle w:val="93"/>
              <w:bidi w:val="0"/>
            </w:pPr>
            <w:r>
              <w:rPr>
                <w:rFonts w:hint="eastAsia"/>
              </w:rPr>
              <w:t>机械噪声</w:t>
            </w:r>
          </w:p>
        </w:tc>
        <w:tc>
          <w:tcPr>
            <w:tcW w:w="1023" w:type="pct"/>
            <w:tcBorders>
              <w:tl2br w:val="nil"/>
              <w:tr2bl w:val="nil"/>
            </w:tcBorders>
            <w:vAlign w:val="center"/>
          </w:tcPr>
          <w:p>
            <w:pPr>
              <w:pStyle w:val="93"/>
              <w:bidi w:val="0"/>
            </w:pPr>
            <w:r>
              <w:rPr>
                <w:rFonts w:hint="eastAsia"/>
              </w:rPr>
              <w:t>连续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88" w:type="pct"/>
            <w:vMerge w:val="continue"/>
            <w:tcBorders>
              <w:tl2br w:val="nil"/>
              <w:tr2bl w:val="nil"/>
            </w:tcBorders>
            <w:vAlign w:val="center"/>
          </w:tcPr>
          <w:p>
            <w:pPr>
              <w:pStyle w:val="93"/>
              <w:bidi w:val="0"/>
            </w:pPr>
          </w:p>
        </w:tc>
        <w:tc>
          <w:tcPr>
            <w:tcW w:w="853" w:type="pct"/>
            <w:tcBorders>
              <w:tl2br w:val="nil"/>
              <w:tr2bl w:val="nil"/>
            </w:tcBorders>
            <w:vAlign w:val="center"/>
          </w:tcPr>
          <w:p>
            <w:pPr>
              <w:pStyle w:val="93"/>
              <w:bidi w:val="0"/>
            </w:pPr>
            <w:r>
              <w:rPr>
                <w:rFonts w:hint="eastAsia"/>
              </w:rPr>
              <w:t>固体废物</w:t>
            </w:r>
          </w:p>
        </w:tc>
        <w:tc>
          <w:tcPr>
            <w:tcW w:w="1177" w:type="pct"/>
            <w:tcBorders>
              <w:tl2br w:val="nil"/>
              <w:tr2bl w:val="nil"/>
            </w:tcBorders>
            <w:vAlign w:val="center"/>
          </w:tcPr>
          <w:p>
            <w:pPr>
              <w:pStyle w:val="93"/>
              <w:bidi w:val="0"/>
            </w:pPr>
            <w:r>
              <w:rPr>
                <w:rFonts w:hint="eastAsia"/>
              </w:rPr>
              <w:t>生产过程，工作人员</w:t>
            </w:r>
          </w:p>
        </w:tc>
        <w:tc>
          <w:tcPr>
            <w:tcW w:w="1057" w:type="pct"/>
            <w:tcBorders>
              <w:tl2br w:val="nil"/>
              <w:tr2bl w:val="nil"/>
            </w:tcBorders>
            <w:vAlign w:val="center"/>
          </w:tcPr>
          <w:p>
            <w:pPr>
              <w:pStyle w:val="93"/>
              <w:bidi w:val="0"/>
            </w:pPr>
            <w:r>
              <w:rPr>
                <w:rFonts w:hint="eastAsia"/>
              </w:rPr>
              <w:t>生活垃圾，工业固废</w:t>
            </w:r>
          </w:p>
        </w:tc>
        <w:tc>
          <w:tcPr>
            <w:tcW w:w="1023" w:type="pct"/>
            <w:tcBorders>
              <w:tl2br w:val="nil"/>
              <w:tr2bl w:val="nil"/>
            </w:tcBorders>
            <w:vAlign w:val="center"/>
          </w:tcPr>
          <w:p>
            <w:pPr>
              <w:pStyle w:val="93"/>
              <w:bidi w:val="0"/>
            </w:pPr>
            <w:r>
              <w:rPr>
                <w:rFonts w:hint="eastAsia"/>
              </w:rPr>
              <w:t>连续</w:t>
            </w:r>
          </w:p>
        </w:tc>
      </w:tr>
    </w:tbl>
    <w:p>
      <w:pPr>
        <w:pStyle w:val="11"/>
        <w:tabs>
          <w:tab w:val="left" w:pos="3363"/>
        </w:tabs>
        <w:spacing w:after="0"/>
        <w:jc w:val="center"/>
        <w:rPr>
          <w:rFonts w:ascii="Times New Roman" w:hAnsi="Times New Roman" w:cs="宋体"/>
          <w:sz w:val="24"/>
          <w:szCs w:val="24"/>
        </w:rPr>
      </w:pPr>
    </w:p>
    <w:p>
      <w:pPr>
        <w:pStyle w:val="82"/>
        <w:spacing w:before="163"/>
      </w:pPr>
      <w:r>
        <w:rPr>
          <w:rFonts w:hint="eastAsia"/>
        </w:rPr>
        <w:t>表2.6.1-2</w:t>
      </w:r>
      <w:r>
        <w:t xml:space="preserve"> </w:t>
      </w:r>
      <w:r>
        <w:rPr>
          <w:rFonts w:hint="eastAsia"/>
        </w:rPr>
        <w:t>本项目工程废水污染物产排情况一览表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1441"/>
        <w:gridCol w:w="1850"/>
        <w:gridCol w:w="912"/>
        <w:gridCol w:w="799"/>
        <w:gridCol w:w="860"/>
        <w:gridCol w:w="951"/>
        <w:gridCol w:w="899"/>
        <w:gridCol w:w="1004"/>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90" w:hRule="atLeast"/>
          <w:jc w:val="center"/>
        </w:trPr>
        <w:tc>
          <w:tcPr>
            <w:tcW w:w="1886" w:type="pct"/>
            <w:gridSpan w:val="2"/>
            <w:tcBorders>
              <w:bottom w:val="single" w:color="auto" w:sz="12" w:space="0"/>
            </w:tcBorders>
            <w:vAlign w:val="center"/>
          </w:tcPr>
          <w:p>
            <w:pPr>
              <w:pStyle w:val="83"/>
              <w:rPr>
                <w:b/>
              </w:rPr>
            </w:pPr>
            <w:r>
              <w:rPr>
                <w:rFonts w:hint="eastAsia"/>
                <w:b/>
              </w:rPr>
              <w:t>类别</w:t>
            </w:r>
          </w:p>
        </w:tc>
        <w:tc>
          <w:tcPr>
            <w:tcW w:w="525" w:type="pct"/>
            <w:tcBorders>
              <w:bottom w:val="single" w:color="auto" w:sz="12" w:space="0"/>
            </w:tcBorders>
            <w:vAlign w:val="center"/>
          </w:tcPr>
          <w:p>
            <w:pPr>
              <w:pStyle w:val="83"/>
              <w:rPr>
                <w:b/>
              </w:rPr>
            </w:pPr>
            <w:r>
              <w:rPr>
                <w:rFonts w:hint="eastAsia"/>
                <w:b/>
              </w:rPr>
              <w:t>COD</w:t>
            </w:r>
            <w:r>
              <w:rPr>
                <w:rFonts w:hint="eastAsia"/>
                <w:b/>
                <w:vertAlign w:val="subscript"/>
              </w:rPr>
              <w:t>cr</w:t>
            </w:r>
          </w:p>
        </w:tc>
        <w:tc>
          <w:tcPr>
            <w:tcW w:w="460" w:type="pct"/>
            <w:tcBorders>
              <w:bottom w:val="single" w:color="auto" w:sz="12" w:space="0"/>
            </w:tcBorders>
            <w:vAlign w:val="center"/>
          </w:tcPr>
          <w:p>
            <w:pPr>
              <w:pStyle w:val="83"/>
              <w:rPr>
                <w:b/>
              </w:rPr>
            </w:pPr>
            <w:r>
              <w:rPr>
                <w:rFonts w:hint="eastAsia"/>
                <w:b/>
              </w:rPr>
              <w:t>SS</w:t>
            </w:r>
          </w:p>
        </w:tc>
        <w:tc>
          <w:tcPr>
            <w:tcW w:w="495" w:type="pct"/>
            <w:tcBorders>
              <w:bottom w:val="single" w:color="auto" w:sz="12" w:space="0"/>
            </w:tcBorders>
            <w:vAlign w:val="center"/>
          </w:tcPr>
          <w:p>
            <w:pPr>
              <w:pStyle w:val="83"/>
              <w:rPr>
                <w:b/>
                <w:vertAlign w:val="subscript"/>
              </w:rPr>
            </w:pPr>
            <w:r>
              <w:rPr>
                <w:rFonts w:hint="eastAsia"/>
                <w:b/>
              </w:rPr>
              <w:t>BOD</w:t>
            </w:r>
            <w:r>
              <w:rPr>
                <w:rFonts w:hint="eastAsia"/>
                <w:b/>
                <w:vertAlign w:val="subscript"/>
              </w:rPr>
              <w:t>5</w:t>
            </w:r>
          </w:p>
        </w:tc>
        <w:tc>
          <w:tcPr>
            <w:tcW w:w="547" w:type="pct"/>
            <w:tcBorders>
              <w:bottom w:val="single" w:color="auto" w:sz="12" w:space="0"/>
            </w:tcBorders>
            <w:vAlign w:val="center"/>
          </w:tcPr>
          <w:p>
            <w:pPr>
              <w:pStyle w:val="83"/>
              <w:rPr>
                <w:b/>
              </w:rPr>
            </w:pPr>
            <w:r>
              <w:rPr>
                <w:rFonts w:hint="eastAsia"/>
                <w:b/>
              </w:rPr>
              <w:t>NH</w:t>
            </w:r>
            <w:r>
              <w:rPr>
                <w:rFonts w:hint="eastAsia"/>
                <w:b/>
                <w:vertAlign w:val="subscript"/>
              </w:rPr>
              <w:t>3</w:t>
            </w:r>
            <w:r>
              <w:rPr>
                <w:rFonts w:hint="eastAsia"/>
                <w:b/>
              </w:rPr>
              <w:t>-N</w:t>
            </w:r>
          </w:p>
        </w:tc>
        <w:tc>
          <w:tcPr>
            <w:tcW w:w="517" w:type="pct"/>
            <w:tcBorders>
              <w:bottom w:val="single" w:color="auto" w:sz="12" w:space="0"/>
            </w:tcBorders>
            <w:vAlign w:val="center"/>
          </w:tcPr>
          <w:p>
            <w:pPr>
              <w:pStyle w:val="83"/>
              <w:rPr>
                <w:b/>
              </w:rPr>
            </w:pPr>
            <w:r>
              <w:rPr>
                <w:rFonts w:hint="eastAsia"/>
                <w:b/>
              </w:rPr>
              <w:t>石油类</w:t>
            </w:r>
          </w:p>
        </w:tc>
        <w:tc>
          <w:tcPr>
            <w:tcW w:w="567" w:type="pct"/>
            <w:tcBorders>
              <w:bottom w:val="single" w:color="auto" w:sz="12" w:space="0"/>
            </w:tcBorders>
            <w:vAlign w:val="center"/>
          </w:tcPr>
          <w:p>
            <w:pPr>
              <w:pStyle w:val="83"/>
              <w:rPr>
                <w:b/>
              </w:rPr>
            </w:pPr>
            <w:r>
              <w:rPr>
                <w:rFonts w:hint="eastAsia"/>
                <w:b/>
              </w:rPr>
              <w:t>LAS</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23" w:type="pct"/>
            <w:vMerge w:val="restart"/>
            <w:tcBorders>
              <w:top w:val="single" w:color="auto" w:sz="12" w:space="0"/>
              <w:tl2br w:val="nil"/>
              <w:tr2bl w:val="nil"/>
            </w:tcBorders>
            <w:vAlign w:val="center"/>
          </w:tcPr>
          <w:p>
            <w:pPr>
              <w:pStyle w:val="83"/>
            </w:pPr>
            <w:r>
              <w:t>生活污水（</w:t>
            </w:r>
            <w:r>
              <w:rPr>
                <w:rFonts w:hint="eastAsia"/>
              </w:rPr>
              <w:t>720</w:t>
            </w:r>
            <w:r>
              <w:rPr>
                <w:highlight w:val="none"/>
              </w:rPr>
              <w:t>m</w:t>
            </w:r>
            <w:r>
              <w:rPr>
                <w:highlight w:val="none"/>
                <w:vertAlign w:val="superscript"/>
              </w:rPr>
              <w:t>3</w:t>
            </w:r>
            <w:r>
              <w:t>/a）</w:t>
            </w:r>
          </w:p>
        </w:tc>
        <w:tc>
          <w:tcPr>
            <w:tcW w:w="1062" w:type="pct"/>
            <w:tcBorders>
              <w:top w:val="single" w:color="auto" w:sz="12" w:space="0"/>
              <w:tl2br w:val="nil"/>
              <w:tr2bl w:val="nil"/>
            </w:tcBorders>
            <w:vAlign w:val="center"/>
          </w:tcPr>
          <w:p>
            <w:pPr>
              <w:pStyle w:val="83"/>
            </w:pPr>
            <w:r>
              <w:rPr>
                <w:rFonts w:ascii="宋体" w:hAnsi="宋体" w:cs="宋体"/>
              </w:rPr>
              <w:t>产生浓度</w:t>
            </w:r>
            <w:r>
              <w:rPr>
                <w:rFonts w:ascii="宋体" w:hAnsi="宋体" w:cs="宋体"/>
                <w:spacing w:val="-55"/>
              </w:rPr>
              <w:t xml:space="preserve"> </w:t>
            </w:r>
            <w:r>
              <w:rPr>
                <w:rFonts w:eastAsia="Times New Roman"/>
              </w:rPr>
              <w:t>mg/L</w:t>
            </w:r>
          </w:p>
        </w:tc>
        <w:tc>
          <w:tcPr>
            <w:tcW w:w="525" w:type="pct"/>
            <w:tcBorders>
              <w:top w:val="single" w:color="auto" w:sz="12" w:space="0"/>
              <w:tl2br w:val="nil"/>
              <w:tr2bl w:val="nil"/>
            </w:tcBorders>
            <w:vAlign w:val="center"/>
          </w:tcPr>
          <w:p>
            <w:pPr>
              <w:pStyle w:val="83"/>
            </w:pPr>
            <w:r>
              <w:rPr>
                <w:rFonts w:hint="eastAsia"/>
              </w:rPr>
              <w:t>250</w:t>
            </w:r>
          </w:p>
        </w:tc>
        <w:tc>
          <w:tcPr>
            <w:tcW w:w="460" w:type="pct"/>
            <w:tcBorders>
              <w:top w:val="single" w:color="auto" w:sz="12" w:space="0"/>
              <w:tl2br w:val="nil"/>
              <w:tr2bl w:val="nil"/>
            </w:tcBorders>
            <w:vAlign w:val="center"/>
          </w:tcPr>
          <w:p>
            <w:pPr>
              <w:pStyle w:val="83"/>
            </w:pPr>
            <w:r>
              <w:rPr>
                <w:rFonts w:hint="eastAsia"/>
              </w:rPr>
              <w:t>150</w:t>
            </w:r>
          </w:p>
        </w:tc>
        <w:tc>
          <w:tcPr>
            <w:tcW w:w="495" w:type="pct"/>
            <w:tcBorders>
              <w:top w:val="single" w:color="auto" w:sz="12" w:space="0"/>
              <w:tl2br w:val="nil"/>
              <w:tr2bl w:val="nil"/>
            </w:tcBorders>
            <w:vAlign w:val="center"/>
          </w:tcPr>
          <w:p>
            <w:pPr>
              <w:pStyle w:val="83"/>
            </w:pPr>
            <w:r>
              <w:rPr>
                <w:rFonts w:hint="eastAsia"/>
              </w:rPr>
              <w:t>100</w:t>
            </w:r>
          </w:p>
        </w:tc>
        <w:tc>
          <w:tcPr>
            <w:tcW w:w="547" w:type="pct"/>
            <w:tcBorders>
              <w:top w:val="single" w:color="auto" w:sz="12" w:space="0"/>
              <w:tl2br w:val="nil"/>
              <w:tr2bl w:val="nil"/>
            </w:tcBorders>
            <w:vAlign w:val="center"/>
          </w:tcPr>
          <w:p>
            <w:pPr>
              <w:pStyle w:val="83"/>
            </w:pPr>
            <w:r>
              <w:rPr>
                <w:rFonts w:hint="eastAsia"/>
              </w:rPr>
              <w:t>25</w:t>
            </w:r>
          </w:p>
        </w:tc>
        <w:tc>
          <w:tcPr>
            <w:tcW w:w="517" w:type="pct"/>
            <w:tcBorders>
              <w:top w:val="single" w:color="auto" w:sz="12" w:space="0"/>
              <w:tl2br w:val="nil"/>
              <w:tr2bl w:val="nil"/>
            </w:tcBorders>
            <w:vAlign w:val="center"/>
          </w:tcPr>
          <w:p>
            <w:pPr>
              <w:pStyle w:val="83"/>
            </w:pPr>
            <w:r>
              <w:rPr>
                <w:rFonts w:hint="eastAsia"/>
              </w:rPr>
              <w:t>/</w:t>
            </w:r>
          </w:p>
        </w:tc>
        <w:tc>
          <w:tcPr>
            <w:tcW w:w="567" w:type="pct"/>
            <w:tcBorders>
              <w:top w:val="single" w:color="auto" w:sz="12" w:space="0"/>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产生量</w:t>
            </w:r>
            <w:r>
              <w:rPr>
                <w:rFonts w:ascii="宋体" w:hAnsi="宋体" w:cs="宋体"/>
                <w:spacing w:val="-52"/>
              </w:rPr>
              <w:t xml:space="preserve"> </w:t>
            </w:r>
            <w:r>
              <w:rPr>
                <w:rFonts w:eastAsia="Times New Roman"/>
                <w:spacing w:val="-2"/>
              </w:rPr>
              <w:t>t/a</w:t>
            </w:r>
          </w:p>
        </w:tc>
        <w:tc>
          <w:tcPr>
            <w:tcW w:w="525" w:type="pct"/>
            <w:tcBorders>
              <w:tl2br w:val="nil"/>
              <w:tr2bl w:val="nil"/>
            </w:tcBorders>
            <w:vAlign w:val="center"/>
          </w:tcPr>
          <w:p>
            <w:pPr>
              <w:pStyle w:val="83"/>
            </w:pPr>
            <w:r>
              <w:rPr>
                <w:rFonts w:hint="eastAsia"/>
              </w:rPr>
              <w:t>0.18</w:t>
            </w:r>
          </w:p>
        </w:tc>
        <w:tc>
          <w:tcPr>
            <w:tcW w:w="460" w:type="pct"/>
            <w:tcBorders>
              <w:tl2br w:val="nil"/>
              <w:tr2bl w:val="nil"/>
            </w:tcBorders>
            <w:vAlign w:val="center"/>
          </w:tcPr>
          <w:p>
            <w:pPr>
              <w:pStyle w:val="83"/>
            </w:pPr>
            <w:r>
              <w:rPr>
                <w:rFonts w:hint="eastAsia"/>
              </w:rPr>
              <w:t>0.108</w:t>
            </w:r>
          </w:p>
        </w:tc>
        <w:tc>
          <w:tcPr>
            <w:tcW w:w="495" w:type="pct"/>
            <w:tcBorders>
              <w:tl2br w:val="nil"/>
              <w:tr2bl w:val="nil"/>
            </w:tcBorders>
            <w:vAlign w:val="center"/>
          </w:tcPr>
          <w:p>
            <w:pPr>
              <w:pStyle w:val="83"/>
            </w:pPr>
            <w:r>
              <w:rPr>
                <w:rFonts w:hint="eastAsia"/>
              </w:rPr>
              <w:t>0.072</w:t>
            </w:r>
          </w:p>
        </w:tc>
        <w:tc>
          <w:tcPr>
            <w:tcW w:w="547" w:type="pct"/>
            <w:tcBorders>
              <w:tl2br w:val="nil"/>
              <w:tr2bl w:val="nil"/>
            </w:tcBorders>
            <w:vAlign w:val="center"/>
          </w:tcPr>
          <w:p>
            <w:pPr>
              <w:pStyle w:val="83"/>
            </w:pPr>
            <w:r>
              <w:rPr>
                <w:rFonts w:hint="eastAsia"/>
              </w:rPr>
              <w:t>0.018</w:t>
            </w:r>
          </w:p>
        </w:tc>
        <w:tc>
          <w:tcPr>
            <w:tcW w:w="517" w:type="pct"/>
            <w:tcBorders>
              <w:tl2br w:val="nil"/>
              <w:tr2bl w:val="nil"/>
            </w:tcBorders>
            <w:vAlign w:val="center"/>
          </w:tcPr>
          <w:p>
            <w:pPr>
              <w:pStyle w:val="83"/>
            </w:pPr>
            <w:r>
              <w:rPr>
                <w:rFonts w:hint="eastAsia"/>
              </w:rPr>
              <w:t>/</w:t>
            </w:r>
          </w:p>
        </w:tc>
        <w:tc>
          <w:tcPr>
            <w:tcW w:w="567" w:type="pct"/>
            <w:tcBorders>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化粪池去除效率</w:t>
            </w:r>
            <w:r>
              <w:rPr>
                <w:rFonts w:eastAsia="Times New Roman"/>
              </w:rPr>
              <w:t>%</w:t>
            </w:r>
          </w:p>
        </w:tc>
        <w:tc>
          <w:tcPr>
            <w:tcW w:w="525" w:type="pct"/>
            <w:tcBorders>
              <w:tl2br w:val="nil"/>
              <w:tr2bl w:val="nil"/>
            </w:tcBorders>
            <w:vAlign w:val="center"/>
          </w:tcPr>
          <w:p>
            <w:pPr>
              <w:pStyle w:val="83"/>
            </w:pPr>
            <w:r>
              <w:rPr>
                <w:rFonts w:hint="eastAsia"/>
              </w:rPr>
              <w:t>30</w:t>
            </w:r>
          </w:p>
        </w:tc>
        <w:tc>
          <w:tcPr>
            <w:tcW w:w="460" w:type="pct"/>
            <w:tcBorders>
              <w:tl2br w:val="nil"/>
              <w:tr2bl w:val="nil"/>
            </w:tcBorders>
            <w:vAlign w:val="center"/>
          </w:tcPr>
          <w:p>
            <w:pPr>
              <w:pStyle w:val="83"/>
            </w:pPr>
            <w:r>
              <w:rPr>
                <w:rFonts w:hint="eastAsia"/>
              </w:rPr>
              <w:t>20</w:t>
            </w:r>
          </w:p>
        </w:tc>
        <w:tc>
          <w:tcPr>
            <w:tcW w:w="495" w:type="pct"/>
            <w:tcBorders>
              <w:tl2br w:val="nil"/>
              <w:tr2bl w:val="nil"/>
            </w:tcBorders>
            <w:vAlign w:val="center"/>
          </w:tcPr>
          <w:p>
            <w:pPr>
              <w:pStyle w:val="83"/>
            </w:pPr>
            <w:r>
              <w:rPr>
                <w:rFonts w:hint="eastAsia"/>
              </w:rPr>
              <w:t>50</w:t>
            </w:r>
          </w:p>
        </w:tc>
        <w:tc>
          <w:tcPr>
            <w:tcW w:w="547" w:type="pct"/>
            <w:tcBorders>
              <w:tl2br w:val="nil"/>
              <w:tr2bl w:val="nil"/>
            </w:tcBorders>
            <w:vAlign w:val="center"/>
          </w:tcPr>
          <w:p>
            <w:pPr>
              <w:pStyle w:val="83"/>
            </w:pPr>
            <w:r>
              <w:rPr>
                <w:rFonts w:hint="eastAsia"/>
              </w:rPr>
              <w:t>20</w:t>
            </w:r>
          </w:p>
        </w:tc>
        <w:tc>
          <w:tcPr>
            <w:tcW w:w="517" w:type="pct"/>
            <w:tcBorders>
              <w:tl2br w:val="nil"/>
              <w:tr2bl w:val="nil"/>
            </w:tcBorders>
            <w:vAlign w:val="center"/>
          </w:tcPr>
          <w:p>
            <w:pPr>
              <w:pStyle w:val="83"/>
            </w:pPr>
            <w:r>
              <w:rPr>
                <w:rFonts w:hint="eastAsia"/>
              </w:rPr>
              <w:t>/</w:t>
            </w:r>
          </w:p>
        </w:tc>
        <w:tc>
          <w:tcPr>
            <w:tcW w:w="567" w:type="pct"/>
            <w:tcBorders>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00"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排放浓度</w:t>
            </w:r>
            <w:r>
              <w:rPr>
                <w:rFonts w:ascii="宋体" w:hAnsi="宋体" w:cs="宋体"/>
                <w:spacing w:val="-55"/>
              </w:rPr>
              <w:t xml:space="preserve"> </w:t>
            </w:r>
            <w:r>
              <w:rPr>
                <w:rFonts w:eastAsia="Times New Roman"/>
              </w:rPr>
              <w:t>mg/L</w:t>
            </w:r>
          </w:p>
        </w:tc>
        <w:tc>
          <w:tcPr>
            <w:tcW w:w="525" w:type="pct"/>
            <w:tcBorders>
              <w:tl2br w:val="nil"/>
              <w:tr2bl w:val="nil"/>
            </w:tcBorders>
            <w:vAlign w:val="center"/>
          </w:tcPr>
          <w:p>
            <w:pPr>
              <w:pStyle w:val="83"/>
            </w:pPr>
            <w:r>
              <w:rPr>
                <w:rFonts w:hint="eastAsia"/>
              </w:rPr>
              <w:t>175</w:t>
            </w:r>
          </w:p>
        </w:tc>
        <w:tc>
          <w:tcPr>
            <w:tcW w:w="460" w:type="pct"/>
            <w:tcBorders>
              <w:tl2br w:val="nil"/>
              <w:tr2bl w:val="nil"/>
            </w:tcBorders>
            <w:vAlign w:val="center"/>
          </w:tcPr>
          <w:p>
            <w:pPr>
              <w:pStyle w:val="83"/>
            </w:pPr>
            <w:r>
              <w:rPr>
                <w:rFonts w:hint="eastAsia"/>
              </w:rPr>
              <w:t>120</w:t>
            </w:r>
          </w:p>
        </w:tc>
        <w:tc>
          <w:tcPr>
            <w:tcW w:w="495" w:type="pct"/>
            <w:tcBorders>
              <w:tl2br w:val="nil"/>
              <w:tr2bl w:val="nil"/>
            </w:tcBorders>
            <w:vAlign w:val="center"/>
          </w:tcPr>
          <w:p>
            <w:pPr>
              <w:pStyle w:val="83"/>
            </w:pPr>
            <w:r>
              <w:rPr>
                <w:rFonts w:hint="eastAsia"/>
              </w:rPr>
              <w:t>50</w:t>
            </w:r>
          </w:p>
        </w:tc>
        <w:tc>
          <w:tcPr>
            <w:tcW w:w="547" w:type="pct"/>
            <w:tcBorders>
              <w:tl2br w:val="nil"/>
              <w:tr2bl w:val="nil"/>
            </w:tcBorders>
            <w:vAlign w:val="center"/>
          </w:tcPr>
          <w:p>
            <w:pPr>
              <w:pStyle w:val="83"/>
            </w:pPr>
            <w:r>
              <w:rPr>
                <w:rFonts w:hint="eastAsia"/>
              </w:rPr>
              <w:t>20</w:t>
            </w:r>
          </w:p>
        </w:tc>
        <w:tc>
          <w:tcPr>
            <w:tcW w:w="517" w:type="pct"/>
            <w:tcBorders>
              <w:tl2br w:val="nil"/>
              <w:tr2bl w:val="nil"/>
            </w:tcBorders>
            <w:vAlign w:val="center"/>
          </w:tcPr>
          <w:p>
            <w:pPr>
              <w:pStyle w:val="83"/>
            </w:pPr>
            <w:r>
              <w:rPr>
                <w:rFonts w:hint="eastAsia"/>
              </w:rPr>
              <w:t>/</w:t>
            </w:r>
          </w:p>
        </w:tc>
        <w:tc>
          <w:tcPr>
            <w:tcW w:w="567" w:type="pct"/>
            <w:tcBorders>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rPr>
                <w:highlight w:val="red"/>
              </w:rPr>
            </w:pPr>
            <w:r>
              <w:rPr>
                <w:rFonts w:ascii="宋体" w:hAnsi="宋体" w:cs="宋体"/>
              </w:rPr>
              <w:t>排放量</w:t>
            </w:r>
            <w:r>
              <w:rPr>
                <w:rFonts w:ascii="宋体" w:hAnsi="宋体" w:cs="宋体"/>
                <w:spacing w:val="-52"/>
              </w:rPr>
              <w:t xml:space="preserve"> </w:t>
            </w:r>
            <w:r>
              <w:rPr>
                <w:rFonts w:eastAsia="Times New Roman"/>
                <w:spacing w:val="-2"/>
              </w:rPr>
              <w:t>t/a</w:t>
            </w:r>
          </w:p>
        </w:tc>
        <w:tc>
          <w:tcPr>
            <w:tcW w:w="525" w:type="pct"/>
            <w:tcBorders>
              <w:tl2br w:val="nil"/>
              <w:tr2bl w:val="nil"/>
            </w:tcBorders>
            <w:vAlign w:val="center"/>
          </w:tcPr>
          <w:p>
            <w:pPr>
              <w:pStyle w:val="83"/>
            </w:pPr>
            <w:r>
              <w:rPr>
                <w:rFonts w:hint="eastAsia"/>
              </w:rPr>
              <w:t>0.126</w:t>
            </w:r>
          </w:p>
        </w:tc>
        <w:tc>
          <w:tcPr>
            <w:tcW w:w="460" w:type="pct"/>
            <w:tcBorders>
              <w:tl2br w:val="nil"/>
              <w:tr2bl w:val="nil"/>
            </w:tcBorders>
            <w:vAlign w:val="center"/>
          </w:tcPr>
          <w:p>
            <w:pPr>
              <w:pStyle w:val="83"/>
            </w:pPr>
            <w:r>
              <w:rPr>
                <w:rFonts w:hint="eastAsia"/>
              </w:rPr>
              <w:t>0.086</w:t>
            </w:r>
          </w:p>
        </w:tc>
        <w:tc>
          <w:tcPr>
            <w:tcW w:w="495" w:type="pct"/>
            <w:tcBorders>
              <w:tl2br w:val="nil"/>
              <w:tr2bl w:val="nil"/>
            </w:tcBorders>
            <w:vAlign w:val="center"/>
          </w:tcPr>
          <w:p>
            <w:pPr>
              <w:pStyle w:val="83"/>
            </w:pPr>
            <w:r>
              <w:rPr>
                <w:rFonts w:hint="eastAsia"/>
              </w:rPr>
              <w:t>0.036</w:t>
            </w:r>
          </w:p>
        </w:tc>
        <w:tc>
          <w:tcPr>
            <w:tcW w:w="547" w:type="pct"/>
            <w:tcBorders>
              <w:tl2br w:val="nil"/>
              <w:tr2bl w:val="nil"/>
            </w:tcBorders>
            <w:vAlign w:val="center"/>
          </w:tcPr>
          <w:p>
            <w:pPr>
              <w:pStyle w:val="83"/>
            </w:pPr>
            <w:r>
              <w:rPr>
                <w:rFonts w:hint="eastAsia"/>
              </w:rPr>
              <w:t>0.0144</w:t>
            </w:r>
          </w:p>
        </w:tc>
        <w:tc>
          <w:tcPr>
            <w:tcW w:w="517" w:type="pct"/>
            <w:tcBorders>
              <w:tl2br w:val="nil"/>
              <w:tr2bl w:val="nil"/>
            </w:tcBorders>
            <w:vAlign w:val="center"/>
          </w:tcPr>
          <w:p>
            <w:pPr>
              <w:pStyle w:val="83"/>
            </w:pPr>
            <w:r>
              <w:rPr>
                <w:rFonts w:hint="eastAsia"/>
              </w:rPr>
              <w:t>/</w:t>
            </w:r>
          </w:p>
        </w:tc>
        <w:tc>
          <w:tcPr>
            <w:tcW w:w="567" w:type="pct"/>
            <w:tcBorders>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restart"/>
            <w:tcBorders>
              <w:tl2br w:val="nil"/>
              <w:tr2bl w:val="nil"/>
            </w:tcBorders>
            <w:vAlign w:val="center"/>
          </w:tcPr>
          <w:p>
            <w:pPr>
              <w:pStyle w:val="83"/>
              <w:rPr>
                <w:rFonts w:ascii="宋体" w:hAnsi="宋体" w:cs="宋体"/>
              </w:rPr>
            </w:pPr>
          </w:p>
          <w:p>
            <w:pPr>
              <w:pStyle w:val="83"/>
              <w:rPr>
                <w:rFonts w:ascii="宋体" w:hAnsi="宋体" w:cs="宋体"/>
              </w:rPr>
            </w:pPr>
            <w:r>
              <w:rPr>
                <w:rFonts w:ascii="宋体" w:hAnsi="宋体" w:cs="宋体"/>
              </w:rPr>
              <w:t>生产废水</w:t>
            </w:r>
          </w:p>
          <w:p>
            <w:pPr>
              <w:pStyle w:val="83"/>
            </w:pPr>
            <w:r>
              <w:rPr>
                <w:rFonts w:ascii="宋体" w:hAnsi="宋体" w:cs="宋体"/>
              </w:rPr>
              <w:t>（</w:t>
            </w:r>
            <w:r>
              <w:rPr>
                <w:rFonts w:eastAsia="Times New Roman"/>
              </w:rPr>
              <w:t>626</w:t>
            </w:r>
            <w:r>
              <w:rPr>
                <w:rFonts w:eastAsia="Times New Roman"/>
                <w:highlight w:val="none"/>
              </w:rPr>
              <w:t>m</w:t>
            </w:r>
            <w:r>
              <w:rPr>
                <w:rFonts w:eastAsia="Times New Roman"/>
                <w:position w:val="7"/>
                <w:sz w:val="14"/>
                <w:szCs w:val="14"/>
                <w:highlight w:val="none"/>
              </w:rPr>
              <w:t>3</w:t>
            </w:r>
            <w:r>
              <w:rPr>
                <w:rFonts w:eastAsia="Times New Roman"/>
              </w:rPr>
              <w:t>/a</w:t>
            </w:r>
            <w:r>
              <w:rPr>
                <w:rFonts w:ascii="宋体" w:hAnsi="宋体" w:cs="宋体"/>
              </w:rPr>
              <w:t>）</w:t>
            </w:r>
          </w:p>
        </w:tc>
        <w:tc>
          <w:tcPr>
            <w:tcW w:w="1062" w:type="pct"/>
            <w:tcBorders>
              <w:tl2br w:val="nil"/>
              <w:tr2bl w:val="nil"/>
            </w:tcBorders>
            <w:vAlign w:val="center"/>
          </w:tcPr>
          <w:p>
            <w:pPr>
              <w:pStyle w:val="83"/>
            </w:pPr>
            <w:r>
              <w:rPr>
                <w:rFonts w:ascii="宋体" w:hAnsi="宋体" w:cs="宋体"/>
              </w:rPr>
              <w:t>产生浓度</w:t>
            </w:r>
            <w:r>
              <w:rPr>
                <w:rFonts w:ascii="宋体" w:hAnsi="宋体" w:cs="宋体"/>
                <w:spacing w:val="-55"/>
              </w:rPr>
              <w:t xml:space="preserve"> </w:t>
            </w:r>
            <w:r>
              <w:rPr>
                <w:rFonts w:eastAsia="Times New Roman"/>
              </w:rPr>
              <w:t>mg/L</w:t>
            </w:r>
          </w:p>
        </w:tc>
        <w:tc>
          <w:tcPr>
            <w:tcW w:w="525" w:type="pct"/>
            <w:tcBorders>
              <w:tl2br w:val="nil"/>
              <w:tr2bl w:val="nil"/>
            </w:tcBorders>
            <w:vAlign w:val="center"/>
          </w:tcPr>
          <w:p>
            <w:pPr>
              <w:pStyle w:val="83"/>
            </w:pPr>
            <w:r>
              <w:rPr>
                <w:rFonts w:hint="eastAsia"/>
              </w:rPr>
              <w:t>550</w:t>
            </w:r>
          </w:p>
        </w:tc>
        <w:tc>
          <w:tcPr>
            <w:tcW w:w="460" w:type="pct"/>
            <w:tcBorders>
              <w:tl2br w:val="nil"/>
              <w:tr2bl w:val="nil"/>
            </w:tcBorders>
            <w:vAlign w:val="center"/>
          </w:tcPr>
          <w:p>
            <w:pPr>
              <w:pStyle w:val="83"/>
            </w:pPr>
            <w:r>
              <w:rPr>
                <w:rFonts w:hint="eastAsia"/>
              </w:rPr>
              <w:t>350</w:t>
            </w:r>
          </w:p>
        </w:tc>
        <w:tc>
          <w:tcPr>
            <w:tcW w:w="495" w:type="pct"/>
            <w:tcBorders>
              <w:tl2br w:val="nil"/>
              <w:tr2bl w:val="nil"/>
            </w:tcBorders>
            <w:vAlign w:val="center"/>
          </w:tcPr>
          <w:p>
            <w:pPr>
              <w:pStyle w:val="83"/>
            </w:pPr>
            <w:r>
              <w:rPr>
                <w:rFonts w:hint="eastAsia"/>
              </w:rPr>
              <w:t>250</w:t>
            </w:r>
          </w:p>
        </w:tc>
        <w:tc>
          <w:tcPr>
            <w:tcW w:w="547" w:type="pct"/>
            <w:tcBorders>
              <w:tl2br w:val="nil"/>
              <w:tr2bl w:val="nil"/>
            </w:tcBorders>
            <w:vAlign w:val="center"/>
          </w:tcPr>
          <w:p>
            <w:pPr>
              <w:pStyle w:val="83"/>
            </w:pPr>
            <w:r>
              <w:rPr>
                <w:rFonts w:hint="eastAsia"/>
              </w:rPr>
              <w:t>10</w:t>
            </w:r>
          </w:p>
        </w:tc>
        <w:tc>
          <w:tcPr>
            <w:tcW w:w="517" w:type="pct"/>
            <w:tcBorders>
              <w:tl2br w:val="nil"/>
              <w:tr2bl w:val="nil"/>
            </w:tcBorders>
            <w:vAlign w:val="center"/>
          </w:tcPr>
          <w:p>
            <w:pPr>
              <w:pStyle w:val="83"/>
            </w:pPr>
            <w:r>
              <w:rPr>
                <w:rFonts w:hint="eastAsia"/>
              </w:rPr>
              <w:t>/</w:t>
            </w:r>
          </w:p>
        </w:tc>
        <w:tc>
          <w:tcPr>
            <w:tcW w:w="567" w:type="pct"/>
            <w:tcBorders>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产生量</w:t>
            </w:r>
            <w:r>
              <w:rPr>
                <w:rFonts w:ascii="宋体" w:hAnsi="宋体" w:cs="宋体"/>
                <w:spacing w:val="-52"/>
              </w:rPr>
              <w:t xml:space="preserve"> </w:t>
            </w:r>
            <w:r>
              <w:rPr>
                <w:rFonts w:eastAsia="Times New Roman"/>
                <w:spacing w:val="-2"/>
              </w:rPr>
              <w:t>t/a</w:t>
            </w:r>
          </w:p>
        </w:tc>
        <w:tc>
          <w:tcPr>
            <w:tcW w:w="525" w:type="pct"/>
            <w:tcBorders>
              <w:tl2br w:val="nil"/>
              <w:tr2bl w:val="nil"/>
            </w:tcBorders>
            <w:vAlign w:val="center"/>
          </w:tcPr>
          <w:p>
            <w:pPr>
              <w:pStyle w:val="83"/>
            </w:pPr>
            <w:r>
              <w:rPr>
                <w:rFonts w:hint="eastAsia"/>
              </w:rPr>
              <w:t>0.344</w:t>
            </w:r>
          </w:p>
        </w:tc>
        <w:tc>
          <w:tcPr>
            <w:tcW w:w="460" w:type="pct"/>
            <w:tcBorders>
              <w:tl2br w:val="nil"/>
              <w:tr2bl w:val="nil"/>
            </w:tcBorders>
            <w:vAlign w:val="center"/>
          </w:tcPr>
          <w:p>
            <w:pPr>
              <w:pStyle w:val="83"/>
            </w:pPr>
            <w:r>
              <w:rPr>
                <w:rFonts w:hint="eastAsia"/>
              </w:rPr>
              <w:t>0.219</w:t>
            </w:r>
          </w:p>
        </w:tc>
        <w:tc>
          <w:tcPr>
            <w:tcW w:w="495" w:type="pct"/>
            <w:tcBorders>
              <w:tl2br w:val="nil"/>
              <w:tr2bl w:val="nil"/>
            </w:tcBorders>
            <w:vAlign w:val="center"/>
          </w:tcPr>
          <w:p>
            <w:pPr>
              <w:pStyle w:val="83"/>
            </w:pPr>
            <w:r>
              <w:rPr>
                <w:rFonts w:hint="eastAsia"/>
              </w:rPr>
              <w:t>0.157</w:t>
            </w:r>
          </w:p>
        </w:tc>
        <w:tc>
          <w:tcPr>
            <w:tcW w:w="547" w:type="pct"/>
            <w:tcBorders>
              <w:tl2br w:val="nil"/>
              <w:tr2bl w:val="nil"/>
            </w:tcBorders>
            <w:vAlign w:val="center"/>
          </w:tcPr>
          <w:p>
            <w:pPr>
              <w:pStyle w:val="83"/>
            </w:pPr>
            <w:r>
              <w:rPr>
                <w:rFonts w:hint="eastAsia"/>
              </w:rPr>
              <w:t>0.00626</w:t>
            </w:r>
          </w:p>
        </w:tc>
        <w:tc>
          <w:tcPr>
            <w:tcW w:w="517" w:type="pct"/>
            <w:tcBorders>
              <w:tl2br w:val="nil"/>
              <w:tr2bl w:val="nil"/>
            </w:tcBorders>
            <w:vAlign w:val="center"/>
          </w:tcPr>
          <w:p>
            <w:pPr>
              <w:pStyle w:val="83"/>
            </w:pPr>
            <w:r>
              <w:rPr>
                <w:rFonts w:hint="eastAsia"/>
              </w:rPr>
              <w:t>/</w:t>
            </w:r>
          </w:p>
        </w:tc>
        <w:tc>
          <w:tcPr>
            <w:tcW w:w="567" w:type="pct"/>
            <w:tcBorders>
              <w:tl2br w:val="nil"/>
              <w:tr2bl w:val="nil"/>
            </w:tcBorders>
            <w:vAlign w:val="center"/>
          </w:tcPr>
          <w:p>
            <w:pPr>
              <w:pStyle w:val="83"/>
            </w:pPr>
            <w:r>
              <w:rPr>
                <w:rFonts w:hint="eastAsia"/>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处理措施</w:t>
            </w:r>
          </w:p>
        </w:tc>
        <w:tc>
          <w:tcPr>
            <w:tcW w:w="3113" w:type="pct"/>
            <w:gridSpan w:val="6"/>
            <w:tcBorders>
              <w:tl2br w:val="nil"/>
              <w:tr2bl w:val="nil"/>
            </w:tcBorders>
            <w:vAlign w:val="center"/>
          </w:tcPr>
          <w:p>
            <w:pPr>
              <w:pStyle w:val="83"/>
            </w:pPr>
            <w:r>
              <w:rPr>
                <w:rFonts w:ascii="宋体" w:hAnsi="宋体" w:cs="宋体"/>
              </w:rPr>
              <w:t>隔油池</w:t>
            </w:r>
            <w:r>
              <w:rPr>
                <w:rFonts w:eastAsia="Times New Roman"/>
                <w:position w:val="1"/>
              </w:rPr>
              <w:t>+</w:t>
            </w:r>
            <w:r>
              <w:rPr>
                <w:rFonts w:ascii="宋体" w:hAnsi="宋体" w:cs="宋体"/>
              </w:rPr>
              <w:t>气浮</w:t>
            </w:r>
            <w:r>
              <w:rPr>
                <w:rFonts w:eastAsia="Times New Roman"/>
                <w:position w:val="1"/>
              </w:rPr>
              <w:t>+</w:t>
            </w:r>
            <w:r>
              <w:rPr>
                <w:rFonts w:ascii="宋体" w:hAnsi="宋体" w:cs="宋体"/>
              </w:rPr>
              <w:t>生物氧化</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污水站处理效率</w:t>
            </w:r>
            <w:r>
              <w:rPr>
                <w:rFonts w:eastAsia="Times New Roman"/>
              </w:rPr>
              <w:t>%</w:t>
            </w:r>
          </w:p>
        </w:tc>
        <w:tc>
          <w:tcPr>
            <w:tcW w:w="525" w:type="pct"/>
            <w:tcBorders>
              <w:tl2br w:val="nil"/>
              <w:tr2bl w:val="nil"/>
            </w:tcBorders>
            <w:vAlign w:val="center"/>
          </w:tcPr>
          <w:p>
            <w:pPr>
              <w:pStyle w:val="83"/>
            </w:pPr>
            <w:r>
              <w:rPr>
                <w:rFonts w:hint="eastAsia"/>
              </w:rPr>
              <w:t>70</w:t>
            </w:r>
          </w:p>
        </w:tc>
        <w:tc>
          <w:tcPr>
            <w:tcW w:w="460" w:type="pct"/>
            <w:tcBorders>
              <w:tl2br w:val="nil"/>
              <w:tr2bl w:val="nil"/>
            </w:tcBorders>
            <w:vAlign w:val="center"/>
          </w:tcPr>
          <w:p>
            <w:pPr>
              <w:pStyle w:val="83"/>
            </w:pPr>
            <w:r>
              <w:rPr>
                <w:rFonts w:hint="eastAsia"/>
              </w:rPr>
              <w:t>80</w:t>
            </w:r>
          </w:p>
        </w:tc>
        <w:tc>
          <w:tcPr>
            <w:tcW w:w="495" w:type="pct"/>
            <w:tcBorders>
              <w:tl2br w:val="nil"/>
              <w:tr2bl w:val="nil"/>
            </w:tcBorders>
            <w:vAlign w:val="center"/>
          </w:tcPr>
          <w:p>
            <w:pPr>
              <w:pStyle w:val="83"/>
            </w:pPr>
            <w:r>
              <w:rPr>
                <w:rFonts w:hint="eastAsia"/>
              </w:rPr>
              <w:t>70</w:t>
            </w:r>
          </w:p>
        </w:tc>
        <w:tc>
          <w:tcPr>
            <w:tcW w:w="547" w:type="pct"/>
            <w:tcBorders>
              <w:tl2br w:val="nil"/>
              <w:tr2bl w:val="nil"/>
            </w:tcBorders>
            <w:vAlign w:val="center"/>
          </w:tcPr>
          <w:p>
            <w:pPr>
              <w:pStyle w:val="83"/>
            </w:pPr>
            <w:r>
              <w:rPr>
                <w:rFonts w:hint="eastAsia"/>
              </w:rPr>
              <w:t>50</w:t>
            </w:r>
          </w:p>
        </w:tc>
        <w:tc>
          <w:tcPr>
            <w:tcW w:w="517" w:type="pct"/>
            <w:tcBorders>
              <w:tl2br w:val="nil"/>
              <w:tr2bl w:val="nil"/>
            </w:tcBorders>
            <w:vAlign w:val="center"/>
          </w:tcPr>
          <w:p>
            <w:pPr>
              <w:pStyle w:val="83"/>
            </w:pPr>
            <w:r>
              <w:rPr>
                <w:rFonts w:hint="eastAsia"/>
              </w:rPr>
              <w:t>80</w:t>
            </w:r>
          </w:p>
        </w:tc>
        <w:tc>
          <w:tcPr>
            <w:tcW w:w="567" w:type="pct"/>
            <w:tcBorders>
              <w:tl2br w:val="nil"/>
              <w:tr2bl w:val="nil"/>
            </w:tcBorders>
            <w:vAlign w:val="center"/>
          </w:tcPr>
          <w:p>
            <w:pPr>
              <w:pStyle w:val="83"/>
            </w:pPr>
            <w:r>
              <w:rPr>
                <w:rFonts w:hint="eastAsia"/>
              </w:rPr>
              <w:t>40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排放浓度</w:t>
            </w:r>
            <w:r>
              <w:rPr>
                <w:rFonts w:ascii="宋体" w:hAnsi="宋体" w:cs="宋体"/>
                <w:spacing w:val="-55"/>
              </w:rPr>
              <w:t xml:space="preserve"> </w:t>
            </w:r>
            <w:r>
              <w:rPr>
                <w:rFonts w:eastAsia="Times New Roman"/>
              </w:rPr>
              <w:t>mg/L</w:t>
            </w:r>
          </w:p>
        </w:tc>
        <w:tc>
          <w:tcPr>
            <w:tcW w:w="525" w:type="pct"/>
            <w:tcBorders>
              <w:tl2br w:val="nil"/>
              <w:tr2bl w:val="nil"/>
            </w:tcBorders>
            <w:vAlign w:val="center"/>
          </w:tcPr>
          <w:p>
            <w:pPr>
              <w:pStyle w:val="83"/>
            </w:pPr>
            <w:r>
              <w:rPr>
                <w:rFonts w:hint="eastAsia"/>
              </w:rPr>
              <w:t>165</w:t>
            </w:r>
          </w:p>
        </w:tc>
        <w:tc>
          <w:tcPr>
            <w:tcW w:w="460" w:type="pct"/>
            <w:tcBorders>
              <w:tl2br w:val="nil"/>
              <w:tr2bl w:val="nil"/>
            </w:tcBorders>
            <w:vAlign w:val="center"/>
          </w:tcPr>
          <w:p>
            <w:pPr>
              <w:pStyle w:val="83"/>
            </w:pPr>
            <w:r>
              <w:rPr>
                <w:rFonts w:hint="eastAsia"/>
              </w:rPr>
              <w:t>70</w:t>
            </w:r>
          </w:p>
        </w:tc>
        <w:tc>
          <w:tcPr>
            <w:tcW w:w="495" w:type="pct"/>
            <w:tcBorders>
              <w:tl2br w:val="nil"/>
              <w:tr2bl w:val="nil"/>
            </w:tcBorders>
            <w:vAlign w:val="center"/>
          </w:tcPr>
          <w:p>
            <w:pPr>
              <w:pStyle w:val="83"/>
            </w:pPr>
            <w:r>
              <w:rPr>
                <w:rFonts w:hint="eastAsia"/>
              </w:rPr>
              <w:t>75</w:t>
            </w:r>
          </w:p>
        </w:tc>
        <w:tc>
          <w:tcPr>
            <w:tcW w:w="547" w:type="pct"/>
            <w:tcBorders>
              <w:tl2br w:val="nil"/>
              <w:tr2bl w:val="nil"/>
            </w:tcBorders>
            <w:vAlign w:val="center"/>
          </w:tcPr>
          <w:p>
            <w:pPr>
              <w:pStyle w:val="83"/>
            </w:pPr>
            <w:r>
              <w:rPr>
                <w:rFonts w:hint="eastAsia"/>
              </w:rPr>
              <w:t>5</w:t>
            </w:r>
          </w:p>
        </w:tc>
        <w:tc>
          <w:tcPr>
            <w:tcW w:w="517" w:type="pct"/>
            <w:tcBorders>
              <w:tl2br w:val="nil"/>
              <w:tr2bl w:val="nil"/>
            </w:tcBorders>
            <w:vAlign w:val="center"/>
          </w:tcPr>
          <w:p>
            <w:pPr>
              <w:pStyle w:val="83"/>
            </w:pPr>
            <w:r>
              <w:rPr>
                <w:rFonts w:hint="eastAsia"/>
              </w:rPr>
              <w:t>3</w:t>
            </w:r>
          </w:p>
        </w:tc>
        <w:tc>
          <w:tcPr>
            <w:tcW w:w="567" w:type="pct"/>
            <w:tcBorders>
              <w:tl2br w:val="nil"/>
              <w:tr2bl w:val="nil"/>
            </w:tcBorders>
            <w:vAlign w:val="center"/>
          </w:tcPr>
          <w:p>
            <w:pPr>
              <w:pStyle w:val="83"/>
            </w:pPr>
            <w:r>
              <w:rPr>
                <w:rFonts w:hint="eastAsia"/>
              </w:rPr>
              <w:t>0.9</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排放量</w:t>
            </w:r>
            <w:r>
              <w:rPr>
                <w:rFonts w:ascii="宋体" w:hAnsi="宋体" w:cs="宋体"/>
                <w:spacing w:val="-52"/>
              </w:rPr>
              <w:t xml:space="preserve"> </w:t>
            </w:r>
            <w:r>
              <w:rPr>
                <w:rFonts w:eastAsia="Times New Roman"/>
                <w:spacing w:val="-2"/>
              </w:rPr>
              <w:t>t/a</w:t>
            </w:r>
          </w:p>
        </w:tc>
        <w:tc>
          <w:tcPr>
            <w:tcW w:w="525" w:type="pct"/>
            <w:tcBorders>
              <w:tl2br w:val="nil"/>
              <w:tr2bl w:val="nil"/>
            </w:tcBorders>
            <w:vAlign w:val="center"/>
          </w:tcPr>
          <w:p>
            <w:pPr>
              <w:pStyle w:val="83"/>
            </w:pPr>
            <w:r>
              <w:rPr>
                <w:rFonts w:hint="eastAsia"/>
              </w:rPr>
              <w:t>0.103</w:t>
            </w:r>
          </w:p>
        </w:tc>
        <w:tc>
          <w:tcPr>
            <w:tcW w:w="460" w:type="pct"/>
            <w:tcBorders>
              <w:tl2br w:val="nil"/>
              <w:tr2bl w:val="nil"/>
            </w:tcBorders>
            <w:vAlign w:val="center"/>
          </w:tcPr>
          <w:p>
            <w:pPr>
              <w:pStyle w:val="83"/>
            </w:pPr>
            <w:r>
              <w:rPr>
                <w:rFonts w:hint="eastAsia"/>
              </w:rPr>
              <w:t>0.044</w:t>
            </w:r>
          </w:p>
        </w:tc>
        <w:tc>
          <w:tcPr>
            <w:tcW w:w="495" w:type="pct"/>
            <w:tcBorders>
              <w:tl2br w:val="nil"/>
              <w:tr2bl w:val="nil"/>
            </w:tcBorders>
            <w:vAlign w:val="center"/>
          </w:tcPr>
          <w:p>
            <w:pPr>
              <w:pStyle w:val="83"/>
            </w:pPr>
            <w:r>
              <w:rPr>
                <w:rFonts w:hint="eastAsia"/>
              </w:rPr>
              <w:t>0.047</w:t>
            </w:r>
          </w:p>
        </w:tc>
        <w:tc>
          <w:tcPr>
            <w:tcW w:w="547" w:type="pct"/>
            <w:tcBorders>
              <w:tl2br w:val="nil"/>
              <w:tr2bl w:val="nil"/>
            </w:tcBorders>
            <w:vAlign w:val="center"/>
          </w:tcPr>
          <w:p>
            <w:pPr>
              <w:pStyle w:val="83"/>
            </w:pPr>
            <w:r>
              <w:rPr>
                <w:rFonts w:hint="eastAsia"/>
              </w:rPr>
              <w:t>0.0031</w:t>
            </w:r>
          </w:p>
        </w:tc>
        <w:tc>
          <w:tcPr>
            <w:tcW w:w="517" w:type="pct"/>
            <w:tcBorders>
              <w:tl2br w:val="nil"/>
              <w:tr2bl w:val="nil"/>
            </w:tcBorders>
            <w:vAlign w:val="center"/>
          </w:tcPr>
          <w:p>
            <w:pPr>
              <w:pStyle w:val="83"/>
            </w:pPr>
            <w:r>
              <w:rPr>
                <w:rFonts w:hint="eastAsia"/>
              </w:rPr>
              <w:t>0.00188</w:t>
            </w:r>
          </w:p>
        </w:tc>
        <w:tc>
          <w:tcPr>
            <w:tcW w:w="567" w:type="pct"/>
            <w:tcBorders>
              <w:tl2br w:val="nil"/>
              <w:tr2bl w:val="nil"/>
            </w:tcBorders>
            <w:vAlign w:val="center"/>
          </w:tcPr>
          <w:p>
            <w:pPr>
              <w:pStyle w:val="83"/>
            </w:pPr>
            <w:r>
              <w:rPr>
                <w:rFonts w:hint="eastAsia"/>
              </w:rPr>
              <w:t>0.000563</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restart"/>
            <w:tcBorders>
              <w:tl2br w:val="nil"/>
              <w:tr2bl w:val="nil"/>
            </w:tcBorders>
            <w:vAlign w:val="center"/>
          </w:tcPr>
          <w:p>
            <w:pPr>
              <w:pStyle w:val="83"/>
              <w:rPr>
                <w:rFonts w:ascii="宋体" w:hAnsi="宋体" w:cs="宋体"/>
              </w:rPr>
            </w:pPr>
            <w:r>
              <w:rPr>
                <w:rFonts w:ascii="宋体" w:hAnsi="宋体" w:cs="宋体"/>
              </w:rPr>
              <w:t>混合废水</w:t>
            </w:r>
          </w:p>
          <w:p>
            <w:pPr>
              <w:pStyle w:val="83"/>
            </w:pPr>
            <w:r>
              <w:rPr>
                <w:rFonts w:ascii="宋体" w:hAnsi="宋体" w:cs="宋体"/>
              </w:rPr>
              <w:t>（</w:t>
            </w:r>
            <w:r>
              <w:rPr>
                <w:rFonts w:eastAsia="Times New Roman"/>
              </w:rPr>
              <w:t>1346</w:t>
            </w:r>
            <w:r>
              <w:rPr>
                <w:rFonts w:eastAsia="Times New Roman"/>
                <w:highlight w:val="none"/>
              </w:rPr>
              <w:t>m</w:t>
            </w:r>
            <w:r>
              <w:rPr>
                <w:rFonts w:eastAsia="Times New Roman"/>
                <w:position w:val="7"/>
                <w:sz w:val="14"/>
                <w:szCs w:val="14"/>
                <w:highlight w:val="none"/>
              </w:rPr>
              <w:t>3</w:t>
            </w:r>
            <w:r>
              <w:rPr>
                <w:rFonts w:eastAsia="Times New Roman"/>
              </w:rPr>
              <w:t>/a</w:t>
            </w:r>
            <w:r>
              <w:rPr>
                <w:rFonts w:ascii="宋体" w:hAnsi="宋体" w:cs="宋体"/>
              </w:rPr>
              <w:t>）</w:t>
            </w:r>
          </w:p>
        </w:tc>
        <w:tc>
          <w:tcPr>
            <w:tcW w:w="1062" w:type="pct"/>
            <w:tcBorders>
              <w:tl2br w:val="nil"/>
              <w:tr2bl w:val="nil"/>
            </w:tcBorders>
            <w:vAlign w:val="center"/>
          </w:tcPr>
          <w:p>
            <w:pPr>
              <w:pStyle w:val="83"/>
            </w:pPr>
            <w:r>
              <w:rPr>
                <w:rFonts w:ascii="宋体" w:hAnsi="宋体" w:cs="宋体"/>
              </w:rPr>
              <w:t>排放浓度</w:t>
            </w:r>
            <w:r>
              <w:rPr>
                <w:rFonts w:ascii="宋体" w:hAnsi="宋体" w:cs="宋体"/>
                <w:spacing w:val="-55"/>
              </w:rPr>
              <w:t xml:space="preserve"> </w:t>
            </w:r>
            <w:r>
              <w:rPr>
                <w:rFonts w:eastAsia="Times New Roman"/>
              </w:rPr>
              <w:t>mg/L</w:t>
            </w:r>
          </w:p>
        </w:tc>
        <w:tc>
          <w:tcPr>
            <w:tcW w:w="525" w:type="pct"/>
            <w:tcBorders>
              <w:tl2br w:val="nil"/>
              <w:tr2bl w:val="nil"/>
            </w:tcBorders>
            <w:vAlign w:val="center"/>
          </w:tcPr>
          <w:p>
            <w:pPr>
              <w:pStyle w:val="83"/>
            </w:pPr>
            <w:r>
              <w:rPr>
                <w:rFonts w:hint="eastAsia"/>
              </w:rPr>
              <w:t>170.349</w:t>
            </w:r>
          </w:p>
        </w:tc>
        <w:tc>
          <w:tcPr>
            <w:tcW w:w="460" w:type="pct"/>
            <w:tcBorders>
              <w:tl2br w:val="nil"/>
              <w:tr2bl w:val="nil"/>
            </w:tcBorders>
            <w:vAlign w:val="center"/>
          </w:tcPr>
          <w:p>
            <w:pPr>
              <w:pStyle w:val="83"/>
            </w:pPr>
            <w:r>
              <w:rPr>
                <w:rFonts w:hint="eastAsia"/>
              </w:rPr>
              <w:t>96.746</w:t>
            </w:r>
          </w:p>
        </w:tc>
        <w:tc>
          <w:tcPr>
            <w:tcW w:w="495" w:type="pct"/>
            <w:tcBorders>
              <w:tl2br w:val="nil"/>
              <w:tr2bl w:val="nil"/>
            </w:tcBorders>
            <w:vAlign w:val="center"/>
          </w:tcPr>
          <w:p>
            <w:pPr>
              <w:pStyle w:val="83"/>
            </w:pPr>
            <w:r>
              <w:rPr>
                <w:rFonts w:hint="eastAsia"/>
              </w:rPr>
              <w:t>61.627</w:t>
            </w:r>
          </w:p>
        </w:tc>
        <w:tc>
          <w:tcPr>
            <w:tcW w:w="547" w:type="pct"/>
            <w:tcBorders>
              <w:tl2br w:val="nil"/>
              <w:tr2bl w:val="nil"/>
            </w:tcBorders>
            <w:vAlign w:val="center"/>
          </w:tcPr>
          <w:p>
            <w:pPr>
              <w:pStyle w:val="83"/>
            </w:pPr>
            <w:r>
              <w:rPr>
                <w:rFonts w:hint="eastAsia"/>
              </w:rPr>
              <w:t>13.024</w:t>
            </w:r>
          </w:p>
        </w:tc>
        <w:tc>
          <w:tcPr>
            <w:tcW w:w="517" w:type="pct"/>
            <w:tcBorders>
              <w:tl2br w:val="nil"/>
              <w:tr2bl w:val="nil"/>
            </w:tcBorders>
            <w:vAlign w:val="center"/>
          </w:tcPr>
          <w:p>
            <w:pPr>
              <w:pStyle w:val="83"/>
            </w:pPr>
            <w:r>
              <w:rPr>
                <w:rFonts w:hint="eastAsia"/>
              </w:rPr>
              <w:t>1.397</w:t>
            </w:r>
          </w:p>
        </w:tc>
        <w:tc>
          <w:tcPr>
            <w:tcW w:w="567" w:type="pct"/>
            <w:tcBorders>
              <w:tl2br w:val="nil"/>
              <w:tr2bl w:val="nil"/>
            </w:tcBorders>
            <w:vAlign w:val="center"/>
          </w:tcPr>
          <w:p>
            <w:pPr>
              <w:pStyle w:val="83"/>
            </w:pPr>
            <w:r>
              <w:rPr>
                <w:rFonts w:hint="eastAsia"/>
              </w:rPr>
              <w:t>0.418</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vMerge w:val="continue"/>
            <w:tcBorders>
              <w:tl2br w:val="nil"/>
              <w:tr2bl w:val="nil"/>
            </w:tcBorders>
            <w:vAlign w:val="center"/>
          </w:tcPr>
          <w:p>
            <w:pPr>
              <w:pStyle w:val="83"/>
            </w:pPr>
          </w:p>
        </w:tc>
        <w:tc>
          <w:tcPr>
            <w:tcW w:w="1062" w:type="pct"/>
            <w:tcBorders>
              <w:tl2br w:val="nil"/>
              <w:tr2bl w:val="nil"/>
            </w:tcBorders>
            <w:vAlign w:val="center"/>
          </w:tcPr>
          <w:p>
            <w:pPr>
              <w:pStyle w:val="83"/>
            </w:pPr>
            <w:r>
              <w:rPr>
                <w:rFonts w:ascii="宋体" w:hAnsi="宋体" w:cs="宋体"/>
              </w:rPr>
              <w:t>排放量</w:t>
            </w:r>
            <w:r>
              <w:rPr>
                <w:rFonts w:ascii="宋体" w:hAnsi="宋体" w:cs="宋体"/>
                <w:spacing w:val="-52"/>
              </w:rPr>
              <w:t xml:space="preserve"> </w:t>
            </w:r>
            <w:r>
              <w:rPr>
                <w:rFonts w:eastAsia="Times New Roman"/>
                <w:spacing w:val="-2"/>
              </w:rPr>
              <w:t>t/a</w:t>
            </w:r>
          </w:p>
        </w:tc>
        <w:tc>
          <w:tcPr>
            <w:tcW w:w="525" w:type="pct"/>
            <w:tcBorders>
              <w:tl2br w:val="nil"/>
              <w:tr2bl w:val="nil"/>
            </w:tcBorders>
            <w:vAlign w:val="center"/>
          </w:tcPr>
          <w:p>
            <w:pPr>
              <w:pStyle w:val="83"/>
            </w:pPr>
            <w:r>
              <w:rPr>
                <w:rFonts w:hint="eastAsia"/>
              </w:rPr>
              <w:t>0.229</w:t>
            </w:r>
          </w:p>
        </w:tc>
        <w:tc>
          <w:tcPr>
            <w:tcW w:w="460" w:type="pct"/>
            <w:tcBorders>
              <w:tl2br w:val="nil"/>
              <w:tr2bl w:val="nil"/>
            </w:tcBorders>
            <w:vAlign w:val="center"/>
          </w:tcPr>
          <w:p>
            <w:pPr>
              <w:pStyle w:val="83"/>
            </w:pPr>
            <w:r>
              <w:rPr>
                <w:rFonts w:hint="eastAsia"/>
              </w:rPr>
              <w:t>0.130</w:t>
            </w:r>
          </w:p>
        </w:tc>
        <w:tc>
          <w:tcPr>
            <w:tcW w:w="495" w:type="pct"/>
            <w:tcBorders>
              <w:tl2br w:val="nil"/>
              <w:tr2bl w:val="nil"/>
            </w:tcBorders>
            <w:vAlign w:val="center"/>
          </w:tcPr>
          <w:p>
            <w:pPr>
              <w:pStyle w:val="83"/>
            </w:pPr>
            <w:r>
              <w:rPr>
                <w:rFonts w:hint="eastAsia"/>
              </w:rPr>
              <w:t>0.083</w:t>
            </w:r>
          </w:p>
        </w:tc>
        <w:tc>
          <w:tcPr>
            <w:tcW w:w="547" w:type="pct"/>
            <w:tcBorders>
              <w:tl2br w:val="nil"/>
              <w:tr2bl w:val="nil"/>
            </w:tcBorders>
            <w:vAlign w:val="center"/>
          </w:tcPr>
          <w:p>
            <w:pPr>
              <w:pStyle w:val="83"/>
            </w:pPr>
            <w:r>
              <w:rPr>
                <w:rFonts w:hint="eastAsia"/>
              </w:rPr>
              <w:t>0.018</w:t>
            </w:r>
          </w:p>
        </w:tc>
        <w:tc>
          <w:tcPr>
            <w:tcW w:w="517" w:type="pct"/>
            <w:tcBorders>
              <w:tl2br w:val="nil"/>
              <w:tr2bl w:val="nil"/>
            </w:tcBorders>
            <w:vAlign w:val="center"/>
          </w:tcPr>
          <w:p>
            <w:pPr>
              <w:pStyle w:val="83"/>
            </w:pPr>
            <w:r>
              <w:rPr>
                <w:rFonts w:hint="eastAsia"/>
              </w:rPr>
              <w:t>0.00188</w:t>
            </w:r>
          </w:p>
        </w:tc>
        <w:tc>
          <w:tcPr>
            <w:tcW w:w="567" w:type="pct"/>
            <w:tcBorders>
              <w:tl2br w:val="nil"/>
              <w:tr2bl w:val="nil"/>
            </w:tcBorders>
            <w:vAlign w:val="center"/>
          </w:tcPr>
          <w:p>
            <w:pPr>
              <w:pStyle w:val="83"/>
            </w:pPr>
            <w:r>
              <w:rPr>
                <w:rFonts w:hint="eastAsia"/>
              </w:rPr>
              <w:t>0.000563</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823" w:type="pct"/>
            <w:tcBorders>
              <w:tl2br w:val="nil"/>
              <w:tr2bl w:val="nil"/>
            </w:tcBorders>
            <w:vAlign w:val="center"/>
          </w:tcPr>
          <w:p>
            <w:pPr>
              <w:pStyle w:val="83"/>
            </w:pPr>
            <w:r>
              <w:rPr>
                <w:rFonts w:ascii="宋体" w:hAnsi="宋体" w:cs="宋体"/>
              </w:rPr>
              <w:t>合计</w:t>
            </w:r>
          </w:p>
        </w:tc>
        <w:tc>
          <w:tcPr>
            <w:tcW w:w="1062" w:type="pct"/>
            <w:tcBorders>
              <w:tl2br w:val="nil"/>
              <w:tr2bl w:val="nil"/>
            </w:tcBorders>
            <w:vAlign w:val="center"/>
          </w:tcPr>
          <w:p>
            <w:pPr>
              <w:pStyle w:val="83"/>
            </w:pPr>
            <w:r>
              <w:rPr>
                <w:rFonts w:ascii="宋体" w:hAnsi="宋体" w:cs="宋体"/>
              </w:rPr>
              <w:t>总排放量</w:t>
            </w:r>
            <w:r>
              <w:rPr>
                <w:rFonts w:ascii="宋体" w:hAnsi="宋体" w:cs="宋体"/>
                <w:spacing w:val="-50"/>
              </w:rPr>
              <w:t xml:space="preserve"> </w:t>
            </w:r>
            <w:r>
              <w:rPr>
                <w:rFonts w:eastAsia="Times New Roman"/>
                <w:spacing w:val="-2"/>
              </w:rPr>
              <w:t>t/a</w:t>
            </w:r>
          </w:p>
        </w:tc>
        <w:tc>
          <w:tcPr>
            <w:tcW w:w="525" w:type="pct"/>
            <w:tcBorders>
              <w:tl2br w:val="nil"/>
              <w:tr2bl w:val="nil"/>
            </w:tcBorders>
            <w:vAlign w:val="center"/>
          </w:tcPr>
          <w:p>
            <w:pPr>
              <w:pStyle w:val="83"/>
            </w:pPr>
            <w:r>
              <w:rPr>
                <w:rFonts w:hint="eastAsia"/>
              </w:rPr>
              <w:t>0.229</w:t>
            </w:r>
          </w:p>
        </w:tc>
        <w:tc>
          <w:tcPr>
            <w:tcW w:w="460" w:type="pct"/>
            <w:tcBorders>
              <w:tl2br w:val="nil"/>
              <w:tr2bl w:val="nil"/>
            </w:tcBorders>
            <w:vAlign w:val="center"/>
          </w:tcPr>
          <w:p>
            <w:pPr>
              <w:pStyle w:val="83"/>
            </w:pPr>
            <w:r>
              <w:rPr>
                <w:rFonts w:hint="eastAsia"/>
              </w:rPr>
              <w:t>0.130</w:t>
            </w:r>
          </w:p>
        </w:tc>
        <w:tc>
          <w:tcPr>
            <w:tcW w:w="495" w:type="pct"/>
            <w:tcBorders>
              <w:tl2br w:val="nil"/>
              <w:tr2bl w:val="nil"/>
            </w:tcBorders>
            <w:vAlign w:val="center"/>
          </w:tcPr>
          <w:p>
            <w:pPr>
              <w:pStyle w:val="83"/>
            </w:pPr>
            <w:r>
              <w:rPr>
                <w:rFonts w:hint="eastAsia"/>
              </w:rPr>
              <w:t>0.083</w:t>
            </w:r>
          </w:p>
        </w:tc>
        <w:tc>
          <w:tcPr>
            <w:tcW w:w="547" w:type="pct"/>
            <w:tcBorders>
              <w:tl2br w:val="nil"/>
              <w:tr2bl w:val="nil"/>
            </w:tcBorders>
            <w:vAlign w:val="center"/>
          </w:tcPr>
          <w:p>
            <w:pPr>
              <w:pStyle w:val="83"/>
            </w:pPr>
            <w:r>
              <w:rPr>
                <w:rFonts w:hint="eastAsia"/>
              </w:rPr>
              <w:t>0.018</w:t>
            </w:r>
          </w:p>
        </w:tc>
        <w:tc>
          <w:tcPr>
            <w:tcW w:w="517" w:type="pct"/>
            <w:tcBorders>
              <w:tl2br w:val="nil"/>
              <w:tr2bl w:val="nil"/>
            </w:tcBorders>
            <w:vAlign w:val="center"/>
          </w:tcPr>
          <w:p>
            <w:pPr>
              <w:pStyle w:val="83"/>
            </w:pPr>
            <w:r>
              <w:rPr>
                <w:rFonts w:hint="eastAsia"/>
              </w:rPr>
              <w:t>0.00188</w:t>
            </w:r>
          </w:p>
        </w:tc>
        <w:tc>
          <w:tcPr>
            <w:tcW w:w="567" w:type="pct"/>
            <w:tcBorders>
              <w:tl2br w:val="nil"/>
              <w:tr2bl w:val="nil"/>
            </w:tcBorders>
            <w:vAlign w:val="center"/>
          </w:tcPr>
          <w:p>
            <w:pPr>
              <w:pStyle w:val="83"/>
            </w:pPr>
            <w:r>
              <w:rPr>
                <w:rFonts w:hint="eastAsia"/>
              </w:rPr>
              <w:t>0.000563</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1886" w:type="pct"/>
            <w:gridSpan w:val="2"/>
            <w:tcBorders>
              <w:tl2br w:val="nil"/>
              <w:tr2bl w:val="nil"/>
            </w:tcBorders>
            <w:vAlign w:val="center"/>
          </w:tcPr>
          <w:p>
            <w:pPr>
              <w:pStyle w:val="83"/>
            </w:pPr>
            <w:r>
              <w:rPr>
                <w:rFonts w:ascii="宋体" w:hAnsi="宋体" w:cs="宋体"/>
              </w:rPr>
              <w:t>白水湖污水处理厂接管标准</w:t>
            </w:r>
            <w:r>
              <w:rPr>
                <w:rFonts w:ascii="宋体" w:hAnsi="宋体" w:cs="宋体"/>
                <w:spacing w:val="-54"/>
              </w:rPr>
              <w:t xml:space="preserve"> </w:t>
            </w:r>
            <w:r>
              <w:rPr>
                <w:rFonts w:eastAsia="Times New Roman"/>
              </w:rPr>
              <w:t>mg/L</w:t>
            </w:r>
          </w:p>
        </w:tc>
        <w:tc>
          <w:tcPr>
            <w:tcW w:w="525" w:type="pct"/>
            <w:tcBorders>
              <w:tl2br w:val="nil"/>
              <w:tr2bl w:val="nil"/>
            </w:tcBorders>
            <w:vAlign w:val="center"/>
          </w:tcPr>
          <w:p>
            <w:pPr>
              <w:pStyle w:val="83"/>
            </w:pPr>
            <w:r>
              <w:rPr>
                <w:rFonts w:hint="eastAsia"/>
              </w:rPr>
              <w:t>400</w:t>
            </w:r>
          </w:p>
        </w:tc>
        <w:tc>
          <w:tcPr>
            <w:tcW w:w="460" w:type="pct"/>
            <w:tcBorders>
              <w:tl2br w:val="nil"/>
              <w:tr2bl w:val="nil"/>
            </w:tcBorders>
            <w:vAlign w:val="center"/>
          </w:tcPr>
          <w:p>
            <w:pPr>
              <w:pStyle w:val="83"/>
            </w:pPr>
            <w:r>
              <w:rPr>
                <w:rFonts w:hint="eastAsia"/>
              </w:rPr>
              <w:t>250</w:t>
            </w:r>
          </w:p>
        </w:tc>
        <w:tc>
          <w:tcPr>
            <w:tcW w:w="495" w:type="pct"/>
            <w:tcBorders>
              <w:tl2br w:val="nil"/>
              <w:tr2bl w:val="nil"/>
            </w:tcBorders>
            <w:vAlign w:val="center"/>
          </w:tcPr>
          <w:p>
            <w:pPr>
              <w:pStyle w:val="83"/>
            </w:pPr>
            <w:r>
              <w:rPr>
                <w:rFonts w:hint="eastAsia"/>
              </w:rPr>
              <w:t>150</w:t>
            </w:r>
          </w:p>
        </w:tc>
        <w:tc>
          <w:tcPr>
            <w:tcW w:w="547" w:type="pct"/>
            <w:tcBorders>
              <w:tl2br w:val="nil"/>
              <w:tr2bl w:val="nil"/>
            </w:tcBorders>
            <w:vAlign w:val="center"/>
          </w:tcPr>
          <w:p>
            <w:pPr>
              <w:pStyle w:val="83"/>
            </w:pPr>
            <w:r>
              <w:rPr>
                <w:rFonts w:hint="eastAsia"/>
              </w:rPr>
              <w:t>30</w:t>
            </w:r>
          </w:p>
        </w:tc>
        <w:tc>
          <w:tcPr>
            <w:tcW w:w="517" w:type="pct"/>
            <w:tcBorders>
              <w:tl2br w:val="nil"/>
              <w:tr2bl w:val="nil"/>
            </w:tcBorders>
            <w:vAlign w:val="center"/>
          </w:tcPr>
          <w:p>
            <w:pPr>
              <w:pStyle w:val="83"/>
            </w:pPr>
            <w:r>
              <w:rPr>
                <w:rFonts w:hint="eastAsia"/>
              </w:rPr>
              <w:t>5*</w:t>
            </w:r>
          </w:p>
        </w:tc>
        <w:tc>
          <w:tcPr>
            <w:tcW w:w="567" w:type="pct"/>
            <w:tcBorders>
              <w:tl2br w:val="nil"/>
              <w:tr2bl w:val="nil"/>
            </w:tcBorders>
            <w:vAlign w:val="center"/>
          </w:tcPr>
          <w:p>
            <w:pPr>
              <w:pStyle w:val="83"/>
            </w:pPr>
            <w:r>
              <w:rPr>
                <w:rFonts w:hint="eastAsia"/>
              </w:rPr>
              <w:t>5*</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1886" w:type="pct"/>
            <w:gridSpan w:val="2"/>
            <w:tcBorders>
              <w:tl2br w:val="nil"/>
              <w:tr2bl w:val="nil"/>
            </w:tcBorders>
            <w:vAlign w:val="center"/>
          </w:tcPr>
          <w:p>
            <w:pPr>
              <w:pStyle w:val="83"/>
              <w:rPr>
                <w:rFonts w:ascii="宋体" w:hAnsi="宋体" w:cs="宋体"/>
              </w:rPr>
            </w:pPr>
            <w:r>
              <w:rPr>
                <w:rFonts w:ascii="宋体" w:hAnsi="宋体" w:cs="宋体"/>
              </w:rPr>
              <w:t>《城镇污水处理厂污染物排放标准》</w:t>
            </w:r>
          </w:p>
          <w:p>
            <w:pPr>
              <w:pStyle w:val="83"/>
            </w:pPr>
            <w:r>
              <w:rPr>
                <w:rFonts w:eastAsia="Times New Roman"/>
              </w:rPr>
              <w:t>GB18918-2002</w:t>
            </w:r>
            <w:r>
              <w:rPr>
                <w:rFonts w:ascii="宋体" w:hAnsi="宋体" w:cs="宋体"/>
              </w:rPr>
              <w:t>）一级</w:t>
            </w:r>
            <w:r>
              <w:rPr>
                <w:rFonts w:ascii="宋体" w:hAnsi="宋体" w:cs="宋体"/>
                <w:spacing w:val="-56"/>
              </w:rPr>
              <w:t xml:space="preserve"> </w:t>
            </w:r>
            <w:r>
              <w:rPr>
                <w:rFonts w:eastAsia="Times New Roman"/>
              </w:rPr>
              <w:t xml:space="preserve">B </w:t>
            </w:r>
            <w:r>
              <w:rPr>
                <w:rFonts w:ascii="宋体" w:hAnsi="宋体" w:cs="宋体"/>
              </w:rPr>
              <w:t>标准</w:t>
            </w:r>
            <w:r>
              <w:rPr>
                <w:rFonts w:ascii="宋体" w:hAnsi="宋体" w:cs="宋体"/>
                <w:spacing w:val="-54"/>
              </w:rPr>
              <w:t xml:space="preserve"> </w:t>
            </w:r>
            <w:r>
              <w:rPr>
                <w:rFonts w:eastAsia="Times New Roman"/>
              </w:rPr>
              <w:t>mg/L</w:t>
            </w:r>
          </w:p>
        </w:tc>
        <w:tc>
          <w:tcPr>
            <w:tcW w:w="525" w:type="pct"/>
            <w:tcBorders>
              <w:tl2br w:val="nil"/>
              <w:tr2bl w:val="nil"/>
            </w:tcBorders>
            <w:vAlign w:val="center"/>
          </w:tcPr>
          <w:p>
            <w:pPr>
              <w:pStyle w:val="83"/>
            </w:pPr>
            <w:r>
              <w:rPr>
                <w:rFonts w:hint="eastAsia"/>
              </w:rPr>
              <w:t>60</w:t>
            </w:r>
          </w:p>
        </w:tc>
        <w:tc>
          <w:tcPr>
            <w:tcW w:w="460" w:type="pct"/>
            <w:tcBorders>
              <w:tl2br w:val="nil"/>
              <w:tr2bl w:val="nil"/>
            </w:tcBorders>
            <w:vAlign w:val="center"/>
          </w:tcPr>
          <w:p>
            <w:pPr>
              <w:pStyle w:val="83"/>
            </w:pPr>
            <w:r>
              <w:rPr>
                <w:rFonts w:hint="eastAsia"/>
              </w:rPr>
              <w:t>20</w:t>
            </w:r>
          </w:p>
        </w:tc>
        <w:tc>
          <w:tcPr>
            <w:tcW w:w="495" w:type="pct"/>
            <w:tcBorders>
              <w:tl2br w:val="nil"/>
              <w:tr2bl w:val="nil"/>
            </w:tcBorders>
            <w:vAlign w:val="center"/>
          </w:tcPr>
          <w:p>
            <w:pPr>
              <w:pStyle w:val="83"/>
            </w:pPr>
            <w:r>
              <w:rPr>
                <w:rFonts w:hint="eastAsia"/>
              </w:rPr>
              <w:t>20</w:t>
            </w:r>
          </w:p>
        </w:tc>
        <w:tc>
          <w:tcPr>
            <w:tcW w:w="547" w:type="pct"/>
            <w:tcBorders>
              <w:tl2br w:val="nil"/>
              <w:tr2bl w:val="nil"/>
            </w:tcBorders>
            <w:vAlign w:val="center"/>
          </w:tcPr>
          <w:p>
            <w:pPr>
              <w:pStyle w:val="83"/>
            </w:pPr>
            <w:r>
              <w:rPr>
                <w:rFonts w:hint="eastAsia"/>
              </w:rPr>
              <w:t>8</w:t>
            </w:r>
          </w:p>
        </w:tc>
        <w:tc>
          <w:tcPr>
            <w:tcW w:w="517" w:type="pct"/>
            <w:tcBorders>
              <w:tl2br w:val="nil"/>
              <w:tr2bl w:val="nil"/>
            </w:tcBorders>
            <w:vAlign w:val="center"/>
          </w:tcPr>
          <w:p>
            <w:pPr>
              <w:pStyle w:val="83"/>
            </w:pPr>
            <w:r>
              <w:rPr>
                <w:rFonts w:hint="eastAsia"/>
              </w:rPr>
              <w:t>3</w:t>
            </w:r>
          </w:p>
        </w:tc>
        <w:tc>
          <w:tcPr>
            <w:tcW w:w="567" w:type="pct"/>
            <w:tcBorders>
              <w:tl2br w:val="nil"/>
              <w:tr2bl w:val="nil"/>
            </w:tcBorders>
            <w:vAlign w:val="center"/>
          </w:tcPr>
          <w:p>
            <w:pPr>
              <w:pStyle w:val="83"/>
            </w:pPr>
            <w:r>
              <w:rPr>
                <w:rFonts w:hint="eastAsia"/>
              </w:rPr>
              <w:t>1</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435" w:hRule="atLeast"/>
          <w:jc w:val="center"/>
        </w:trPr>
        <w:tc>
          <w:tcPr>
            <w:tcW w:w="1886" w:type="pct"/>
            <w:gridSpan w:val="2"/>
            <w:tcBorders>
              <w:tl2br w:val="nil"/>
              <w:tr2bl w:val="nil"/>
            </w:tcBorders>
            <w:vAlign w:val="center"/>
          </w:tcPr>
          <w:p>
            <w:pPr>
              <w:pStyle w:val="83"/>
            </w:pPr>
            <w:r>
              <w:rPr>
                <w:rFonts w:ascii="宋体" w:hAnsi="宋体" w:cs="宋体"/>
              </w:rPr>
              <w:t>排放量（</w:t>
            </w:r>
            <w:r>
              <w:rPr>
                <w:rFonts w:eastAsia="Times New Roman"/>
              </w:rPr>
              <w:t>t/a</w:t>
            </w:r>
            <w:r>
              <w:rPr>
                <w:rFonts w:ascii="宋体" w:hAnsi="宋体" w:cs="宋体"/>
              </w:rPr>
              <w:t>）</w:t>
            </w:r>
          </w:p>
        </w:tc>
        <w:tc>
          <w:tcPr>
            <w:tcW w:w="525" w:type="pct"/>
            <w:tcBorders>
              <w:tl2br w:val="nil"/>
              <w:tr2bl w:val="nil"/>
            </w:tcBorders>
            <w:vAlign w:val="center"/>
          </w:tcPr>
          <w:p>
            <w:pPr>
              <w:pStyle w:val="83"/>
            </w:pPr>
            <w:r>
              <w:rPr>
                <w:rFonts w:hint="eastAsia"/>
              </w:rPr>
              <w:t>0.081</w:t>
            </w:r>
          </w:p>
        </w:tc>
        <w:tc>
          <w:tcPr>
            <w:tcW w:w="460" w:type="pct"/>
            <w:tcBorders>
              <w:tl2br w:val="nil"/>
              <w:tr2bl w:val="nil"/>
            </w:tcBorders>
            <w:vAlign w:val="center"/>
          </w:tcPr>
          <w:p>
            <w:pPr>
              <w:pStyle w:val="83"/>
            </w:pPr>
            <w:r>
              <w:rPr>
                <w:rFonts w:hint="eastAsia"/>
              </w:rPr>
              <w:t>0.027</w:t>
            </w:r>
          </w:p>
        </w:tc>
        <w:tc>
          <w:tcPr>
            <w:tcW w:w="495" w:type="pct"/>
            <w:tcBorders>
              <w:tl2br w:val="nil"/>
              <w:tr2bl w:val="nil"/>
            </w:tcBorders>
            <w:vAlign w:val="center"/>
          </w:tcPr>
          <w:p>
            <w:pPr>
              <w:pStyle w:val="83"/>
            </w:pPr>
            <w:r>
              <w:rPr>
                <w:rFonts w:hint="eastAsia"/>
              </w:rPr>
              <w:t>0.027</w:t>
            </w:r>
          </w:p>
        </w:tc>
        <w:tc>
          <w:tcPr>
            <w:tcW w:w="547" w:type="pct"/>
            <w:tcBorders>
              <w:tl2br w:val="nil"/>
              <w:tr2bl w:val="nil"/>
            </w:tcBorders>
            <w:vAlign w:val="center"/>
          </w:tcPr>
          <w:p>
            <w:pPr>
              <w:pStyle w:val="83"/>
            </w:pPr>
            <w:r>
              <w:rPr>
                <w:rFonts w:hint="eastAsia"/>
              </w:rPr>
              <w:t>0.011</w:t>
            </w:r>
          </w:p>
        </w:tc>
        <w:tc>
          <w:tcPr>
            <w:tcW w:w="517" w:type="pct"/>
            <w:tcBorders>
              <w:tl2br w:val="nil"/>
              <w:tr2bl w:val="nil"/>
            </w:tcBorders>
            <w:vAlign w:val="center"/>
          </w:tcPr>
          <w:p>
            <w:pPr>
              <w:pStyle w:val="83"/>
            </w:pPr>
            <w:r>
              <w:rPr>
                <w:rFonts w:hint="eastAsia"/>
              </w:rPr>
              <w:t>0.004</w:t>
            </w:r>
          </w:p>
        </w:tc>
        <w:tc>
          <w:tcPr>
            <w:tcW w:w="567" w:type="pct"/>
            <w:tcBorders>
              <w:tl2br w:val="nil"/>
              <w:tr2bl w:val="nil"/>
            </w:tcBorders>
            <w:vAlign w:val="center"/>
          </w:tcPr>
          <w:p>
            <w:pPr>
              <w:pStyle w:val="83"/>
            </w:pPr>
            <w:r>
              <w:rPr>
                <w:rFonts w:hint="eastAsia"/>
              </w:rPr>
              <w:t>0.001</w:t>
            </w:r>
          </w:p>
        </w:tc>
      </w:tr>
    </w:tbl>
    <w:p>
      <w:pPr>
        <w:pStyle w:val="6"/>
        <w:bidi w:val="0"/>
      </w:pPr>
      <w:bookmarkStart w:id="130" w:name="_Toc337"/>
      <w:bookmarkStart w:id="131" w:name="_Toc18434"/>
      <w:bookmarkStart w:id="132" w:name="_Toc10935"/>
      <w:bookmarkStart w:id="133" w:name="_Toc37600027"/>
      <w:r>
        <w:t>2.</w:t>
      </w:r>
      <w:r>
        <w:rPr>
          <w:rFonts w:hint="eastAsia"/>
        </w:rPr>
        <w:t>6</w:t>
      </w:r>
      <w:r>
        <w:t xml:space="preserve">.2 </w:t>
      </w:r>
      <w:r>
        <w:rPr>
          <w:rFonts w:hint="eastAsia"/>
        </w:rPr>
        <w:t>废水污染源及处理措施</w:t>
      </w:r>
      <w:bookmarkEnd w:id="130"/>
      <w:bookmarkEnd w:id="131"/>
      <w:bookmarkEnd w:id="132"/>
      <w:bookmarkEnd w:id="133"/>
    </w:p>
    <w:p>
      <w:pPr>
        <w:pStyle w:val="90"/>
        <w:ind w:firstLine="480"/>
      </w:pPr>
      <w:r>
        <w:rPr>
          <w:rFonts w:hint="eastAsia"/>
        </w:rPr>
        <w:t>项目废水总</w:t>
      </w:r>
      <w:r>
        <w:t>排放量为</w:t>
      </w:r>
      <w:r>
        <w:rPr>
          <w:rFonts w:hint="eastAsia"/>
        </w:rPr>
        <w:t>4.49</w:t>
      </w:r>
      <w:r>
        <w:rPr>
          <w:highlight w:val="none"/>
        </w:rPr>
        <w:t>m</w:t>
      </w:r>
      <w:r>
        <w:rPr>
          <w:highlight w:val="none"/>
          <w:vertAlign w:val="superscript"/>
        </w:rPr>
        <w:t>3</w:t>
      </w:r>
      <w:r>
        <w:t>/d（</w:t>
      </w:r>
      <w:r>
        <w:rPr>
          <w:rFonts w:hint="eastAsia"/>
        </w:rPr>
        <w:t>1346</w:t>
      </w:r>
      <w:r>
        <w:rPr>
          <w:highlight w:val="none"/>
        </w:rPr>
        <w:t>m</w:t>
      </w:r>
      <w:r>
        <w:rPr>
          <w:highlight w:val="none"/>
          <w:vertAlign w:val="superscript"/>
        </w:rPr>
        <w:t>3</w:t>
      </w:r>
      <w:r>
        <w:t>/a）</w:t>
      </w:r>
      <w:r>
        <w:rPr>
          <w:rFonts w:hint="eastAsia"/>
        </w:rPr>
        <w:t>，主要为生产清洗废水（626</w:t>
      </w:r>
      <w:r>
        <w:rPr>
          <w:highlight w:val="none"/>
        </w:rPr>
        <w:t>m</w:t>
      </w:r>
      <w:r>
        <w:rPr>
          <w:highlight w:val="none"/>
          <w:vertAlign w:val="superscript"/>
        </w:rPr>
        <w:t>3</w:t>
      </w:r>
      <w:r>
        <w:t>/a</w:t>
      </w:r>
      <w:r>
        <w:rPr>
          <w:rFonts w:hint="eastAsia"/>
        </w:rPr>
        <w:t>）、生活污水（720</w:t>
      </w:r>
      <w:r>
        <w:rPr>
          <w:highlight w:val="none"/>
        </w:rPr>
        <w:t>m</w:t>
      </w:r>
      <w:r>
        <w:rPr>
          <w:highlight w:val="none"/>
          <w:vertAlign w:val="superscript"/>
        </w:rPr>
        <w:t>3</w:t>
      </w:r>
      <w:r>
        <w:t>/a</w:t>
      </w:r>
      <w:r>
        <w:rPr>
          <w:rFonts w:hint="eastAsia"/>
        </w:rPr>
        <w:t>）。</w:t>
      </w:r>
    </w:p>
    <w:p>
      <w:pPr>
        <w:pStyle w:val="90"/>
        <w:ind w:firstLine="480"/>
      </w:pPr>
      <w:r>
        <w:rPr>
          <w:rFonts w:hint="eastAsia"/>
        </w:rPr>
        <w:t>本项目去毛刺滚抛产生的滚抛废水及清洗产生的清洗废水排入废水收集池中经污水站处理，生活污水经化粪池预处理后与处理后生产废水一起排入市政管网到白水湖污水处理厂处理，达到</w:t>
      </w:r>
      <w:r>
        <w:t>《城镇污水处理厂污染物排放标准》（GB18918-2002）</w:t>
      </w:r>
      <w:r>
        <w:rPr>
          <w:rFonts w:hint="eastAsia"/>
        </w:rPr>
        <w:t>及其修改单</w:t>
      </w:r>
      <w:r>
        <w:t>中一级B标准后</w:t>
      </w:r>
      <w:r>
        <w:rPr>
          <w:rFonts w:hint="eastAsia"/>
        </w:rPr>
        <w:t>，尾水排入赣江北支。</w:t>
      </w:r>
    </w:p>
    <w:p>
      <w:pPr>
        <w:pStyle w:val="6"/>
        <w:bidi w:val="0"/>
      </w:pPr>
      <w:bookmarkStart w:id="134" w:name="_Toc37600028"/>
      <w:bookmarkStart w:id="135" w:name="_Toc16204"/>
      <w:bookmarkStart w:id="136" w:name="_Toc7025"/>
      <w:bookmarkStart w:id="137" w:name="_Toc27085"/>
      <w:r>
        <w:t>2.</w:t>
      </w:r>
      <w:r>
        <w:rPr>
          <w:rFonts w:hint="eastAsia"/>
        </w:rPr>
        <w:t>6</w:t>
      </w:r>
      <w:r>
        <w:t>.</w:t>
      </w:r>
      <w:r>
        <w:rPr>
          <w:rFonts w:hint="eastAsia"/>
        </w:rPr>
        <w:t>3</w:t>
      </w:r>
      <w:r>
        <w:t xml:space="preserve"> </w:t>
      </w:r>
      <w:r>
        <w:rPr>
          <w:rFonts w:hint="eastAsia"/>
        </w:rPr>
        <w:t>废气污染源及处理措施</w:t>
      </w:r>
      <w:bookmarkEnd w:id="134"/>
      <w:bookmarkEnd w:id="135"/>
      <w:bookmarkEnd w:id="136"/>
      <w:bookmarkEnd w:id="137"/>
    </w:p>
    <w:p>
      <w:pPr>
        <w:pStyle w:val="90"/>
        <w:ind w:firstLine="480"/>
      </w:pPr>
      <w:r>
        <w:rPr>
          <w:rFonts w:hint="eastAsia"/>
        </w:rPr>
        <w:t>（1）车削工序废气</w:t>
      </w:r>
    </w:p>
    <w:p>
      <w:pPr>
        <w:pStyle w:val="90"/>
        <w:ind w:firstLine="480"/>
      </w:pPr>
      <w:r>
        <w:rPr>
          <w:rFonts w:hint="eastAsia"/>
        </w:rPr>
        <w:t>生产车间车削机产生的废气通过1根15米高的排气筒排放</w:t>
      </w:r>
    </w:p>
    <w:p>
      <w:pPr>
        <w:pStyle w:val="6"/>
        <w:bidi w:val="0"/>
      </w:pPr>
      <w:bookmarkStart w:id="138" w:name="_Toc26142"/>
      <w:bookmarkStart w:id="139" w:name="_Toc24973"/>
      <w:bookmarkStart w:id="140" w:name="_Toc14554"/>
      <w:bookmarkStart w:id="141" w:name="_Toc37600029"/>
      <w:r>
        <w:t>2.</w:t>
      </w:r>
      <w:r>
        <w:rPr>
          <w:rFonts w:hint="eastAsia"/>
        </w:rPr>
        <w:t>6</w:t>
      </w:r>
      <w:r>
        <w:t>.</w:t>
      </w:r>
      <w:r>
        <w:rPr>
          <w:rFonts w:hint="eastAsia"/>
        </w:rPr>
        <w:t>4</w:t>
      </w:r>
      <w:r>
        <w:t xml:space="preserve"> </w:t>
      </w:r>
      <w:r>
        <w:rPr>
          <w:rFonts w:hint="eastAsia"/>
        </w:rPr>
        <w:t>噪声污染源及处理措施</w:t>
      </w:r>
      <w:bookmarkEnd w:id="138"/>
      <w:bookmarkEnd w:id="139"/>
      <w:bookmarkEnd w:id="140"/>
      <w:bookmarkEnd w:id="141"/>
    </w:p>
    <w:p>
      <w:pPr>
        <w:pStyle w:val="90"/>
        <w:ind w:firstLine="480"/>
      </w:pPr>
      <w:r>
        <w:rPr>
          <w:rFonts w:hint="eastAsia"/>
        </w:rPr>
        <w:t>噪声污染主要来源于</w:t>
      </w:r>
      <w:r>
        <w:rPr>
          <w:rFonts w:hint="eastAsia"/>
          <w:snapToGrid w:val="0"/>
        </w:rPr>
        <w:t>数控机床、压力机、剪切机、空压机及焊接机</w:t>
      </w:r>
      <w:r>
        <w:rPr>
          <w:rFonts w:hint="eastAsia"/>
        </w:rPr>
        <w:t>等生产设备，项目建设过程中针对项目特点，采取了不同的噪声防治措施，主要有：</w:t>
      </w:r>
    </w:p>
    <w:p>
      <w:pPr>
        <w:pStyle w:val="90"/>
        <w:ind w:firstLine="480"/>
      </w:pPr>
      <w:r>
        <w:rPr>
          <w:rFonts w:hint="eastAsia"/>
          <w:snapToGrid w:val="0"/>
          <w:kern w:val="0"/>
        </w:rPr>
        <w:t>①</w:t>
      </w:r>
      <w:r>
        <w:t>建设单位在设备选型时选用低噪设备，从源头降低噪声指数；提高设备的安装精度，做好平衡调试；</w:t>
      </w:r>
    </w:p>
    <w:p>
      <w:pPr>
        <w:pStyle w:val="90"/>
        <w:ind w:firstLine="480"/>
      </w:pPr>
      <w:r>
        <w:rPr>
          <w:rFonts w:hint="eastAsia"/>
        </w:rPr>
        <w:t>②</w:t>
      </w:r>
      <w:r>
        <w:t>对噪声较大的设备安装时采用减振、隔振措施，在设备和基础之间加装隔振元件</w:t>
      </w:r>
      <w:r>
        <w:rPr>
          <w:highlight w:val="none"/>
        </w:rPr>
        <w:t>(</w:t>
      </w:r>
      <w:r>
        <w:t>如减震器、橡胶隔振垫等</w:t>
      </w:r>
      <w:r>
        <w:rPr>
          <w:highlight w:val="none"/>
        </w:rPr>
        <w:t>)</w:t>
      </w:r>
      <w:r>
        <w:t>，设置防振沟，并增加惰性块</w:t>
      </w:r>
      <w:r>
        <w:rPr>
          <w:highlight w:val="none"/>
        </w:rPr>
        <w:t>(</w:t>
      </w:r>
      <w:r>
        <w:t>钢筋混凝土基础</w:t>
      </w:r>
      <w:r>
        <w:rPr>
          <w:highlight w:val="none"/>
        </w:rPr>
        <w:t>)</w:t>
      </w:r>
      <w:r>
        <w:t>的重量以增加其稳定性。</w:t>
      </w:r>
    </w:p>
    <w:p>
      <w:pPr>
        <w:pStyle w:val="90"/>
        <w:ind w:firstLine="480"/>
      </w:pPr>
      <w:r>
        <w:rPr>
          <w:rFonts w:hint="eastAsia" w:ascii="宋体" w:hAnsi="宋体"/>
        </w:rPr>
        <w:t>③</w:t>
      </w:r>
      <w:r>
        <w:t>对产生噪声的设备加强维护和维修工作，对噪声的降低有良好作用。建立设备定期维护，保养的管理制度，以防止设备故障形成的非正常生产噪声，同时确保环保措施发挥最佳有效的功能；加强职工环保意识教育，提倡文明生产，防止人为噪声。</w:t>
      </w:r>
    </w:p>
    <w:p>
      <w:pPr>
        <w:pStyle w:val="6"/>
        <w:bidi w:val="0"/>
      </w:pPr>
      <w:bookmarkStart w:id="142" w:name="_Toc25951"/>
      <w:bookmarkStart w:id="143" w:name="_Toc37600030"/>
      <w:bookmarkStart w:id="144" w:name="_Toc22052"/>
      <w:bookmarkStart w:id="145" w:name="_Toc31532"/>
      <w:r>
        <w:t>2.</w:t>
      </w:r>
      <w:r>
        <w:rPr>
          <w:rFonts w:hint="eastAsia"/>
        </w:rPr>
        <w:t>6</w:t>
      </w:r>
      <w:r>
        <w:t>.</w:t>
      </w:r>
      <w:r>
        <w:rPr>
          <w:rFonts w:hint="eastAsia"/>
        </w:rPr>
        <w:t>5</w:t>
      </w:r>
      <w:r>
        <w:t xml:space="preserve"> </w:t>
      </w:r>
      <w:r>
        <w:rPr>
          <w:rFonts w:hint="eastAsia"/>
        </w:rPr>
        <w:t>固体废物污染源及处理措施</w:t>
      </w:r>
      <w:bookmarkEnd w:id="142"/>
      <w:bookmarkEnd w:id="143"/>
      <w:bookmarkEnd w:id="144"/>
      <w:bookmarkEnd w:id="145"/>
    </w:p>
    <w:p>
      <w:pPr>
        <w:pStyle w:val="90"/>
        <w:ind w:firstLine="480"/>
      </w:pPr>
      <w:r>
        <w:rPr>
          <w:rFonts w:hint="eastAsia"/>
        </w:rPr>
        <w:t>项目固体废物主要为生活垃圾、金属边角料、金属沉降粉尘和危险废物。</w:t>
      </w:r>
    </w:p>
    <w:p>
      <w:pPr>
        <w:pStyle w:val="90"/>
        <w:ind w:firstLine="480"/>
      </w:pPr>
      <w:r>
        <w:rPr>
          <w:rFonts w:hint="eastAsia"/>
        </w:rPr>
        <w:t>生活垃圾统一收集处理后填埋于填埋场；金属边角料和金属沉降粉尘</w:t>
      </w:r>
      <w:r>
        <w:t>定期由厂家进行回收</w:t>
      </w:r>
      <w:r>
        <w:rPr>
          <w:rFonts w:hint="eastAsia"/>
        </w:rPr>
        <w:t>；污水站污泥及浮渣、含油手套及废机油统一分类集中收集于危废暂存库，并定期交由有资质单位回收处理（江西东江环保技术有限公司）。</w:t>
      </w:r>
    </w:p>
    <w:p>
      <w:pPr>
        <w:pStyle w:val="90"/>
        <w:ind w:firstLine="480"/>
        <w:rPr>
          <w:rFonts w:hAnsi="宋体"/>
        </w:rPr>
      </w:pPr>
      <w:r>
        <w:rPr>
          <w:rFonts w:hAnsi="宋体"/>
        </w:rPr>
        <w:t>因此，在严格按照固体废物管理法，确保固体废物在中转、运输和综合利用的过程中不造成二次污染的情况下，加强生产管理，项目所在地无固体废物堆弃，不会对当地环境造成污染影响。</w:t>
      </w:r>
    </w:p>
    <w:p>
      <w:pPr>
        <w:pStyle w:val="5"/>
        <w:bidi w:val="0"/>
      </w:pPr>
      <w:bookmarkStart w:id="146" w:name="_Toc13079"/>
      <w:bookmarkStart w:id="147" w:name="_Toc26668"/>
      <w:bookmarkStart w:id="148" w:name="_Toc37600031"/>
      <w:bookmarkStart w:id="149" w:name="_Toc13658"/>
      <w:bookmarkStart w:id="150" w:name="_Toc7558"/>
      <w:bookmarkStart w:id="151" w:name="_Toc8934"/>
      <w:bookmarkStart w:id="152" w:name="_Toc28339_WPSOffice_Level1"/>
      <w:r>
        <w:t>2.</w:t>
      </w:r>
      <w:r>
        <w:rPr>
          <w:rFonts w:hint="eastAsia"/>
        </w:rPr>
        <w:t>7</w:t>
      </w:r>
      <w:r>
        <w:t xml:space="preserve"> </w:t>
      </w:r>
      <w:r>
        <w:rPr>
          <w:rFonts w:hint="eastAsia"/>
        </w:rPr>
        <w:t>公司所在地区概况</w:t>
      </w:r>
      <w:bookmarkEnd w:id="146"/>
      <w:bookmarkEnd w:id="147"/>
      <w:bookmarkEnd w:id="148"/>
      <w:bookmarkEnd w:id="149"/>
      <w:bookmarkEnd w:id="150"/>
      <w:bookmarkEnd w:id="151"/>
      <w:bookmarkEnd w:id="152"/>
    </w:p>
    <w:p>
      <w:pPr>
        <w:pStyle w:val="6"/>
        <w:bidi w:val="0"/>
      </w:pPr>
      <w:bookmarkStart w:id="153" w:name="_Toc37600032"/>
      <w:bookmarkStart w:id="154" w:name="_Toc1671"/>
      <w:bookmarkStart w:id="155" w:name="_Toc25765"/>
      <w:bookmarkStart w:id="156" w:name="_Toc17851"/>
      <w:r>
        <w:t>2.</w:t>
      </w:r>
      <w:r>
        <w:rPr>
          <w:rFonts w:hint="eastAsia"/>
        </w:rPr>
        <w:t>7</w:t>
      </w:r>
      <w:r>
        <w:t xml:space="preserve">.1 </w:t>
      </w:r>
      <w:r>
        <w:rPr>
          <w:rFonts w:hint="eastAsia"/>
        </w:rPr>
        <w:t>地理位置及周边情况</w:t>
      </w:r>
      <w:bookmarkEnd w:id="153"/>
      <w:bookmarkEnd w:id="154"/>
      <w:bookmarkEnd w:id="155"/>
      <w:bookmarkEnd w:id="156"/>
    </w:p>
    <w:p>
      <w:pPr>
        <w:pStyle w:val="90"/>
        <w:ind w:firstLine="480"/>
      </w:pPr>
      <w:r>
        <w:t>南昌位于东经115°27′～116°35′，北纬28°09′～29°11′，处江西省中部偏北，赣江、抚河下游，滨临我国第一大淡水湖——鄱阳湖。南昌北邻九江市，东毗上饶市，南接抚州市，西连宜春市，地理位置优越，交通便利，历为“襟三江而带五湖，控蛮荆而引瓯越”之地。市郊向塘有98股道</w:t>
      </w:r>
      <w:r>
        <w:rPr>
          <w:highlight w:val="none"/>
        </w:rPr>
        <w:t>的全国</w:t>
      </w:r>
      <w:r>
        <w:t>第二大货运编组站，是我国铁路交通的一个重要枢纽。公路全部成网，所有乡村均通公路，是105、316、320三条国道的交汇处，已开通昌九和梨温高速公路，赣粤高速纵贯南北。水路可通赣江、抚河、锦江和鄱阳湖沿岸城镇及长江各口岸。民航已开辟国内30多个城市的航线，2004年，至新加坡国际航线正式通航，昌北机场成功晋升为国际航空港。从南昌出发，旅客可以在新加坡转程33个国家的近60个国际城市。</w:t>
      </w:r>
    </w:p>
    <w:p>
      <w:pPr>
        <w:pStyle w:val="6"/>
        <w:bidi w:val="0"/>
      </w:pPr>
      <w:bookmarkStart w:id="157" w:name="_Toc37600033"/>
      <w:bookmarkStart w:id="158" w:name="_Toc28815"/>
      <w:bookmarkStart w:id="159" w:name="_Toc32225"/>
      <w:bookmarkStart w:id="160" w:name="_Toc31114"/>
      <w:r>
        <w:t>2.</w:t>
      </w:r>
      <w:r>
        <w:rPr>
          <w:rFonts w:hint="eastAsia"/>
        </w:rPr>
        <w:t>7</w:t>
      </w:r>
      <w:r>
        <w:t xml:space="preserve">.2 </w:t>
      </w:r>
      <w:r>
        <w:rPr>
          <w:rFonts w:hint="eastAsia"/>
        </w:rPr>
        <w:t>气候气象</w:t>
      </w:r>
      <w:bookmarkEnd w:id="157"/>
      <w:bookmarkEnd w:id="158"/>
      <w:bookmarkEnd w:id="159"/>
      <w:bookmarkEnd w:id="160"/>
    </w:p>
    <w:p>
      <w:pPr>
        <w:pStyle w:val="90"/>
        <w:ind w:firstLine="480"/>
        <w:rPr>
          <w:snapToGrid w:val="0"/>
        </w:rPr>
      </w:pPr>
      <w:r>
        <w:rPr>
          <w:snapToGrid w:val="0"/>
        </w:rPr>
        <w:t>南昌市</w:t>
      </w:r>
      <w:r>
        <w:rPr>
          <w:rFonts w:hint="eastAsia"/>
          <w:snapToGrid w:val="0"/>
          <w:lang w:val="en-US" w:eastAsia="zh-CN"/>
        </w:rPr>
        <w:t>气候</w:t>
      </w:r>
      <w:r>
        <w:rPr>
          <w:snapToGrid w:val="0"/>
        </w:rPr>
        <w:t>湿润温和，属亚热带季风区，雨量充沛，四季分明，春秋短，夏季长。根据南昌市气象站近二十年气象统计结果显示，年平均气温18.2℃，极端最高气温40.6℃，极端最低气温-9.7℃。</w:t>
      </w:r>
      <w:r>
        <w:rPr>
          <w:snapToGrid w:val="0"/>
          <w:highlight w:val="none"/>
        </w:rPr>
        <w:t>平均</w:t>
      </w:r>
      <w:r>
        <w:rPr>
          <w:rFonts w:hint="eastAsia"/>
          <w:snapToGrid w:val="0"/>
          <w:highlight w:val="none"/>
          <w:lang w:val="en-US" w:eastAsia="zh-CN"/>
        </w:rPr>
        <w:t>年</w:t>
      </w:r>
      <w:r>
        <w:rPr>
          <w:snapToGrid w:val="0"/>
          <w:highlight w:val="none"/>
        </w:rPr>
        <w:t>降水量</w:t>
      </w:r>
      <w:r>
        <w:rPr>
          <w:snapToGrid w:val="0"/>
        </w:rPr>
        <w:t>为1613.9</w:t>
      </w:r>
      <w:r>
        <w:rPr>
          <w:snapToGrid w:val="0"/>
          <w:highlight w:val="none"/>
        </w:rPr>
        <w:t>mm</w:t>
      </w:r>
      <w:r>
        <w:rPr>
          <w:snapToGrid w:val="0"/>
        </w:rPr>
        <w:t>，降水日为144天，年暴雨日58天，年平均相对湿度为78%。年日照时间1850.5小时，日照率为42%。年平均风速2.0m/s，年最大风向为东北偏北风，夏季盛行西南风，冬季主导风向是北风或东北风。年无霜期291天。</w:t>
      </w:r>
    </w:p>
    <w:p>
      <w:pPr>
        <w:pStyle w:val="6"/>
        <w:bidi w:val="0"/>
      </w:pPr>
      <w:bookmarkStart w:id="161" w:name="_Toc8796"/>
      <w:bookmarkStart w:id="162" w:name="_Toc37600034"/>
      <w:bookmarkStart w:id="163" w:name="_Toc9618"/>
      <w:bookmarkStart w:id="164" w:name="_Toc3204"/>
      <w:r>
        <w:t>2.</w:t>
      </w:r>
      <w:r>
        <w:rPr>
          <w:rFonts w:hint="eastAsia"/>
        </w:rPr>
        <w:t>7</w:t>
      </w:r>
      <w:r>
        <w:t>.</w:t>
      </w:r>
      <w:r>
        <w:rPr>
          <w:rFonts w:hint="eastAsia"/>
        </w:rPr>
        <w:t>3</w:t>
      </w:r>
      <w:r>
        <w:t xml:space="preserve"> </w:t>
      </w:r>
      <w:r>
        <w:rPr>
          <w:rFonts w:hint="eastAsia"/>
        </w:rPr>
        <w:t>地形、地貌、地质</w:t>
      </w:r>
      <w:bookmarkEnd w:id="161"/>
      <w:bookmarkEnd w:id="162"/>
      <w:bookmarkEnd w:id="163"/>
      <w:bookmarkEnd w:id="164"/>
    </w:p>
    <w:p>
      <w:pPr>
        <w:pStyle w:val="90"/>
        <w:ind w:firstLine="480"/>
      </w:pPr>
      <w:r>
        <w:t>南昌市位于江南台隆构造单元的丰城――乐平凹陷之中，构造上主要受赣江大断裂的影响，项目所在地地貌单元属赣江冲积平原Ⅱ级阶地。</w:t>
      </w:r>
    </w:p>
    <w:p>
      <w:pPr>
        <w:pStyle w:val="90"/>
        <w:ind w:firstLine="480"/>
      </w:pPr>
      <w:r>
        <w:t>区内第一系地层分布最广，岩性以洪积红土、砾石层及</w:t>
      </w:r>
      <w:r>
        <w:rPr>
          <w:highlight w:val="none"/>
        </w:rPr>
        <w:t>粗</w:t>
      </w:r>
      <w:r>
        <w:rPr>
          <w:rFonts w:hint="eastAsia"/>
          <w:highlight w:val="none"/>
          <w:lang w:val="en-US" w:eastAsia="zh-CN"/>
        </w:rPr>
        <w:t>砂</w:t>
      </w:r>
      <w:r>
        <w:t>、砾石层为主、多分布于赣、抚、锦河两侧和滨湖地带。前震旦系地层断续分布于石岗、西山至樵舍。西部的欧阳村至华源一带，则有雪峰期、喜山期</w:t>
      </w:r>
      <w:r>
        <w:rPr>
          <w:highlight w:val="none"/>
        </w:rPr>
        <w:t>岩浆岩</w:t>
      </w:r>
      <w:r>
        <w:t>出露。在白虎岭、松岗等小褶皱发育地区，老土层隆起，第三系、白垩系、三叠系、二叠系、石炭系、泥盆系等地层均有零星分布出露，岩性以炭岩、砂岩为代表。以上土层给全市地貌以深刻影响，形成西部山地逶迤，中部丘岗起伏，东部赣江、抚河下游平原绵延。</w:t>
      </w:r>
    </w:p>
    <w:p>
      <w:pPr>
        <w:pStyle w:val="90"/>
        <w:ind w:firstLine="480"/>
      </w:pPr>
      <w:r>
        <w:t>区内第一纪发育，下伏基岩为第三新余群泥质粉</w:t>
      </w:r>
      <w:r>
        <w:rPr>
          <w:rFonts w:hint="eastAsia"/>
          <w:highlight w:val="none"/>
          <w:lang w:val="en-US" w:eastAsia="zh-CN"/>
        </w:rPr>
        <w:t>砂</w:t>
      </w:r>
      <w:r>
        <w:rPr>
          <w:highlight w:val="none"/>
        </w:rPr>
        <w:t>岩</w:t>
      </w:r>
      <w:r>
        <w:t>，泥质结构，泥质胶结、局部钙质胶结，具近水平层理，易崩解。第一纪厚度约15-37m，基岩顶面自赣江上游向下游倾斜，第一系岩性变化复杂，总的规律是颗粒分布上细下粗，分布于</w:t>
      </w:r>
      <w:r>
        <w:rPr>
          <w:rFonts w:hint="eastAsia"/>
          <w:highlight w:val="none"/>
          <w:lang w:val="en-US" w:eastAsia="zh-CN"/>
        </w:rPr>
        <w:t>黏</w:t>
      </w:r>
      <w:r>
        <w:rPr>
          <w:highlight w:val="none"/>
        </w:rPr>
        <w:t>性</w:t>
      </w:r>
      <w:r>
        <w:t>土和砂类土两大类。</w:t>
      </w:r>
    </w:p>
    <w:p>
      <w:pPr>
        <w:pStyle w:val="6"/>
        <w:bidi w:val="0"/>
      </w:pPr>
      <w:bookmarkStart w:id="165" w:name="_Toc1241"/>
      <w:bookmarkStart w:id="166" w:name="_Toc22456"/>
      <w:bookmarkStart w:id="167" w:name="_Toc32438"/>
      <w:bookmarkStart w:id="168" w:name="_Toc37600035"/>
      <w:r>
        <w:t>2.</w:t>
      </w:r>
      <w:r>
        <w:rPr>
          <w:rFonts w:hint="eastAsia"/>
        </w:rPr>
        <w:t>7</w:t>
      </w:r>
      <w:r>
        <w:t>.</w:t>
      </w:r>
      <w:r>
        <w:rPr>
          <w:rFonts w:hint="eastAsia"/>
        </w:rPr>
        <w:t>4</w:t>
      </w:r>
      <w:r>
        <w:t xml:space="preserve"> </w:t>
      </w:r>
      <w:r>
        <w:rPr>
          <w:rFonts w:hint="eastAsia"/>
        </w:rPr>
        <w:t>厂区平面布置</w:t>
      </w:r>
      <w:bookmarkEnd w:id="165"/>
      <w:bookmarkEnd w:id="166"/>
      <w:bookmarkEnd w:id="167"/>
      <w:bookmarkEnd w:id="168"/>
    </w:p>
    <w:p>
      <w:pPr>
        <w:pStyle w:val="90"/>
        <w:ind w:firstLine="480"/>
      </w:pPr>
      <w:r>
        <w:rPr>
          <w:rFonts w:hint="eastAsia"/>
        </w:rPr>
        <w:t>厂区内设有2个大门（安全出口），通过道路连接，根据使用功能生产区道路采用4m，道路转弯半径9m，厂区所在工业园道路采用工业企业型砼路面。</w:t>
      </w:r>
    </w:p>
    <w:p>
      <w:pPr>
        <w:pStyle w:val="90"/>
        <w:ind w:firstLine="480"/>
        <w:rPr>
          <w:snapToGrid w:val="0"/>
          <w:kern w:val="0"/>
        </w:rPr>
      </w:pPr>
      <w:r>
        <w:rPr>
          <w:rFonts w:hint="eastAsia"/>
        </w:rPr>
        <w:t>厂区道路可满足生产和消防要求。运输道路均可兼作消防道路。厂区道路与厂外道路相连接，除满足运输需要外，也兼作消防道路，满足消防车通行要求。周边情况：</w:t>
      </w:r>
      <w:r>
        <w:rPr>
          <w:rFonts w:hint="eastAsia"/>
          <w:snapToGrid w:val="0"/>
          <w:kern w:val="0"/>
        </w:rPr>
        <w:t>项目东面为南昌同兴达精密光电有限公司，南面为南昌昱博科技园办公室，西侧为毗邻园区道路，北侧为江西名匠智能系统有限公司。</w:t>
      </w:r>
    </w:p>
    <w:p>
      <w:pPr>
        <w:pStyle w:val="90"/>
        <w:ind w:firstLine="480"/>
      </w:pPr>
      <w:r>
        <w:rPr>
          <w:rFonts w:hint="eastAsia"/>
        </w:rPr>
        <w:t>具体平面布置：项目规划用地形状大致正方形，项目分为办公室、原料区、生产区、危废储存区、固废储存区、污水处理设施区等。项目厂址靠近昱博科技园大门，发生事故可第一时间撤离至安全区，危废储存间布置于项目北侧，临近科技园马路，方便运输。</w:t>
      </w:r>
    </w:p>
    <w:p>
      <w:pPr>
        <w:pStyle w:val="6"/>
        <w:bidi w:val="0"/>
      </w:pPr>
      <w:bookmarkStart w:id="169" w:name="_Toc37600036"/>
      <w:bookmarkStart w:id="170" w:name="_Toc6459"/>
      <w:bookmarkStart w:id="171" w:name="_Toc31591"/>
      <w:bookmarkStart w:id="172" w:name="_Toc2422"/>
      <w:r>
        <w:t>2.</w:t>
      </w:r>
      <w:r>
        <w:rPr>
          <w:rFonts w:hint="eastAsia"/>
        </w:rPr>
        <w:t>7</w:t>
      </w:r>
      <w:r>
        <w:t>.</w:t>
      </w:r>
      <w:r>
        <w:rPr>
          <w:rFonts w:hint="eastAsia"/>
        </w:rPr>
        <w:t>5</w:t>
      </w:r>
      <w:r>
        <w:t xml:space="preserve"> </w:t>
      </w:r>
      <w:r>
        <w:rPr>
          <w:rFonts w:hint="eastAsia"/>
        </w:rPr>
        <w:t>周边</w:t>
      </w:r>
      <w:r>
        <w:rPr>
          <w:rFonts w:hint="eastAsia"/>
          <w:highlight w:val="none"/>
        </w:rPr>
        <w:t>污水</w:t>
      </w:r>
      <w:r>
        <w:rPr>
          <w:rFonts w:hint="eastAsia"/>
          <w:highlight w:val="none"/>
          <w:lang w:val="en-US" w:eastAsia="zh-CN"/>
        </w:rPr>
        <w:t>处理</w:t>
      </w:r>
      <w:r>
        <w:rPr>
          <w:rFonts w:hint="eastAsia"/>
          <w:highlight w:val="none"/>
        </w:rPr>
        <w:t>厂</w:t>
      </w:r>
      <w:r>
        <w:rPr>
          <w:rFonts w:hint="eastAsia"/>
        </w:rPr>
        <w:t>及污水管网建设状况</w:t>
      </w:r>
      <w:bookmarkEnd w:id="169"/>
      <w:bookmarkEnd w:id="170"/>
      <w:bookmarkEnd w:id="171"/>
      <w:bookmarkEnd w:id="172"/>
    </w:p>
    <w:p>
      <w:pPr>
        <w:pStyle w:val="90"/>
        <w:ind w:firstLine="480"/>
      </w:pPr>
      <w:r>
        <w:rPr>
          <w:rFonts w:hint="eastAsia"/>
        </w:rPr>
        <w:t>营运期生产车间产生的废水经厂内污水处理厂处理达到</w:t>
      </w:r>
      <w:r>
        <w:t>《</w:t>
      </w:r>
      <w:r>
        <w:rPr>
          <w:rFonts w:hint="eastAsia"/>
        </w:rPr>
        <w:t>污水综合排放标准》</w:t>
      </w:r>
      <w:r>
        <w:t>（GB</w:t>
      </w:r>
      <w:r>
        <w:rPr>
          <w:rFonts w:hint="eastAsia"/>
        </w:rPr>
        <w:t>8978</w:t>
      </w:r>
      <w:r>
        <w:t>-</w:t>
      </w:r>
      <w:r>
        <w:rPr>
          <w:rFonts w:hint="eastAsia"/>
        </w:rPr>
        <w:t>1996</w:t>
      </w:r>
      <w:r>
        <w:t>）</w:t>
      </w:r>
      <w:r>
        <w:rPr>
          <w:rFonts w:hint="eastAsia"/>
        </w:rPr>
        <w:t>一级标准后，排入</w:t>
      </w:r>
      <w:r>
        <w:rPr>
          <w:rFonts w:hint="eastAsia"/>
          <w:lang w:val="en-US" w:eastAsia="zh-CN"/>
        </w:rPr>
        <w:t>白水湖</w:t>
      </w:r>
      <w:r>
        <w:rPr>
          <w:rFonts w:hint="eastAsia"/>
        </w:rPr>
        <w:t>污水处理厂进一步处理达《城镇污水处理厂污染物排放标准》（GB18918-2002）及其修改单中一级B标准后，排入</w:t>
      </w:r>
      <w:r>
        <w:t>赣江</w:t>
      </w:r>
      <w:r>
        <w:rPr>
          <w:rFonts w:hint="eastAsia"/>
        </w:rPr>
        <w:t>北支。</w:t>
      </w:r>
    </w:p>
    <w:p>
      <w:pPr>
        <w:pStyle w:val="6"/>
        <w:bidi w:val="0"/>
      </w:pPr>
      <w:bookmarkStart w:id="173" w:name="_Toc37600037"/>
      <w:bookmarkStart w:id="174" w:name="_Toc21514"/>
      <w:bookmarkStart w:id="175" w:name="_Toc28307"/>
      <w:bookmarkStart w:id="176" w:name="_Toc6373"/>
      <w:r>
        <w:t>2.</w:t>
      </w:r>
      <w:r>
        <w:rPr>
          <w:rFonts w:hint="eastAsia"/>
        </w:rPr>
        <w:t>7</w:t>
      </w:r>
      <w:r>
        <w:t>.</w:t>
      </w:r>
      <w:r>
        <w:rPr>
          <w:rFonts w:hint="eastAsia"/>
        </w:rPr>
        <w:t>6</w:t>
      </w:r>
      <w:r>
        <w:t xml:space="preserve"> </w:t>
      </w:r>
      <w:r>
        <w:rPr>
          <w:rFonts w:hint="eastAsia"/>
        </w:rPr>
        <w:t>周边污染源情况</w:t>
      </w:r>
      <w:bookmarkEnd w:id="173"/>
      <w:bookmarkEnd w:id="174"/>
      <w:bookmarkEnd w:id="175"/>
      <w:bookmarkEnd w:id="176"/>
    </w:p>
    <w:p>
      <w:pPr>
        <w:pStyle w:val="90"/>
        <w:ind w:firstLine="480"/>
      </w:pPr>
      <w:r>
        <w:t>本项目位于南昌经济技术开发区</w:t>
      </w:r>
      <w:r>
        <w:rPr>
          <w:rFonts w:hint="eastAsia"/>
        </w:rPr>
        <w:t>昱博科技园内</w:t>
      </w:r>
      <w:r>
        <w:t>，厂区中心坐标为115º</w:t>
      </w:r>
      <w:r>
        <w:rPr>
          <w:rFonts w:hint="eastAsia"/>
        </w:rPr>
        <w:t>53</w:t>
      </w:r>
      <w:r>
        <w:t>′</w:t>
      </w:r>
      <w:r>
        <w:rPr>
          <w:rFonts w:hint="eastAsia"/>
        </w:rPr>
        <w:t>52.701</w:t>
      </w:r>
      <w:r>
        <w:t>″E</w:t>
      </w:r>
      <w:r>
        <w:rPr>
          <w:rFonts w:hint="eastAsia"/>
        </w:rPr>
        <w:t>，</w:t>
      </w:r>
      <w:r>
        <w:t>28º</w:t>
      </w:r>
      <w:r>
        <w:rPr>
          <w:rFonts w:hint="eastAsia"/>
        </w:rPr>
        <w:t>47</w:t>
      </w:r>
      <w:r>
        <w:t>′</w:t>
      </w:r>
      <w:r>
        <w:rPr>
          <w:rFonts w:hint="eastAsia"/>
        </w:rPr>
        <w:t>2.043</w:t>
      </w:r>
      <w:r>
        <w:t>″N</w:t>
      </w:r>
      <w:r>
        <w:rPr>
          <w:rFonts w:hint="eastAsia"/>
        </w:rPr>
        <w:t>。项目周边企业为江西名匠智能系统有限公司、南昌同兴达精密光电有限公司等，主要污染源为废气、生产废水以及生活污水、生活垃圾等。</w:t>
      </w:r>
    </w:p>
    <w:p>
      <w:pPr>
        <w:pStyle w:val="5"/>
        <w:bidi w:val="0"/>
      </w:pPr>
      <w:bookmarkStart w:id="177" w:name="_Toc14402"/>
      <w:bookmarkStart w:id="178" w:name="_Toc18214"/>
      <w:bookmarkStart w:id="179" w:name="_Toc37600038"/>
      <w:bookmarkStart w:id="180" w:name="_Toc27354"/>
      <w:bookmarkStart w:id="181" w:name="_Toc16593"/>
      <w:bookmarkStart w:id="182" w:name="_Toc16885"/>
      <w:bookmarkStart w:id="183" w:name="_Toc11126"/>
      <w:bookmarkStart w:id="184" w:name="_Toc27464_WPSOffice_Level1"/>
      <w:r>
        <w:t>2.</w:t>
      </w:r>
      <w:r>
        <w:rPr>
          <w:rFonts w:hint="eastAsia"/>
        </w:rPr>
        <w:t>8</w:t>
      </w:r>
      <w:r>
        <w:t xml:space="preserve"> </w:t>
      </w:r>
      <w:r>
        <w:rPr>
          <w:rFonts w:hint="eastAsia"/>
        </w:rPr>
        <w:t>环境</w:t>
      </w:r>
      <w:bookmarkEnd w:id="177"/>
      <w:r>
        <w:rPr>
          <w:rFonts w:hint="eastAsia"/>
        </w:rPr>
        <w:t>受体情况调查</w:t>
      </w:r>
      <w:bookmarkEnd w:id="178"/>
      <w:bookmarkEnd w:id="179"/>
      <w:bookmarkEnd w:id="180"/>
      <w:bookmarkEnd w:id="181"/>
      <w:bookmarkEnd w:id="182"/>
      <w:bookmarkEnd w:id="183"/>
      <w:bookmarkEnd w:id="184"/>
    </w:p>
    <w:p>
      <w:pPr>
        <w:pStyle w:val="90"/>
        <w:ind w:firstLine="480"/>
      </w:pPr>
      <w:r>
        <w:rPr>
          <w:rFonts w:hint="eastAsia"/>
        </w:rPr>
        <w:t>现对周边环境受体、主要河流进行现场调查。具体情况见表</w:t>
      </w:r>
      <w:r>
        <w:t>2.</w:t>
      </w:r>
      <w:r>
        <w:rPr>
          <w:rFonts w:hint="eastAsia"/>
        </w:rPr>
        <w:t>8</w:t>
      </w:r>
      <w:r>
        <w:t>-1</w:t>
      </w:r>
      <w:r>
        <w:rPr>
          <w:rFonts w:hint="eastAsia"/>
        </w:rPr>
        <w:t>，企业周边</w:t>
      </w:r>
      <w:r>
        <w:t>500m</w:t>
      </w:r>
      <w:r>
        <w:rPr>
          <w:rFonts w:hint="eastAsia"/>
        </w:rPr>
        <w:t>范围内环境受体分布图。</w:t>
      </w:r>
    </w:p>
    <w:p>
      <w:pPr>
        <w:pStyle w:val="82"/>
        <w:spacing w:before="163"/>
      </w:pPr>
      <w:bookmarkStart w:id="185" w:name="_Toc9172_WPSOffice_Level2"/>
      <w:r>
        <w:rPr>
          <w:rFonts w:hint="eastAsia"/>
        </w:rPr>
        <w:t>表</w:t>
      </w:r>
      <w:r>
        <w:t>2.</w:t>
      </w:r>
      <w:r>
        <w:rPr>
          <w:rFonts w:hint="eastAsia"/>
        </w:rPr>
        <w:t>8</w:t>
      </w:r>
      <w:r>
        <w:t xml:space="preserve">-1 </w:t>
      </w:r>
      <w:r>
        <w:rPr>
          <w:rFonts w:hint="eastAsia"/>
        </w:rPr>
        <w:t>建设项目附近主要环境受体</w:t>
      </w:r>
      <w:bookmarkEnd w:id="185"/>
    </w:p>
    <w:tbl>
      <w:tblPr>
        <w:tblStyle w:val="22"/>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854"/>
        <w:gridCol w:w="3927"/>
        <w:gridCol w:w="1201"/>
        <w:gridCol w:w="273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90" w:type="pct"/>
            <w:tcBorders>
              <w:bottom w:val="single" w:color="000000" w:sz="12" w:space="0"/>
            </w:tcBorders>
            <w:vAlign w:val="center"/>
          </w:tcPr>
          <w:p>
            <w:pPr>
              <w:pStyle w:val="83"/>
              <w:rPr>
                <w:b/>
              </w:rPr>
            </w:pPr>
            <w:r>
              <w:rPr>
                <w:b/>
              </w:rPr>
              <w:t>序号</w:t>
            </w:r>
          </w:p>
        </w:tc>
        <w:tc>
          <w:tcPr>
            <w:tcW w:w="2252" w:type="pct"/>
            <w:tcBorders>
              <w:bottom w:val="single" w:color="000000" w:sz="12" w:space="0"/>
            </w:tcBorders>
            <w:vAlign w:val="center"/>
          </w:tcPr>
          <w:p>
            <w:pPr>
              <w:pStyle w:val="83"/>
              <w:rPr>
                <w:b/>
              </w:rPr>
            </w:pPr>
            <w:r>
              <w:rPr>
                <w:b/>
              </w:rPr>
              <w:t>单位名称</w:t>
            </w:r>
          </w:p>
        </w:tc>
        <w:tc>
          <w:tcPr>
            <w:tcW w:w="689" w:type="pct"/>
            <w:tcBorders>
              <w:bottom w:val="single" w:color="000000" w:sz="12" w:space="0"/>
            </w:tcBorders>
            <w:vAlign w:val="center"/>
          </w:tcPr>
          <w:p>
            <w:pPr>
              <w:pStyle w:val="83"/>
              <w:rPr>
                <w:b/>
              </w:rPr>
            </w:pPr>
            <w:r>
              <w:rPr>
                <w:b/>
              </w:rPr>
              <w:t>负责人</w:t>
            </w:r>
          </w:p>
        </w:tc>
        <w:tc>
          <w:tcPr>
            <w:tcW w:w="1567" w:type="pct"/>
            <w:tcBorders>
              <w:bottom w:val="single" w:color="000000" w:sz="12" w:space="0"/>
            </w:tcBorders>
            <w:vAlign w:val="center"/>
          </w:tcPr>
          <w:p>
            <w:pPr>
              <w:pStyle w:val="83"/>
              <w:rPr>
                <w:b/>
              </w:rPr>
            </w:pPr>
            <w:r>
              <w:rPr>
                <w:b/>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90" w:type="pct"/>
            <w:tcBorders>
              <w:top w:val="single" w:color="000000" w:sz="12" w:space="0"/>
              <w:tl2br w:val="nil"/>
              <w:tr2bl w:val="nil"/>
            </w:tcBorders>
            <w:vAlign w:val="center"/>
          </w:tcPr>
          <w:p>
            <w:pPr>
              <w:pStyle w:val="83"/>
            </w:pPr>
            <w:r>
              <w:t>1</w:t>
            </w:r>
          </w:p>
        </w:tc>
        <w:tc>
          <w:tcPr>
            <w:tcW w:w="2252" w:type="pct"/>
            <w:tcBorders>
              <w:top w:val="single" w:color="000000" w:sz="12" w:space="0"/>
              <w:tl2br w:val="nil"/>
              <w:tr2bl w:val="nil"/>
            </w:tcBorders>
            <w:vAlign w:val="center"/>
          </w:tcPr>
          <w:p>
            <w:pPr>
              <w:pStyle w:val="83"/>
            </w:pPr>
            <w:r>
              <w:rPr>
                <w:rFonts w:hint="eastAsia"/>
              </w:rPr>
              <w:t>江西名匠智能系统有限公司</w:t>
            </w:r>
          </w:p>
        </w:tc>
        <w:tc>
          <w:tcPr>
            <w:tcW w:w="689" w:type="pct"/>
            <w:tcBorders>
              <w:top w:val="single" w:color="000000" w:sz="12" w:space="0"/>
              <w:tl2br w:val="nil"/>
              <w:tr2bl w:val="nil"/>
            </w:tcBorders>
            <w:vAlign w:val="center"/>
          </w:tcPr>
          <w:p>
            <w:pPr>
              <w:pStyle w:val="83"/>
            </w:pPr>
            <w:r>
              <w:rPr>
                <w:rFonts w:hint="eastAsia"/>
              </w:rPr>
              <w:t>陈俊</w:t>
            </w:r>
          </w:p>
        </w:tc>
        <w:tc>
          <w:tcPr>
            <w:tcW w:w="1567" w:type="pct"/>
            <w:tcBorders>
              <w:top w:val="single" w:color="000000" w:sz="12" w:space="0"/>
              <w:tl2br w:val="nil"/>
              <w:tr2bl w:val="nil"/>
            </w:tcBorders>
            <w:vAlign w:val="center"/>
          </w:tcPr>
          <w:p>
            <w:pPr>
              <w:pStyle w:val="83"/>
            </w:pPr>
            <w:r>
              <w:t>0791-83895696</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90" w:type="pct"/>
            <w:tcBorders>
              <w:tl2br w:val="nil"/>
              <w:tr2bl w:val="nil"/>
            </w:tcBorders>
            <w:vAlign w:val="center"/>
          </w:tcPr>
          <w:p>
            <w:pPr>
              <w:pStyle w:val="83"/>
            </w:pPr>
            <w:r>
              <w:t>2</w:t>
            </w:r>
          </w:p>
        </w:tc>
        <w:tc>
          <w:tcPr>
            <w:tcW w:w="2252" w:type="pct"/>
            <w:tcBorders>
              <w:tl2br w:val="nil"/>
              <w:tr2bl w:val="nil"/>
            </w:tcBorders>
            <w:vAlign w:val="center"/>
          </w:tcPr>
          <w:p>
            <w:pPr>
              <w:pStyle w:val="83"/>
            </w:pPr>
            <w:r>
              <w:rPr>
                <w:rFonts w:hint="eastAsia"/>
              </w:rPr>
              <w:t>南昌同兴达精密光电有限公司</w:t>
            </w:r>
          </w:p>
        </w:tc>
        <w:tc>
          <w:tcPr>
            <w:tcW w:w="689" w:type="pct"/>
            <w:tcBorders>
              <w:tl2br w:val="nil"/>
              <w:tr2bl w:val="nil"/>
            </w:tcBorders>
            <w:vAlign w:val="center"/>
          </w:tcPr>
          <w:p>
            <w:pPr>
              <w:pStyle w:val="83"/>
            </w:pPr>
            <w:r>
              <w:rPr>
                <w:rFonts w:hint="eastAsia"/>
              </w:rPr>
              <w:t>马宏军</w:t>
            </w:r>
          </w:p>
        </w:tc>
        <w:tc>
          <w:tcPr>
            <w:tcW w:w="1567" w:type="pct"/>
            <w:tcBorders>
              <w:tl2br w:val="nil"/>
              <w:tr2bl w:val="nil"/>
            </w:tcBorders>
            <w:vAlign w:val="center"/>
          </w:tcPr>
          <w:p>
            <w:pPr>
              <w:pStyle w:val="83"/>
            </w:pPr>
            <w:r>
              <w:t>18507916808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90" w:type="pct"/>
            <w:tcBorders>
              <w:tl2br w:val="nil"/>
              <w:tr2bl w:val="nil"/>
            </w:tcBorders>
            <w:vAlign w:val="center"/>
          </w:tcPr>
          <w:p>
            <w:pPr>
              <w:pStyle w:val="83"/>
            </w:pPr>
            <w:r>
              <w:rPr>
                <w:rFonts w:hint="eastAsia"/>
              </w:rPr>
              <w:t>3</w:t>
            </w:r>
          </w:p>
        </w:tc>
        <w:tc>
          <w:tcPr>
            <w:tcW w:w="2252" w:type="pct"/>
            <w:tcBorders>
              <w:tl2br w:val="nil"/>
              <w:tr2bl w:val="nil"/>
            </w:tcBorders>
            <w:vAlign w:val="center"/>
          </w:tcPr>
          <w:p>
            <w:pPr>
              <w:pStyle w:val="83"/>
            </w:pPr>
            <w:r>
              <w:rPr>
                <w:rFonts w:hint="eastAsia"/>
              </w:rPr>
              <w:t>江西领航检测有限公司</w:t>
            </w:r>
          </w:p>
        </w:tc>
        <w:tc>
          <w:tcPr>
            <w:tcW w:w="689" w:type="pct"/>
            <w:tcBorders>
              <w:tl2br w:val="nil"/>
              <w:tr2bl w:val="nil"/>
            </w:tcBorders>
            <w:vAlign w:val="center"/>
          </w:tcPr>
          <w:p>
            <w:pPr>
              <w:pStyle w:val="83"/>
            </w:pPr>
            <w:r>
              <w:rPr>
                <w:rFonts w:hint="eastAsia"/>
              </w:rPr>
              <w:t>闵道主</w:t>
            </w:r>
          </w:p>
        </w:tc>
        <w:tc>
          <w:tcPr>
            <w:tcW w:w="1567" w:type="pct"/>
            <w:tcBorders>
              <w:tl2br w:val="nil"/>
              <w:tr2bl w:val="nil"/>
            </w:tcBorders>
            <w:vAlign w:val="center"/>
          </w:tcPr>
          <w:p>
            <w:pPr>
              <w:pStyle w:val="83"/>
            </w:pPr>
            <w:r>
              <w:rPr>
                <w:rFonts w:hint="eastAsia"/>
              </w:rPr>
              <w:t>13970877178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90" w:type="pct"/>
            <w:tcBorders>
              <w:tl2br w:val="nil"/>
              <w:tr2bl w:val="nil"/>
            </w:tcBorders>
            <w:vAlign w:val="center"/>
          </w:tcPr>
          <w:p>
            <w:pPr>
              <w:pStyle w:val="83"/>
            </w:pPr>
            <w:r>
              <w:rPr>
                <w:rFonts w:hint="eastAsia"/>
              </w:rPr>
              <w:t>4</w:t>
            </w:r>
          </w:p>
        </w:tc>
        <w:tc>
          <w:tcPr>
            <w:tcW w:w="2252" w:type="pct"/>
            <w:tcBorders>
              <w:tl2br w:val="nil"/>
              <w:tr2bl w:val="nil"/>
            </w:tcBorders>
            <w:vAlign w:val="center"/>
          </w:tcPr>
          <w:p>
            <w:pPr>
              <w:pStyle w:val="83"/>
            </w:pPr>
            <w:r>
              <w:rPr>
                <w:rFonts w:hint="eastAsia"/>
              </w:rPr>
              <w:t>南昌攀藤科技有限公司</w:t>
            </w:r>
          </w:p>
        </w:tc>
        <w:tc>
          <w:tcPr>
            <w:tcW w:w="689" w:type="pct"/>
            <w:tcBorders>
              <w:tl2br w:val="nil"/>
              <w:tr2bl w:val="nil"/>
            </w:tcBorders>
            <w:vAlign w:val="center"/>
          </w:tcPr>
          <w:p>
            <w:pPr>
              <w:pStyle w:val="83"/>
            </w:pPr>
            <w:r>
              <w:rPr>
                <w:rFonts w:hint="eastAsia"/>
              </w:rPr>
              <w:t>周志斌</w:t>
            </w:r>
          </w:p>
        </w:tc>
        <w:tc>
          <w:tcPr>
            <w:tcW w:w="1567" w:type="pct"/>
            <w:tcBorders>
              <w:tl2br w:val="nil"/>
              <w:tr2bl w:val="nil"/>
            </w:tcBorders>
            <w:vAlign w:val="center"/>
          </w:tcPr>
          <w:p>
            <w:pPr>
              <w:pStyle w:val="83"/>
            </w:pPr>
            <w:r>
              <w:rPr>
                <w:rFonts w:hint="eastAsia"/>
              </w:rPr>
              <w:t>18763000091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90" w:type="pct"/>
            <w:tcBorders>
              <w:tl2br w:val="nil"/>
              <w:tr2bl w:val="nil"/>
            </w:tcBorders>
            <w:vAlign w:val="center"/>
          </w:tcPr>
          <w:p>
            <w:pPr>
              <w:pStyle w:val="83"/>
            </w:pPr>
            <w:r>
              <w:rPr>
                <w:rFonts w:hint="eastAsia"/>
              </w:rPr>
              <w:t>5</w:t>
            </w:r>
          </w:p>
        </w:tc>
        <w:tc>
          <w:tcPr>
            <w:tcW w:w="2252" w:type="pct"/>
            <w:tcBorders>
              <w:tl2br w:val="nil"/>
              <w:tr2bl w:val="nil"/>
            </w:tcBorders>
            <w:vAlign w:val="center"/>
          </w:tcPr>
          <w:p>
            <w:pPr>
              <w:pStyle w:val="83"/>
            </w:pPr>
            <w:r>
              <w:rPr>
                <w:rFonts w:hint="eastAsia"/>
              </w:rPr>
              <w:t>金开园区服务中心</w:t>
            </w:r>
          </w:p>
        </w:tc>
        <w:tc>
          <w:tcPr>
            <w:tcW w:w="689" w:type="pct"/>
            <w:tcBorders>
              <w:tl2br w:val="nil"/>
              <w:tr2bl w:val="nil"/>
            </w:tcBorders>
            <w:vAlign w:val="center"/>
          </w:tcPr>
          <w:p>
            <w:pPr>
              <w:pStyle w:val="83"/>
            </w:pPr>
            <w:r>
              <w:rPr>
                <w:rFonts w:hint="eastAsia"/>
              </w:rPr>
              <w:t>殷海强</w:t>
            </w:r>
          </w:p>
        </w:tc>
        <w:tc>
          <w:tcPr>
            <w:tcW w:w="1567" w:type="pct"/>
            <w:tcBorders>
              <w:tl2br w:val="nil"/>
              <w:tr2bl w:val="nil"/>
            </w:tcBorders>
            <w:vAlign w:val="center"/>
          </w:tcPr>
          <w:p>
            <w:pPr>
              <w:pStyle w:val="83"/>
            </w:pPr>
            <w:r>
              <w:rPr>
                <w:rFonts w:hint="eastAsia"/>
              </w:rPr>
              <w:t>13807006721</w:t>
            </w:r>
          </w:p>
        </w:tc>
      </w:tr>
    </w:tbl>
    <w:p>
      <w:pPr>
        <w:pStyle w:val="83"/>
      </w:pPr>
      <w:r>
        <w:rPr>
          <w:rFonts w:hint="eastAsia"/>
        </w:rPr>
        <w:br w:type="page"/>
      </w:r>
    </w:p>
    <w:p>
      <w:pPr>
        <w:pStyle w:val="4"/>
        <w:bidi w:val="0"/>
      </w:pPr>
      <w:bookmarkStart w:id="186" w:name="_Toc24670"/>
      <w:bookmarkStart w:id="187" w:name="_Toc37600039"/>
      <w:bookmarkStart w:id="188" w:name="_Toc2760"/>
      <w:bookmarkStart w:id="189" w:name="_Toc30216"/>
      <w:bookmarkStart w:id="190" w:name="_Toc12443"/>
      <w:bookmarkStart w:id="191" w:name="_Toc22744"/>
      <w:bookmarkStart w:id="192" w:name="_Toc24711"/>
      <w:r>
        <w:rPr>
          <w:rFonts w:hint="eastAsia"/>
        </w:rPr>
        <w:t>3</w:t>
      </w:r>
      <w:r>
        <w:t xml:space="preserve"> </w:t>
      </w:r>
      <w:r>
        <w:rPr>
          <w:rFonts w:hint="eastAsia"/>
        </w:rPr>
        <w:t>环境</w:t>
      </w:r>
      <w:bookmarkEnd w:id="186"/>
      <w:r>
        <w:rPr>
          <w:rFonts w:hint="eastAsia"/>
        </w:rPr>
        <w:t>风险辨识</w:t>
      </w:r>
      <w:bookmarkEnd w:id="187"/>
      <w:bookmarkEnd w:id="188"/>
      <w:bookmarkEnd w:id="189"/>
      <w:bookmarkEnd w:id="190"/>
      <w:bookmarkEnd w:id="191"/>
      <w:bookmarkEnd w:id="192"/>
    </w:p>
    <w:p>
      <w:pPr>
        <w:pStyle w:val="5"/>
        <w:bidi w:val="0"/>
      </w:pPr>
      <w:bookmarkStart w:id="193" w:name="_Toc123"/>
      <w:bookmarkStart w:id="194" w:name="_Toc9149"/>
      <w:bookmarkStart w:id="195" w:name="_Toc5171"/>
      <w:bookmarkStart w:id="196" w:name="_Toc7128"/>
      <w:bookmarkStart w:id="197" w:name="_Toc37600040"/>
      <w:bookmarkStart w:id="198" w:name="_Toc24435"/>
      <w:r>
        <w:rPr>
          <w:rFonts w:hint="eastAsia"/>
        </w:rPr>
        <w:t>3.1</w:t>
      </w:r>
      <w:r>
        <w:t xml:space="preserve"> </w:t>
      </w:r>
      <w:r>
        <w:rPr>
          <w:rFonts w:hint="eastAsia"/>
        </w:rPr>
        <w:t>环境风险物质</w:t>
      </w:r>
      <w:bookmarkEnd w:id="193"/>
      <w:bookmarkEnd w:id="194"/>
      <w:bookmarkEnd w:id="195"/>
      <w:bookmarkEnd w:id="196"/>
      <w:bookmarkEnd w:id="197"/>
      <w:bookmarkEnd w:id="198"/>
    </w:p>
    <w:p>
      <w:pPr>
        <w:pStyle w:val="90"/>
        <w:ind w:firstLine="480"/>
      </w:pPr>
      <w:r>
        <w:rPr>
          <w:rFonts w:hint="eastAsia"/>
        </w:rPr>
        <w:t>根据《建设项目环境风险评价技术导则》（HJ/T169-2018）附录B1、《企业突发环境事件风险分级方法》（HJ941-2018）附录</w:t>
      </w:r>
      <w:r>
        <w:rPr>
          <w:rFonts w:hint="eastAsia"/>
          <w:highlight w:val="none"/>
        </w:rPr>
        <w:t>A</w:t>
      </w:r>
      <w:r>
        <w:rPr>
          <w:rFonts w:hint="eastAsia"/>
          <w:highlight w:val="none"/>
          <w:lang w:val="en-US" w:eastAsia="zh-CN"/>
        </w:rPr>
        <w:t>.</w:t>
      </w:r>
      <w:r>
        <w:t>《危险化学品目录》（2015年版）等法律法规技术规范，对</w:t>
      </w:r>
      <w:r>
        <w:rPr>
          <w:rFonts w:hint="eastAsia"/>
        </w:rPr>
        <w:t>南昌瀛宇金属制品有限公司</w:t>
      </w:r>
      <w:r>
        <w:t>涉及风险物质、生产工艺和设施及环境风险源等方面进行辨识，详见下表。</w:t>
      </w:r>
    </w:p>
    <w:p>
      <w:pPr>
        <w:pStyle w:val="82"/>
        <w:spacing w:before="163"/>
      </w:pPr>
      <w:r>
        <w:t>表3.1-1 环境风险源基本情况调查一览表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13"/>
        <w:gridCol w:w="806"/>
        <w:gridCol w:w="1245"/>
        <w:gridCol w:w="3007"/>
        <w:gridCol w:w="314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tcBorders>
              <w:bottom w:val="single" w:color="auto" w:sz="12" w:space="0"/>
            </w:tcBorders>
            <w:vAlign w:val="center"/>
          </w:tcPr>
          <w:p>
            <w:pPr>
              <w:jc w:val="center"/>
              <w:rPr>
                <w:b/>
                <w:bCs/>
                <w:color w:val="000000"/>
                <w:szCs w:val="21"/>
              </w:rPr>
            </w:pPr>
            <w:r>
              <w:rPr>
                <w:b/>
                <w:bCs/>
                <w:color w:val="000000"/>
                <w:szCs w:val="21"/>
              </w:rPr>
              <w:t>序号</w:t>
            </w:r>
          </w:p>
        </w:tc>
        <w:tc>
          <w:tcPr>
            <w:tcW w:w="1176" w:type="pct"/>
            <w:gridSpan w:val="2"/>
            <w:tcBorders>
              <w:bottom w:val="single" w:color="auto" w:sz="12" w:space="0"/>
            </w:tcBorders>
            <w:vAlign w:val="center"/>
          </w:tcPr>
          <w:p>
            <w:pPr>
              <w:jc w:val="center"/>
              <w:rPr>
                <w:b/>
                <w:bCs/>
                <w:color w:val="000000"/>
                <w:szCs w:val="21"/>
              </w:rPr>
            </w:pPr>
            <w:r>
              <w:rPr>
                <w:b/>
                <w:bCs/>
                <w:color w:val="000000"/>
                <w:szCs w:val="21"/>
              </w:rPr>
              <w:t>辨识对象</w:t>
            </w:r>
          </w:p>
        </w:tc>
        <w:tc>
          <w:tcPr>
            <w:tcW w:w="1724" w:type="pct"/>
            <w:tcBorders>
              <w:bottom w:val="single" w:color="auto" w:sz="12" w:space="0"/>
            </w:tcBorders>
            <w:vAlign w:val="center"/>
          </w:tcPr>
          <w:p>
            <w:pPr>
              <w:jc w:val="center"/>
              <w:rPr>
                <w:b/>
                <w:bCs/>
                <w:color w:val="000000"/>
                <w:szCs w:val="21"/>
              </w:rPr>
            </w:pPr>
            <w:r>
              <w:rPr>
                <w:b/>
                <w:bCs/>
                <w:color w:val="000000"/>
                <w:szCs w:val="21"/>
              </w:rPr>
              <w:t>辨识内容</w:t>
            </w:r>
          </w:p>
        </w:tc>
        <w:tc>
          <w:tcPr>
            <w:tcW w:w="1803" w:type="pct"/>
            <w:tcBorders>
              <w:bottom w:val="single" w:color="auto" w:sz="12" w:space="0"/>
            </w:tcBorders>
            <w:vAlign w:val="center"/>
          </w:tcPr>
          <w:p>
            <w:pPr>
              <w:jc w:val="center"/>
              <w:rPr>
                <w:b/>
                <w:bCs/>
                <w:color w:val="000000"/>
                <w:szCs w:val="21"/>
              </w:rPr>
            </w:pPr>
            <w:r>
              <w:rPr>
                <w:b/>
                <w:bCs/>
                <w:color w:val="000000"/>
                <w:szCs w:val="21"/>
              </w:rPr>
              <w:t>辨识依据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restart"/>
            <w:tcBorders>
              <w:top w:val="single" w:color="auto" w:sz="12" w:space="0"/>
              <w:tl2br w:val="nil"/>
              <w:tr2bl w:val="nil"/>
            </w:tcBorders>
            <w:vAlign w:val="center"/>
          </w:tcPr>
          <w:p>
            <w:pPr>
              <w:pStyle w:val="83"/>
            </w:pPr>
            <w:r>
              <w:t>1</w:t>
            </w:r>
          </w:p>
        </w:tc>
        <w:tc>
          <w:tcPr>
            <w:tcW w:w="462" w:type="pct"/>
            <w:vMerge w:val="restart"/>
            <w:tcBorders>
              <w:top w:val="single" w:color="auto" w:sz="12" w:space="0"/>
              <w:tl2br w:val="nil"/>
              <w:tr2bl w:val="nil"/>
            </w:tcBorders>
            <w:vAlign w:val="center"/>
          </w:tcPr>
          <w:p>
            <w:pPr>
              <w:pStyle w:val="83"/>
            </w:pPr>
            <w:r>
              <w:rPr>
                <w:lang w:val="zh-CN"/>
              </w:rPr>
              <w:t>风险物质</w:t>
            </w:r>
          </w:p>
        </w:tc>
        <w:tc>
          <w:tcPr>
            <w:tcW w:w="714" w:type="pct"/>
            <w:tcBorders>
              <w:top w:val="single" w:color="auto" w:sz="12" w:space="0"/>
              <w:tl2br w:val="nil"/>
              <w:tr2bl w:val="nil"/>
            </w:tcBorders>
            <w:vAlign w:val="center"/>
          </w:tcPr>
          <w:p>
            <w:pPr>
              <w:pStyle w:val="83"/>
            </w:pPr>
            <w:r>
              <w:t>危险化学品</w:t>
            </w:r>
          </w:p>
        </w:tc>
        <w:tc>
          <w:tcPr>
            <w:tcW w:w="1724" w:type="pct"/>
            <w:vMerge w:val="restart"/>
            <w:tcBorders>
              <w:top w:val="single" w:color="auto" w:sz="12" w:space="0"/>
              <w:tl2br w:val="nil"/>
              <w:tr2bl w:val="nil"/>
            </w:tcBorders>
            <w:vAlign w:val="center"/>
          </w:tcPr>
          <w:p>
            <w:pPr>
              <w:pStyle w:val="83"/>
            </w:pPr>
            <w:r>
              <w:rPr>
                <w:lang w:val="zh-CN"/>
              </w:rPr>
              <w:t>主要针对</w:t>
            </w:r>
            <w:r>
              <w:rPr>
                <w:rFonts w:hint="eastAsia"/>
              </w:rPr>
              <w:t>南昌瀛宇金属制品有限公司</w:t>
            </w:r>
            <w:r>
              <w:rPr>
                <w:lang w:val="zh-CN"/>
              </w:rPr>
              <w:t>生产过程中使用的各类化学品原辅材料、各类风险物质使用量、贮存量进行分析</w:t>
            </w:r>
          </w:p>
        </w:tc>
        <w:tc>
          <w:tcPr>
            <w:tcW w:w="1803" w:type="pct"/>
            <w:tcBorders>
              <w:top w:val="single" w:color="auto" w:sz="12" w:space="0"/>
              <w:tl2br w:val="nil"/>
              <w:tr2bl w:val="nil"/>
            </w:tcBorders>
            <w:vAlign w:val="center"/>
          </w:tcPr>
          <w:p>
            <w:pPr>
              <w:pStyle w:val="83"/>
            </w:pPr>
            <w:r>
              <w:t>《危险化学品目录（2015版）》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continue"/>
            <w:tcBorders>
              <w:tl2br w:val="nil"/>
              <w:tr2bl w:val="nil"/>
            </w:tcBorders>
            <w:vAlign w:val="center"/>
          </w:tcPr>
          <w:p>
            <w:pPr>
              <w:pStyle w:val="83"/>
            </w:pPr>
          </w:p>
        </w:tc>
        <w:tc>
          <w:tcPr>
            <w:tcW w:w="462" w:type="pct"/>
            <w:vMerge w:val="continue"/>
            <w:tcBorders>
              <w:tl2br w:val="nil"/>
              <w:tr2bl w:val="nil"/>
            </w:tcBorders>
            <w:vAlign w:val="center"/>
          </w:tcPr>
          <w:p>
            <w:pPr>
              <w:pStyle w:val="83"/>
            </w:pPr>
          </w:p>
        </w:tc>
        <w:tc>
          <w:tcPr>
            <w:tcW w:w="714" w:type="pct"/>
            <w:tcBorders>
              <w:tl2br w:val="nil"/>
              <w:tr2bl w:val="nil"/>
            </w:tcBorders>
            <w:vAlign w:val="center"/>
          </w:tcPr>
          <w:p>
            <w:pPr>
              <w:pStyle w:val="83"/>
            </w:pPr>
            <w:r>
              <w:t>危险废物</w:t>
            </w:r>
          </w:p>
        </w:tc>
        <w:tc>
          <w:tcPr>
            <w:tcW w:w="1724" w:type="pct"/>
            <w:vMerge w:val="continue"/>
            <w:tcBorders>
              <w:tl2br w:val="nil"/>
              <w:tr2bl w:val="nil"/>
            </w:tcBorders>
            <w:vAlign w:val="center"/>
          </w:tcPr>
          <w:p>
            <w:pPr>
              <w:pStyle w:val="83"/>
            </w:pPr>
          </w:p>
        </w:tc>
        <w:tc>
          <w:tcPr>
            <w:tcW w:w="1803" w:type="pct"/>
            <w:tcBorders>
              <w:tl2br w:val="nil"/>
              <w:tr2bl w:val="nil"/>
            </w:tcBorders>
            <w:vAlign w:val="center"/>
          </w:tcPr>
          <w:p>
            <w:pPr>
              <w:pStyle w:val="83"/>
            </w:pPr>
            <w:r>
              <w:t>《国家危险废物名录》（2016版）</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continue"/>
            <w:tcBorders>
              <w:tl2br w:val="nil"/>
              <w:tr2bl w:val="nil"/>
            </w:tcBorders>
            <w:vAlign w:val="center"/>
          </w:tcPr>
          <w:p>
            <w:pPr>
              <w:pStyle w:val="83"/>
            </w:pPr>
          </w:p>
        </w:tc>
        <w:tc>
          <w:tcPr>
            <w:tcW w:w="462" w:type="pct"/>
            <w:vMerge w:val="continue"/>
            <w:tcBorders>
              <w:tl2br w:val="nil"/>
              <w:tr2bl w:val="nil"/>
            </w:tcBorders>
            <w:vAlign w:val="center"/>
          </w:tcPr>
          <w:p>
            <w:pPr>
              <w:pStyle w:val="83"/>
            </w:pPr>
          </w:p>
        </w:tc>
        <w:tc>
          <w:tcPr>
            <w:tcW w:w="714" w:type="pct"/>
            <w:tcBorders>
              <w:tl2br w:val="nil"/>
              <w:tr2bl w:val="nil"/>
            </w:tcBorders>
            <w:vAlign w:val="center"/>
          </w:tcPr>
          <w:p>
            <w:pPr>
              <w:pStyle w:val="83"/>
            </w:pPr>
            <w:r>
              <w:rPr>
                <w:highlight w:val="none"/>
              </w:rPr>
              <w:t>其它</w:t>
            </w:r>
            <w:r>
              <w:t>化学品</w:t>
            </w:r>
          </w:p>
        </w:tc>
        <w:tc>
          <w:tcPr>
            <w:tcW w:w="1724" w:type="pct"/>
            <w:vMerge w:val="continue"/>
            <w:tcBorders>
              <w:tl2br w:val="nil"/>
              <w:tr2bl w:val="nil"/>
            </w:tcBorders>
            <w:vAlign w:val="center"/>
          </w:tcPr>
          <w:p>
            <w:pPr>
              <w:pStyle w:val="83"/>
            </w:pPr>
          </w:p>
        </w:tc>
        <w:tc>
          <w:tcPr>
            <w:tcW w:w="1803" w:type="pct"/>
            <w:tcBorders>
              <w:tl2br w:val="nil"/>
              <w:tr2bl w:val="nil"/>
            </w:tcBorders>
            <w:vAlign w:val="center"/>
          </w:tcPr>
          <w:p>
            <w:pPr>
              <w:pStyle w:val="83"/>
            </w:pPr>
            <w:r>
              <w:t>《化学品分类、警示标签和警示性说明安全规范》等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14" w:hRule="atLeast"/>
          <w:jc w:val="center"/>
        </w:trPr>
        <w:tc>
          <w:tcPr>
            <w:tcW w:w="294" w:type="pct"/>
            <w:vMerge w:val="restart"/>
            <w:tcBorders>
              <w:tl2br w:val="nil"/>
              <w:tr2bl w:val="nil"/>
            </w:tcBorders>
            <w:vAlign w:val="center"/>
          </w:tcPr>
          <w:p>
            <w:pPr>
              <w:pStyle w:val="83"/>
            </w:pPr>
            <w:r>
              <w:t>2</w:t>
            </w:r>
          </w:p>
        </w:tc>
        <w:tc>
          <w:tcPr>
            <w:tcW w:w="462" w:type="pct"/>
            <w:vMerge w:val="restart"/>
            <w:tcBorders>
              <w:tl2br w:val="nil"/>
              <w:tr2bl w:val="nil"/>
            </w:tcBorders>
            <w:vAlign w:val="center"/>
          </w:tcPr>
          <w:p>
            <w:pPr>
              <w:pStyle w:val="83"/>
            </w:pPr>
            <w:r>
              <w:rPr>
                <w:lang w:val="zh-CN"/>
              </w:rPr>
              <w:t>生产工艺和设施</w:t>
            </w:r>
          </w:p>
        </w:tc>
        <w:tc>
          <w:tcPr>
            <w:tcW w:w="714" w:type="pct"/>
            <w:tcBorders>
              <w:tl2br w:val="nil"/>
              <w:tr2bl w:val="nil"/>
            </w:tcBorders>
            <w:vAlign w:val="center"/>
          </w:tcPr>
          <w:p>
            <w:pPr>
              <w:pStyle w:val="83"/>
            </w:pPr>
            <w:r>
              <w:t>生产工艺</w:t>
            </w:r>
          </w:p>
        </w:tc>
        <w:tc>
          <w:tcPr>
            <w:tcW w:w="1724" w:type="pct"/>
            <w:vMerge w:val="restart"/>
            <w:tcBorders>
              <w:tl2br w:val="nil"/>
              <w:tr2bl w:val="nil"/>
            </w:tcBorders>
            <w:vAlign w:val="center"/>
          </w:tcPr>
          <w:p>
            <w:pPr>
              <w:pStyle w:val="83"/>
            </w:pPr>
            <w:r>
              <w:rPr>
                <w:lang w:val="zh-CN"/>
              </w:rPr>
              <w:t>重点对生产工艺流程的各阶段进行研究，分析哪些设备、设施可能成为环境风险源</w:t>
            </w:r>
          </w:p>
        </w:tc>
        <w:tc>
          <w:tcPr>
            <w:tcW w:w="1803" w:type="pct"/>
            <w:tcBorders>
              <w:tl2br w:val="nil"/>
              <w:tr2bl w:val="nil"/>
            </w:tcBorders>
            <w:vAlign w:val="center"/>
          </w:tcPr>
          <w:p>
            <w:pPr>
              <w:pStyle w:val="83"/>
            </w:pPr>
            <w:r>
              <w:t>《企业突发环境事件风险分级方法》（HJ941-2018）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continue"/>
            <w:tcBorders>
              <w:tl2br w:val="nil"/>
              <w:tr2bl w:val="nil"/>
            </w:tcBorders>
            <w:vAlign w:val="center"/>
          </w:tcPr>
          <w:p>
            <w:pPr>
              <w:pStyle w:val="83"/>
            </w:pPr>
          </w:p>
        </w:tc>
        <w:tc>
          <w:tcPr>
            <w:tcW w:w="462" w:type="pct"/>
            <w:vMerge w:val="continue"/>
            <w:tcBorders>
              <w:tl2br w:val="nil"/>
              <w:tr2bl w:val="nil"/>
            </w:tcBorders>
            <w:vAlign w:val="center"/>
          </w:tcPr>
          <w:p>
            <w:pPr>
              <w:pStyle w:val="83"/>
            </w:pPr>
          </w:p>
        </w:tc>
        <w:tc>
          <w:tcPr>
            <w:tcW w:w="714" w:type="pct"/>
            <w:tcBorders>
              <w:tl2br w:val="nil"/>
              <w:tr2bl w:val="nil"/>
            </w:tcBorders>
            <w:vAlign w:val="center"/>
          </w:tcPr>
          <w:p>
            <w:pPr>
              <w:pStyle w:val="83"/>
            </w:pPr>
            <w:r>
              <w:t>生产设施</w:t>
            </w:r>
          </w:p>
        </w:tc>
        <w:tc>
          <w:tcPr>
            <w:tcW w:w="1724" w:type="pct"/>
            <w:vMerge w:val="continue"/>
            <w:tcBorders>
              <w:tl2br w:val="nil"/>
              <w:tr2bl w:val="nil"/>
            </w:tcBorders>
            <w:vAlign w:val="center"/>
          </w:tcPr>
          <w:p>
            <w:pPr>
              <w:pStyle w:val="83"/>
            </w:pPr>
          </w:p>
        </w:tc>
        <w:tc>
          <w:tcPr>
            <w:tcW w:w="1803" w:type="pct"/>
            <w:tcBorders>
              <w:tl2br w:val="nil"/>
              <w:tr2bl w:val="nil"/>
            </w:tcBorders>
            <w:vAlign w:val="center"/>
          </w:tcPr>
          <w:p>
            <w:pPr>
              <w:pStyle w:val="83"/>
            </w:pPr>
            <w:r>
              <w:t>《关于开展重大危险源监督管理工作的指导意见》、《产业结构调整指导目录》</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restart"/>
            <w:tcBorders>
              <w:tl2br w:val="nil"/>
              <w:tr2bl w:val="nil"/>
            </w:tcBorders>
            <w:vAlign w:val="center"/>
          </w:tcPr>
          <w:p>
            <w:pPr>
              <w:pStyle w:val="83"/>
            </w:pPr>
            <w:r>
              <w:t>3</w:t>
            </w:r>
          </w:p>
        </w:tc>
        <w:tc>
          <w:tcPr>
            <w:tcW w:w="462" w:type="pct"/>
            <w:vMerge w:val="restart"/>
            <w:tcBorders>
              <w:tl2br w:val="nil"/>
              <w:tr2bl w:val="nil"/>
            </w:tcBorders>
            <w:vAlign w:val="center"/>
          </w:tcPr>
          <w:p>
            <w:pPr>
              <w:pStyle w:val="83"/>
            </w:pPr>
            <w:r>
              <w:rPr>
                <w:lang w:val="zh-CN"/>
              </w:rPr>
              <w:t>污染物及环保设施</w:t>
            </w:r>
          </w:p>
        </w:tc>
        <w:tc>
          <w:tcPr>
            <w:tcW w:w="714" w:type="pct"/>
            <w:tcBorders>
              <w:tl2br w:val="nil"/>
              <w:tr2bl w:val="nil"/>
            </w:tcBorders>
            <w:vAlign w:val="center"/>
          </w:tcPr>
          <w:p>
            <w:pPr>
              <w:pStyle w:val="83"/>
            </w:pPr>
            <w:r>
              <w:t>废水</w:t>
            </w:r>
          </w:p>
        </w:tc>
        <w:tc>
          <w:tcPr>
            <w:tcW w:w="1724" w:type="pct"/>
            <w:vMerge w:val="restart"/>
            <w:tcBorders>
              <w:tl2br w:val="nil"/>
              <w:tr2bl w:val="nil"/>
            </w:tcBorders>
            <w:vAlign w:val="center"/>
          </w:tcPr>
          <w:p>
            <w:pPr>
              <w:pStyle w:val="83"/>
            </w:pPr>
            <w:r>
              <w:rPr>
                <w:lang w:val="zh-CN"/>
              </w:rPr>
              <w:t>对</w:t>
            </w:r>
            <w:r>
              <w:rPr>
                <w:rFonts w:hint="eastAsia"/>
              </w:rPr>
              <w:t>南昌瀛宇金属制品有限公司</w:t>
            </w:r>
            <w:r>
              <w:rPr>
                <w:lang w:val="zh-CN"/>
              </w:rPr>
              <w:t>排放污染物的种类、产生量以及治理工艺进行分析</w:t>
            </w:r>
          </w:p>
        </w:tc>
        <w:tc>
          <w:tcPr>
            <w:tcW w:w="1803" w:type="pct"/>
            <w:tcBorders>
              <w:tl2br w:val="nil"/>
              <w:tr2bl w:val="nil"/>
            </w:tcBorders>
            <w:vAlign w:val="center"/>
          </w:tcPr>
          <w:p>
            <w:pPr>
              <w:pStyle w:val="83"/>
              <w:rPr>
                <w:color w:val="0000FF"/>
              </w:rPr>
            </w:pPr>
            <w:r>
              <w:rPr>
                <w:color w:val="000000" w:themeColor="text1"/>
                <w14:textFill>
                  <w14:solidFill>
                    <w14:schemeClr w14:val="tx1"/>
                  </w14:solidFill>
                </w14:textFill>
              </w:rPr>
              <w:t>《城镇污水处理厂污染物排放标准》中一级 B 标准的要求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continue"/>
            <w:tcBorders>
              <w:tl2br w:val="nil"/>
              <w:tr2bl w:val="nil"/>
            </w:tcBorders>
            <w:vAlign w:val="center"/>
          </w:tcPr>
          <w:p>
            <w:pPr>
              <w:pStyle w:val="83"/>
            </w:pPr>
          </w:p>
        </w:tc>
        <w:tc>
          <w:tcPr>
            <w:tcW w:w="462" w:type="pct"/>
            <w:vMerge w:val="continue"/>
            <w:tcBorders>
              <w:tl2br w:val="nil"/>
              <w:tr2bl w:val="nil"/>
            </w:tcBorders>
            <w:vAlign w:val="center"/>
          </w:tcPr>
          <w:p>
            <w:pPr>
              <w:pStyle w:val="83"/>
            </w:pPr>
          </w:p>
        </w:tc>
        <w:tc>
          <w:tcPr>
            <w:tcW w:w="714" w:type="pct"/>
            <w:tcBorders>
              <w:tl2br w:val="nil"/>
              <w:tr2bl w:val="nil"/>
            </w:tcBorders>
            <w:vAlign w:val="center"/>
          </w:tcPr>
          <w:p>
            <w:pPr>
              <w:pStyle w:val="83"/>
            </w:pPr>
            <w:r>
              <w:t>废气</w:t>
            </w:r>
          </w:p>
        </w:tc>
        <w:tc>
          <w:tcPr>
            <w:tcW w:w="1724" w:type="pct"/>
            <w:vMerge w:val="continue"/>
            <w:tcBorders>
              <w:tl2br w:val="nil"/>
              <w:tr2bl w:val="nil"/>
            </w:tcBorders>
            <w:vAlign w:val="center"/>
          </w:tcPr>
          <w:p>
            <w:pPr>
              <w:pStyle w:val="83"/>
            </w:pPr>
          </w:p>
        </w:tc>
        <w:tc>
          <w:tcPr>
            <w:tcW w:w="1803" w:type="pct"/>
            <w:tcBorders>
              <w:tl2br w:val="nil"/>
              <w:tr2bl w:val="nil"/>
            </w:tcBorders>
            <w:vAlign w:val="center"/>
          </w:tcPr>
          <w:p>
            <w:pPr>
              <w:pStyle w:val="83"/>
              <w:rPr>
                <w:color w:val="0000FF"/>
              </w:rPr>
            </w:pPr>
            <w:r>
              <w:rPr>
                <w:rFonts w:hint="eastAsia"/>
                <w:color w:val="000000" w:themeColor="text1"/>
                <w:kern w:val="0"/>
                <w:lang w:bidi="ar"/>
                <w14:textFill>
                  <w14:solidFill>
                    <w14:schemeClr w14:val="tx1"/>
                  </w14:solidFill>
                </w14:textFill>
              </w:rPr>
              <w:t xml:space="preserve">《大气污染物综合排 放标准》 （GB16297-1996）表 2 中要求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vMerge w:val="continue"/>
            <w:tcBorders>
              <w:tl2br w:val="nil"/>
              <w:tr2bl w:val="nil"/>
            </w:tcBorders>
            <w:vAlign w:val="center"/>
          </w:tcPr>
          <w:p>
            <w:pPr>
              <w:pStyle w:val="83"/>
            </w:pPr>
          </w:p>
        </w:tc>
        <w:tc>
          <w:tcPr>
            <w:tcW w:w="462" w:type="pct"/>
            <w:vMerge w:val="continue"/>
            <w:tcBorders>
              <w:tl2br w:val="nil"/>
              <w:tr2bl w:val="nil"/>
            </w:tcBorders>
            <w:vAlign w:val="center"/>
          </w:tcPr>
          <w:p>
            <w:pPr>
              <w:pStyle w:val="83"/>
            </w:pPr>
          </w:p>
        </w:tc>
        <w:tc>
          <w:tcPr>
            <w:tcW w:w="714" w:type="pct"/>
            <w:tcBorders>
              <w:tl2br w:val="nil"/>
              <w:tr2bl w:val="nil"/>
            </w:tcBorders>
            <w:vAlign w:val="center"/>
          </w:tcPr>
          <w:p>
            <w:pPr>
              <w:pStyle w:val="83"/>
            </w:pPr>
            <w:r>
              <w:t>固废</w:t>
            </w:r>
          </w:p>
        </w:tc>
        <w:tc>
          <w:tcPr>
            <w:tcW w:w="1724" w:type="pct"/>
            <w:vMerge w:val="continue"/>
            <w:tcBorders>
              <w:tl2br w:val="nil"/>
              <w:tr2bl w:val="nil"/>
            </w:tcBorders>
            <w:vAlign w:val="center"/>
          </w:tcPr>
          <w:p>
            <w:pPr>
              <w:pStyle w:val="83"/>
            </w:pPr>
          </w:p>
        </w:tc>
        <w:tc>
          <w:tcPr>
            <w:tcW w:w="1803" w:type="pct"/>
            <w:tcBorders>
              <w:tl2br w:val="nil"/>
              <w:tr2bl w:val="nil"/>
            </w:tcBorders>
            <w:vAlign w:val="center"/>
          </w:tcPr>
          <w:p>
            <w:pPr>
              <w:pStyle w:val="83"/>
              <w:rPr>
                <w:lang w:val="zh-CN"/>
              </w:rPr>
            </w:pPr>
            <w:r>
              <w:rPr>
                <w:rFonts w:hint="eastAsia"/>
                <w:lang w:val="zh-CN"/>
              </w:rPr>
              <w:t>如</w:t>
            </w:r>
            <w:r>
              <w:rPr>
                <w:lang w:val="zh-CN"/>
              </w:rPr>
              <w:t xml:space="preserve">为一般固废执行《一般工业固体废物贮存、处置场污染控制标准》（GB18599-2001）及2013修改单； </w:t>
            </w:r>
          </w:p>
          <w:p>
            <w:pPr>
              <w:pStyle w:val="83"/>
              <w:rPr>
                <w:lang w:val="zh-CN"/>
              </w:rPr>
            </w:pPr>
            <w:r>
              <w:rPr>
                <w:lang w:val="zh-CN"/>
              </w:rPr>
              <w:t>如为危险固废执行《危险废物贮存污染控制标准》（GB18597-2001）及2013修改单；</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tcBorders>
              <w:tl2br w:val="nil"/>
              <w:tr2bl w:val="nil"/>
            </w:tcBorders>
            <w:vAlign w:val="center"/>
          </w:tcPr>
          <w:p>
            <w:pPr>
              <w:pStyle w:val="83"/>
            </w:pPr>
            <w:r>
              <w:t>4</w:t>
            </w:r>
          </w:p>
        </w:tc>
        <w:tc>
          <w:tcPr>
            <w:tcW w:w="1176" w:type="pct"/>
            <w:gridSpan w:val="2"/>
            <w:tcBorders>
              <w:tl2br w:val="nil"/>
              <w:tr2bl w:val="nil"/>
            </w:tcBorders>
            <w:vAlign w:val="center"/>
          </w:tcPr>
          <w:p>
            <w:pPr>
              <w:pStyle w:val="83"/>
            </w:pPr>
            <w:r>
              <w:rPr>
                <w:lang w:val="zh-CN"/>
              </w:rPr>
              <w:t>风险物质运输</w:t>
            </w:r>
          </w:p>
        </w:tc>
        <w:tc>
          <w:tcPr>
            <w:tcW w:w="1724" w:type="pct"/>
            <w:tcBorders>
              <w:tl2br w:val="nil"/>
              <w:tr2bl w:val="nil"/>
            </w:tcBorders>
            <w:vAlign w:val="center"/>
          </w:tcPr>
          <w:p>
            <w:pPr>
              <w:pStyle w:val="83"/>
              <w:rPr>
                <w:lang w:val="zh-CN"/>
              </w:rPr>
            </w:pPr>
            <w:r>
              <w:t>对</w:t>
            </w:r>
            <w:r>
              <w:rPr>
                <w:rFonts w:hint="eastAsia"/>
              </w:rPr>
              <w:t>南昌瀛宇金属制品有限公司</w:t>
            </w:r>
            <w:r>
              <w:t>产生的</w:t>
            </w:r>
            <w:r>
              <w:rPr>
                <w:rFonts w:hint="eastAsia"/>
              </w:rPr>
              <w:t>危险废物</w:t>
            </w:r>
            <w:r>
              <w:t>运输相关风险进行调查、识别</w:t>
            </w:r>
          </w:p>
        </w:tc>
        <w:tc>
          <w:tcPr>
            <w:tcW w:w="1803" w:type="pct"/>
            <w:tcBorders>
              <w:tl2br w:val="nil"/>
              <w:tr2bl w:val="nil"/>
            </w:tcBorders>
            <w:vAlign w:val="center"/>
          </w:tcPr>
          <w:p>
            <w:pPr>
              <w:pStyle w:val="83"/>
            </w:pPr>
            <w:r>
              <w:t>《危险废物收集、贮存、运输技术规范》（HJ2025-2012）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tcBorders>
              <w:tl2br w:val="nil"/>
              <w:tr2bl w:val="nil"/>
            </w:tcBorders>
            <w:vAlign w:val="center"/>
          </w:tcPr>
          <w:p>
            <w:pPr>
              <w:pStyle w:val="83"/>
            </w:pPr>
            <w:r>
              <w:t>5</w:t>
            </w:r>
          </w:p>
        </w:tc>
        <w:tc>
          <w:tcPr>
            <w:tcW w:w="1176" w:type="pct"/>
            <w:gridSpan w:val="2"/>
            <w:tcBorders>
              <w:tl2br w:val="nil"/>
              <w:tr2bl w:val="nil"/>
            </w:tcBorders>
            <w:vAlign w:val="center"/>
          </w:tcPr>
          <w:p>
            <w:pPr>
              <w:pStyle w:val="83"/>
            </w:pPr>
            <w:r>
              <w:rPr>
                <w:lang w:val="zh-CN"/>
              </w:rPr>
              <w:t>外部风险源</w:t>
            </w:r>
          </w:p>
        </w:tc>
        <w:tc>
          <w:tcPr>
            <w:tcW w:w="1724" w:type="pct"/>
            <w:tcBorders>
              <w:tl2br w:val="nil"/>
              <w:tr2bl w:val="nil"/>
            </w:tcBorders>
            <w:vAlign w:val="center"/>
          </w:tcPr>
          <w:p>
            <w:pPr>
              <w:pStyle w:val="83"/>
            </w:pPr>
            <w:r>
              <w:t>调查周边企业现状及外源性风险对</w:t>
            </w:r>
            <w:r>
              <w:rPr>
                <w:rFonts w:hint="eastAsia"/>
              </w:rPr>
              <w:t>南昌瀛宇金属制品有限公司</w:t>
            </w:r>
            <w:r>
              <w:t>可能产生的环境风险</w:t>
            </w:r>
          </w:p>
        </w:tc>
        <w:tc>
          <w:tcPr>
            <w:tcW w:w="1803" w:type="pct"/>
            <w:tcBorders>
              <w:tl2br w:val="nil"/>
              <w:tr2bl w:val="nil"/>
            </w:tcBorders>
            <w:vAlign w:val="center"/>
          </w:tcPr>
          <w:p>
            <w:pPr>
              <w:pStyle w:val="83"/>
            </w:pPr>
            <w:r>
              <w:t>企业周边环境现状</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94" w:type="pct"/>
            <w:tcBorders>
              <w:tl2br w:val="nil"/>
              <w:tr2bl w:val="nil"/>
            </w:tcBorders>
            <w:vAlign w:val="center"/>
          </w:tcPr>
          <w:p>
            <w:pPr>
              <w:pStyle w:val="83"/>
            </w:pPr>
            <w:r>
              <w:t>6</w:t>
            </w:r>
          </w:p>
        </w:tc>
        <w:tc>
          <w:tcPr>
            <w:tcW w:w="1176" w:type="pct"/>
            <w:gridSpan w:val="2"/>
            <w:tcBorders>
              <w:tl2br w:val="nil"/>
              <w:tr2bl w:val="nil"/>
            </w:tcBorders>
            <w:vAlign w:val="center"/>
          </w:tcPr>
          <w:p>
            <w:pPr>
              <w:pStyle w:val="83"/>
            </w:pPr>
            <w:r>
              <w:t>公用及辅助工程</w:t>
            </w:r>
          </w:p>
        </w:tc>
        <w:tc>
          <w:tcPr>
            <w:tcW w:w="1724" w:type="pct"/>
            <w:tcBorders>
              <w:tl2br w:val="nil"/>
              <w:tr2bl w:val="nil"/>
            </w:tcBorders>
            <w:vAlign w:val="center"/>
          </w:tcPr>
          <w:p>
            <w:pPr>
              <w:pStyle w:val="83"/>
            </w:pPr>
            <w:r>
              <w:t>对</w:t>
            </w:r>
            <w:r>
              <w:rPr>
                <w:rFonts w:hint="eastAsia"/>
              </w:rPr>
              <w:t>南昌瀛宇金属制品有限公司</w:t>
            </w:r>
            <w:r>
              <w:t>给排水、电器、自控、通风等设施进行分析</w:t>
            </w:r>
          </w:p>
        </w:tc>
        <w:tc>
          <w:tcPr>
            <w:tcW w:w="1803" w:type="pct"/>
            <w:tcBorders>
              <w:tl2br w:val="nil"/>
              <w:tr2bl w:val="nil"/>
            </w:tcBorders>
            <w:vAlign w:val="center"/>
          </w:tcPr>
          <w:p>
            <w:pPr>
              <w:pStyle w:val="83"/>
            </w:pPr>
            <w:r>
              <w:t>/</w:t>
            </w:r>
          </w:p>
        </w:tc>
      </w:tr>
    </w:tbl>
    <w:p>
      <w:pPr>
        <w:pStyle w:val="90"/>
        <w:ind w:firstLine="480"/>
      </w:pPr>
      <w:r>
        <w:rPr>
          <w:rFonts w:hint="eastAsia"/>
        </w:rPr>
        <w:t>根据调查，</w:t>
      </w:r>
      <w:r>
        <w:t>该项目涉及的</w:t>
      </w:r>
      <w:r>
        <w:rPr>
          <w:rFonts w:hint="eastAsia"/>
        </w:rPr>
        <w:t>环境风险物质</w:t>
      </w:r>
      <w:r>
        <w:t>为</w:t>
      </w:r>
      <w:r>
        <w:rPr>
          <w:rFonts w:hint="eastAsia"/>
        </w:rPr>
        <w:t>脱脂剂、防锈剂、废机油和污泥与废渣</w:t>
      </w:r>
      <w:r>
        <w:t>，</w:t>
      </w:r>
      <w:r>
        <w:rPr>
          <w:rFonts w:hint="eastAsia"/>
        </w:rPr>
        <w:t>脱脂剂、防锈剂</w:t>
      </w:r>
      <w:r>
        <w:t>主要含有</w:t>
      </w:r>
      <w:r>
        <w:rPr>
          <w:rFonts w:hint="eastAsia"/>
        </w:rPr>
        <w:t>氢氧化钠与二乙醇胺，吸入食入对人体有较大伤害且有腐蚀性，</w:t>
      </w:r>
      <w:r>
        <w:rPr>
          <w:rFonts w:hint="eastAsia"/>
          <w:lang w:val="zh-CN"/>
        </w:rPr>
        <w:t>其各自存储的最大量分别为</w:t>
      </w:r>
      <w:r>
        <w:rPr>
          <w:rFonts w:hint="eastAsia"/>
        </w:rPr>
        <w:t>0.3吨和0.1吨；废机油和污泥与废渣暂存于危废暂存库，定期交由江西东江环保技术有限公司运走处理，厂区最大储存量为0.546吨。</w:t>
      </w:r>
    </w:p>
    <w:p>
      <w:pPr>
        <w:pStyle w:val="90"/>
        <w:ind w:firstLine="480"/>
      </w:pPr>
      <w:r>
        <w:rPr>
          <w:rFonts w:ascii="宋体" w:hAnsi="宋体"/>
        </w:rPr>
        <w:t>根据环境风险评</w:t>
      </w:r>
      <w:r>
        <w:rPr>
          <w:rFonts w:hint="eastAsia"/>
          <w:lang w:val="zh-CN"/>
        </w:rPr>
        <w:t>估结果，环境风险物质见表</w:t>
      </w:r>
      <w:r>
        <w:rPr>
          <w:rFonts w:hint="eastAsia"/>
        </w:rPr>
        <w:t>3.1-2。</w:t>
      </w:r>
    </w:p>
    <w:p>
      <w:pPr>
        <w:pStyle w:val="82"/>
        <w:spacing w:before="163"/>
      </w:pPr>
      <w:bookmarkStart w:id="199" w:name="_Toc7579_WPSOffice_Level2"/>
      <w:r>
        <w:rPr>
          <w:rFonts w:hint="eastAsia"/>
        </w:rPr>
        <w:t>表</w:t>
      </w:r>
      <w:r>
        <w:t>3.1-</w:t>
      </w:r>
      <w:r>
        <w:rPr>
          <w:rFonts w:hint="eastAsia"/>
        </w:rPr>
        <w:t>2</w:t>
      </w:r>
      <w:r>
        <w:t xml:space="preserve"> </w:t>
      </w:r>
      <w:bookmarkEnd w:id="199"/>
      <w:r>
        <w:rPr>
          <w:rFonts w:hint="eastAsia"/>
        </w:rPr>
        <w:t>危险源物质名称及其临界量</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3243"/>
        <w:gridCol w:w="2110"/>
        <w:gridCol w:w="209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7" w:type="pct"/>
            <w:tcBorders>
              <w:bottom w:val="single" w:color="auto" w:sz="12" w:space="0"/>
            </w:tcBorders>
            <w:vAlign w:val="center"/>
          </w:tcPr>
          <w:p>
            <w:pPr>
              <w:jc w:val="center"/>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物质名称</w:t>
            </w:r>
          </w:p>
        </w:tc>
        <w:tc>
          <w:tcPr>
            <w:tcW w:w="1860" w:type="pct"/>
            <w:tcBorders>
              <w:bottom w:val="single" w:color="auto" w:sz="12" w:space="0"/>
            </w:tcBorders>
            <w:vAlign w:val="center"/>
          </w:tcPr>
          <w:p>
            <w:pPr>
              <w:jc w:val="center"/>
              <w:rPr>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w</w:t>
            </w:r>
            <w:r>
              <w:rPr>
                <w:rFonts w:hAnsi="宋体"/>
                <w:b/>
                <w:color w:val="000000" w:themeColor="text1"/>
                <w:szCs w:val="21"/>
                <w14:textFill>
                  <w14:solidFill>
                    <w14:schemeClr w14:val="tx1"/>
                  </w14:solidFill>
                </w14:textFill>
              </w:rPr>
              <w:t>储存量（吨）</w:t>
            </w:r>
          </w:p>
        </w:tc>
        <w:tc>
          <w:tcPr>
            <w:tcW w:w="1209" w:type="pct"/>
            <w:tcBorders>
              <w:bottom w:val="single" w:color="auto" w:sz="12" w:space="0"/>
            </w:tcBorders>
            <w:vAlign w:val="center"/>
          </w:tcPr>
          <w:p>
            <w:pPr>
              <w:jc w:val="center"/>
              <w:rPr>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W</w:t>
            </w:r>
            <w:r>
              <w:rPr>
                <w:rFonts w:hAnsi="宋体"/>
                <w:b/>
                <w:color w:val="000000" w:themeColor="text1"/>
                <w:szCs w:val="21"/>
                <w14:textFill>
                  <w14:solidFill>
                    <w14:schemeClr w14:val="tx1"/>
                  </w14:solidFill>
                </w14:textFill>
              </w:rPr>
              <w:t>临界量（吨）</w:t>
            </w:r>
          </w:p>
        </w:tc>
        <w:tc>
          <w:tcPr>
            <w:tcW w:w="1202" w:type="pct"/>
            <w:tcBorders>
              <w:bottom w:val="single" w:color="auto" w:sz="12" w:space="0"/>
            </w:tcBorders>
            <w:vAlign w:val="center"/>
          </w:tcPr>
          <w:p>
            <w:pPr>
              <w:jc w:val="cente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w/W</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7" w:type="pct"/>
            <w:tcBorders>
              <w:top w:val="single" w:color="auto" w:sz="12" w:space="0"/>
              <w:tl2br w:val="nil"/>
              <w:tr2bl w:val="nil"/>
            </w:tcBorders>
            <w:vAlign w:val="center"/>
          </w:tcPr>
          <w:p>
            <w:pPr>
              <w:pStyle w:val="83"/>
              <w:rPr>
                <w:b/>
                <w:kern w:val="0"/>
              </w:rPr>
            </w:pPr>
            <w:r>
              <w:rPr>
                <w:rFonts w:hint="eastAsia"/>
              </w:rPr>
              <w:t>脱脂剂（氢氧化钠）</w:t>
            </w:r>
          </w:p>
        </w:tc>
        <w:tc>
          <w:tcPr>
            <w:tcW w:w="1860" w:type="pct"/>
            <w:tcBorders>
              <w:top w:val="single" w:color="auto" w:sz="12" w:space="0"/>
              <w:tl2br w:val="nil"/>
              <w:tr2bl w:val="nil"/>
            </w:tcBorders>
            <w:vAlign w:val="center"/>
          </w:tcPr>
          <w:p>
            <w:pPr>
              <w:pStyle w:val="83"/>
              <w:rPr>
                <w:kern w:val="0"/>
              </w:rPr>
            </w:pPr>
            <w:r>
              <w:rPr>
                <w:rFonts w:hint="eastAsia"/>
              </w:rPr>
              <w:t>最大储存量为0.3t</w:t>
            </w:r>
          </w:p>
        </w:tc>
        <w:tc>
          <w:tcPr>
            <w:tcW w:w="1209" w:type="pct"/>
            <w:tcBorders>
              <w:top w:val="single" w:color="auto" w:sz="12" w:space="0"/>
              <w:tl2br w:val="nil"/>
              <w:tr2bl w:val="nil"/>
            </w:tcBorders>
            <w:vAlign w:val="center"/>
          </w:tcPr>
          <w:p>
            <w:pPr>
              <w:pStyle w:val="83"/>
              <w:rPr>
                <w:snapToGrid w:val="0"/>
                <w:kern w:val="0"/>
              </w:rPr>
            </w:pPr>
            <w:r>
              <w:rPr>
                <w:rFonts w:hint="eastAsia"/>
                <w:snapToGrid w:val="0"/>
                <w:kern w:val="0"/>
              </w:rPr>
              <w:t>50</w:t>
            </w:r>
          </w:p>
        </w:tc>
        <w:tc>
          <w:tcPr>
            <w:tcW w:w="1202" w:type="pct"/>
            <w:tcBorders>
              <w:top w:val="single" w:color="auto" w:sz="12" w:space="0"/>
              <w:tl2br w:val="nil"/>
              <w:tr2bl w:val="nil"/>
            </w:tcBorders>
            <w:vAlign w:val="center"/>
          </w:tcPr>
          <w:p>
            <w:pPr>
              <w:pStyle w:val="83"/>
              <w:rPr>
                <w:snapToGrid w:val="0"/>
                <w:kern w:val="0"/>
              </w:rPr>
            </w:pPr>
            <w:r>
              <w:rPr>
                <w:rFonts w:hint="eastAsia"/>
                <w:snapToGrid w:val="0"/>
                <w:kern w:val="0"/>
              </w:rPr>
              <w:t>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7" w:type="pct"/>
            <w:tcBorders>
              <w:tl2br w:val="nil"/>
              <w:tr2bl w:val="nil"/>
            </w:tcBorders>
            <w:vAlign w:val="center"/>
          </w:tcPr>
          <w:p>
            <w:pPr>
              <w:pStyle w:val="83"/>
            </w:pPr>
            <w:r>
              <w:rPr>
                <w:rFonts w:hint="eastAsia"/>
              </w:rPr>
              <w:t>防锈剂（二乙醇胺）</w:t>
            </w:r>
          </w:p>
        </w:tc>
        <w:tc>
          <w:tcPr>
            <w:tcW w:w="1860" w:type="pct"/>
            <w:tcBorders>
              <w:tl2br w:val="nil"/>
              <w:tr2bl w:val="nil"/>
            </w:tcBorders>
            <w:vAlign w:val="center"/>
          </w:tcPr>
          <w:p>
            <w:pPr>
              <w:pStyle w:val="83"/>
            </w:pPr>
            <w:r>
              <w:rPr>
                <w:rFonts w:hint="eastAsia"/>
              </w:rPr>
              <w:t>最大储存量为0.1t</w:t>
            </w:r>
          </w:p>
        </w:tc>
        <w:tc>
          <w:tcPr>
            <w:tcW w:w="1209" w:type="pct"/>
            <w:tcBorders>
              <w:tl2br w:val="nil"/>
              <w:tr2bl w:val="nil"/>
            </w:tcBorders>
            <w:vAlign w:val="center"/>
          </w:tcPr>
          <w:p>
            <w:pPr>
              <w:pStyle w:val="83"/>
              <w:rPr>
                <w:snapToGrid w:val="0"/>
                <w:kern w:val="0"/>
              </w:rPr>
            </w:pPr>
            <w:r>
              <w:rPr>
                <w:rFonts w:hint="eastAsia"/>
                <w:snapToGrid w:val="0"/>
                <w:kern w:val="0"/>
              </w:rPr>
              <w:t>50</w:t>
            </w:r>
          </w:p>
        </w:tc>
        <w:tc>
          <w:tcPr>
            <w:tcW w:w="1202" w:type="pct"/>
            <w:tcBorders>
              <w:tl2br w:val="nil"/>
              <w:tr2bl w:val="nil"/>
            </w:tcBorders>
            <w:vAlign w:val="center"/>
          </w:tcPr>
          <w:p>
            <w:pPr>
              <w:pStyle w:val="83"/>
              <w:rPr>
                <w:snapToGrid w:val="0"/>
                <w:kern w:val="0"/>
              </w:rPr>
            </w:pPr>
            <w:r>
              <w:rPr>
                <w:rFonts w:hint="eastAsia"/>
                <w:snapToGrid w:val="0"/>
                <w:kern w:val="0"/>
              </w:rPr>
              <w:t>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7" w:type="pct"/>
            <w:tcBorders>
              <w:tl2br w:val="nil"/>
              <w:tr2bl w:val="nil"/>
            </w:tcBorders>
            <w:vAlign w:val="center"/>
          </w:tcPr>
          <w:p>
            <w:pPr>
              <w:pStyle w:val="83"/>
            </w:pPr>
            <w:r>
              <w:rPr>
                <w:rFonts w:hint="eastAsia"/>
              </w:rPr>
              <w:t>废机油</w:t>
            </w:r>
          </w:p>
        </w:tc>
        <w:tc>
          <w:tcPr>
            <w:tcW w:w="1860" w:type="pct"/>
            <w:tcBorders>
              <w:tl2br w:val="nil"/>
              <w:tr2bl w:val="nil"/>
            </w:tcBorders>
            <w:vAlign w:val="center"/>
          </w:tcPr>
          <w:p>
            <w:pPr>
              <w:pStyle w:val="83"/>
            </w:pPr>
            <w:r>
              <w:rPr>
                <w:rFonts w:hint="eastAsia"/>
              </w:rPr>
              <w:t>危废暂存间最大储存量为0.01吨</w:t>
            </w:r>
          </w:p>
        </w:tc>
        <w:tc>
          <w:tcPr>
            <w:tcW w:w="1209" w:type="pct"/>
            <w:tcBorders>
              <w:tl2br w:val="nil"/>
              <w:tr2bl w:val="nil"/>
            </w:tcBorders>
            <w:vAlign w:val="center"/>
          </w:tcPr>
          <w:p>
            <w:pPr>
              <w:pStyle w:val="83"/>
              <w:rPr>
                <w:snapToGrid w:val="0"/>
                <w:kern w:val="0"/>
              </w:rPr>
            </w:pPr>
            <w:r>
              <w:rPr>
                <w:rFonts w:hint="eastAsia"/>
                <w:snapToGrid w:val="0"/>
                <w:kern w:val="0"/>
              </w:rPr>
              <w:t>2500</w:t>
            </w:r>
          </w:p>
        </w:tc>
        <w:tc>
          <w:tcPr>
            <w:tcW w:w="1202" w:type="pct"/>
            <w:tcBorders>
              <w:tl2br w:val="nil"/>
              <w:tr2bl w:val="nil"/>
            </w:tcBorders>
            <w:vAlign w:val="center"/>
          </w:tcPr>
          <w:p>
            <w:pPr>
              <w:pStyle w:val="83"/>
              <w:rPr>
                <w:snapToGrid w:val="0"/>
                <w:kern w:val="0"/>
              </w:rPr>
            </w:pPr>
            <w:r>
              <w:rPr>
                <w:rFonts w:hint="eastAsia"/>
                <w:snapToGrid w:val="0"/>
                <w:kern w:val="0"/>
              </w:rPr>
              <w:t>0.000004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797" w:type="pct"/>
            <w:gridSpan w:val="3"/>
            <w:tcBorders>
              <w:tl2br w:val="nil"/>
              <w:tr2bl w:val="nil"/>
            </w:tcBorders>
            <w:vAlign w:val="center"/>
          </w:tcPr>
          <w:p>
            <w:pPr>
              <w:pStyle w:val="83"/>
              <w:rPr>
                <w:snapToGrid w:val="0"/>
                <w:kern w:val="0"/>
              </w:rPr>
            </w:pPr>
            <w:r>
              <w:rPr>
                <w:rFonts w:hint="eastAsia"/>
                <w:snapToGrid w:val="0"/>
                <w:kern w:val="0"/>
              </w:rPr>
              <w:t>合计</w:t>
            </w:r>
          </w:p>
        </w:tc>
        <w:tc>
          <w:tcPr>
            <w:tcW w:w="1202" w:type="pct"/>
            <w:tcBorders>
              <w:tl2br w:val="nil"/>
              <w:tr2bl w:val="nil"/>
            </w:tcBorders>
            <w:vAlign w:val="center"/>
          </w:tcPr>
          <w:p>
            <w:pPr>
              <w:pStyle w:val="83"/>
              <w:rPr>
                <w:snapToGrid w:val="0"/>
                <w:kern w:val="0"/>
              </w:rPr>
            </w:pPr>
            <w:r>
              <w:rPr>
                <w:rFonts w:hint="eastAsia"/>
                <w:snapToGrid w:val="0"/>
                <w:kern w:val="0"/>
              </w:rPr>
              <w:t>0.008004</w:t>
            </w:r>
          </w:p>
        </w:tc>
      </w:tr>
    </w:tbl>
    <w:p>
      <w:pPr>
        <w:pStyle w:val="90"/>
        <w:ind w:firstLine="480"/>
        <w:rPr>
          <w:b/>
          <w:bCs/>
          <w:sz w:val="30"/>
          <w:szCs w:val="30"/>
        </w:rPr>
      </w:pPr>
      <w:r>
        <w:rPr>
          <w:lang w:val="zh-CN"/>
        </w:rPr>
        <w:t>根据上表可知，</w:t>
      </w:r>
      <w:r>
        <w:rPr>
          <w:rFonts w:hint="eastAsia"/>
        </w:rPr>
        <w:t>南昌瀛宇金属制品有限公司</w:t>
      </w:r>
      <w:r>
        <w:rPr>
          <w:lang w:val="zh-CN"/>
        </w:rPr>
        <w:t>环境风险物质最大</w:t>
      </w:r>
      <w:r>
        <w:rPr>
          <w:rFonts w:hint="eastAsia"/>
          <w:lang w:val="zh-CN"/>
        </w:rPr>
        <w:t>储</w:t>
      </w:r>
      <w:r>
        <w:rPr>
          <w:lang w:val="zh-CN"/>
        </w:rPr>
        <w:t>存量与临界量比值加和</w:t>
      </w:r>
      <w:r>
        <w:t>Σw/Q</w:t>
      </w:r>
      <w:r>
        <w:rPr>
          <w:highlight w:val="none"/>
          <w:lang w:val="zh-CN"/>
        </w:rPr>
        <w:t>&lt;</w:t>
      </w:r>
      <w:r>
        <w:rPr>
          <w:lang w:val="zh-CN"/>
        </w:rPr>
        <w:t>1，不构成重大危险源，以</w:t>
      </w:r>
      <w:r>
        <w:t>Q</w:t>
      </w:r>
      <w:r>
        <w:rPr>
          <w:rFonts w:hint="eastAsia"/>
        </w:rPr>
        <w:t>0</w:t>
      </w:r>
      <w:r>
        <w:rPr>
          <w:lang w:val="zh-CN"/>
        </w:rPr>
        <w:t>表示。</w:t>
      </w:r>
    </w:p>
    <w:p>
      <w:pPr>
        <w:pStyle w:val="5"/>
        <w:bidi w:val="0"/>
      </w:pPr>
      <w:bookmarkStart w:id="200" w:name="_Toc37600041"/>
      <w:bookmarkStart w:id="201" w:name="_Toc6412"/>
      <w:bookmarkStart w:id="202" w:name="_Toc6150"/>
      <w:bookmarkStart w:id="203" w:name="_Toc15438"/>
      <w:bookmarkStart w:id="204" w:name="_Toc127"/>
      <w:bookmarkStart w:id="205" w:name="_Toc5762"/>
      <w:r>
        <w:rPr>
          <w:rFonts w:hint="eastAsia"/>
        </w:rPr>
        <w:t>3.2</w:t>
      </w:r>
      <w:r>
        <w:t xml:space="preserve"> </w:t>
      </w:r>
      <w:r>
        <w:rPr>
          <w:rFonts w:hint="eastAsia"/>
        </w:rPr>
        <w:t>突发大气环境事件风险等级评估</w:t>
      </w:r>
      <w:bookmarkEnd w:id="200"/>
      <w:bookmarkEnd w:id="201"/>
      <w:bookmarkEnd w:id="202"/>
      <w:bookmarkEnd w:id="203"/>
      <w:bookmarkEnd w:id="204"/>
      <w:bookmarkEnd w:id="205"/>
    </w:p>
    <w:p>
      <w:pPr>
        <w:pStyle w:val="6"/>
        <w:bidi w:val="0"/>
      </w:pPr>
      <w:bookmarkStart w:id="206" w:name="_Toc1897"/>
      <w:bookmarkStart w:id="207" w:name="_Toc17677"/>
      <w:bookmarkStart w:id="208" w:name="_Toc37600042"/>
      <w:bookmarkStart w:id="209" w:name="_Toc2963"/>
      <w:bookmarkStart w:id="210" w:name="_Toc29632"/>
      <w:r>
        <w:rPr>
          <w:rFonts w:hint="eastAsia"/>
        </w:rPr>
        <w:t>3.2.1</w:t>
      </w:r>
      <w:r>
        <w:t xml:space="preserve"> </w:t>
      </w:r>
      <w:r>
        <w:rPr>
          <w:rFonts w:hint="eastAsia"/>
        </w:rPr>
        <w:t>计算涉气风险物资数量与临界量比值（Q）</w:t>
      </w:r>
      <w:bookmarkEnd w:id="206"/>
      <w:bookmarkEnd w:id="207"/>
      <w:bookmarkEnd w:id="208"/>
      <w:bookmarkEnd w:id="209"/>
      <w:bookmarkEnd w:id="210"/>
    </w:p>
    <w:p>
      <w:pPr>
        <w:pStyle w:val="90"/>
        <w:ind w:firstLine="480"/>
        <w:rPr>
          <w:lang w:val="zh-CN"/>
        </w:rPr>
      </w:pPr>
      <w:bookmarkStart w:id="211" w:name="_Toc29047"/>
      <w:bookmarkStart w:id="212" w:name="_Toc9731"/>
      <w:bookmarkStart w:id="213" w:name="_Toc28325"/>
      <w:bookmarkStart w:id="214" w:name="_Toc18328"/>
      <w:bookmarkStart w:id="215" w:name="_Toc28237"/>
      <w:r>
        <w:rPr>
          <w:lang w:val="zh-CN"/>
        </w:rPr>
        <w:t>根据表3.1-</w:t>
      </w:r>
      <w:r>
        <w:rPr>
          <w:rFonts w:hint="eastAsia"/>
          <w:lang w:val="zh-CN"/>
        </w:rPr>
        <w:t>2</w:t>
      </w:r>
      <w:r>
        <w:rPr>
          <w:lang w:val="zh-CN"/>
        </w:rPr>
        <w:t>：大气计算涉气风险物资数量与临界量比值Q</w:t>
      </w:r>
      <w:r>
        <w:rPr>
          <w:highlight w:val="none"/>
          <w:lang w:val="zh-CN"/>
        </w:rPr>
        <w:t>＜</w:t>
      </w:r>
      <w:r>
        <w:rPr>
          <w:lang w:val="zh-CN"/>
        </w:rPr>
        <w:t>1,属于Q</w:t>
      </w:r>
      <w:r>
        <w:rPr>
          <w:rFonts w:hint="eastAsia"/>
        </w:rPr>
        <w:t>0</w:t>
      </w:r>
      <w:r>
        <w:rPr>
          <w:lang w:val="zh-CN"/>
        </w:rPr>
        <w:t>。</w:t>
      </w:r>
      <w:bookmarkEnd w:id="211"/>
      <w:bookmarkEnd w:id="212"/>
      <w:bookmarkEnd w:id="213"/>
      <w:bookmarkEnd w:id="214"/>
      <w:bookmarkEnd w:id="215"/>
    </w:p>
    <w:p>
      <w:pPr>
        <w:pStyle w:val="6"/>
        <w:bidi w:val="0"/>
      </w:pPr>
      <w:bookmarkStart w:id="216" w:name="_Toc37600043"/>
      <w:bookmarkStart w:id="217" w:name="_Toc31447"/>
      <w:bookmarkStart w:id="218" w:name="_Toc11239"/>
      <w:bookmarkStart w:id="219" w:name="_Toc27210"/>
      <w:bookmarkStart w:id="220" w:name="_Toc13631"/>
      <w:r>
        <w:rPr>
          <w:rFonts w:hint="eastAsia"/>
        </w:rPr>
        <w:t>3.2.2</w:t>
      </w:r>
      <w:r>
        <w:t xml:space="preserve"> </w:t>
      </w:r>
      <w:r>
        <w:rPr>
          <w:rFonts w:hint="eastAsia"/>
        </w:rPr>
        <w:t>大气工艺过程与环境风险控制水平</w:t>
      </w:r>
      <w:bookmarkEnd w:id="216"/>
      <w:bookmarkEnd w:id="217"/>
      <w:bookmarkEnd w:id="218"/>
      <w:bookmarkEnd w:id="219"/>
      <w:bookmarkEnd w:id="220"/>
    </w:p>
    <w:p>
      <w:pPr>
        <w:pStyle w:val="90"/>
        <w:ind w:firstLine="480"/>
        <w:rPr>
          <w:lang w:val="zh-CN"/>
        </w:rPr>
      </w:pPr>
      <w:bookmarkStart w:id="221" w:name="_Toc1725"/>
      <w:bookmarkStart w:id="222" w:name="_Toc12707"/>
      <w:bookmarkStart w:id="223" w:name="_Toc15707"/>
      <w:bookmarkStart w:id="224" w:name="_Toc4307"/>
      <w:bookmarkStart w:id="225" w:name="_Toc20848"/>
      <w:r>
        <w:rPr>
          <w:lang w:val="zh-CN"/>
        </w:rPr>
        <w:t>企业生产工艺评估依据如下表</w:t>
      </w:r>
      <w:r>
        <w:rPr>
          <w:rFonts w:hint="eastAsia"/>
          <w:lang w:val="zh-CN"/>
        </w:rPr>
        <w:t>3.2</w:t>
      </w:r>
      <w:r>
        <w:rPr>
          <w:rFonts w:hint="eastAsia"/>
          <w:lang w:val="en-US" w:eastAsia="zh-CN"/>
        </w:rPr>
        <w:t>.2</w:t>
      </w:r>
      <w:r>
        <w:rPr>
          <w:rFonts w:hint="eastAsia"/>
          <w:lang w:val="zh-CN"/>
        </w:rPr>
        <w:t>-1</w:t>
      </w:r>
      <w:r>
        <w:rPr>
          <w:lang w:val="zh-CN"/>
        </w:rPr>
        <w:t>所示。具有多套工艺单元的企业，对每套生产工艺分别评分并求和。企业生产工艺最高分值为</w:t>
      </w:r>
      <w:r>
        <w:rPr>
          <w:rFonts w:hint="eastAsia"/>
          <w:lang w:val="zh-CN"/>
        </w:rPr>
        <w:t>3</w:t>
      </w:r>
      <w:r>
        <w:rPr>
          <w:lang w:val="zh-CN"/>
        </w:rPr>
        <w:t>0分，超过</w:t>
      </w:r>
      <w:r>
        <w:rPr>
          <w:rFonts w:hint="eastAsia"/>
          <w:lang w:val="zh-CN"/>
        </w:rPr>
        <w:t>3</w:t>
      </w:r>
      <w:r>
        <w:rPr>
          <w:lang w:val="zh-CN"/>
        </w:rPr>
        <w:t>0分则按最高分计。</w:t>
      </w:r>
      <w:bookmarkEnd w:id="221"/>
      <w:bookmarkEnd w:id="222"/>
      <w:bookmarkEnd w:id="223"/>
      <w:bookmarkEnd w:id="224"/>
      <w:bookmarkEnd w:id="225"/>
    </w:p>
    <w:p>
      <w:pPr>
        <w:pStyle w:val="82"/>
        <w:spacing w:before="163"/>
      </w:pPr>
      <w:bookmarkStart w:id="226" w:name="_Toc18010_WPSOffice_Level2"/>
      <w:r>
        <w:t>表3.2</w:t>
      </w:r>
      <w:r>
        <w:rPr>
          <w:rFonts w:hint="eastAsia"/>
          <w:lang w:val="en-US" w:eastAsia="zh-CN"/>
        </w:rPr>
        <w:t>.2</w:t>
      </w:r>
      <w:r>
        <w:rPr>
          <w:rFonts w:hint="eastAsia"/>
        </w:rPr>
        <w:t>-</w:t>
      </w:r>
      <w:r>
        <w:t>1 企业生产工艺</w:t>
      </w:r>
      <w:bookmarkEnd w:id="226"/>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022"/>
        <w:gridCol w:w="1569"/>
        <w:gridCol w:w="1303"/>
        <w:gridCol w:w="8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80" w:type="pct"/>
            <w:tcBorders>
              <w:bottom w:val="single" w:color="auto" w:sz="12" w:space="0"/>
            </w:tcBorders>
            <w:vAlign w:val="center"/>
          </w:tcPr>
          <w:p>
            <w:pPr>
              <w:pStyle w:val="83"/>
              <w:rPr>
                <w:b/>
              </w:rPr>
            </w:pPr>
            <w:r>
              <w:rPr>
                <w:b/>
              </w:rPr>
              <w:t>评估依据</w:t>
            </w:r>
          </w:p>
        </w:tc>
        <w:tc>
          <w:tcPr>
            <w:tcW w:w="900" w:type="pct"/>
            <w:tcBorders>
              <w:bottom w:val="single" w:color="auto" w:sz="12" w:space="0"/>
            </w:tcBorders>
            <w:vAlign w:val="center"/>
          </w:tcPr>
          <w:p>
            <w:pPr>
              <w:pStyle w:val="83"/>
              <w:rPr>
                <w:b/>
              </w:rPr>
            </w:pPr>
            <w:r>
              <w:rPr>
                <w:b/>
              </w:rPr>
              <w:t>分值</w:t>
            </w:r>
          </w:p>
        </w:tc>
        <w:tc>
          <w:tcPr>
            <w:tcW w:w="746" w:type="pct"/>
            <w:tcBorders>
              <w:bottom w:val="single" w:color="auto" w:sz="12" w:space="0"/>
            </w:tcBorders>
            <w:vAlign w:val="center"/>
          </w:tcPr>
          <w:p>
            <w:pPr>
              <w:pStyle w:val="83"/>
              <w:rPr>
                <w:b/>
              </w:rPr>
            </w:pPr>
            <w:r>
              <w:rPr>
                <w:b/>
              </w:rPr>
              <w:t>企业</w:t>
            </w:r>
          </w:p>
          <w:p>
            <w:pPr>
              <w:pStyle w:val="83"/>
              <w:rPr>
                <w:b/>
              </w:rPr>
            </w:pPr>
            <w:r>
              <w:rPr>
                <w:b/>
              </w:rPr>
              <w:t>现状</w:t>
            </w:r>
          </w:p>
        </w:tc>
        <w:tc>
          <w:tcPr>
            <w:tcW w:w="472" w:type="pct"/>
            <w:tcBorders>
              <w:bottom w:val="single" w:color="auto" w:sz="12" w:space="0"/>
            </w:tcBorders>
            <w:vAlign w:val="center"/>
          </w:tcPr>
          <w:p>
            <w:pPr>
              <w:pStyle w:val="83"/>
              <w:rPr>
                <w:b/>
              </w:rPr>
            </w:pPr>
            <w:r>
              <w:rPr>
                <w:b/>
              </w:rPr>
              <w:t>企业</w:t>
            </w:r>
          </w:p>
          <w:p>
            <w:pPr>
              <w:pStyle w:val="83"/>
              <w:rPr>
                <w:b/>
              </w:rPr>
            </w:pPr>
            <w:r>
              <w:rPr>
                <w:b/>
              </w:rPr>
              <w:t>得分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80" w:type="pct"/>
            <w:tcBorders>
              <w:top w:val="single" w:color="auto" w:sz="12" w:space="0"/>
              <w:tl2br w:val="nil"/>
              <w:tr2bl w:val="nil"/>
            </w:tcBorders>
            <w:vAlign w:val="center"/>
          </w:tcPr>
          <w:p>
            <w:pPr>
              <w:pStyle w:val="83"/>
              <w:rPr>
                <w:b/>
              </w:rPr>
            </w:pPr>
            <w: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900" w:type="pct"/>
            <w:tcBorders>
              <w:top w:val="single" w:color="auto" w:sz="12" w:space="0"/>
              <w:tl2br w:val="nil"/>
              <w:tr2bl w:val="nil"/>
            </w:tcBorders>
            <w:vAlign w:val="center"/>
          </w:tcPr>
          <w:p>
            <w:pPr>
              <w:pStyle w:val="83"/>
              <w:rPr>
                <w:b/>
              </w:rPr>
            </w:pPr>
            <w:r>
              <w:t>10/每套</w:t>
            </w:r>
          </w:p>
        </w:tc>
        <w:tc>
          <w:tcPr>
            <w:tcW w:w="746" w:type="pct"/>
            <w:vMerge w:val="restart"/>
            <w:tcBorders>
              <w:top w:val="single" w:color="auto" w:sz="12" w:space="0"/>
              <w:tl2br w:val="nil"/>
              <w:tr2bl w:val="nil"/>
            </w:tcBorders>
            <w:vAlign w:val="center"/>
          </w:tcPr>
          <w:p>
            <w:pPr>
              <w:pStyle w:val="83"/>
            </w:pPr>
            <w:r>
              <w:rPr>
                <w:rFonts w:hint="eastAsia"/>
              </w:rPr>
              <w:t>不涉及以上危险工艺过程或国家规定禁用工艺/设备</w:t>
            </w:r>
          </w:p>
        </w:tc>
        <w:tc>
          <w:tcPr>
            <w:tcW w:w="472" w:type="pct"/>
            <w:tcBorders>
              <w:top w:val="single" w:color="auto" w:sz="12" w:space="0"/>
              <w:tl2br w:val="nil"/>
              <w:tr2bl w:val="nil"/>
            </w:tcBorders>
            <w:vAlign w:val="center"/>
          </w:tcPr>
          <w:p>
            <w:pPr>
              <w:pStyle w:val="83"/>
              <w:rPr>
                <w:b/>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80" w:type="pct"/>
            <w:tcBorders>
              <w:tl2br w:val="nil"/>
              <w:tr2bl w:val="nil"/>
            </w:tcBorders>
            <w:vAlign w:val="center"/>
          </w:tcPr>
          <w:p>
            <w:pPr>
              <w:pStyle w:val="83"/>
            </w:pPr>
            <w:r>
              <w:t>其他高温或高压、涉及易燃易爆等物质的工艺过程</w:t>
            </w:r>
          </w:p>
        </w:tc>
        <w:tc>
          <w:tcPr>
            <w:tcW w:w="900" w:type="pct"/>
            <w:tcBorders>
              <w:tl2br w:val="nil"/>
              <w:tr2bl w:val="nil"/>
            </w:tcBorders>
            <w:vAlign w:val="center"/>
          </w:tcPr>
          <w:p>
            <w:pPr>
              <w:pStyle w:val="83"/>
            </w:pPr>
            <w:r>
              <w:t>5/每套</w:t>
            </w:r>
          </w:p>
        </w:tc>
        <w:tc>
          <w:tcPr>
            <w:tcW w:w="746" w:type="pct"/>
            <w:vMerge w:val="continue"/>
            <w:tcBorders>
              <w:tl2br w:val="nil"/>
              <w:tr2bl w:val="nil"/>
            </w:tcBorders>
            <w:vAlign w:val="center"/>
          </w:tcPr>
          <w:p>
            <w:pPr>
              <w:pStyle w:val="83"/>
            </w:pPr>
          </w:p>
        </w:tc>
        <w:tc>
          <w:tcPr>
            <w:tcW w:w="472" w:type="pct"/>
            <w:tcBorders>
              <w:tl2br w:val="nil"/>
              <w:tr2bl w:val="nil"/>
            </w:tcBorders>
            <w:vAlign w:val="center"/>
          </w:tcPr>
          <w:p>
            <w:pPr>
              <w:pStyle w:val="83"/>
            </w:pPr>
            <w:r>
              <w:rPr>
                <w:rFonts w:hint="eastAsia"/>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80" w:type="pct"/>
            <w:tcBorders>
              <w:tl2br w:val="nil"/>
              <w:tr2bl w:val="nil"/>
            </w:tcBorders>
            <w:vAlign w:val="center"/>
          </w:tcPr>
          <w:p>
            <w:pPr>
              <w:pStyle w:val="83"/>
            </w:pPr>
            <w:r>
              <w:t>具有国家规定限期淘汰的工艺名录和设备</w:t>
            </w:r>
          </w:p>
        </w:tc>
        <w:tc>
          <w:tcPr>
            <w:tcW w:w="900" w:type="pct"/>
            <w:tcBorders>
              <w:tl2br w:val="nil"/>
              <w:tr2bl w:val="nil"/>
            </w:tcBorders>
            <w:vAlign w:val="center"/>
          </w:tcPr>
          <w:p>
            <w:pPr>
              <w:pStyle w:val="83"/>
            </w:pPr>
            <w:r>
              <w:t>5/每套</w:t>
            </w:r>
          </w:p>
        </w:tc>
        <w:tc>
          <w:tcPr>
            <w:tcW w:w="746" w:type="pct"/>
            <w:vMerge w:val="continue"/>
            <w:tcBorders>
              <w:tl2br w:val="nil"/>
              <w:tr2bl w:val="nil"/>
            </w:tcBorders>
            <w:vAlign w:val="center"/>
          </w:tcPr>
          <w:p>
            <w:pPr>
              <w:pStyle w:val="83"/>
            </w:pPr>
          </w:p>
        </w:tc>
        <w:tc>
          <w:tcPr>
            <w:tcW w:w="472" w:type="pct"/>
            <w:tcBorders>
              <w:tl2br w:val="nil"/>
              <w:tr2bl w:val="nil"/>
            </w:tcBorders>
            <w:vAlign w:val="center"/>
          </w:tcPr>
          <w:p>
            <w:pPr>
              <w:pStyle w:val="83"/>
            </w:pPr>
            <w: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80" w:type="pct"/>
            <w:tcBorders>
              <w:tl2br w:val="nil"/>
              <w:tr2bl w:val="nil"/>
            </w:tcBorders>
            <w:vAlign w:val="center"/>
          </w:tcPr>
          <w:p>
            <w:pPr>
              <w:pStyle w:val="83"/>
            </w:pPr>
            <w:r>
              <w:t>不涉及以上危险工艺过程或国家规定的禁用工艺/设备</w:t>
            </w:r>
          </w:p>
        </w:tc>
        <w:tc>
          <w:tcPr>
            <w:tcW w:w="900" w:type="pct"/>
            <w:tcBorders>
              <w:tl2br w:val="nil"/>
              <w:tr2bl w:val="nil"/>
            </w:tcBorders>
            <w:vAlign w:val="center"/>
          </w:tcPr>
          <w:p>
            <w:pPr>
              <w:pStyle w:val="83"/>
            </w:pPr>
            <w:r>
              <w:t>0</w:t>
            </w:r>
          </w:p>
        </w:tc>
        <w:tc>
          <w:tcPr>
            <w:tcW w:w="746" w:type="pct"/>
            <w:vMerge w:val="continue"/>
            <w:tcBorders>
              <w:tl2br w:val="nil"/>
              <w:tr2bl w:val="nil"/>
            </w:tcBorders>
            <w:vAlign w:val="center"/>
          </w:tcPr>
          <w:p>
            <w:pPr>
              <w:pStyle w:val="83"/>
            </w:pPr>
          </w:p>
        </w:tc>
        <w:tc>
          <w:tcPr>
            <w:tcW w:w="472" w:type="pct"/>
            <w:tcBorders>
              <w:tl2br w:val="nil"/>
              <w:tr2bl w:val="nil"/>
            </w:tcBorders>
            <w:vAlign w:val="center"/>
          </w:tcPr>
          <w:p>
            <w:pPr>
              <w:pStyle w:val="83"/>
            </w:pPr>
            <w: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80" w:type="pct"/>
            <w:tcBorders>
              <w:tl2br w:val="nil"/>
              <w:tr2bl w:val="nil"/>
            </w:tcBorders>
            <w:vAlign w:val="center"/>
          </w:tcPr>
          <w:p>
            <w:pPr>
              <w:pStyle w:val="83"/>
            </w:pPr>
            <w:r>
              <w:t>合计</w:t>
            </w:r>
          </w:p>
        </w:tc>
        <w:tc>
          <w:tcPr>
            <w:tcW w:w="1647" w:type="pct"/>
            <w:gridSpan w:val="2"/>
            <w:tcBorders>
              <w:tl2br w:val="nil"/>
              <w:tr2bl w:val="nil"/>
            </w:tcBorders>
            <w:vAlign w:val="center"/>
          </w:tcPr>
          <w:p>
            <w:pPr>
              <w:pStyle w:val="83"/>
            </w:pPr>
          </w:p>
        </w:tc>
        <w:tc>
          <w:tcPr>
            <w:tcW w:w="472" w:type="pct"/>
            <w:tcBorders>
              <w:tl2br w:val="nil"/>
              <w:tr2bl w:val="nil"/>
            </w:tcBorders>
            <w:vAlign w:val="center"/>
          </w:tcPr>
          <w:p>
            <w:pPr>
              <w:pStyle w:val="83"/>
            </w:pPr>
            <w:r>
              <w:rPr>
                <w:rFonts w:hint="eastAsia"/>
              </w:rPr>
              <w:t>0</w:t>
            </w:r>
          </w:p>
        </w:tc>
      </w:tr>
    </w:tbl>
    <w:p>
      <w:pPr>
        <w:ind w:firstLine="480"/>
        <w:rPr>
          <w:rFonts w:ascii="黑体" w:hAnsi="黑体" w:eastAsia="黑体"/>
          <w:sz w:val="18"/>
          <w:szCs w:val="18"/>
        </w:rPr>
      </w:pPr>
      <w:r>
        <w:rPr>
          <w:rFonts w:ascii="黑体" w:hAnsi="黑体" w:eastAsia="黑体"/>
          <w:sz w:val="18"/>
          <w:szCs w:val="18"/>
        </w:rPr>
        <w:t>注1：高温指工艺温度≥300℃，高压指压力容器的设计压力（p）≥10.0MPa，易燃易爆等物质是指按照GB20576至GB20602《化学品分类、警示标签和警示性说明安全规范》所确定的化学物质；</w:t>
      </w:r>
    </w:p>
    <w:p>
      <w:pPr>
        <w:ind w:firstLine="480"/>
        <w:rPr>
          <w:rFonts w:ascii="黑体" w:hAnsi="黑体" w:eastAsia="黑体"/>
          <w:sz w:val="18"/>
          <w:szCs w:val="18"/>
        </w:rPr>
      </w:pPr>
      <w:r>
        <w:rPr>
          <w:rFonts w:ascii="黑体" w:hAnsi="黑体" w:eastAsia="黑体"/>
          <w:sz w:val="18"/>
          <w:szCs w:val="18"/>
        </w:rPr>
        <w:t>注2：指根据国家发展改革委发布的《产业结构调整指导目录》（最新年本）中有淘汰期限的淘汰类落后生产工艺装备。</w:t>
      </w:r>
    </w:p>
    <w:p>
      <w:pPr>
        <w:pStyle w:val="90"/>
        <w:ind w:firstLine="480"/>
      </w:pPr>
      <w:r>
        <w:t>通过表3.2</w:t>
      </w:r>
      <w:r>
        <w:rPr>
          <w:rFonts w:hint="eastAsia"/>
          <w:lang w:val="en-US" w:eastAsia="zh-CN"/>
        </w:rPr>
        <w:t>.2</w:t>
      </w:r>
      <w:r>
        <w:t>-1分析</w:t>
      </w:r>
      <w:r>
        <w:rPr>
          <w:rFonts w:hint="eastAsia"/>
        </w:rPr>
        <w:t>，本</w:t>
      </w:r>
      <w:r>
        <w:t>企业生产工艺分值为</w:t>
      </w:r>
      <w:r>
        <w:rPr>
          <w:rFonts w:hint="eastAsia"/>
        </w:rPr>
        <w:t>0</w:t>
      </w:r>
      <w:r>
        <w:t>分。</w:t>
      </w:r>
    </w:p>
    <w:p>
      <w:pPr>
        <w:pStyle w:val="90"/>
        <w:ind w:firstLine="480"/>
      </w:pPr>
      <w:bookmarkStart w:id="227" w:name="_Toc18720_WPSOffice_Level2"/>
      <w:r>
        <w:t>（2）大气环境控制水平风险防控措施及突发大气环境事件突发情况</w:t>
      </w:r>
      <w:bookmarkEnd w:id="227"/>
    </w:p>
    <w:p>
      <w:pPr>
        <w:pStyle w:val="90"/>
        <w:ind w:firstLine="480"/>
      </w:pPr>
      <w:r>
        <w:t>企业大气环境控制水平风险防控措施及突发大气环境事件突发情况指标见表3.2</w:t>
      </w:r>
      <w:r>
        <w:rPr>
          <w:rFonts w:hint="eastAsia"/>
          <w:lang w:val="en-US" w:eastAsia="zh-CN"/>
        </w:rPr>
        <w:t>.</w:t>
      </w:r>
      <w:r>
        <w:t>2</w:t>
      </w:r>
      <w:r>
        <w:rPr>
          <w:rFonts w:hint="eastAsia"/>
          <w:lang w:val="en-US" w:eastAsia="zh-CN"/>
        </w:rPr>
        <w:t>-2</w:t>
      </w:r>
      <w:r>
        <w:t>。对各项评估指标分别评分、计算总和，各项指标合计最高分70分。</w:t>
      </w:r>
    </w:p>
    <w:p>
      <w:pPr>
        <w:pStyle w:val="82"/>
        <w:spacing w:before="163"/>
        <w:rPr>
          <w:rFonts w:hint="eastAsia"/>
        </w:rPr>
      </w:pPr>
      <w:r>
        <w:t>表3.2</w:t>
      </w:r>
      <w:r>
        <w:rPr>
          <w:rFonts w:hint="eastAsia"/>
          <w:lang w:val="en-US" w:eastAsia="zh-CN"/>
        </w:rPr>
        <w:t>.</w:t>
      </w:r>
      <w:r>
        <w:t>2</w:t>
      </w:r>
      <w:r>
        <w:rPr>
          <w:rFonts w:hint="eastAsia"/>
          <w:lang w:val="en-US" w:eastAsia="zh-CN"/>
        </w:rPr>
        <w:t>-2</w:t>
      </w:r>
      <w:r>
        <w:t xml:space="preserve"> 大气环境控制水平风险防控措施及突发大气环境事件突发情况发生情况评估</w:t>
      </w:r>
    </w:p>
    <w:tbl>
      <w:tblPr>
        <w:tblStyle w:val="22"/>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15" w:type="dxa"/>
          <w:left w:w="15" w:type="dxa"/>
          <w:bottom w:w="15" w:type="dxa"/>
          <w:right w:w="15" w:type="dxa"/>
        </w:tblCellMar>
      </w:tblPr>
      <w:tblGrid>
        <w:gridCol w:w="1084"/>
        <w:gridCol w:w="4843"/>
        <w:gridCol w:w="976"/>
        <w:gridCol w:w="976"/>
        <w:gridCol w:w="65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tcBorders>
              <w:bottom w:val="single" w:color="auto" w:sz="12" w:space="0"/>
            </w:tcBorders>
            <w:vAlign w:val="center"/>
          </w:tcPr>
          <w:p>
            <w:pPr>
              <w:pStyle w:val="83"/>
              <w:rPr>
                <w:b/>
              </w:rPr>
            </w:pPr>
            <w:r>
              <w:rPr>
                <w:b/>
                <w:lang w:bidi="ar"/>
              </w:rPr>
              <w:t>评估指标</w:t>
            </w:r>
          </w:p>
        </w:tc>
        <w:tc>
          <w:tcPr>
            <w:tcW w:w="2838" w:type="pct"/>
            <w:tcBorders>
              <w:bottom w:val="single" w:color="auto" w:sz="12" w:space="0"/>
            </w:tcBorders>
            <w:vAlign w:val="center"/>
          </w:tcPr>
          <w:p>
            <w:pPr>
              <w:pStyle w:val="83"/>
              <w:rPr>
                <w:b/>
              </w:rPr>
            </w:pPr>
            <w:r>
              <w:rPr>
                <w:b/>
                <w:lang w:bidi="ar"/>
              </w:rPr>
              <w:t>评估依据</w:t>
            </w:r>
          </w:p>
        </w:tc>
        <w:tc>
          <w:tcPr>
            <w:tcW w:w="572" w:type="pct"/>
            <w:tcBorders>
              <w:bottom w:val="single" w:color="auto" w:sz="12" w:space="0"/>
            </w:tcBorders>
            <w:vAlign w:val="center"/>
          </w:tcPr>
          <w:p>
            <w:pPr>
              <w:pStyle w:val="83"/>
              <w:rPr>
                <w:b/>
              </w:rPr>
            </w:pPr>
            <w:r>
              <w:rPr>
                <w:b/>
                <w:lang w:bidi="ar"/>
              </w:rPr>
              <w:t>分值</w:t>
            </w:r>
          </w:p>
        </w:tc>
        <w:tc>
          <w:tcPr>
            <w:tcW w:w="572" w:type="pct"/>
            <w:tcBorders>
              <w:bottom w:val="single" w:color="auto" w:sz="12" w:space="0"/>
            </w:tcBorders>
            <w:vAlign w:val="center"/>
          </w:tcPr>
          <w:p>
            <w:pPr>
              <w:pStyle w:val="83"/>
              <w:rPr>
                <w:b/>
              </w:rPr>
            </w:pPr>
            <w:r>
              <w:rPr>
                <w:b/>
                <w:lang w:bidi="ar"/>
              </w:rPr>
              <w:t>企业现状</w:t>
            </w:r>
          </w:p>
        </w:tc>
        <w:tc>
          <w:tcPr>
            <w:tcW w:w="381" w:type="pct"/>
            <w:tcBorders>
              <w:bottom w:val="single" w:color="auto" w:sz="12" w:space="0"/>
            </w:tcBorders>
            <w:vAlign w:val="center"/>
          </w:tcPr>
          <w:p>
            <w:pPr>
              <w:pStyle w:val="83"/>
              <w:rPr>
                <w:b/>
              </w:rPr>
            </w:pPr>
            <w:r>
              <w:rPr>
                <w:b/>
                <w:lang w:bidi="ar"/>
              </w:rPr>
              <w:t>得分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1140" w:hRule="atLeast"/>
        </w:trPr>
        <w:tc>
          <w:tcPr>
            <w:tcW w:w="635" w:type="pct"/>
            <w:vMerge w:val="restart"/>
            <w:tcBorders>
              <w:top w:val="single" w:color="auto" w:sz="12" w:space="0"/>
              <w:tl2br w:val="nil"/>
              <w:tr2bl w:val="nil"/>
            </w:tcBorders>
            <w:vAlign w:val="center"/>
          </w:tcPr>
          <w:p>
            <w:pPr>
              <w:pStyle w:val="83"/>
            </w:pPr>
            <w:r>
              <w:rPr>
                <w:lang w:bidi="ar"/>
              </w:rPr>
              <w:t>毒性气体泄漏</w:t>
            </w:r>
          </w:p>
        </w:tc>
        <w:tc>
          <w:tcPr>
            <w:tcW w:w="2838" w:type="pct"/>
            <w:tcBorders>
              <w:top w:val="single" w:color="auto" w:sz="12" w:space="0"/>
              <w:tl2br w:val="nil"/>
              <w:tr2bl w:val="nil"/>
            </w:tcBorders>
            <w:vAlign w:val="center"/>
          </w:tcPr>
          <w:p>
            <w:pPr>
              <w:pStyle w:val="83"/>
              <w:rPr>
                <w:lang w:bidi="ar"/>
              </w:rPr>
            </w:pPr>
            <w:r>
              <w:rPr>
                <w:lang w:bidi="ar"/>
              </w:rPr>
              <w:t>不涉及附录A中有毒气体</w:t>
            </w:r>
            <w:r>
              <w:rPr>
                <w:rFonts w:hint="eastAsia"/>
                <w:lang w:bidi="ar"/>
              </w:rPr>
              <w:t>：或</w:t>
            </w:r>
          </w:p>
          <w:p>
            <w:pPr>
              <w:pStyle w:val="83"/>
            </w:pPr>
            <w:r>
              <w:rPr>
                <w:lang w:bidi="ar"/>
              </w:rPr>
              <w:t>根据实际情况，具备有毒有害气体（如硫化氢、氰化氢、氯化氢、光气、氯气、氨气、苯等）厂界泄漏监控预警系统的</w:t>
            </w:r>
          </w:p>
        </w:tc>
        <w:tc>
          <w:tcPr>
            <w:tcW w:w="572" w:type="pct"/>
            <w:tcBorders>
              <w:top w:val="single" w:color="auto" w:sz="12" w:space="0"/>
              <w:tl2br w:val="nil"/>
              <w:tr2bl w:val="nil"/>
            </w:tcBorders>
            <w:vAlign w:val="center"/>
          </w:tcPr>
          <w:p>
            <w:pPr>
              <w:pStyle w:val="83"/>
            </w:pPr>
            <w:r>
              <w:rPr>
                <w:lang w:bidi="ar"/>
              </w:rPr>
              <w:t>0</w:t>
            </w:r>
          </w:p>
        </w:tc>
        <w:tc>
          <w:tcPr>
            <w:tcW w:w="572" w:type="pct"/>
            <w:vMerge w:val="restart"/>
            <w:tcBorders>
              <w:top w:val="single" w:color="auto" w:sz="12" w:space="0"/>
              <w:tl2br w:val="nil"/>
              <w:tr2bl w:val="nil"/>
            </w:tcBorders>
            <w:vAlign w:val="center"/>
          </w:tcPr>
          <w:p>
            <w:pPr>
              <w:pStyle w:val="83"/>
            </w:pPr>
            <w:r>
              <w:rPr>
                <w:lang w:bidi="ar"/>
              </w:rPr>
              <w:t>不涉及有毒气体</w:t>
            </w:r>
          </w:p>
        </w:tc>
        <w:tc>
          <w:tcPr>
            <w:tcW w:w="381" w:type="pct"/>
            <w:vMerge w:val="restart"/>
            <w:tcBorders>
              <w:top w:val="single" w:color="auto" w:sz="12" w:space="0"/>
              <w:tl2br w:val="nil"/>
              <w:tr2bl w:val="nil"/>
            </w:tcBorders>
            <w:vAlign w:val="center"/>
          </w:tcPr>
          <w:p>
            <w:pPr>
              <w:pStyle w:val="83"/>
            </w:pPr>
            <w:r>
              <w:rPr>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continue"/>
            <w:tcBorders>
              <w:tl2br w:val="nil"/>
              <w:tr2bl w:val="nil"/>
            </w:tcBorders>
            <w:vAlign w:val="center"/>
          </w:tcPr>
          <w:p>
            <w:pPr>
              <w:pStyle w:val="83"/>
            </w:pPr>
          </w:p>
        </w:tc>
        <w:tc>
          <w:tcPr>
            <w:tcW w:w="2838" w:type="pct"/>
            <w:tcBorders>
              <w:tl2br w:val="nil"/>
              <w:tr2bl w:val="nil"/>
            </w:tcBorders>
            <w:vAlign w:val="center"/>
          </w:tcPr>
          <w:p>
            <w:pPr>
              <w:pStyle w:val="83"/>
            </w:pPr>
            <w:r>
              <w:rPr>
                <w:lang w:bidi="ar"/>
              </w:rPr>
              <w:t>不具备厂界有毒有害气体泄漏监控预警系统的</w:t>
            </w:r>
          </w:p>
        </w:tc>
        <w:tc>
          <w:tcPr>
            <w:tcW w:w="572" w:type="pct"/>
            <w:tcBorders>
              <w:tl2br w:val="nil"/>
              <w:tr2bl w:val="nil"/>
            </w:tcBorders>
            <w:vAlign w:val="center"/>
          </w:tcPr>
          <w:p>
            <w:pPr>
              <w:pStyle w:val="83"/>
            </w:pPr>
            <w:r>
              <w:rPr>
                <w:lang w:bidi="ar"/>
              </w:rPr>
              <w:t>25</w:t>
            </w:r>
          </w:p>
        </w:tc>
        <w:tc>
          <w:tcPr>
            <w:tcW w:w="572" w:type="pct"/>
            <w:vMerge w:val="continue"/>
            <w:tcBorders>
              <w:tl2br w:val="nil"/>
              <w:tr2bl w:val="nil"/>
            </w:tcBorders>
            <w:vAlign w:val="center"/>
          </w:tcPr>
          <w:p>
            <w:pPr>
              <w:pStyle w:val="83"/>
            </w:pPr>
          </w:p>
        </w:tc>
        <w:tc>
          <w:tcPr>
            <w:tcW w:w="381"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restart"/>
            <w:tcBorders>
              <w:tl2br w:val="nil"/>
              <w:tr2bl w:val="nil"/>
            </w:tcBorders>
            <w:vAlign w:val="center"/>
          </w:tcPr>
          <w:p>
            <w:pPr>
              <w:pStyle w:val="83"/>
            </w:pPr>
            <w:r>
              <w:rPr>
                <w:lang w:bidi="ar"/>
              </w:rPr>
              <w:t>符合防护距离情况</w:t>
            </w:r>
          </w:p>
        </w:tc>
        <w:tc>
          <w:tcPr>
            <w:tcW w:w="2838" w:type="pct"/>
            <w:tcBorders>
              <w:tl2br w:val="nil"/>
              <w:tr2bl w:val="nil"/>
            </w:tcBorders>
            <w:vAlign w:val="center"/>
          </w:tcPr>
          <w:p>
            <w:pPr>
              <w:pStyle w:val="83"/>
            </w:pPr>
            <w:r>
              <w:rPr>
                <w:lang w:bidi="ar"/>
              </w:rPr>
              <w:t>符合环评及批复文件防护距离要求的</w:t>
            </w:r>
          </w:p>
        </w:tc>
        <w:tc>
          <w:tcPr>
            <w:tcW w:w="572" w:type="pct"/>
            <w:tcBorders>
              <w:tl2br w:val="nil"/>
              <w:tr2bl w:val="nil"/>
            </w:tcBorders>
            <w:vAlign w:val="center"/>
          </w:tcPr>
          <w:p>
            <w:pPr>
              <w:pStyle w:val="83"/>
            </w:pPr>
            <w:r>
              <w:rPr>
                <w:lang w:bidi="ar"/>
              </w:rPr>
              <w:t>0</w:t>
            </w:r>
          </w:p>
        </w:tc>
        <w:tc>
          <w:tcPr>
            <w:tcW w:w="572" w:type="pct"/>
            <w:vMerge w:val="restart"/>
            <w:tcBorders>
              <w:tl2br w:val="nil"/>
              <w:tr2bl w:val="nil"/>
            </w:tcBorders>
            <w:vAlign w:val="center"/>
          </w:tcPr>
          <w:p>
            <w:pPr>
              <w:pStyle w:val="83"/>
            </w:pPr>
            <w:r>
              <w:rPr>
                <w:lang w:bidi="ar"/>
              </w:rPr>
              <w:t>符合</w:t>
            </w:r>
          </w:p>
        </w:tc>
        <w:tc>
          <w:tcPr>
            <w:tcW w:w="381" w:type="pct"/>
            <w:vMerge w:val="restart"/>
            <w:tcBorders>
              <w:tl2br w:val="nil"/>
              <w:tr2bl w:val="nil"/>
            </w:tcBorders>
            <w:vAlign w:val="center"/>
          </w:tcPr>
          <w:p>
            <w:pPr>
              <w:pStyle w:val="83"/>
            </w:pPr>
            <w:r>
              <w:rPr>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continue"/>
            <w:tcBorders>
              <w:tl2br w:val="nil"/>
              <w:tr2bl w:val="nil"/>
            </w:tcBorders>
            <w:vAlign w:val="center"/>
          </w:tcPr>
          <w:p>
            <w:pPr>
              <w:pStyle w:val="83"/>
            </w:pPr>
          </w:p>
        </w:tc>
        <w:tc>
          <w:tcPr>
            <w:tcW w:w="2838" w:type="pct"/>
            <w:tcBorders>
              <w:tl2br w:val="nil"/>
              <w:tr2bl w:val="nil"/>
            </w:tcBorders>
            <w:vAlign w:val="center"/>
          </w:tcPr>
          <w:p>
            <w:pPr>
              <w:pStyle w:val="83"/>
            </w:pPr>
            <w:r>
              <w:rPr>
                <w:lang w:bidi="ar"/>
              </w:rPr>
              <w:t>不符合环评及批复文件防护距离要求的</w:t>
            </w:r>
          </w:p>
        </w:tc>
        <w:tc>
          <w:tcPr>
            <w:tcW w:w="572" w:type="pct"/>
            <w:tcBorders>
              <w:tl2br w:val="nil"/>
              <w:tr2bl w:val="nil"/>
            </w:tcBorders>
            <w:vAlign w:val="center"/>
          </w:tcPr>
          <w:p>
            <w:pPr>
              <w:pStyle w:val="83"/>
            </w:pPr>
            <w:r>
              <w:rPr>
                <w:lang w:bidi="ar"/>
              </w:rPr>
              <w:t>25</w:t>
            </w:r>
          </w:p>
        </w:tc>
        <w:tc>
          <w:tcPr>
            <w:tcW w:w="572" w:type="pct"/>
            <w:vMerge w:val="continue"/>
            <w:tcBorders>
              <w:tl2br w:val="nil"/>
              <w:tr2bl w:val="nil"/>
            </w:tcBorders>
            <w:vAlign w:val="center"/>
          </w:tcPr>
          <w:p>
            <w:pPr>
              <w:pStyle w:val="83"/>
            </w:pPr>
          </w:p>
        </w:tc>
        <w:tc>
          <w:tcPr>
            <w:tcW w:w="381"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restart"/>
            <w:tcBorders>
              <w:tl2br w:val="nil"/>
              <w:tr2bl w:val="nil"/>
            </w:tcBorders>
            <w:vAlign w:val="center"/>
          </w:tcPr>
          <w:p>
            <w:pPr>
              <w:pStyle w:val="83"/>
            </w:pPr>
            <w:r>
              <w:rPr>
                <w:lang w:bidi="ar"/>
              </w:rPr>
              <w:t>近三年内突发大气环境事件发生情况</w:t>
            </w:r>
          </w:p>
        </w:tc>
        <w:tc>
          <w:tcPr>
            <w:tcW w:w="2838" w:type="pct"/>
            <w:tcBorders>
              <w:tl2br w:val="nil"/>
              <w:tr2bl w:val="nil"/>
            </w:tcBorders>
            <w:vAlign w:val="center"/>
          </w:tcPr>
          <w:p>
            <w:pPr>
              <w:pStyle w:val="83"/>
            </w:pPr>
            <w:r>
              <w:rPr>
                <w:lang w:bidi="ar"/>
              </w:rPr>
              <w:t>发生过特别重大或重大等级突发大气环境事件的</w:t>
            </w:r>
          </w:p>
        </w:tc>
        <w:tc>
          <w:tcPr>
            <w:tcW w:w="572" w:type="pct"/>
            <w:tcBorders>
              <w:tl2br w:val="nil"/>
              <w:tr2bl w:val="nil"/>
            </w:tcBorders>
            <w:vAlign w:val="center"/>
          </w:tcPr>
          <w:p>
            <w:pPr>
              <w:pStyle w:val="83"/>
            </w:pPr>
            <w:r>
              <w:rPr>
                <w:lang w:bidi="ar"/>
              </w:rPr>
              <w:t>20</w:t>
            </w:r>
          </w:p>
        </w:tc>
        <w:tc>
          <w:tcPr>
            <w:tcW w:w="572" w:type="pct"/>
            <w:vMerge w:val="restart"/>
            <w:tcBorders>
              <w:tl2br w:val="nil"/>
              <w:tr2bl w:val="nil"/>
            </w:tcBorders>
            <w:vAlign w:val="center"/>
          </w:tcPr>
          <w:p>
            <w:pPr>
              <w:pStyle w:val="83"/>
            </w:pPr>
            <w:r>
              <w:rPr>
                <w:lang w:bidi="ar"/>
              </w:rPr>
              <w:t>没有发生环境事件</w:t>
            </w:r>
          </w:p>
        </w:tc>
        <w:tc>
          <w:tcPr>
            <w:tcW w:w="381" w:type="pct"/>
            <w:vMerge w:val="restart"/>
            <w:tcBorders>
              <w:tl2br w:val="nil"/>
              <w:tr2bl w:val="nil"/>
            </w:tcBorders>
            <w:vAlign w:val="center"/>
          </w:tcPr>
          <w:p>
            <w:pPr>
              <w:pStyle w:val="83"/>
            </w:pPr>
            <w:r>
              <w:rPr>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continue"/>
            <w:tcBorders>
              <w:tl2br w:val="nil"/>
              <w:tr2bl w:val="nil"/>
            </w:tcBorders>
            <w:vAlign w:val="center"/>
          </w:tcPr>
          <w:p>
            <w:pPr>
              <w:ind w:firstLine="480"/>
              <w:jc w:val="center"/>
              <w:rPr>
                <w:color w:val="000000"/>
                <w:szCs w:val="24"/>
              </w:rPr>
            </w:pPr>
          </w:p>
        </w:tc>
        <w:tc>
          <w:tcPr>
            <w:tcW w:w="2838" w:type="pct"/>
            <w:tcBorders>
              <w:tl2br w:val="nil"/>
              <w:tr2bl w:val="nil"/>
            </w:tcBorders>
            <w:vAlign w:val="center"/>
          </w:tcPr>
          <w:p>
            <w:pPr>
              <w:widowControl/>
              <w:jc w:val="center"/>
              <w:textAlignment w:val="center"/>
              <w:rPr>
                <w:color w:val="000000"/>
                <w:szCs w:val="21"/>
              </w:rPr>
            </w:pPr>
            <w:r>
              <w:rPr>
                <w:color w:val="000000"/>
                <w:kern w:val="0"/>
                <w:szCs w:val="21"/>
                <w:lang w:bidi="ar"/>
              </w:rPr>
              <w:t>发生过较大等级突发大气环境事件的</w:t>
            </w:r>
          </w:p>
        </w:tc>
        <w:tc>
          <w:tcPr>
            <w:tcW w:w="572" w:type="pct"/>
            <w:tcBorders>
              <w:tl2br w:val="nil"/>
              <w:tr2bl w:val="nil"/>
            </w:tcBorders>
            <w:vAlign w:val="center"/>
          </w:tcPr>
          <w:p>
            <w:pPr>
              <w:widowControl/>
              <w:jc w:val="center"/>
              <w:textAlignment w:val="center"/>
              <w:rPr>
                <w:color w:val="000000"/>
                <w:szCs w:val="21"/>
              </w:rPr>
            </w:pPr>
            <w:r>
              <w:rPr>
                <w:color w:val="000000"/>
                <w:kern w:val="0"/>
                <w:szCs w:val="21"/>
                <w:lang w:bidi="ar"/>
              </w:rPr>
              <w:t>15</w:t>
            </w:r>
          </w:p>
        </w:tc>
        <w:tc>
          <w:tcPr>
            <w:tcW w:w="572" w:type="pct"/>
            <w:vMerge w:val="continue"/>
            <w:tcBorders>
              <w:tl2br w:val="nil"/>
              <w:tr2bl w:val="nil"/>
            </w:tcBorders>
            <w:vAlign w:val="center"/>
          </w:tcPr>
          <w:p>
            <w:pPr>
              <w:ind w:firstLine="420"/>
              <w:jc w:val="center"/>
              <w:rPr>
                <w:color w:val="000000"/>
                <w:szCs w:val="21"/>
              </w:rPr>
            </w:pPr>
          </w:p>
        </w:tc>
        <w:tc>
          <w:tcPr>
            <w:tcW w:w="381" w:type="pct"/>
            <w:vMerge w:val="continue"/>
            <w:tcBorders>
              <w:tl2br w:val="nil"/>
              <w:tr2bl w:val="nil"/>
            </w:tcBorders>
            <w:vAlign w:val="center"/>
          </w:tcPr>
          <w:p>
            <w:pPr>
              <w:ind w:firstLine="420"/>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continue"/>
            <w:tcBorders>
              <w:tl2br w:val="nil"/>
              <w:tr2bl w:val="nil"/>
            </w:tcBorders>
            <w:vAlign w:val="center"/>
          </w:tcPr>
          <w:p>
            <w:pPr>
              <w:ind w:firstLine="480"/>
              <w:jc w:val="center"/>
              <w:rPr>
                <w:color w:val="000000"/>
                <w:szCs w:val="24"/>
              </w:rPr>
            </w:pPr>
          </w:p>
        </w:tc>
        <w:tc>
          <w:tcPr>
            <w:tcW w:w="2838" w:type="pct"/>
            <w:tcBorders>
              <w:tl2br w:val="nil"/>
              <w:tr2bl w:val="nil"/>
            </w:tcBorders>
            <w:vAlign w:val="center"/>
          </w:tcPr>
          <w:p>
            <w:pPr>
              <w:widowControl/>
              <w:jc w:val="center"/>
              <w:textAlignment w:val="center"/>
              <w:rPr>
                <w:color w:val="000000"/>
                <w:szCs w:val="21"/>
              </w:rPr>
            </w:pPr>
            <w:r>
              <w:rPr>
                <w:color w:val="000000"/>
                <w:kern w:val="0"/>
                <w:szCs w:val="21"/>
                <w:lang w:bidi="ar"/>
              </w:rPr>
              <w:t>发生过一般等级突发大气环境事件的</w:t>
            </w:r>
          </w:p>
        </w:tc>
        <w:tc>
          <w:tcPr>
            <w:tcW w:w="572" w:type="pct"/>
            <w:tcBorders>
              <w:tl2br w:val="nil"/>
              <w:tr2bl w:val="nil"/>
            </w:tcBorders>
            <w:vAlign w:val="center"/>
          </w:tcPr>
          <w:p>
            <w:pPr>
              <w:widowControl/>
              <w:jc w:val="center"/>
              <w:textAlignment w:val="center"/>
              <w:rPr>
                <w:color w:val="000000"/>
                <w:szCs w:val="21"/>
              </w:rPr>
            </w:pPr>
            <w:r>
              <w:rPr>
                <w:color w:val="000000"/>
                <w:kern w:val="0"/>
                <w:szCs w:val="21"/>
                <w:lang w:bidi="ar"/>
              </w:rPr>
              <w:t>20</w:t>
            </w:r>
          </w:p>
        </w:tc>
        <w:tc>
          <w:tcPr>
            <w:tcW w:w="572" w:type="pct"/>
            <w:vMerge w:val="continue"/>
            <w:tcBorders>
              <w:tl2br w:val="nil"/>
              <w:tr2bl w:val="nil"/>
            </w:tcBorders>
            <w:vAlign w:val="center"/>
          </w:tcPr>
          <w:p>
            <w:pPr>
              <w:ind w:firstLine="420"/>
              <w:jc w:val="center"/>
              <w:rPr>
                <w:color w:val="000000"/>
                <w:szCs w:val="21"/>
              </w:rPr>
            </w:pPr>
          </w:p>
        </w:tc>
        <w:tc>
          <w:tcPr>
            <w:tcW w:w="381" w:type="pct"/>
            <w:vMerge w:val="continue"/>
            <w:tcBorders>
              <w:tl2br w:val="nil"/>
              <w:tr2bl w:val="nil"/>
            </w:tcBorders>
            <w:vAlign w:val="center"/>
          </w:tcPr>
          <w:p>
            <w:pPr>
              <w:ind w:firstLine="420"/>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trPr>
        <w:tc>
          <w:tcPr>
            <w:tcW w:w="635" w:type="pct"/>
            <w:vMerge w:val="continue"/>
            <w:tcBorders>
              <w:tl2br w:val="nil"/>
              <w:tr2bl w:val="nil"/>
            </w:tcBorders>
            <w:vAlign w:val="center"/>
          </w:tcPr>
          <w:p>
            <w:pPr>
              <w:ind w:firstLine="480"/>
              <w:jc w:val="center"/>
              <w:rPr>
                <w:color w:val="000000"/>
                <w:szCs w:val="24"/>
              </w:rPr>
            </w:pPr>
          </w:p>
        </w:tc>
        <w:tc>
          <w:tcPr>
            <w:tcW w:w="2838" w:type="pct"/>
            <w:tcBorders>
              <w:tl2br w:val="nil"/>
              <w:tr2bl w:val="nil"/>
            </w:tcBorders>
            <w:vAlign w:val="center"/>
          </w:tcPr>
          <w:p>
            <w:pPr>
              <w:widowControl/>
              <w:jc w:val="center"/>
              <w:textAlignment w:val="center"/>
              <w:rPr>
                <w:color w:val="000000"/>
                <w:szCs w:val="21"/>
              </w:rPr>
            </w:pPr>
            <w:r>
              <w:rPr>
                <w:color w:val="000000"/>
                <w:kern w:val="0"/>
                <w:szCs w:val="21"/>
                <w:lang w:bidi="ar"/>
              </w:rPr>
              <w:t>未发生突发大气环境事件的</w:t>
            </w:r>
          </w:p>
        </w:tc>
        <w:tc>
          <w:tcPr>
            <w:tcW w:w="572" w:type="pct"/>
            <w:tcBorders>
              <w:tl2br w:val="nil"/>
              <w:tr2bl w:val="nil"/>
            </w:tcBorders>
            <w:vAlign w:val="center"/>
          </w:tcPr>
          <w:p>
            <w:pPr>
              <w:widowControl/>
              <w:jc w:val="center"/>
              <w:textAlignment w:val="center"/>
              <w:rPr>
                <w:color w:val="000000"/>
                <w:szCs w:val="21"/>
              </w:rPr>
            </w:pPr>
            <w:r>
              <w:rPr>
                <w:color w:val="000000"/>
                <w:kern w:val="0"/>
                <w:szCs w:val="21"/>
                <w:lang w:bidi="ar"/>
              </w:rPr>
              <w:t>0</w:t>
            </w:r>
          </w:p>
        </w:tc>
        <w:tc>
          <w:tcPr>
            <w:tcW w:w="572" w:type="pct"/>
            <w:vMerge w:val="continue"/>
            <w:tcBorders>
              <w:tl2br w:val="nil"/>
              <w:tr2bl w:val="nil"/>
            </w:tcBorders>
            <w:vAlign w:val="center"/>
          </w:tcPr>
          <w:p>
            <w:pPr>
              <w:ind w:firstLine="420"/>
              <w:jc w:val="center"/>
              <w:rPr>
                <w:color w:val="000000"/>
                <w:szCs w:val="21"/>
              </w:rPr>
            </w:pPr>
          </w:p>
        </w:tc>
        <w:tc>
          <w:tcPr>
            <w:tcW w:w="381" w:type="pct"/>
            <w:vMerge w:val="continue"/>
            <w:tcBorders>
              <w:tl2br w:val="nil"/>
              <w:tr2bl w:val="nil"/>
            </w:tcBorders>
            <w:vAlign w:val="center"/>
          </w:tcPr>
          <w:p>
            <w:pPr>
              <w:ind w:firstLine="420"/>
              <w:jc w:val="center"/>
              <w:rPr>
                <w:color w:val="000000"/>
                <w:szCs w:val="21"/>
              </w:rPr>
            </w:pPr>
          </w:p>
        </w:tc>
      </w:tr>
    </w:tbl>
    <w:p>
      <w:pPr>
        <w:pStyle w:val="90"/>
        <w:ind w:firstLine="480"/>
      </w:pPr>
      <w:r>
        <w:t>通过表3.2</w:t>
      </w:r>
      <w:r>
        <w:rPr>
          <w:rFonts w:hint="eastAsia"/>
          <w:lang w:val="en-US" w:eastAsia="zh-CN"/>
        </w:rPr>
        <w:t>.2-</w:t>
      </w:r>
      <w:r>
        <w:t>2分析，企业大气环境控制水平风险防控措施及突发大气环境事件突发情况发生情况评估分值为</w:t>
      </w:r>
      <w:r>
        <w:rPr>
          <w:rFonts w:hint="eastAsia"/>
        </w:rPr>
        <w:t>0</w:t>
      </w:r>
      <w:r>
        <w:t>分。</w:t>
      </w:r>
    </w:p>
    <w:p>
      <w:pPr>
        <w:pStyle w:val="82"/>
        <w:spacing w:before="163"/>
      </w:pPr>
      <w:bookmarkStart w:id="228" w:name="_Toc9231_WPSOffice_Level2"/>
      <w:r>
        <w:t>表3.2</w:t>
      </w:r>
      <w:r>
        <w:rPr>
          <w:rFonts w:hint="eastAsia"/>
          <w:lang w:val="en-US" w:eastAsia="zh-CN"/>
        </w:rPr>
        <w:t>.2</w:t>
      </w:r>
      <w:r>
        <w:t>-3 企业生产工艺与环境风险控制水平</w:t>
      </w:r>
      <w:bookmarkEnd w:id="228"/>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303"/>
        <w:gridCol w:w="441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68" w:type="pct"/>
            <w:tcBorders>
              <w:bottom w:val="single" w:color="auto" w:sz="12" w:space="0"/>
            </w:tcBorders>
            <w:vAlign w:val="center"/>
          </w:tcPr>
          <w:p>
            <w:pPr>
              <w:pStyle w:val="83"/>
            </w:pPr>
            <w:r>
              <w:t>工艺与环境风险控制水平值</w:t>
            </w:r>
          </w:p>
        </w:tc>
        <w:tc>
          <w:tcPr>
            <w:tcW w:w="2531" w:type="pct"/>
            <w:tcBorders>
              <w:bottom w:val="single" w:color="auto" w:sz="12" w:space="0"/>
            </w:tcBorders>
            <w:vAlign w:val="center"/>
          </w:tcPr>
          <w:p>
            <w:pPr>
              <w:pStyle w:val="83"/>
            </w:pPr>
            <w:r>
              <w:t>工艺过程与环境风险控制水平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68" w:type="pct"/>
            <w:tcBorders>
              <w:top w:val="single" w:color="auto" w:sz="12" w:space="0"/>
              <w:tl2br w:val="nil"/>
              <w:tr2bl w:val="nil"/>
            </w:tcBorders>
            <w:vAlign w:val="center"/>
          </w:tcPr>
          <w:p>
            <w:pPr>
              <w:pStyle w:val="83"/>
            </w:pPr>
            <w:r>
              <w:t>M﹤25</w:t>
            </w:r>
          </w:p>
        </w:tc>
        <w:tc>
          <w:tcPr>
            <w:tcW w:w="2531" w:type="pct"/>
            <w:tcBorders>
              <w:top w:val="single" w:color="auto" w:sz="12" w:space="0"/>
              <w:tl2br w:val="nil"/>
              <w:tr2bl w:val="nil"/>
            </w:tcBorders>
            <w:vAlign w:val="center"/>
          </w:tcPr>
          <w:p>
            <w:pPr>
              <w:pStyle w:val="83"/>
            </w:pPr>
            <w:r>
              <w:t>M1类水平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68" w:type="pct"/>
            <w:tcBorders>
              <w:tl2br w:val="nil"/>
              <w:tr2bl w:val="nil"/>
            </w:tcBorders>
            <w:vAlign w:val="center"/>
          </w:tcPr>
          <w:p>
            <w:pPr>
              <w:pStyle w:val="83"/>
            </w:pPr>
            <w:r>
              <w:t>25</w:t>
            </w:r>
            <w:r>
              <w:rPr>
                <w:rFonts w:hint="eastAsia" w:ascii="宋体" w:hAnsi="宋体" w:cs="宋体"/>
              </w:rPr>
              <w:t>≦</w:t>
            </w:r>
            <w:r>
              <w:t>M﹤45</w:t>
            </w:r>
          </w:p>
        </w:tc>
        <w:tc>
          <w:tcPr>
            <w:tcW w:w="2531" w:type="pct"/>
            <w:tcBorders>
              <w:tl2br w:val="nil"/>
              <w:tr2bl w:val="nil"/>
            </w:tcBorders>
            <w:vAlign w:val="center"/>
          </w:tcPr>
          <w:p>
            <w:pPr>
              <w:pStyle w:val="83"/>
            </w:pPr>
            <w:r>
              <w:t>M2类水平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68" w:type="pct"/>
            <w:tcBorders>
              <w:tl2br w:val="nil"/>
              <w:tr2bl w:val="nil"/>
            </w:tcBorders>
            <w:vAlign w:val="center"/>
          </w:tcPr>
          <w:p>
            <w:pPr>
              <w:pStyle w:val="83"/>
            </w:pPr>
            <w:r>
              <w:t>45</w:t>
            </w:r>
            <w:r>
              <w:rPr>
                <w:rFonts w:hint="eastAsia" w:ascii="宋体" w:hAnsi="宋体" w:cs="宋体"/>
              </w:rPr>
              <w:t>≦</w:t>
            </w:r>
            <w:r>
              <w:t>M﹤60</w:t>
            </w:r>
          </w:p>
        </w:tc>
        <w:tc>
          <w:tcPr>
            <w:tcW w:w="2531" w:type="pct"/>
            <w:tcBorders>
              <w:tl2br w:val="nil"/>
              <w:tr2bl w:val="nil"/>
            </w:tcBorders>
            <w:vAlign w:val="center"/>
          </w:tcPr>
          <w:p>
            <w:pPr>
              <w:pStyle w:val="83"/>
            </w:pPr>
            <w:r>
              <w:t>M3类水平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468" w:type="pct"/>
            <w:tcBorders>
              <w:tl2br w:val="nil"/>
              <w:tr2bl w:val="nil"/>
            </w:tcBorders>
            <w:vAlign w:val="center"/>
          </w:tcPr>
          <w:p>
            <w:pPr>
              <w:pStyle w:val="83"/>
            </w:pPr>
            <w:r>
              <w:t>M</w:t>
            </w:r>
            <w:r>
              <w:rPr>
                <w:rFonts w:hint="eastAsia" w:ascii="宋体" w:hAnsi="宋体" w:cs="宋体"/>
              </w:rPr>
              <w:t>≧</w:t>
            </w:r>
            <w:r>
              <w:t>60</w:t>
            </w:r>
          </w:p>
        </w:tc>
        <w:tc>
          <w:tcPr>
            <w:tcW w:w="2531" w:type="pct"/>
            <w:tcBorders>
              <w:tl2br w:val="nil"/>
              <w:tr2bl w:val="nil"/>
            </w:tcBorders>
            <w:vAlign w:val="center"/>
          </w:tcPr>
          <w:p>
            <w:pPr>
              <w:pStyle w:val="83"/>
            </w:pPr>
            <w:r>
              <w:t>M4类水平</w:t>
            </w:r>
          </w:p>
        </w:tc>
      </w:tr>
    </w:tbl>
    <w:p>
      <w:pPr>
        <w:pStyle w:val="90"/>
        <w:ind w:firstLine="480"/>
      </w:pPr>
      <w:r>
        <w:t>本公司生产工艺与环境风险控制水平评估指标总分值为</w:t>
      </w:r>
      <w:r>
        <w:rPr>
          <w:rFonts w:hint="eastAsia"/>
        </w:rPr>
        <w:t>0</w:t>
      </w:r>
      <w:r>
        <w:t>分，属于M</w:t>
      </w:r>
      <w:r>
        <w:rPr>
          <w:rFonts w:hint="eastAsia"/>
        </w:rPr>
        <w:t>1</w:t>
      </w:r>
      <w:r>
        <w:t>类水平。</w:t>
      </w:r>
    </w:p>
    <w:p>
      <w:pPr>
        <w:pStyle w:val="6"/>
        <w:bidi w:val="0"/>
      </w:pPr>
      <w:bookmarkStart w:id="229" w:name="_Toc27450"/>
      <w:bookmarkStart w:id="230" w:name="_Toc15581"/>
      <w:bookmarkStart w:id="231" w:name="_Toc37600044"/>
      <w:bookmarkStart w:id="232" w:name="_Toc26457"/>
      <w:bookmarkStart w:id="233" w:name="_Toc30878"/>
      <w:r>
        <w:rPr>
          <w:rFonts w:hint="eastAsia"/>
        </w:rPr>
        <w:t>3.2.3</w:t>
      </w:r>
      <w:r>
        <w:t xml:space="preserve"> </w:t>
      </w:r>
      <w:r>
        <w:rPr>
          <w:rFonts w:hint="eastAsia"/>
        </w:rPr>
        <w:t>确定大气环境风险受体类型（E）</w:t>
      </w:r>
      <w:bookmarkEnd w:id="229"/>
      <w:bookmarkEnd w:id="230"/>
      <w:bookmarkEnd w:id="231"/>
      <w:bookmarkEnd w:id="232"/>
      <w:bookmarkEnd w:id="233"/>
    </w:p>
    <w:p>
      <w:pPr>
        <w:pStyle w:val="90"/>
        <w:ind w:firstLine="480"/>
      </w:pPr>
      <w:bookmarkStart w:id="234" w:name="_Toc26801"/>
      <w:r>
        <w:t>参照《企业突发环境事件风险分级方法》（HJ941-2018）中的划分依据，环境风险受体的重要性和敏感程度，由高到低将企业周边的环境风险受体分为类型1、类型2和类型3，分别以E1、E2和E3表示。</w:t>
      </w:r>
    </w:p>
    <w:p>
      <w:pPr>
        <w:pStyle w:val="82"/>
        <w:spacing w:before="163"/>
        <w:rPr>
          <w:lang w:val="zh-CN"/>
        </w:rPr>
      </w:pPr>
      <w:r>
        <w:rPr>
          <w:lang w:val="zh-CN"/>
        </w:rPr>
        <w:t>表</w:t>
      </w:r>
      <w:r>
        <w:rPr>
          <w:rFonts w:hint="eastAsia"/>
        </w:rPr>
        <w:t>3.2</w:t>
      </w:r>
      <w:r>
        <w:rPr>
          <w:rFonts w:hint="eastAsia"/>
          <w:lang w:val="en-US" w:eastAsia="zh-CN"/>
        </w:rPr>
        <w:t>.3</w:t>
      </w:r>
      <w:r>
        <w:rPr>
          <w:rFonts w:hint="eastAsia"/>
        </w:rPr>
        <w:t>-</w:t>
      </w:r>
      <w:r>
        <w:rPr>
          <w:rFonts w:hint="eastAsia"/>
          <w:lang w:val="en-US" w:eastAsia="zh-CN"/>
        </w:rPr>
        <w:t>1</w:t>
      </w:r>
      <w:r>
        <w:rPr>
          <w:lang w:val="zh-CN"/>
        </w:rPr>
        <w:t xml:space="preserve"> 企业周边大气环境风险受体情况划分</w:t>
      </w:r>
    </w:p>
    <w:tbl>
      <w:tblPr>
        <w:tblStyle w:val="22"/>
        <w:tblW w:w="4942"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332"/>
        <w:gridCol w:w="728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90" w:hRule="atLeast"/>
          <w:jc w:val="center"/>
        </w:trPr>
        <w:tc>
          <w:tcPr>
            <w:tcW w:w="773" w:type="pct"/>
            <w:tcBorders>
              <w:tl2br w:val="nil"/>
              <w:tr2bl w:val="nil"/>
            </w:tcBorders>
            <w:vAlign w:val="center"/>
          </w:tcPr>
          <w:p>
            <w:pPr>
              <w:pStyle w:val="83"/>
              <w:rPr>
                <w:b/>
                <w:lang w:val="zh-CN" w:eastAsia="en-US"/>
              </w:rPr>
            </w:pPr>
            <w:r>
              <w:rPr>
                <w:b/>
                <w:lang w:val="zh-CN" w:eastAsia="en-US"/>
              </w:rPr>
              <w:t>类别</w:t>
            </w:r>
          </w:p>
        </w:tc>
        <w:tc>
          <w:tcPr>
            <w:tcW w:w="4226" w:type="pct"/>
            <w:tcBorders>
              <w:tl2br w:val="nil"/>
              <w:tr2bl w:val="nil"/>
            </w:tcBorders>
            <w:vAlign w:val="center"/>
          </w:tcPr>
          <w:p>
            <w:pPr>
              <w:pStyle w:val="83"/>
              <w:rPr>
                <w:b/>
                <w:lang w:val="zh-CN" w:eastAsia="en-US"/>
              </w:rPr>
            </w:pPr>
            <w:r>
              <w:rPr>
                <w:b/>
                <w:lang w:val="zh-CN" w:eastAsia="en-US"/>
              </w:rPr>
              <w:t>环境风险受体情况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060" w:hRule="atLeast"/>
          <w:jc w:val="center"/>
        </w:trPr>
        <w:tc>
          <w:tcPr>
            <w:tcW w:w="773" w:type="pct"/>
            <w:tcBorders>
              <w:tl2br w:val="nil"/>
              <w:tr2bl w:val="nil"/>
            </w:tcBorders>
            <w:vAlign w:val="center"/>
          </w:tcPr>
          <w:p>
            <w:pPr>
              <w:pStyle w:val="83"/>
              <w:rPr>
                <w:lang w:val="zh-CN" w:eastAsia="en-US"/>
              </w:rPr>
            </w:pPr>
            <w:r>
              <w:rPr>
                <w:lang w:val="zh-CN" w:eastAsia="en-US"/>
              </w:rPr>
              <w:t>类型1</w:t>
            </w:r>
          </w:p>
          <w:p>
            <w:pPr>
              <w:pStyle w:val="83"/>
              <w:rPr>
                <w:lang w:val="zh-CN" w:eastAsia="en-US"/>
              </w:rPr>
            </w:pPr>
            <w:r>
              <w:rPr>
                <w:lang w:val="zh-CN" w:eastAsia="en-US"/>
              </w:rPr>
              <w:t>（E1）</w:t>
            </w:r>
          </w:p>
        </w:tc>
        <w:tc>
          <w:tcPr>
            <w:tcW w:w="4226" w:type="pct"/>
            <w:tcBorders>
              <w:tl2br w:val="nil"/>
              <w:tr2bl w:val="nil"/>
            </w:tcBorders>
            <w:vAlign w:val="center"/>
          </w:tcPr>
          <w:p>
            <w:pPr>
              <w:pStyle w:val="83"/>
              <w:rPr>
                <w:lang w:val="zh-CN"/>
              </w:rPr>
            </w:pPr>
            <w:r>
              <w:rPr>
                <w:lang w:val="zh-CN"/>
              </w:rPr>
              <w:t>企业周边半径</w:t>
            </w:r>
            <w:r>
              <w:rPr>
                <w:highlight w:val="none"/>
                <w:lang w:val="zh-CN"/>
              </w:rPr>
              <w:t>5km</w:t>
            </w:r>
            <w:r>
              <w:rPr>
                <w:lang w:val="zh-CN"/>
              </w:rPr>
              <w:t>范围内居住区、医疗卫生</w:t>
            </w:r>
            <w:r>
              <w:rPr>
                <w:rFonts w:hint="eastAsia"/>
              </w:rPr>
              <w:t>机构</w:t>
            </w:r>
            <w:r>
              <w:rPr>
                <w:lang w:val="zh-CN"/>
              </w:rPr>
              <w:t>、文化教育</w:t>
            </w:r>
            <w:r>
              <w:rPr>
                <w:rFonts w:hint="eastAsia"/>
              </w:rPr>
              <w:t>机构</w:t>
            </w:r>
            <w:r>
              <w:rPr>
                <w:lang w:val="zh-CN"/>
              </w:rPr>
              <w:t>、科研</w:t>
            </w:r>
            <w:r>
              <w:rPr>
                <w:rFonts w:hint="eastAsia"/>
              </w:rPr>
              <w:t>单位</w:t>
            </w:r>
            <w:r>
              <w:rPr>
                <w:lang w:val="zh-CN"/>
              </w:rPr>
              <w:t>、行政</w:t>
            </w:r>
            <w:r>
              <w:rPr>
                <w:rFonts w:hint="eastAsia"/>
              </w:rPr>
              <w:t>机关、企业事业单位、商场、公园等人口总数5万人以上，或企业周边500米范围内人口总数1000人以上，或企业周边5公里涉及军事禁区、军事管理区、国家相关保密区域</w:t>
            </w:r>
            <w:r>
              <w:rPr>
                <w:lang w:val="zh-CN"/>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053" w:hRule="atLeast"/>
          <w:jc w:val="center"/>
        </w:trPr>
        <w:tc>
          <w:tcPr>
            <w:tcW w:w="773" w:type="pct"/>
            <w:tcBorders>
              <w:tl2br w:val="nil"/>
              <w:tr2bl w:val="nil"/>
            </w:tcBorders>
            <w:vAlign w:val="center"/>
          </w:tcPr>
          <w:p>
            <w:pPr>
              <w:pStyle w:val="83"/>
              <w:rPr>
                <w:lang w:val="zh-CN" w:eastAsia="en-US"/>
              </w:rPr>
            </w:pPr>
            <w:r>
              <w:rPr>
                <w:lang w:val="zh-CN" w:eastAsia="en-US"/>
              </w:rPr>
              <w:t>类型2</w:t>
            </w:r>
          </w:p>
          <w:p>
            <w:pPr>
              <w:pStyle w:val="83"/>
              <w:rPr>
                <w:lang w:val="zh-CN" w:eastAsia="en-US"/>
              </w:rPr>
            </w:pPr>
            <w:r>
              <w:rPr>
                <w:lang w:val="zh-CN" w:eastAsia="en-US"/>
              </w:rPr>
              <w:t>（E2）</w:t>
            </w:r>
          </w:p>
        </w:tc>
        <w:tc>
          <w:tcPr>
            <w:tcW w:w="4226" w:type="pct"/>
            <w:tcBorders>
              <w:tl2br w:val="nil"/>
              <w:tr2bl w:val="nil"/>
            </w:tcBorders>
            <w:vAlign w:val="center"/>
          </w:tcPr>
          <w:p>
            <w:pPr>
              <w:pStyle w:val="83"/>
              <w:rPr>
                <w:lang w:val="zh-CN"/>
              </w:rPr>
            </w:pPr>
            <w:r>
              <w:rPr>
                <w:lang w:val="zh-CN"/>
              </w:rPr>
              <w:t>企业周边半径</w:t>
            </w:r>
            <w:r>
              <w:rPr>
                <w:highlight w:val="none"/>
                <w:lang w:val="zh-CN"/>
              </w:rPr>
              <w:t>5km</w:t>
            </w:r>
            <w:r>
              <w:rPr>
                <w:lang w:val="zh-CN"/>
              </w:rPr>
              <w:t>范围内居住区、医疗卫生</w:t>
            </w:r>
            <w:r>
              <w:rPr>
                <w:rFonts w:hint="eastAsia"/>
              </w:rPr>
              <w:t>机构</w:t>
            </w:r>
            <w:r>
              <w:rPr>
                <w:lang w:val="zh-CN"/>
              </w:rPr>
              <w:t>、文化教育</w:t>
            </w:r>
            <w:r>
              <w:rPr>
                <w:rFonts w:hint="eastAsia"/>
              </w:rPr>
              <w:t>机构</w:t>
            </w:r>
            <w:r>
              <w:rPr>
                <w:lang w:val="zh-CN"/>
              </w:rPr>
              <w:t>、科研</w:t>
            </w:r>
            <w:r>
              <w:rPr>
                <w:rFonts w:hint="eastAsia"/>
              </w:rPr>
              <w:t>单位</w:t>
            </w:r>
            <w:r>
              <w:rPr>
                <w:lang w:val="zh-CN"/>
              </w:rPr>
              <w:t>、行政</w:t>
            </w:r>
            <w:r>
              <w:rPr>
                <w:rFonts w:hint="eastAsia"/>
              </w:rPr>
              <w:t>机关、企业事业单位、商场、公园等人口总数1万人以上、5万人以下</w:t>
            </w:r>
            <w:r>
              <w:rPr>
                <w:rFonts w:hint="eastAsia"/>
                <w:lang w:val="en-US" w:eastAsia="zh-CN"/>
              </w:rPr>
              <w:t>.</w:t>
            </w:r>
            <w:r>
              <w:rPr>
                <w:rFonts w:hint="eastAsia"/>
              </w:rPr>
              <w:t>企业周边500米范围内人口总数500人以上、1000人以下</w:t>
            </w:r>
            <w:r>
              <w:rPr>
                <w:lang w:val="zh-CN"/>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95" w:hRule="atLeast"/>
          <w:jc w:val="center"/>
        </w:trPr>
        <w:tc>
          <w:tcPr>
            <w:tcW w:w="773" w:type="pct"/>
            <w:tcBorders>
              <w:tl2br w:val="nil"/>
              <w:tr2bl w:val="nil"/>
            </w:tcBorders>
            <w:vAlign w:val="center"/>
          </w:tcPr>
          <w:p>
            <w:pPr>
              <w:pStyle w:val="83"/>
              <w:rPr>
                <w:lang w:val="zh-CN" w:eastAsia="en-US"/>
              </w:rPr>
            </w:pPr>
            <w:r>
              <w:rPr>
                <w:lang w:val="zh-CN" w:eastAsia="en-US"/>
              </w:rPr>
              <w:t>类型3</w:t>
            </w:r>
          </w:p>
          <w:p>
            <w:pPr>
              <w:pStyle w:val="83"/>
              <w:rPr>
                <w:lang w:val="zh-CN" w:eastAsia="en-US"/>
              </w:rPr>
            </w:pPr>
            <w:r>
              <w:rPr>
                <w:lang w:val="zh-CN" w:eastAsia="en-US"/>
              </w:rPr>
              <w:t>（E3）</w:t>
            </w:r>
          </w:p>
        </w:tc>
        <w:tc>
          <w:tcPr>
            <w:tcW w:w="4226" w:type="pct"/>
            <w:tcBorders>
              <w:tl2br w:val="nil"/>
              <w:tr2bl w:val="nil"/>
            </w:tcBorders>
            <w:vAlign w:val="center"/>
          </w:tcPr>
          <w:p>
            <w:pPr>
              <w:pStyle w:val="83"/>
              <w:rPr>
                <w:lang w:val="zh-CN"/>
              </w:rPr>
            </w:pPr>
            <w:r>
              <w:rPr>
                <w:lang w:val="zh-CN"/>
              </w:rPr>
              <w:t>企业周边半径</w:t>
            </w:r>
            <w:r>
              <w:rPr>
                <w:highlight w:val="none"/>
                <w:lang w:val="zh-CN"/>
              </w:rPr>
              <w:t>5km</w:t>
            </w:r>
            <w:r>
              <w:rPr>
                <w:lang w:val="zh-CN"/>
              </w:rPr>
              <w:t>范围内居住区、医疗卫生</w:t>
            </w:r>
            <w:r>
              <w:rPr>
                <w:rFonts w:hint="eastAsia"/>
              </w:rPr>
              <w:t>机构</w:t>
            </w:r>
            <w:r>
              <w:rPr>
                <w:lang w:val="zh-CN"/>
              </w:rPr>
              <w:t>、文化教育</w:t>
            </w:r>
            <w:r>
              <w:rPr>
                <w:rFonts w:hint="eastAsia"/>
              </w:rPr>
              <w:t>机构</w:t>
            </w:r>
            <w:r>
              <w:rPr>
                <w:lang w:val="zh-CN"/>
              </w:rPr>
              <w:t>、科研</w:t>
            </w:r>
            <w:r>
              <w:rPr>
                <w:rFonts w:hint="eastAsia"/>
              </w:rPr>
              <w:t>单位</w:t>
            </w:r>
            <w:r>
              <w:rPr>
                <w:lang w:val="zh-CN"/>
              </w:rPr>
              <w:t>、行政</w:t>
            </w:r>
            <w:r>
              <w:rPr>
                <w:rFonts w:hint="eastAsia"/>
              </w:rPr>
              <w:t>机关、企业事业单位、商场、公园等人口总数1万人以下，且企业周边500米范围内人口总数500人以下</w:t>
            </w:r>
            <w:r>
              <w:rPr>
                <w:lang w:val="zh-CN"/>
              </w:rPr>
              <w:t>；</w:t>
            </w:r>
          </w:p>
        </w:tc>
      </w:tr>
    </w:tbl>
    <w:p>
      <w:pPr>
        <w:pStyle w:val="82"/>
        <w:spacing w:before="163"/>
        <w:rPr>
          <w:lang w:val="zh-CN"/>
        </w:rPr>
      </w:pPr>
      <w:r>
        <w:rPr>
          <w:lang w:val="zh-CN"/>
        </w:rPr>
        <w:t>表</w:t>
      </w:r>
      <w:r>
        <w:rPr>
          <w:rFonts w:hint="eastAsia"/>
        </w:rPr>
        <w:t>3.2</w:t>
      </w:r>
      <w:r>
        <w:rPr>
          <w:rFonts w:hint="eastAsia"/>
          <w:lang w:val="en-US" w:eastAsia="zh-CN"/>
        </w:rPr>
        <w:t>.3</w:t>
      </w:r>
      <w:r>
        <w:rPr>
          <w:rFonts w:hint="eastAsia"/>
        </w:rPr>
        <w:t>-</w:t>
      </w:r>
      <w:r>
        <w:rPr>
          <w:rFonts w:hint="eastAsia"/>
          <w:lang w:val="en-US" w:eastAsia="zh-CN"/>
        </w:rPr>
        <w:t>2</w:t>
      </w:r>
      <w:r>
        <w:rPr>
          <w:lang w:val="zh-CN"/>
        </w:rPr>
        <w:t xml:space="preserve"> 企业周边大气环境风险受体情况</w:t>
      </w:r>
    </w:p>
    <w:tbl>
      <w:tblPr>
        <w:tblStyle w:val="22"/>
        <w:tblW w:w="4975" w:type="pct"/>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autofit"/>
        <w:tblCellMar>
          <w:top w:w="0" w:type="dxa"/>
          <w:left w:w="108" w:type="dxa"/>
          <w:bottom w:w="0" w:type="dxa"/>
          <w:right w:w="108" w:type="dxa"/>
        </w:tblCellMar>
      </w:tblPr>
      <w:tblGrid>
        <w:gridCol w:w="1191"/>
        <w:gridCol w:w="745"/>
        <w:gridCol w:w="1736"/>
        <w:gridCol w:w="925"/>
        <w:gridCol w:w="1149"/>
        <w:gridCol w:w="1149"/>
        <w:gridCol w:w="1780"/>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77" w:hRule="atLeast"/>
          <w:jc w:val="center"/>
        </w:trPr>
        <w:tc>
          <w:tcPr>
            <w:tcW w:w="686" w:type="pct"/>
            <w:tcBorders>
              <w:bottom w:val="single" w:color="auto" w:sz="12" w:space="0"/>
            </w:tcBorders>
            <w:vAlign w:val="center"/>
          </w:tcPr>
          <w:p>
            <w:pPr>
              <w:pStyle w:val="83"/>
              <w:rPr>
                <w:b/>
                <w:bCs/>
              </w:rPr>
            </w:pPr>
            <w:r>
              <w:rPr>
                <w:rFonts w:hint="eastAsia"/>
                <w:b/>
                <w:bCs/>
              </w:rPr>
              <w:t>环境要素</w:t>
            </w:r>
          </w:p>
        </w:tc>
        <w:tc>
          <w:tcPr>
            <w:tcW w:w="1429" w:type="pct"/>
            <w:gridSpan w:val="2"/>
            <w:tcBorders>
              <w:bottom w:val="single" w:color="auto" w:sz="12" w:space="0"/>
            </w:tcBorders>
            <w:vAlign w:val="center"/>
          </w:tcPr>
          <w:p>
            <w:pPr>
              <w:pStyle w:val="83"/>
              <w:rPr>
                <w:b/>
                <w:bCs/>
              </w:rPr>
            </w:pPr>
            <w:r>
              <w:rPr>
                <w:rFonts w:hint="eastAsia"/>
                <w:b/>
                <w:bCs/>
              </w:rPr>
              <w:t>环境保护对象名称</w:t>
            </w:r>
          </w:p>
        </w:tc>
        <w:tc>
          <w:tcPr>
            <w:tcW w:w="533" w:type="pct"/>
            <w:tcBorders>
              <w:bottom w:val="single" w:color="auto" w:sz="12" w:space="0"/>
            </w:tcBorders>
            <w:vAlign w:val="center"/>
          </w:tcPr>
          <w:p>
            <w:pPr>
              <w:pStyle w:val="83"/>
              <w:rPr>
                <w:b/>
                <w:bCs/>
              </w:rPr>
            </w:pPr>
            <w:r>
              <w:rPr>
                <w:rFonts w:hint="eastAsia"/>
                <w:b/>
                <w:bCs/>
              </w:rPr>
              <w:t>方位</w:t>
            </w:r>
          </w:p>
        </w:tc>
        <w:tc>
          <w:tcPr>
            <w:tcW w:w="662" w:type="pct"/>
            <w:tcBorders>
              <w:bottom w:val="single" w:color="auto" w:sz="12" w:space="0"/>
            </w:tcBorders>
            <w:vAlign w:val="center"/>
          </w:tcPr>
          <w:p>
            <w:pPr>
              <w:pStyle w:val="83"/>
              <w:rPr>
                <w:b/>
                <w:bCs/>
              </w:rPr>
            </w:pPr>
            <w:r>
              <w:rPr>
                <w:rFonts w:hint="eastAsia"/>
                <w:b/>
                <w:bCs/>
              </w:rPr>
              <w:t>距离（m）</w:t>
            </w:r>
          </w:p>
        </w:tc>
        <w:tc>
          <w:tcPr>
            <w:tcW w:w="662" w:type="pct"/>
            <w:tcBorders>
              <w:bottom w:val="single" w:color="auto" w:sz="12" w:space="0"/>
            </w:tcBorders>
            <w:vAlign w:val="center"/>
          </w:tcPr>
          <w:p>
            <w:pPr>
              <w:pStyle w:val="83"/>
              <w:rPr>
                <w:b/>
                <w:bCs/>
              </w:rPr>
            </w:pPr>
            <w:r>
              <w:rPr>
                <w:rFonts w:hint="eastAsia"/>
                <w:b/>
                <w:bCs/>
              </w:rPr>
              <w:t>规模（人）</w:t>
            </w:r>
          </w:p>
        </w:tc>
        <w:tc>
          <w:tcPr>
            <w:tcW w:w="1025" w:type="pct"/>
            <w:tcBorders>
              <w:bottom w:val="single" w:color="auto" w:sz="12" w:space="0"/>
            </w:tcBorders>
            <w:vAlign w:val="center"/>
          </w:tcPr>
          <w:p>
            <w:pPr>
              <w:pStyle w:val="83"/>
              <w:rPr>
                <w:b/>
                <w:bCs/>
              </w:rPr>
            </w:pPr>
            <w:r>
              <w:rPr>
                <w:rFonts w:hint="eastAsia"/>
                <w:b/>
                <w:bCs/>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97" w:hRule="atLeast"/>
          <w:jc w:val="center"/>
        </w:trPr>
        <w:tc>
          <w:tcPr>
            <w:tcW w:w="686" w:type="pct"/>
            <w:vMerge w:val="restart"/>
            <w:tcBorders>
              <w:top w:val="single" w:color="auto" w:sz="12" w:space="0"/>
              <w:tl2br w:val="nil"/>
              <w:tr2bl w:val="nil"/>
            </w:tcBorders>
            <w:vAlign w:val="center"/>
          </w:tcPr>
          <w:p>
            <w:pPr>
              <w:pStyle w:val="83"/>
            </w:pPr>
            <w:r>
              <w:rPr>
                <w:rFonts w:hint="eastAsia"/>
              </w:rPr>
              <w:t>大气</w:t>
            </w:r>
          </w:p>
          <w:p>
            <w:pPr>
              <w:pStyle w:val="83"/>
            </w:pPr>
            <w:r>
              <w:rPr>
                <w:rFonts w:hint="eastAsia"/>
              </w:rPr>
              <w:t>环境</w:t>
            </w:r>
          </w:p>
        </w:tc>
        <w:tc>
          <w:tcPr>
            <w:tcW w:w="429" w:type="pct"/>
            <w:tcBorders>
              <w:top w:val="single" w:color="auto" w:sz="12" w:space="0"/>
              <w:tl2br w:val="nil"/>
              <w:tr2bl w:val="nil"/>
            </w:tcBorders>
            <w:vAlign w:val="center"/>
          </w:tcPr>
          <w:p>
            <w:pPr>
              <w:pStyle w:val="83"/>
            </w:pPr>
            <w:r>
              <w:rPr>
                <w:rFonts w:hint="eastAsia"/>
              </w:rPr>
              <w:t>1</w:t>
            </w:r>
          </w:p>
        </w:tc>
        <w:tc>
          <w:tcPr>
            <w:tcW w:w="999" w:type="pct"/>
            <w:tcBorders>
              <w:top w:val="single" w:color="auto" w:sz="12" w:space="0"/>
              <w:tl2br w:val="nil"/>
              <w:tr2bl w:val="nil"/>
            </w:tcBorders>
            <w:vAlign w:val="center"/>
          </w:tcPr>
          <w:p>
            <w:pPr>
              <w:pStyle w:val="83"/>
            </w:pPr>
            <w:r>
              <w:rPr>
                <w:rFonts w:ascii="宋体" w:hAnsi="宋体" w:cs="宋体"/>
              </w:rPr>
              <w:t>洪城</w:t>
            </w:r>
            <w:r>
              <w:rPr>
                <w:rFonts w:ascii="宋体" w:hAnsi="宋体" w:cs="宋体"/>
                <w:spacing w:val="-3"/>
              </w:rPr>
              <w:t>警</w:t>
            </w:r>
            <w:r>
              <w:rPr>
                <w:rFonts w:ascii="宋体" w:hAnsi="宋体" w:cs="宋体"/>
              </w:rPr>
              <w:t>苑</w:t>
            </w:r>
            <w:r>
              <w:rPr>
                <w:rFonts w:ascii="宋体" w:hAnsi="宋体" w:cs="宋体"/>
                <w:spacing w:val="-3"/>
              </w:rPr>
              <w:t>小</w:t>
            </w:r>
            <w:r>
              <w:rPr>
                <w:rFonts w:ascii="宋体" w:hAnsi="宋体" w:cs="宋体"/>
              </w:rPr>
              <w:t>区</w:t>
            </w:r>
          </w:p>
        </w:tc>
        <w:tc>
          <w:tcPr>
            <w:tcW w:w="533" w:type="pct"/>
            <w:tcBorders>
              <w:top w:val="single" w:color="auto" w:sz="12" w:space="0"/>
              <w:tl2br w:val="nil"/>
              <w:tr2bl w:val="nil"/>
            </w:tcBorders>
            <w:vAlign w:val="center"/>
          </w:tcPr>
          <w:p>
            <w:pPr>
              <w:pStyle w:val="83"/>
            </w:pPr>
            <w:r>
              <w:rPr>
                <w:rFonts w:ascii="宋体" w:hAnsi="宋体" w:cs="宋体"/>
              </w:rPr>
              <w:t>东南</w:t>
            </w:r>
          </w:p>
        </w:tc>
        <w:tc>
          <w:tcPr>
            <w:tcW w:w="662" w:type="pct"/>
            <w:tcBorders>
              <w:top w:val="single" w:color="auto" w:sz="12" w:space="0"/>
              <w:tl2br w:val="nil"/>
              <w:tr2bl w:val="nil"/>
            </w:tcBorders>
            <w:vAlign w:val="center"/>
          </w:tcPr>
          <w:p>
            <w:pPr>
              <w:pStyle w:val="83"/>
            </w:pPr>
            <w:r>
              <w:t>1700</w:t>
            </w:r>
          </w:p>
        </w:tc>
        <w:tc>
          <w:tcPr>
            <w:tcW w:w="662" w:type="pct"/>
            <w:tcBorders>
              <w:top w:val="single" w:color="auto" w:sz="12" w:space="0"/>
              <w:tl2br w:val="nil"/>
              <w:tr2bl w:val="nil"/>
            </w:tcBorders>
            <w:vAlign w:val="center"/>
          </w:tcPr>
          <w:p>
            <w:pPr>
              <w:pStyle w:val="83"/>
            </w:pPr>
            <w:r>
              <w:rPr>
                <w:rFonts w:ascii="宋体" w:hAnsi="宋体" w:cs="宋体"/>
              </w:rPr>
              <w:t>约</w:t>
            </w:r>
            <w:r>
              <w:rPr>
                <w:rFonts w:eastAsia="Times New Roman"/>
              </w:rPr>
              <w:t>300</w:t>
            </w:r>
            <w:r>
              <w:rPr>
                <w:rFonts w:ascii="宋体" w:hAnsi="宋体" w:cs="宋体"/>
              </w:rPr>
              <w:t>户</w:t>
            </w:r>
          </w:p>
        </w:tc>
        <w:tc>
          <w:tcPr>
            <w:tcW w:w="1025" w:type="pct"/>
            <w:vMerge w:val="restart"/>
            <w:tcBorders>
              <w:top w:val="single" w:color="auto" w:sz="12" w:space="0"/>
              <w:tl2br w:val="nil"/>
              <w:tr2bl w:val="nil"/>
            </w:tcBorders>
            <w:vAlign w:val="center"/>
          </w:tcPr>
          <w:p>
            <w:pPr>
              <w:pStyle w:val="83"/>
            </w:pPr>
            <w:r>
              <w:t>GB3095-2012中二级标准、GB3096-2008中 3类标准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2</w:t>
            </w:r>
          </w:p>
        </w:tc>
        <w:tc>
          <w:tcPr>
            <w:tcW w:w="999" w:type="pct"/>
            <w:tcBorders>
              <w:tl2br w:val="nil"/>
              <w:tr2bl w:val="nil"/>
            </w:tcBorders>
            <w:vAlign w:val="center"/>
          </w:tcPr>
          <w:p>
            <w:pPr>
              <w:pStyle w:val="83"/>
            </w:pPr>
            <w:r>
              <w:rPr>
                <w:rFonts w:ascii="宋体" w:hAnsi="宋体" w:cs="宋体"/>
              </w:rPr>
              <w:t>下房庄</w:t>
            </w:r>
          </w:p>
        </w:tc>
        <w:tc>
          <w:tcPr>
            <w:tcW w:w="533" w:type="pct"/>
            <w:tcBorders>
              <w:tl2br w:val="nil"/>
              <w:tr2bl w:val="nil"/>
            </w:tcBorders>
            <w:vAlign w:val="center"/>
          </w:tcPr>
          <w:p>
            <w:pPr>
              <w:pStyle w:val="83"/>
            </w:pPr>
            <w:r>
              <w:rPr>
                <w:rFonts w:ascii="宋体" w:hAnsi="宋体" w:cs="宋体"/>
              </w:rPr>
              <w:t>东</w:t>
            </w:r>
          </w:p>
        </w:tc>
        <w:tc>
          <w:tcPr>
            <w:tcW w:w="662" w:type="pct"/>
            <w:tcBorders>
              <w:tl2br w:val="nil"/>
              <w:tr2bl w:val="nil"/>
            </w:tcBorders>
            <w:vAlign w:val="center"/>
          </w:tcPr>
          <w:p>
            <w:pPr>
              <w:pStyle w:val="83"/>
            </w:pPr>
            <w:r>
              <w:t>1800</w:t>
            </w:r>
          </w:p>
        </w:tc>
        <w:tc>
          <w:tcPr>
            <w:tcW w:w="662" w:type="pct"/>
            <w:tcBorders>
              <w:tl2br w:val="nil"/>
              <w:tr2bl w:val="nil"/>
            </w:tcBorders>
            <w:vAlign w:val="center"/>
          </w:tcPr>
          <w:p>
            <w:pPr>
              <w:pStyle w:val="83"/>
            </w:pPr>
            <w:r>
              <w:rPr>
                <w:rFonts w:ascii="宋体" w:hAnsi="宋体" w:cs="宋体"/>
              </w:rPr>
              <w:t>约</w:t>
            </w:r>
            <w:r>
              <w:rPr>
                <w:rFonts w:eastAsia="Times New Roman"/>
              </w:rPr>
              <w:t>100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3</w:t>
            </w:r>
          </w:p>
        </w:tc>
        <w:tc>
          <w:tcPr>
            <w:tcW w:w="999" w:type="pct"/>
            <w:tcBorders>
              <w:tl2br w:val="nil"/>
              <w:tr2bl w:val="nil"/>
            </w:tcBorders>
            <w:vAlign w:val="center"/>
          </w:tcPr>
          <w:p>
            <w:pPr>
              <w:pStyle w:val="83"/>
            </w:pPr>
            <w:r>
              <w:rPr>
                <w:rFonts w:ascii="宋体" w:hAnsi="宋体" w:cs="宋体"/>
              </w:rPr>
              <w:t>空港</w:t>
            </w:r>
            <w:r>
              <w:rPr>
                <w:rFonts w:ascii="宋体" w:hAnsi="宋体" w:cs="宋体"/>
                <w:spacing w:val="-3"/>
              </w:rPr>
              <w:t>花</w:t>
            </w:r>
            <w:r>
              <w:rPr>
                <w:rFonts w:ascii="宋体" w:hAnsi="宋体" w:cs="宋体"/>
              </w:rPr>
              <w:t>园</w:t>
            </w:r>
          </w:p>
        </w:tc>
        <w:tc>
          <w:tcPr>
            <w:tcW w:w="533" w:type="pct"/>
            <w:tcBorders>
              <w:tl2br w:val="nil"/>
              <w:tr2bl w:val="nil"/>
            </w:tcBorders>
            <w:vAlign w:val="center"/>
          </w:tcPr>
          <w:p>
            <w:pPr>
              <w:pStyle w:val="83"/>
            </w:pPr>
            <w:r>
              <w:rPr>
                <w:rFonts w:ascii="宋体" w:hAnsi="宋体" w:cs="宋体"/>
              </w:rPr>
              <w:t>东北</w:t>
            </w:r>
          </w:p>
        </w:tc>
        <w:tc>
          <w:tcPr>
            <w:tcW w:w="662" w:type="pct"/>
            <w:tcBorders>
              <w:tl2br w:val="nil"/>
              <w:tr2bl w:val="nil"/>
            </w:tcBorders>
            <w:vAlign w:val="center"/>
          </w:tcPr>
          <w:p>
            <w:pPr>
              <w:pStyle w:val="83"/>
            </w:pPr>
            <w:r>
              <w:t>2250</w:t>
            </w:r>
          </w:p>
        </w:tc>
        <w:tc>
          <w:tcPr>
            <w:tcW w:w="662" w:type="pct"/>
            <w:tcBorders>
              <w:tl2br w:val="nil"/>
              <w:tr2bl w:val="nil"/>
            </w:tcBorders>
            <w:vAlign w:val="center"/>
          </w:tcPr>
          <w:p>
            <w:pPr>
              <w:pStyle w:val="83"/>
            </w:pPr>
            <w:r>
              <w:rPr>
                <w:rFonts w:ascii="宋体" w:hAnsi="宋体" w:cs="宋体"/>
              </w:rPr>
              <w:t>约</w:t>
            </w:r>
            <w:r>
              <w:rPr>
                <w:rFonts w:eastAsia="Times New Roman"/>
              </w:rPr>
              <w:t>300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4</w:t>
            </w:r>
          </w:p>
        </w:tc>
        <w:tc>
          <w:tcPr>
            <w:tcW w:w="999" w:type="pct"/>
            <w:tcBorders>
              <w:tl2br w:val="nil"/>
              <w:tr2bl w:val="nil"/>
            </w:tcBorders>
            <w:vAlign w:val="center"/>
          </w:tcPr>
          <w:p>
            <w:pPr>
              <w:pStyle w:val="83"/>
            </w:pPr>
            <w:r>
              <w:rPr>
                <w:rFonts w:ascii="宋体" w:hAnsi="宋体" w:cs="宋体"/>
              </w:rPr>
              <w:t>空港</w:t>
            </w:r>
            <w:r>
              <w:rPr>
                <w:rFonts w:ascii="宋体" w:hAnsi="宋体" w:cs="宋体"/>
                <w:spacing w:val="-3"/>
              </w:rPr>
              <w:t>花</w:t>
            </w:r>
            <w:r>
              <w:rPr>
                <w:rFonts w:ascii="宋体" w:hAnsi="宋体" w:cs="宋体"/>
              </w:rPr>
              <w:t>园</w:t>
            </w:r>
            <w:r>
              <w:rPr>
                <w:rFonts w:ascii="宋体" w:hAnsi="宋体" w:cs="宋体"/>
                <w:spacing w:val="-3"/>
              </w:rPr>
              <w:t>学校</w:t>
            </w:r>
          </w:p>
        </w:tc>
        <w:tc>
          <w:tcPr>
            <w:tcW w:w="533" w:type="pct"/>
            <w:tcBorders>
              <w:tl2br w:val="nil"/>
              <w:tr2bl w:val="nil"/>
            </w:tcBorders>
            <w:vAlign w:val="center"/>
          </w:tcPr>
          <w:p>
            <w:pPr>
              <w:pStyle w:val="83"/>
            </w:pPr>
            <w:r>
              <w:rPr>
                <w:rFonts w:ascii="宋体" w:hAnsi="宋体" w:cs="宋体"/>
              </w:rPr>
              <w:t>东北</w:t>
            </w:r>
          </w:p>
        </w:tc>
        <w:tc>
          <w:tcPr>
            <w:tcW w:w="662" w:type="pct"/>
            <w:tcBorders>
              <w:tl2br w:val="nil"/>
              <w:tr2bl w:val="nil"/>
            </w:tcBorders>
            <w:vAlign w:val="center"/>
          </w:tcPr>
          <w:p>
            <w:pPr>
              <w:pStyle w:val="83"/>
            </w:pPr>
            <w:r>
              <w:t>2200</w:t>
            </w:r>
          </w:p>
        </w:tc>
        <w:tc>
          <w:tcPr>
            <w:tcW w:w="662" w:type="pct"/>
            <w:tcBorders>
              <w:tl2br w:val="nil"/>
              <w:tr2bl w:val="nil"/>
            </w:tcBorders>
            <w:vAlign w:val="center"/>
          </w:tcPr>
          <w:p>
            <w:pPr>
              <w:pStyle w:val="83"/>
            </w:pPr>
            <w:r>
              <w:rPr>
                <w:rFonts w:ascii="宋体" w:hAnsi="宋体" w:cs="宋体"/>
              </w:rPr>
              <w:t>约</w:t>
            </w:r>
            <w:r>
              <w:rPr>
                <w:rFonts w:eastAsia="Times New Roman"/>
              </w:rPr>
              <w:t>200</w:t>
            </w:r>
            <w:r>
              <w:rPr>
                <w:rFonts w:ascii="宋体" w:hAnsi="宋体" w:cs="宋体"/>
              </w:rPr>
              <w:t>人</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5</w:t>
            </w:r>
          </w:p>
        </w:tc>
        <w:tc>
          <w:tcPr>
            <w:tcW w:w="999" w:type="pct"/>
            <w:tcBorders>
              <w:tl2br w:val="nil"/>
              <w:tr2bl w:val="nil"/>
            </w:tcBorders>
            <w:vAlign w:val="center"/>
          </w:tcPr>
          <w:p>
            <w:pPr>
              <w:pStyle w:val="83"/>
            </w:pPr>
            <w:r>
              <w:rPr>
                <w:rFonts w:ascii="宋体" w:hAnsi="宋体" w:cs="宋体"/>
              </w:rPr>
              <w:t>中联村</w:t>
            </w:r>
          </w:p>
        </w:tc>
        <w:tc>
          <w:tcPr>
            <w:tcW w:w="533" w:type="pct"/>
            <w:tcBorders>
              <w:tl2br w:val="nil"/>
              <w:tr2bl w:val="nil"/>
            </w:tcBorders>
            <w:vAlign w:val="center"/>
          </w:tcPr>
          <w:p>
            <w:pPr>
              <w:pStyle w:val="83"/>
            </w:pPr>
            <w:r>
              <w:rPr>
                <w:rFonts w:ascii="宋体" w:hAnsi="宋体" w:cs="宋体"/>
              </w:rPr>
              <w:t>东北</w:t>
            </w:r>
          </w:p>
        </w:tc>
        <w:tc>
          <w:tcPr>
            <w:tcW w:w="662" w:type="pct"/>
            <w:tcBorders>
              <w:tl2br w:val="nil"/>
              <w:tr2bl w:val="nil"/>
            </w:tcBorders>
            <w:vAlign w:val="center"/>
          </w:tcPr>
          <w:p>
            <w:pPr>
              <w:pStyle w:val="83"/>
            </w:pPr>
            <w:r>
              <w:t>2350</w:t>
            </w:r>
          </w:p>
        </w:tc>
        <w:tc>
          <w:tcPr>
            <w:tcW w:w="662" w:type="pct"/>
            <w:tcBorders>
              <w:tl2br w:val="nil"/>
              <w:tr2bl w:val="nil"/>
            </w:tcBorders>
            <w:vAlign w:val="center"/>
          </w:tcPr>
          <w:p>
            <w:pPr>
              <w:pStyle w:val="83"/>
            </w:pPr>
            <w:r>
              <w:rPr>
                <w:rFonts w:ascii="宋体" w:hAnsi="宋体" w:cs="宋体"/>
              </w:rPr>
              <w:t>约</w:t>
            </w:r>
            <w:r>
              <w:rPr>
                <w:rFonts w:eastAsia="Times New Roman"/>
              </w:rPr>
              <w:t>150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6</w:t>
            </w:r>
          </w:p>
        </w:tc>
        <w:tc>
          <w:tcPr>
            <w:tcW w:w="999" w:type="pct"/>
            <w:tcBorders>
              <w:tl2br w:val="nil"/>
              <w:tr2bl w:val="nil"/>
            </w:tcBorders>
            <w:vAlign w:val="center"/>
          </w:tcPr>
          <w:p>
            <w:pPr>
              <w:pStyle w:val="83"/>
            </w:pPr>
            <w:r>
              <w:rPr>
                <w:rFonts w:ascii="宋体" w:hAnsi="宋体" w:cs="宋体"/>
              </w:rPr>
              <w:t>中房</w:t>
            </w:r>
          </w:p>
        </w:tc>
        <w:tc>
          <w:tcPr>
            <w:tcW w:w="533" w:type="pct"/>
            <w:tcBorders>
              <w:tl2br w:val="nil"/>
              <w:tr2bl w:val="nil"/>
            </w:tcBorders>
            <w:vAlign w:val="center"/>
          </w:tcPr>
          <w:p>
            <w:pPr>
              <w:pStyle w:val="83"/>
            </w:pPr>
            <w:r>
              <w:rPr>
                <w:rFonts w:ascii="宋体" w:hAnsi="宋体" w:cs="宋体"/>
              </w:rPr>
              <w:t>东北</w:t>
            </w:r>
          </w:p>
        </w:tc>
        <w:tc>
          <w:tcPr>
            <w:tcW w:w="662" w:type="pct"/>
            <w:tcBorders>
              <w:tl2br w:val="nil"/>
              <w:tr2bl w:val="nil"/>
            </w:tcBorders>
            <w:vAlign w:val="center"/>
          </w:tcPr>
          <w:p>
            <w:pPr>
              <w:pStyle w:val="83"/>
            </w:pPr>
            <w:r>
              <w:t>2300</w:t>
            </w:r>
          </w:p>
        </w:tc>
        <w:tc>
          <w:tcPr>
            <w:tcW w:w="662" w:type="pct"/>
            <w:tcBorders>
              <w:tl2br w:val="nil"/>
              <w:tr2bl w:val="nil"/>
            </w:tcBorders>
            <w:vAlign w:val="center"/>
          </w:tcPr>
          <w:p>
            <w:pPr>
              <w:pStyle w:val="83"/>
            </w:pPr>
            <w:r>
              <w:rPr>
                <w:rFonts w:ascii="宋体" w:hAnsi="宋体" w:cs="宋体"/>
              </w:rPr>
              <w:t>约</w:t>
            </w:r>
            <w:r>
              <w:rPr>
                <w:rFonts w:eastAsia="Times New Roman"/>
              </w:rPr>
              <w:t>100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7</w:t>
            </w:r>
          </w:p>
        </w:tc>
        <w:tc>
          <w:tcPr>
            <w:tcW w:w="999" w:type="pct"/>
            <w:tcBorders>
              <w:tl2br w:val="nil"/>
              <w:tr2bl w:val="nil"/>
            </w:tcBorders>
            <w:vAlign w:val="center"/>
          </w:tcPr>
          <w:p>
            <w:pPr>
              <w:pStyle w:val="83"/>
            </w:pPr>
            <w:r>
              <w:rPr>
                <w:rFonts w:ascii="宋体" w:hAnsi="宋体" w:cs="宋体"/>
              </w:rPr>
              <w:t>上房</w:t>
            </w:r>
          </w:p>
        </w:tc>
        <w:tc>
          <w:tcPr>
            <w:tcW w:w="533" w:type="pct"/>
            <w:tcBorders>
              <w:tl2br w:val="nil"/>
              <w:tr2bl w:val="nil"/>
            </w:tcBorders>
            <w:vAlign w:val="center"/>
          </w:tcPr>
          <w:p>
            <w:pPr>
              <w:pStyle w:val="83"/>
            </w:pPr>
            <w:r>
              <w:rPr>
                <w:rFonts w:ascii="宋体" w:hAnsi="宋体" w:cs="宋体"/>
              </w:rPr>
              <w:t>东北</w:t>
            </w:r>
          </w:p>
        </w:tc>
        <w:tc>
          <w:tcPr>
            <w:tcW w:w="662" w:type="pct"/>
            <w:tcBorders>
              <w:tl2br w:val="nil"/>
              <w:tr2bl w:val="nil"/>
            </w:tcBorders>
            <w:vAlign w:val="center"/>
          </w:tcPr>
          <w:p>
            <w:pPr>
              <w:pStyle w:val="83"/>
            </w:pPr>
            <w:r>
              <w:t>2292</w:t>
            </w:r>
          </w:p>
        </w:tc>
        <w:tc>
          <w:tcPr>
            <w:tcW w:w="662" w:type="pct"/>
            <w:tcBorders>
              <w:tl2br w:val="nil"/>
              <w:tr2bl w:val="nil"/>
            </w:tcBorders>
            <w:vAlign w:val="center"/>
          </w:tcPr>
          <w:p>
            <w:pPr>
              <w:pStyle w:val="83"/>
            </w:pPr>
            <w:r>
              <w:rPr>
                <w:rFonts w:ascii="宋体" w:hAnsi="宋体" w:cs="宋体"/>
              </w:rPr>
              <w:t>约</w:t>
            </w:r>
            <w:r>
              <w:rPr>
                <w:rFonts w:eastAsia="Times New Roman"/>
              </w:rPr>
              <w:t>100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8</w:t>
            </w:r>
          </w:p>
        </w:tc>
        <w:tc>
          <w:tcPr>
            <w:tcW w:w="999" w:type="pct"/>
            <w:tcBorders>
              <w:tl2br w:val="nil"/>
              <w:tr2bl w:val="nil"/>
            </w:tcBorders>
            <w:vAlign w:val="center"/>
          </w:tcPr>
          <w:p>
            <w:pPr>
              <w:pStyle w:val="83"/>
            </w:pPr>
            <w:r>
              <w:rPr>
                <w:rFonts w:ascii="宋体" w:hAnsi="宋体" w:cs="宋体"/>
              </w:rPr>
              <w:t>庞大</w:t>
            </w:r>
            <w:r>
              <w:rPr>
                <w:rFonts w:ascii="宋体" w:hAnsi="宋体" w:cs="宋体"/>
                <w:spacing w:val="-3"/>
              </w:rPr>
              <w:t>领</w:t>
            </w:r>
            <w:r>
              <w:rPr>
                <w:rFonts w:ascii="宋体" w:hAnsi="宋体" w:cs="宋体"/>
              </w:rPr>
              <w:t>航</w:t>
            </w:r>
          </w:p>
        </w:tc>
        <w:tc>
          <w:tcPr>
            <w:tcW w:w="533" w:type="pct"/>
            <w:tcBorders>
              <w:tl2br w:val="nil"/>
              <w:tr2bl w:val="nil"/>
            </w:tcBorders>
            <w:vAlign w:val="center"/>
          </w:tcPr>
          <w:p>
            <w:pPr>
              <w:pStyle w:val="83"/>
            </w:pPr>
            <w:r>
              <w:rPr>
                <w:rFonts w:ascii="宋体" w:hAnsi="宋体" w:cs="宋体"/>
              </w:rPr>
              <w:t>西</w:t>
            </w:r>
          </w:p>
        </w:tc>
        <w:tc>
          <w:tcPr>
            <w:tcW w:w="662" w:type="pct"/>
            <w:tcBorders>
              <w:tl2br w:val="nil"/>
              <w:tr2bl w:val="nil"/>
            </w:tcBorders>
            <w:vAlign w:val="center"/>
          </w:tcPr>
          <w:p>
            <w:pPr>
              <w:pStyle w:val="83"/>
            </w:pPr>
            <w:r>
              <w:t>2350</w:t>
            </w:r>
          </w:p>
        </w:tc>
        <w:tc>
          <w:tcPr>
            <w:tcW w:w="662" w:type="pct"/>
            <w:tcBorders>
              <w:tl2br w:val="nil"/>
              <w:tr2bl w:val="nil"/>
            </w:tcBorders>
            <w:vAlign w:val="center"/>
          </w:tcPr>
          <w:p>
            <w:pPr>
              <w:pStyle w:val="83"/>
            </w:pPr>
            <w:r>
              <w:rPr>
                <w:rFonts w:ascii="宋体" w:hAnsi="宋体" w:cs="宋体"/>
              </w:rPr>
              <w:t>约</w:t>
            </w:r>
            <w:r>
              <w:rPr>
                <w:rFonts w:eastAsia="Times New Roman"/>
              </w:rPr>
              <w:t>300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9</w:t>
            </w:r>
          </w:p>
        </w:tc>
        <w:tc>
          <w:tcPr>
            <w:tcW w:w="999" w:type="pct"/>
            <w:tcBorders>
              <w:tl2br w:val="nil"/>
              <w:tr2bl w:val="nil"/>
            </w:tcBorders>
            <w:vAlign w:val="center"/>
          </w:tcPr>
          <w:p>
            <w:pPr>
              <w:pStyle w:val="83"/>
            </w:pPr>
            <w:r>
              <w:rPr>
                <w:rFonts w:ascii="宋体" w:hAnsi="宋体" w:cs="宋体"/>
              </w:rPr>
              <w:t>城泰</w:t>
            </w:r>
            <w:r>
              <w:rPr>
                <w:rFonts w:ascii="宋体" w:hAnsi="宋体" w:cs="宋体"/>
                <w:spacing w:val="-3"/>
              </w:rPr>
              <w:t>枫</w:t>
            </w:r>
            <w:r>
              <w:rPr>
                <w:rFonts w:ascii="宋体" w:hAnsi="宋体" w:cs="宋体"/>
              </w:rPr>
              <w:t>华</w:t>
            </w:r>
            <w:r>
              <w:rPr>
                <w:rFonts w:ascii="宋体" w:hAnsi="宋体" w:cs="宋体"/>
                <w:spacing w:val="-3"/>
              </w:rPr>
              <w:t>天</w:t>
            </w:r>
            <w:r>
              <w:rPr>
                <w:rFonts w:ascii="宋体" w:hAnsi="宋体" w:cs="宋体"/>
              </w:rPr>
              <w:t>成</w:t>
            </w:r>
          </w:p>
        </w:tc>
        <w:tc>
          <w:tcPr>
            <w:tcW w:w="533" w:type="pct"/>
            <w:tcBorders>
              <w:tl2br w:val="nil"/>
              <w:tr2bl w:val="nil"/>
            </w:tcBorders>
            <w:vAlign w:val="center"/>
          </w:tcPr>
          <w:p>
            <w:pPr>
              <w:pStyle w:val="83"/>
            </w:pPr>
            <w:r>
              <w:rPr>
                <w:rFonts w:ascii="宋体" w:hAnsi="宋体" w:cs="宋体"/>
              </w:rPr>
              <w:t>西</w:t>
            </w:r>
          </w:p>
        </w:tc>
        <w:tc>
          <w:tcPr>
            <w:tcW w:w="662" w:type="pct"/>
            <w:tcBorders>
              <w:tl2br w:val="nil"/>
              <w:tr2bl w:val="nil"/>
            </w:tcBorders>
            <w:vAlign w:val="center"/>
          </w:tcPr>
          <w:p>
            <w:pPr>
              <w:pStyle w:val="83"/>
            </w:pPr>
            <w:r>
              <w:t>2370</w:t>
            </w:r>
          </w:p>
        </w:tc>
        <w:tc>
          <w:tcPr>
            <w:tcW w:w="662" w:type="pct"/>
            <w:tcBorders>
              <w:tl2br w:val="nil"/>
              <w:tr2bl w:val="nil"/>
            </w:tcBorders>
            <w:vAlign w:val="center"/>
          </w:tcPr>
          <w:p>
            <w:pPr>
              <w:pStyle w:val="83"/>
            </w:pPr>
            <w:r>
              <w:rPr>
                <w:rFonts w:ascii="宋体" w:hAnsi="宋体" w:cs="宋体"/>
              </w:rPr>
              <w:t>约</w:t>
            </w:r>
            <w:r>
              <w:rPr>
                <w:rFonts w:eastAsia="Times New Roman"/>
              </w:rPr>
              <w:t>400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10</w:t>
            </w:r>
          </w:p>
        </w:tc>
        <w:tc>
          <w:tcPr>
            <w:tcW w:w="999" w:type="pct"/>
            <w:tcBorders>
              <w:tl2br w:val="nil"/>
              <w:tr2bl w:val="nil"/>
            </w:tcBorders>
            <w:vAlign w:val="center"/>
          </w:tcPr>
          <w:p>
            <w:pPr>
              <w:pStyle w:val="83"/>
            </w:pPr>
            <w:r>
              <w:rPr>
                <w:rFonts w:ascii="宋体" w:hAnsi="宋体" w:cs="宋体"/>
              </w:rPr>
              <w:t>五联</w:t>
            </w:r>
            <w:r>
              <w:rPr>
                <w:rFonts w:ascii="宋体" w:hAnsi="宋体" w:cs="宋体"/>
                <w:spacing w:val="-3"/>
              </w:rPr>
              <w:t>花</w:t>
            </w:r>
            <w:r>
              <w:rPr>
                <w:rFonts w:ascii="宋体" w:hAnsi="宋体" w:cs="宋体"/>
              </w:rPr>
              <w:t>园</w:t>
            </w:r>
          </w:p>
        </w:tc>
        <w:tc>
          <w:tcPr>
            <w:tcW w:w="533" w:type="pct"/>
            <w:tcBorders>
              <w:tl2br w:val="nil"/>
              <w:tr2bl w:val="nil"/>
            </w:tcBorders>
            <w:vAlign w:val="center"/>
          </w:tcPr>
          <w:p>
            <w:pPr>
              <w:pStyle w:val="83"/>
            </w:pPr>
            <w:r>
              <w:rPr>
                <w:rFonts w:ascii="宋体" w:hAnsi="宋体" w:cs="宋体"/>
              </w:rPr>
              <w:t>西</w:t>
            </w:r>
          </w:p>
        </w:tc>
        <w:tc>
          <w:tcPr>
            <w:tcW w:w="662" w:type="pct"/>
            <w:tcBorders>
              <w:tl2br w:val="nil"/>
              <w:tr2bl w:val="nil"/>
            </w:tcBorders>
            <w:vAlign w:val="center"/>
          </w:tcPr>
          <w:p>
            <w:pPr>
              <w:pStyle w:val="83"/>
            </w:pPr>
            <w:r>
              <w:t>2380</w:t>
            </w:r>
          </w:p>
        </w:tc>
        <w:tc>
          <w:tcPr>
            <w:tcW w:w="662" w:type="pct"/>
            <w:tcBorders>
              <w:tl2br w:val="nil"/>
              <w:tr2bl w:val="nil"/>
            </w:tcBorders>
            <w:vAlign w:val="center"/>
          </w:tcPr>
          <w:p>
            <w:pPr>
              <w:pStyle w:val="83"/>
            </w:pPr>
            <w:r>
              <w:rPr>
                <w:rFonts w:ascii="宋体" w:hAnsi="宋体" w:cs="宋体"/>
              </w:rPr>
              <w:t>约</w:t>
            </w:r>
            <w:r>
              <w:rPr>
                <w:rFonts w:eastAsia="Times New Roman"/>
              </w:rPr>
              <w:t>400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11</w:t>
            </w:r>
          </w:p>
        </w:tc>
        <w:tc>
          <w:tcPr>
            <w:tcW w:w="999" w:type="pct"/>
            <w:tcBorders>
              <w:tl2br w:val="nil"/>
              <w:tr2bl w:val="nil"/>
            </w:tcBorders>
            <w:vAlign w:val="center"/>
          </w:tcPr>
          <w:p>
            <w:pPr>
              <w:pStyle w:val="83"/>
            </w:pPr>
            <w:r>
              <w:rPr>
                <w:rFonts w:ascii="宋体" w:hAnsi="宋体" w:cs="宋体"/>
              </w:rPr>
              <w:t>港口村</w:t>
            </w:r>
          </w:p>
        </w:tc>
        <w:tc>
          <w:tcPr>
            <w:tcW w:w="533" w:type="pct"/>
            <w:tcBorders>
              <w:tl2br w:val="nil"/>
              <w:tr2bl w:val="nil"/>
            </w:tcBorders>
            <w:vAlign w:val="center"/>
          </w:tcPr>
          <w:p>
            <w:pPr>
              <w:pStyle w:val="83"/>
            </w:pPr>
            <w:r>
              <w:rPr>
                <w:rFonts w:ascii="宋体" w:hAnsi="宋体" w:cs="宋体"/>
              </w:rPr>
              <w:t>西南</w:t>
            </w:r>
          </w:p>
        </w:tc>
        <w:tc>
          <w:tcPr>
            <w:tcW w:w="662" w:type="pct"/>
            <w:tcBorders>
              <w:tl2br w:val="nil"/>
              <w:tr2bl w:val="nil"/>
            </w:tcBorders>
            <w:vAlign w:val="center"/>
          </w:tcPr>
          <w:p>
            <w:pPr>
              <w:pStyle w:val="83"/>
            </w:pPr>
            <w:r>
              <w:t>1350</w:t>
            </w:r>
          </w:p>
        </w:tc>
        <w:tc>
          <w:tcPr>
            <w:tcW w:w="662" w:type="pct"/>
            <w:tcBorders>
              <w:tl2br w:val="nil"/>
              <w:tr2bl w:val="nil"/>
            </w:tcBorders>
            <w:vAlign w:val="center"/>
          </w:tcPr>
          <w:p>
            <w:pPr>
              <w:pStyle w:val="83"/>
            </w:pPr>
            <w:r>
              <w:rPr>
                <w:rFonts w:ascii="宋体" w:hAnsi="宋体" w:cs="宋体"/>
              </w:rPr>
              <w:t>约</w:t>
            </w:r>
            <w:r>
              <w:rPr>
                <w:rFonts w:eastAsia="Times New Roman"/>
              </w:rPr>
              <w:t>400</w:t>
            </w:r>
            <w:r>
              <w:rPr>
                <w:rFonts w:ascii="宋体" w:hAnsi="宋体" w:cs="宋体"/>
              </w:rPr>
              <w:t>户</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12</w:t>
            </w:r>
          </w:p>
        </w:tc>
        <w:tc>
          <w:tcPr>
            <w:tcW w:w="999" w:type="pct"/>
            <w:tcBorders>
              <w:tl2br w:val="nil"/>
              <w:tr2bl w:val="nil"/>
            </w:tcBorders>
            <w:vAlign w:val="center"/>
          </w:tcPr>
          <w:p>
            <w:pPr>
              <w:pStyle w:val="83"/>
            </w:pPr>
            <w:r>
              <w:rPr>
                <w:rFonts w:ascii="宋体" w:hAnsi="宋体" w:cs="宋体"/>
              </w:rPr>
              <w:t>白水</w:t>
            </w:r>
            <w:r>
              <w:rPr>
                <w:rFonts w:ascii="宋体" w:hAnsi="宋体" w:cs="宋体"/>
                <w:spacing w:val="-2"/>
              </w:rPr>
              <w:t>湖</w:t>
            </w:r>
            <w:r>
              <w:rPr>
                <w:rFonts w:ascii="宋体" w:hAnsi="宋体" w:cs="宋体"/>
              </w:rPr>
              <w:t>消</w:t>
            </w:r>
            <w:r>
              <w:rPr>
                <w:rFonts w:ascii="宋体" w:hAnsi="宋体" w:cs="宋体"/>
                <w:spacing w:val="-3"/>
              </w:rPr>
              <w:t>防</w:t>
            </w:r>
            <w:r>
              <w:rPr>
                <w:rFonts w:ascii="宋体" w:hAnsi="宋体" w:cs="宋体"/>
              </w:rPr>
              <w:t>中队</w:t>
            </w:r>
          </w:p>
        </w:tc>
        <w:tc>
          <w:tcPr>
            <w:tcW w:w="533" w:type="pct"/>
            <w:tcBorders>
              <w:tl2br w:val="nil"/>
              <w:tr2bl w:val="nil"/>
            </w:tcBorders>
            <w:vAlign w:val="center"/>
          </w:tcPr>
          <w:p>
            <w:pPr>
              <w:pStyle w:val="83"/>
            </w:pPr>
            <w:r>
              <w:rPr>
                <w:rFonts w:ascii="宋体" w:hAnsi="宋体" w:cs="宋体"/>
              </w:rPr>
              <w:t>西南</w:t>
            </w:r>
          </w:p>
        </w:tc>
        <w:tc>
          <w:tcPr>
            <w:tcW w:w="662" w:type="pct"/>
            <w:tcBorders>
              <w:tl2br w:val="nil"/>
              <w:tr2bl w:val="nil"/>
            </w:tcBorders>
            <w:vAlign w:val="center"/>
          </w:tcPr>
          <w:p>
            <w:pPr>
              <w:pStyle w:val="83"/>
            </w:pPr>
            <w:r>
              <w:t>2100</w:t>
            </w:r>
          </w:p>
        </w:tc>
        <w:tc>
          <w:tcPr>
            <w:tcW w:w="662" w:type="pct"/>
            <w:tcBorders>
              <w:tl2br w:val="nil"/>
              <w:tr2bl w:val="nil"/>
            </w:tcBorders>
            <w:vAlign w:val="center"/>
          </w:tcPr>
          <w:p>
            <w:pPr>
              <w:pStyle w:val="83"/>
            </w:pPr>
            <w:r>
              <w:rPr>
                <w:rFonts w:ascii="宋体" w:hAnsi="宋体" w:cs="宋体"/>
              </w:rPr>
              <w:t>约</w:t>
            </w:r>
            <w:r>
              <w:rPr>
                <w:rFonts w:eastAsia="Times New Roman"/>
              </w:rPr>
              <w:t>80</w:t>
            </w:r>
            <w:r>
              <w:rPr>
                <w:rFonts w:ascii="宋体" w:hAnsi="宋体" w:cs="宋体"/>
              </w:rPr>
              <w:t>人</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13</w:t>
            </w:r>
          </w:p>
        </w:tc>
        <w:tc>
          <w:tcPr>
            <w:tcW w:w="999" w:type="pct"/>
            <w:tcBorders>
              <w:tl2br w:val="nil"/>
              <w:tr2bl w:val="nil"/>
            </w:tcBorders>
            <w:vAlign w:val="center"/>
          </w:tcPr>
          <w:p>
            <w:pPr>
              <w:pStyle w:val="83"/>
            </w:pPr>
            <w:r>
              <w:rPr>
                <w:rFonts w:ascii="宋体" w:hAnsi="宋体" w:cs="宋体"/>
              </w:rPr>
              <w:t>江西</w:t>
            </w:r>
            <w:r>
              <w:rPr>
                <w:rFonts w:ascii="宋体" w:hAnsi="宋体" w:cs="宋体"/>
                <w:spacing w:val="-3"/>
              </w:rPr>
              <w:t>省</w:t>
            </w:r>
            <w:r>
              <w:rPr>
                <w:rFonts w:ascii="宋体" w:hAnsi="宋体" w:cs="宋体"/>
              </w:rPr>
              <w:t>洪</w:t>
            </w:r>
            <w:r>
              <w:rPr>
                <w:rFonts w:ascii="宋体" w:hAnsi="宋体" w:cs="宋体"/>
                <w:spacing w:val="-3"/>
              </w:rPr>
              <w:t>城</w:t>
            </w:r>
            <w:r>
              <w:rPr>
                <w:rFonts w:ascii="宋体" w:hAnsi="宋体" w:cs="宋体"/>
              </w:rPr>
              <w:t>监狱</w:t>
            </w:r>
          </w:p>
        </w:tc>
        <w:tc>
          <w:tcPr>
            <w:tcW w:w="533" w:type="pct"/>
            <w:tcBorders>
              <w:tl2br w:val="nil"/>
              <w:tr2bl w:val="nil"/>
            </w:tcBorders>
            <w:vAlign w:val="center"/>
          </w:tcPr>
          <w:p>
            <w:pPr>
              <w:pStyle w:val="83"/>
            </w:pPr>
            <w:r>
              <w:rPr>
                <w:rFonts w:ascii="宋体" w:hAnsi="宋体" w:cs="宋体"/>
              </w:rPr>
              <w:t>东南</w:t>
            </w:r>
          </w:p>
        </w:tc>
        <w:tc>
          <w:tcPr>
            <w:tcW w:w="662" w:type="pct"/>
            <w:tcBorders>
              <w:tl2br w:val="nil"/>
              <w:tr2bl w:val="nil"/>
            </w:tcBorders>
            <w:vAlign w:val="center"/>
          </w:tcPr>
          <w:p>
            <w:pPr>
              <w:pStyle w:val="83"/>
            </w:pPr>
            <w:r>
              <w:t>2150</w:t>
            </w:r>
          </w:p>
        </w:tc>
        <w:tc>
          <w:tcPr>
            <w:tcW w:w="662" w:type="pct"/>
            <w:tcBorders>
              <w:tl2br w:val="nil"/>
              <w:tr2bl w:val="nil"/>
            </w:tcBorders>
            <w:vAlign w:val="center"/>
          </w:tcPr>
          <w:p>
            <w:pPr>
              <w:pStyle w:val="83"/>
            </w:pPr>
            <w:r>
              <w:rPr>
                <w:rFonts w:ascii="宋体" w:hAnsi="宋体" w:cs="宋体"/>
              </w:rPr>
              <w:t>约</w:t>
            </w:r>
            <w:r>
              <w:rPr>
                <w:rFonts w:eastAsia="Times New Roman"/>
              </w:rPr>
              <w:t>10</w:t>
            </w:r>
            <w:r>
              <w:rPr>
                <w:rFonts w:eastAsia="Times New Roman"/>
                <w:spacing w:val="-3"/>
              </w:rPr>
              <w:t>0</w:t>
            </w:r>
            <w:r>
              <w:rPr>
                <w:rFonts w:eastAsia="Times New Roman"/>
              </w:rPr>
              <w:t>0</w:t>
            </w:r>
            <w:r>
              <w:rPr>
                <w:rFonts w:ascii="宋体" w:hAnsi="宋体" w:cs="宋体"/>
              </w:rPr>
              <w:t>人</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continue"/>
            <w:tcBorders>
              <w:tl2br w:val="nil"/>
              <w:tr2bl w:val="nil"/>
            </w:tcBorders>
            <w:vAlign w:val="center"/>
          </w:tcPr>
          <w:p>
            <w:pPr>
              <w:pStyle w:val="83"/>
            </w:pPr>
          </w:p>
        </w:tc>
        <w:tc>
          <w:tcPr>
            <w:tcW w:w="429" w:type="pct"/>
            <w:tcBorders>
              <w:tl2br w:val="nil"/>
              <w:tr2bl w:val="nil"/>
            </w:tcBorders>
            <w:vAlign w:val="center"/>
          </w:tcPr>
          <w:p>
            <w:pPr>
              <w:pStyle w:val="83"/>
            </w:pPr>
            <w:r>
              <w:rPr>
                <w:rFonts w:hint="eastAsia"/>
              </w:rPr>
              <w:t>14</w:t>
            </w:r>
          </w:p>
        </w:tc>
        <w:tc>
          <w:tcPr>
            <w:tcW w:w="999" w:type="pct"/>
            <w:tcBorders>
              <w:tl2br w:val="nil"/>
              <w:tr2bl w:val="nil"/>
            </w:tcBorders>
            <w:vAlign w:val="center"/>
          </w:tcPr>
          <w:p>
            <w:pPr>
              <w:pStyle w:val="83"/>
            </w:pPr>
            <w:r>
              <w:rPr>
                <w:rFonts w:ascii="宋体" w:hAnsi="宋体" w:cs="宋体"/>
              </w:rPr>
              <w:t>江西</w:t>
            </w:r>
            <w:r>
              <w:rPr>
                <w:rFonts w:ascii="宋体" w:hAnsi="宋体" w:cs="宋体"/>
                <w:spacing w:val="-3"/>
              </w:rPr>
              <w:t>省</w:t>
            </w:r>
            <w:r>
              <w:rPr>
                <w:rFonts w:ascii="宋体" w:hAnsi="宋体" w:cs="宋体"/>
              </w:rPr>
              <w:t>南</w:t>
            </w:r>
            <w:r>
              <w:rPr>
                <w:rFonts w:ascii="宋体" w:hAnsi="宋体" w:cs="宋体"/>
                <w:spacing w:val="-3"/>
              </w:rPr>
              <w:t>昌</w:t>
            </w:r>
            <w:r>
              <w:rPr>
                <w:rFonts w:ascii="宋体" w:hAnsi="宋体" w:cs="宋体"/>
              </w:rPr>
              <w:t>监狱</w:t>
            </w:r>
          </w:p>
        </w:tc>
        <w:tc>
          <w:tcPr>
            <w:tcW w:w="533" w:type="pct"/>
            <w:tcBorders>
              <w:tl2br w:val="nil"/>
              <w:tr2bl w:val="nil"/>
            </w:tcBorders>
            <w:vAlign w:val="center"/>
          </w:tcPr>
          <w:p>
            <w:pPr>
              <w:pStyle w:val="83"/>
            </w:pPr>
            <w:r>
              <w:rPr>
                <w:rFonts w:ascii="宋体" w:hAnsi="宋体" w:cs="宋体"/>
              </w:rPr>
              <w:t>东</w:t>
            </w:r>
          </w:p>
        </w:tc>
        <w:tc>
          <w:tcPr>
            <w:tcW w:w="662" w:type="pct"/>
            <w:tcBorders>
              <w:tl2br w:val="nil"/>
              <w:tr2bl w:val="nil"/>
            </w:tcBorders>
            <w:vAlign w:val="center"/>
          </w:tcPr>
          <w:p>
            <w:pPr>
              <w:pStyle w:val="83"/>
            </w:pPr>
            <w:r>
              <w:t>440</w:t>
            </w:r>
          </w:p>
        </w:tc>
        <w:tc>
          <w:tcPr>
            <w:tcW w:w="662" w:type="pct"/>
            <w:tcBorders>
              <w:tl2br w:val="nil"/>
              <w:tr2bl w:val="nil"/>
            </w:tcBorders>
            <w:vAlign w:val="center"/>
          </w:tcPr>
          <w:p>
            <w:pPr>
              <w:pStyle w:val="83"/>
            </w:pPr>
            <w:r>
              <w:rPr>
                <w:rFonts w:ascii="宋体" w:hAnsi="宋体" w:cs="宋体"/>
              </w:rPr>
              <w:t>约</w:t>
            </w:r>
            <w:r>
              <w:rPr>
                <w:rFonts w:eastAsia="Times New Roman"/>
              </w:rPr>
              <w:t>30</w:t>
            </w:r>
            <w:r>
              <w:rPr>
                <w:rFonts w:eastAsia="Times New Roman"/>
                <w:spacing w:val="-3"/>
              </w:rPr>
              <w:t>0</w:t>
            </w:r>
            <w:r>
              <w:rPr>
                <w:rFonts w:eastAsia="Times New Roman"/>
              </w:rPr>
              <w:t>0</w:t>
            </w:r>
            <w:r>
              <w:rPr>
                <w:rFonts w:ascii="宋体" w:hAnsi="宋体" w:cs="宋体"/>
              </w:rPr>
              <w:t>人</w:t>
            </w:r>
          </w:p>
        </w:tc>
        <w:tc>
          <w:tcPr>
            <w:tcW w:w="1025"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287" w:hRule="atLeast"/>
          <w:jc w:val="center"/>
        </w:trPr>
        <w:tc>
          <w:tcPr>
            <w:tcW w:w="686" w:type="pct"/>
            <w:vMerge w:val="restart"/>
            <w:tcBorders>
              <w:tl2br w:val="nil"/>
              <w:tr2bl w:val="nil"/>
            </w:tcBorders>
            <w:vAlign w:val="center"/>
          </w:tcPr>
          <w:p>
            <w:pPr>
              <w:pStyle w:val="83"/>
            </w:pPr>
            <w:r>
              <w:rPr>
                <w:rFonts w:ascii="宋体" w:hAnsi="宋体" w:cs="宋体"/>
              </w:rPr>
              <w:t>水环境</w:t>
            </w:r>
          </w:p>
        </w:tc>
        <w:tc>
          <w:tcPr>
            <w:tcW w:w="429" w:type="pct"/>
            <w:tcBorders>
              <w:tl2br w:val="nil"/>
              <w:tr2bl w:val="nil"/>
            </w:tcBorders>
            <w:vAlign w:val="center"/>
          </w:tcPr>
          <w:p>
            <w:pPr>
              <w:pStyle w:val="83"/>
            </w:pPr>
            <w:r>
              <w:rPr>
                <w:rFonts w:hint="eastAsia"/>
              </w:rPr>
              <w:t>15</w:t>
            </w:r>
          </w:p>
        </w:tc>
        <w:tc>
          <w:tcPr>
            <w:tcW w:w="999" w:type="pct"/>
            <w:tcBorders>
              <w:tl2br w:val="nil"/>
              <w:tr2bl w:val="nil"/>
            </w:tcBorders>
            <w:vAlign w:val="center"/>
          </w:tcPr>
          <w:p>
            <w:pPr>
              <w:pStyle w:val="83"/>
            </w:pPr>
            <w:r>
              <w:rPr>
                <w:rFonts w:ascii="宋体" w:hAnsi="宋体" w:cs="宋体"/>
              </w:rPr>
              <w:t>赣江</w:t>
            </w:r>
            <w:r>
              <w:rPr>
                <w:rFonts w:ascii="宋体" w:hAnsi="宋体" w:cs="宋体"/>
                <w:spacing w:val="-3"/>
              </w:rPr>
              <w:t>北</w:t>
            </w:r>
            <w:r>
              <w:rPr>
                <w:rFonts w:ascii="宋体" w:hAnsi="宋体" w:cs="宋体"/>
              </w:rPr>
              <w:t>支</w:t>
            </w:r>
          </w:p>
        </w:tc>
        <w:tc>
          <w:tcPr>
            <w:tcW w:w="533" w:type="pct"/>
            <w:tcBorders>
              <w:tl2br w:val="nil"/>
              <w:tr2bl w:val="nil"/>
            </w:tcBorders>
            <w:vAlign w:val="center"/>
          </w:tcPr>
          <w:p>
            <w:pPr>
              <w:pStyle w:val="83"/>
            </w:pPr>
            <w:r>
              <w:rPr>
                <w:rFonts w:ascii="宋体" w:hAnsi="宋体" w:cs="宋体"/>
              </w:rPr>
              <w:t>西南面</w:t>
            </w:r>
          </w:p>
        </w:tc>
        <w:tc>
          <w:tcPr>
            <w:tcW w:w="662" w:type="pct"/>
            <w:tcBorders>
              <w:tl2br w:val="nil"/>
              <w:tr2bl w:val="nil"/>
            </w:tcBorders>
            <w:vAlign w:val="center"/>
          </w:tcPr>
          <w:p>
            <w:pPr>
              <w:pStyle w:val="83"/>
            </w:pPr>
            <w:r>
              <w:t>1900</w:t>
            </w:r>
          </w:p>
        </w:tc>
        <w:tc>
          <w:tcPr>
            <w:tcW w:w="662" w:type="pct"/>
            <w:tcBorders>
              <w:tl2br w:val="nil"/>
              <w:tr2bl w:val="nil"/>
            </w:tcBorders>
            <w:vAlign w:val="center"/>
          </w:tcPr>
          <w:p>
            <w:pPr>
              <w:pStyle w:val="83"/>
            </w:pPr>
            <w:r>
              <w:rPr>
                <w:rFonts w:ascii="宋体" w:hAnsi="宋体" w:cs="宋体"/>
              </w:rPr>
              <w:t>大河</w:t>
            </w:r>
          </w:p>
        </w:tc>
        <w:tc>
          <w:tcPr>
            <w:tcW w:w="1025" w:type="pct"/>
            <w:vMerge w:val="restart"/>
            <w:tcBorders>
              <w:tl2br w:val="nil"/>
              <w:tr2bl w:val="nil"/>
            </w:tcBorders>
            <w:vAlign w:val="center"/>
          </w:tcPr>
          <w:p>
            <w:pPr>
              <w:pStyle w:val="83"/>
            </w:pPr>
            <w:r>
              <w:t>GB3838-2002中Ⅲ类水体标准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47" w:hRule="atLeast"/>
          <w:jc w:val="center"/>
        </w:trPr>
        <w:tc>
          <w:tcPr>
            <w:tcW w:w="686" w:type="pct"/>
            <w:vMerge w:val="continue"/>
            <w:tcBorders>
              <w:tl2br w:val="nil"/>
              <w:tr2bl w:val="nil"/>
            </w:tcBorders>
            <w:vAlign w:val="center"/>
          </w:tcPr>
          <w:p>
            <w:pPr>
              <w:jc w:val="center"/>
              <w:rPr>
                <w:szCs w:val="21"/>
              </w:rPr>
            </w:pPr>
          </w:p>
        </w:tc>
        <w:tc>
          <w:tcPr>
            <w:tcW w:w="429" w:type="pct"/>
            <w:tcBorders>
              <w:tl2br w:val="nil"/>
              <w:tr2bl w:val="nil"/>
            </w:tcBorders>
            <w:vAlign w:val="center"/>
          </w:tcPr>
          <w:p>
            <w:pPr>
              <w:jc w:val="center"/>
              <w:rPr>
                <w:szCs w:val="21"/>
              </w:rPr>
            </w:pPr>
            <w:r>
              <w:rPr>
                <w:rFonts w:hint="eastAsia"/>
                <w:szCs w:val="21"/>
              </w:rPr>
              <w:t>16</w:t>
            </w:r>
          </w:p>
        </w:tc>
        <w:tc>
          <w:tcPr>
            <w:tcW w:w="999" w:type="pct"/>
            <w:tcBorders>
              <w:tl2br w:val="nil"/>
              <w:tr2bl w:val="nil"/>
            </w:tcBorders>
            <w:vAlign w:val="center"/>
          </w:tcPr>
          <w:p>
            <w:pPr>
              <w:pStyle w:val="83"/>
            </w:pPr>
            <w:r>
              <w:t>白水湖</w:t>
            </w:r>
          </w:p>
        </w:tc>
        <w:tc>
          <w:tcPr>
            <w:tcW w:w="533" w:type="pct"/>
            <w:tcBorders>
              <w:tl2br w:val="nil"/>
              <w:tr2bl w:val="nil"/>
            </w:tcBorders>
            <w:vAlign w:val="center"/>
          </w:tcPr>
          <w:p>
            <w:pPr>
              <w:pStyle w:val="83"/>
            </w:pPr>
            <w:r>
              <w:t>西面</w:t>
            </w:r>
          </w:p>
        </w:tc>
        <w:tc>
          <w:tcPr>
            <w:tcW w:w="662" w:type="pct"/>
            <w:tcBorders>
              <w:tl2br w:val="nil"/>
              <w:tr2bl w:val="nil"/>
            </w:tcBorders>
            <w:vAlign w:val="center"/>
          </w:tcPr>
          <w:p>
            <w:pPr>
              <w:pStyle w:val="83"/>
            </w:pPr>
            <w:r>
              <w:t>1500</w:t>
            </w:r>
          </w:p>
        </w:tc>
        <w:tc>
          <w:tcPr>
            <w:tcW w:w="662" w:type="pct"/>
            <w:tcBorders>
              <w:tl2br w:val="nil"/>
              <w:tr2bl w:val="nil"/>
            </w:tcBorders>
            <w:vAlign w:val="center"/>
          </w:tcPr>
          <w:p>
            <w:pPr>
              <w:pStyle w:val="83"/>
            </w:pPr>
            <w:r>
              <w:t>小湖</w:t>
            </w:r>
          </w:p>
        </w:tc>
        <w:tc>
          <w:tcPr>
            <w:tcW w:w="1025" w:type="pct"/>
            <w:vMerge w:val="continue"/>
            <w:tcBorders>
              <w:tl2br w:val="nil"/>
              <w:tr2bl w:val="nil"/>
            </w:tcBorders>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76" w:hRule="atLeast"/>
          <w:jc w:val="center"/>
        </w:trPr>
        <w:tc>
          <w:tcPr>
            <w:tcW w:w="686" w:type="pct"/>
            <w:vMerge w:val="continue"/>
            <w:tcBorders>
              <w:tl2br w:val="nil"/>
              <w:tr2bl w:val="nil"/>
            </w:tcBorders>
            <w:vAlign w:val="center"/>
          </w:tcPr>
          <w:p>
            <w:pPr>
              <w:jc w:val="center"/>
              <w:rPr>
                <w:szCs w:val="21"/>
              </w:rPr>
            </w:pPr>
          </w:p>
        </w:tc>
        <w:tc>
          <w:tcPr>
            <w:tcW w:w="429" w:type="pct"/>
            <w:tcBorders>
              <w:tl2br w:val="nil"/>
              <w:tr2bl w:val="nil"/>
            </w:tcBorders>
            <w:vAlign w:val="center"/>
          </w:tcPr>
          <w:p>
            <w:pPr>
              <w:jc w:val="center"/>
              <w:rPr>
                <w:szCs w:val="21"/>
              </w:rPr>
            </w:pPr>
            <w:r>
              <w:rPr>
                <w:rFonts w:hint="eastAsia"/>
                <w:szCs w:val="21"/>
              </w:rPr>
              <w:t>17</w:t>
            </w:r>
          </w:p>
        </w:tc>
        <w:tc>
          <w:tcPr>
            <w:tcW w:w="999" w:type="pct"/>
            <w:tcBorders>
              <w:tl2br w:val="nil"/>
              <w:tr2bl w:val="nil"/>
            </w:tcBorders>
            <w:vAlign w:val="center"/>
          </w:tcPr>
          <w:p>
            <w:pPr>
              <w:pStyle w:val="83"/>
            </w:pPr>
            <w:r>
              <w:t>下庄湖</w:t>
            </w:r>
          </w:p>
        </w:tc>
        <w:tc>
          <w:tcPr>
            <w:tcW w:w="533" w:type="pct"/>
            <w:tcBorders>
              <w:tl2br w:val="nil"/>
              <w:tr2bl w:val="nil"/>
            </w:tcBorders>
            <w:vAlign w:val="center"/>
          </w:tcPr>
          <w:p>
            <w:pPr>
              <w:pStyle w:val="83"/>
            </w:pPr>
            <w:r>
              <w:t>东面</w:t>
            </w:r>
          </w:p>
        </w:tc>
        <w:tc>
          <w:tcPr>
            <w:tcW w:w="662" w:type="pct"/>
            <w:tcBorders>
              <w:tl2br w:val="nil"/>
              <w:tr2bl w:val="nil"/>
            </w:tcBorders>
            <w:vAlign w:val="center"/>
          </w:tcPr>
          <w:p>
            <w:pPr>
              <w:pStyle w:val="83"/>
            </w:pPr>
            <w:r>
              <w:t>1000</w:t>
            </w:r>
          </w:p>
        </w:tc>
        <w:tc>
          <w:tcPr>
            <w:tcW w:w="662" w:type="pct"/>
            <w:tcBorders>
              <w:tl2br w:val="nil"/>
              <w:tr2bl w:val="nil"/>
            </w:tcBorders>
            <w:vAlign w:val="center"/>
          </w:tcPr>
          <w:p>
            <w:pPr>
              <w:pStyle w:val="83"/>
            </w:pPr>
            <w:r>
              <w:t>小湖</w:t>
            </w:r>
          </w:p>
        </w:tc>
        <w:tc>
          <w:tcPr>
            <w:tcW w:w="1025" w:type="pct"/>
            <w:vMerge w:val="continue"/>
            <w:tcBorders>
              <w:tl2br w:val="nil"/>
              <w:tr2bl w:val="nil"/>
            </w:tcBorders>
            <w:vAlign w:val="center"/>
          </w:tcPr>
          <w:p>
            <w:pPr>
              <w:jc w:val="center"/>
              <w:rPr>
                <w:szCs w:val="21"/>
              </w:rPr>
            </w:pPr>
          </w:p>
        </w:tc>
      </w:tr>
    </w:tbl>
    <w:p>
      <w:pPr>
        <w:pStyle w:val="90"/>
        <w:ind w:firstLine="480"/>
        <w:rPr>
          <w:lang w:val="zh-CN"/>
        </w:rPr>
      </w:pPr>
      <w:r>
        <w:rPr>
          <w:rFonts w:hint="eastAsia"/>
        </w:rPr>
        <w:t>企业</w:t>
      </w:r>
      <w:r>
        <w:rPr>
          <w:rFonts w:hint="eastAsia"/>
          <w:lang w:val="zh-CN"/>
        </w:rPr>
        <w:t>周边半径500m范围内人口总数大于1000人，故本项目</w:t>
      </w:r>
      <w:r>
        <w:rPr>
          <w:rFonts w:hint="eastAsia"/>
          <w:lang w:val="en-US" w:eastAsia="zh-CN"/>
        </w:rPr>
        <w:t>周边</w:t>
      </w:r>
      <w:r>
        <w:rPr>
          <w:rFonts w:hint="eastAsia"/>
          <w:lang w:val="zh-CN"/>
        </w:rPr>
        <w:t>大气环境风险受体敏感程度类型为</w:t>
      </w:r>
      <w:r>
        <w:rPr>
          <w:rFonts w:hint="eastAsia"/>
        </w:rPr>
        <w:t>E1</w:t>
      </w:r>
      <w:r>
        <w:rPr>
          <w:rFonts w:hint="eastAsia"/>
          <w:lang w:val="zh-CN"/>
        </w:rPr>
        <w:t>型。</w:t>
      </w:r>
    </w:p>
    <w:p>
      <w:pPr>
        <w:pStyle w:val="5"/>
        <w:bidi w:val="0"/>
      </w:pPr>
      <w:bookmarkStart w:id="235" w:name="_Toc37600045"/>
      <w:bookmarkStart w:id="236" w:name="_Toc14796"/>
      <w:bookmarkStart w:id="237" w:name="_Toc3771"/>
      <w:bookmarkStart w:id="238" w:name="_Toc14767"/>
      <w:bookmarkStart w:id="239" w:name="_Toc30452"/>
      <w:r>
        <w:t>3.</w:t>
      </w:r>
      <w:r>
        <w:rPr>
          <w:rFonts w:hint="eastAsia"/>
        </w:rPr>
        <w:t>3</w:t>
      </w:r>
      <w:r>
        <w:t xml:space="preserve"> 环境风险受体</w:t>
      </w:r>
      <w:bookmarkEnd w:id="234"/>
      <w:bookmarkEnd w:id="235"/>
      <w:bookmarkEnd w:id="236"/>
      <w:bookmarkEnd w:id="237"/>
      <w:bookmarkEnd w:id="238"/>
      <w:bookmarkEnd w:id="239"/>
    </w:p>
    <w:p>
      <w:pPr>
        <w:pStyle w:val="90"/>
        <w:ind w:firstLine="480"/>
        <w:rPr>
          <w:lang w:val="zh-CN"/>
        </w:rPr>
      </w:pPr>
      <w:r>
        <w:rPr>
          <w:rFonts w:hint="eastAsia"/>
          <w:lang w:val="zh-CN"/>
        </w:rPr>
        <w:t>项目</w:t>
      </w:r>
      <w:r>
        <w:rPr>
          <w:lang w:val="zh-CN"/>
        </w:rPr>
        <w:t>位于</w:t>
      </w:r>
      <w:r>
        <w:rPr>
          <w:rFonts w:hint="eastAsia"/>
          <w:lang w:val="zh-CN"/>
        </w:rPr>
        <w:t>南昌经济技术开发区昱博科技园一期2#厂房</w:t>
      </w:r>
      <w:r>
        <w:rPr>
          <w:lang w:val="zh-CN"/>
        </w:rPr>
        <w:t>，</w:t>
      </w:r>
      <w:r>
        <w:rPr>
          <w:rFonts w:hint="eastAsia"/>
          <w:lang w:val="zh-CN"/>
        </w:rPr>
        <w:t>东经</w:t>
      </w:r>
      <w:r>
        <w:rPr>
          <w:lang w:val="zh-CN"/>
        </w:rPr>
        <w:t>11</w:t>
      </w:r>
      <w:r>
        <w:rPr>
          <w:rFonts w:hint="eastAsia"/>
          <w:lang w:val="zh-CN"/>
        </w:rPr>
        <w:t>5</w:t>
      </w:r>
      <w:r>
        <w:rPr>
          <w:lang w:val="zh-CN"/>
        </w:rPr>
        <w:t>˚</w:t>
      </w:r>
      <w:r>
        <w:rPr>
          <w:rFonts w:hint="eastAsia"/>
          <w:lang w:val="zh-CN"/>
        </w:rPr>
        <w:t>53</w:t>
      </w:r>
      <w:r>
        <w:rPr>
          <w:lang w:val="zh-CN"/>
        </w:rPr>
        <w:t>′</w:t>
      </w:r>
      <w:r>
        <w:rPr>
          <w:rFonts w:hint="eastAsia"/>
          <w:lang w:val="zh-CN"/>
        </w:rPr>
        <w:t>52.701</w:t>
      </w:r>
      <w:r>
        <w:rPr>
          <w:lang w:val="zh-CN"/>
        </w:rPr>
        <w:t>″</w:t>
      </w:r>
      <w:r>
        <w:rPr>
          <w:rFonts w:hint="eastAsia"/>
          <w:lang w:val="zh-CN"/>
        </w:rPr>
        <w:t>，北纬</w:t>
      </w:r>
      <w:r>
        <w:rPr>
          <w:lang w:val="zh-CN"/>
        </w:rPr>
        <w:t>2</w:t>
      </w:r>
      <w:r>
        <w:rPr>
          <w:rFonts w:hint="eastAsia"/>
          <w:lang w:val="zh-CN"/>
        </w:rPr>
        <w:t>8</w:t>
      </w:r>
      <w:r>
        <w:rPr>
          <w:lang w:val="zh-CN"/>
        </w:rPr>
        <w:t>˚</w:t>
      </w:r>
      <w:r>
        <w:rPr>
          <w:rFonts w:hint="eastAsia"/>
          <w:lang w:val="zh-CN"/>
        </w:rPr>
        <w:t>47</w:t>
      </w:r>
      <w:r>
        <w:rPr>
          <w:lang w:val="zh-CN"/>
        </w:rPr>
        <w:t>′</w:t>
      </w:r>
      <w:r>
        <w:rPr>
          <w:rFonts w:hint="eastAsia"/>
          <w:lang w:val="zh-CN"/>
        </w:rPr>
        <w:t>2.043</w:t>
      </w:r>
      <w:r>
        <w:rPr>
          <w:lang w:val="zh-CN"/>
        </w:rPr>
        <w:t>″，环境风险受体见</w:t>
      </w:r>
      <w:r>
        <w:rPr>
          <w:rFonts w:hint="eastAsia"/>
          <w:lang w:val="zh-CN"/>
        </w:rPr>
        <w:t>附图</w:t>
      </w:r>
      <w:r>
        <w:rPr>
          <w:lang w:val="zh-CN"/>
        </w:rPr>
        <w:t>。</w:t>
      </w:r>
    </w:p>
    <w:p>
      <w:pPr>
        <w:pStyle w:val="6"/>
        <w:bidi w:val="0"/>
      </w:pPr>
      <w:bookmarkStart w:id="240" w:name="_Toc10304"/>
      <w:bookmarkStart w:id="241" w:name="_Toc20632"/>
      <w:bookmarkStart w:id="242" w:name="_Toc2498"/>
      <w:bookmarkStart w:id="243" w:name="_Toc37600046"/>
      <w:r>
        <w:t>3.</w:t>
      </w:r>
      <w:r>
        <w:rPr>
          <w:rFonts w:hint="eastAsia"/>
        </w:rPr>
        <w:t>3</w:t>
      </w:r>
      <w:r>
        <w:t>.1 环境受体情况调查</w:t>
      </w:r>
      <w:bookmarkEnd w:id="240"/>
      <w:bookmarkEnd w:id="241"/>
      <w:bookmarkEnd w:id="242"/>
      <w:bookmarkEnd w:id="243"/>
    </w:p>
    <w:p>
      <w:pPr>
        <w:pStyle w:val="90"/>
        <w:ind w:firstLine="480"/>
      </w:pPr>
      <w:r>
        <w:t>根据对周边居民、主要河流等环境敏感点进行现场调查，公司雨水排口、清静下水排口、污水排口下游</w:t>
      </w:r>
      <w:r>
        <w:rPr>
          <w:rFonts w:hint="eastAsia"/>
        </w:rPr>
        <w:t>5</w:t>
      </w:r>
      <w:r>
        <w:t>公里范围内</w:t>
      </w:r>
      <w:r>
        <w:rPr>
          <w:rFonts w:hint="eastAsia"/>
        </w:rPr>
        <w:t>赣江、白水湖、下庄湖</w:t>
      </w:r>
      <w:r>
        <w:t>等</w:t>
      </w:r>
      <w:r>
        <w:rPr>
          <w:rFonts w:hint="eastAsia"/>
        </w:rPr>
        <w:t>水</w:t>
      </w:r>
      <w:r>
        <w:t>环境风险受体。公司</w:t>
      </w:r>
      <w:r>
        <w:rPr>
          <w:highlight w:val="none"/>
        </w:rPr>
        <w:t>周边</w:t>
      </w:r>
      <w:r>
        <w:rPr>
          <w:kern w:val="0"/>
          <w:lang w:val="zh-CN"/>
        </w:rPr>
        <w:t>半径</w:t>
      </w:r>
      <w:r>
        <w:rPr>
          <w:rFonts w:hint="eastAsia"/>
          <w:kern w:val="0"/>
        </w:rPr>
        <w:t>500</w:t>
      </w:r>
      <w:r>
        <w:rPr>
          <w:kern w:val="0"/>
          <w:lang w:val="zh-CN"/>
        </w:rPr>
        <w:t>m范围内</w:t>
      </w:r>
      <w:r>
        <w:rPr>
          <w:rFonts w:hint="eastAsia"/>
          <w:kern w:val="0"/>
          <w:lang w:val="zh-CN"/>
        </w:rPr>
        <w:t>无</w:t>
      </w:r>
      <w:r>
        <w:rPr>
          <w:kern w:val="0"/>
          <w:lang w:val="zh-CN"/>
        </w:rPr>
        <w:t>居住区、医疗卫生、文化教育、科研、行政办公等机构</w:t>
      </w:r>
      <w:r>
        <w:t>，项目周边5000m范围内主要环境受体见表3.2.3-</w:t>
      </w:r>
      <w:r>
        <w:rPr>
          <w:rFonts w:hint="eastAsia"/>
        </w:rPr>
        <w:t>2</w:t>
      </w:r>
      <w:r>
        <w:t>。</w:t>
      </w:r>
    </w:p>
    <w:p>
      <w:pPr>
        <w:pStyle w:val="5"/>
        <w:bidi w:val="0"/>
      </w:pPr>
      <w:bookmarkStart w:id="244" w:name="_Toc14245"/>
      <w:bookmarkStart w:id="245" w:name="_Toc18428"/>
      <w:bookmarkStart w:id="246" w:name="_Toc10725"/>
      <w:bookmarkStart w:id="247" w:name="_Toc8229_WPSOffice_Level1"/>
      <w:bookmarkStart w:id="248" w:name="_Toc37600047"/>
      <w:bookmarkStart w:id="249" w:name="_Toc3034"/>
      <w:r>
        <w:rPr>
          <w:rFonts w:hint="eastAsia"/>
        </w:rPr>
        <w:t>3.4 突发水环境事件风险等级评估</w:t>
      </w:r>
      <w:bookmarkEnd w:id="244"/>
      <w:bookmarkEnd w:id="245"/>
      <w:bookmarkEnd w:id="246"/>
      <w:bookmarkEnd w:id="247"/>
      <w:bookmarkEnd w:id="248"/>
      <w:bookmarkEnd w:id="249"/>
    </w:p>
    <w:p>
      <w:pPr>
        <w:pStyle w:val="6"/>
        <w:bidi w:val="0"/>
      </w:pPr>
      <w:bookmarkStart w:id="250" w:name="_Toc26373"/>
      <w:bookmarkStart w:id="251" w:name="_Toc4182"/>
      <w:bookmarkStart w:id="252" w:name="_Toc37600048"/>
      <w:r>
        <w:rPr>
          <w:rFonts w:hint="eastAsia"/>
        </w:rPr>
        <w:t>3.4.1 计算涉水风险物资数量与临界量比值（Q）</w:t>
      </w:r>
      <w:bookmarkEnd w:id="250"/>
      <w:bookmarkEnd w:id="251"/>
      <w:bookmarkEnd w:id="252"/>
    </w:p>
    <w:p>
      <w:pPr>
        <w:pStyle w:val="90"/>
        <w:ind w:firstLine="480"/>
      </w:pPr>
      <w:r>
        <w:t>根据表</w:t>
      </w:r>
      <w:r>
        <w:rPr>
          <w:rFonts w:hint="eastAsia"/>
        </w:rPr>
        <w:t>3</w:t>
      </w:r>
      <w:r>
        <w:t>.1-</w:t>
      </w:r>
      <w:r>
        <w:rPr>
          <w:rFonts w:hint="eastAsia"/>
        </w:rPr>
        <w:t>2</w:t>
      </w:r>
      <w:r>
        <w:t>：计算涉水风险物资数量与临界量比值Q</w:t>
      </w:r>
      <w:r>
        <w:rPr>
          <w:highlight w:val="none"/>
        </w:rPr>
        <w:t>＜</w:t>
      </w:r>
      <w:r>
        <w:t>1，属于Q</w:t>
      </w:r>
      <w:r>
        <w:rPr>
          <w:rFonts w:hint="eastAsia"/>
        </w:rPr>
        <w:t>1。</w:t>
      </w:r>
    </w:p>
    <w:p>
      <w:pPr>
        <w:pStyle w:val="6"/>
        <w:bidi w:val="0"/>
      </w:pPr>
      <w:bookmarkStart w:id="253" w:name="_Toc24746"/>
      <w:bookmarkStart w:id="254" w:name="_Toc37600049"/>
      <w:bookmarkStart w:id="255" w:name="_Toc10729"/>
      <w:r>
        <w:rPr>
          <w:rFonts w:hint="eastAsia"/>
        </w:rPr>
        <w:t>3.4.2</w:t>
      </w:r>
      <w:r>
        <w:t xml:space="preserve"> </w:t>
      </w:r>
      <w:r>
        <w:rPr>
          <w:rFonts w:hint="eastAsia"/>
        </w:rPr>
        <w:t>水环境风险防控措施及突发水环境事件发生情况（M）</w:t>
      </w:r>
      <w:bookmarkEnd w:id="253"/>
      <w:bookmarkEnd w:id="254"/>
      <w:bookmarkEnd w:id="255"/>
    </w:p>
    <w:p>
      <w:pPr>
        <w:pStyle w:val="90"/>
        <w:ind w:firstLine="480"/>
      </w:pPr>
      <w:r>
        <w:t>企业水环境风险防控措施及突发水环境事件发生情况评估指标见表3.4</w:t>
      </w:r>
      <w:r>
        <w:rPr>
          <w:rFonts w:hint="eastAsia"/>
          <w:lang w:val="en-US" w:eastAsia="zh-CN"/>
        </w:rPr>
        <w:t>.2</w:t>
      </w:r>
      <w:r>
        <w:t>-1.对各项评估指标分别评分、计算总和，各项指标分值合计最高为70分。</w:t>
      </w:r>
    </w:p>
    <w:p>
      <w:pPr>
        <w:pStyle w:val="82"/>
        <w:spacing w:before="163"/>
      </w:pPr>
      <w:r>
        <w:t>表3.4</w:t>
      </w:r>
      <w:r>
        <w:rPr>
          <w:rFonts w:hint="eastAsia"/>
          <w:lang w:val="en-US" w:eastAsia="zh-CN"/>
        </w:rPr>
        <w:t>.2</w:t>
      </w:r>
      <w:r>
        <w:t>-1 企业水环境风险防控措施及突发水环境事件发生情况评估指标</w:t>
      </w:r>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15" w:type="dxa"/>
          <w:left w:w="15" w:type="dxa"/>
          <w:bottom w:w="15" w:type="dxa"/>
          <w:right w:w="15" w:type="dxa"/>
        </w:tblCellMar>
      </w:tblPr>
      <w:tblGrid>
        <w:gridCol w:w="1090"/>
        <w:gridCol w:w="6043"/>
        <w:gridCol w:w="727"/>
        <w:gridCol w:w="6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tcBorders>
              <w:bottom w:val="single" w:color="auto" w:sz="12" w:space="0"/>
            </w:tcBorders>
            <w:vAlign w:val="center"/>
          </w:tcPr>
          <w:p>
            <w:pPr>
              <w:pStyle w:val="83"/>
              <w:rPr>
                <w:b/>
              </w:rPr>
            </w:pPr>
            <w:r>
              <w:rPr>
                <w:b/>
                <w:lang w:bidi="ar"/>
              </w:rPr>
              <w:t>评估指标</w:t>
            </w:r>
          </w:p>
        </w:tc>
        <w:tc>
          <w:tcPr>
            <w:tcW w:w="3541" w:type="pct"/>
            <w:tcBorders>
              <w:bottom w:val="single" w:color="auto" w:sz="12" w:space="0"/>
            </w:tcBorders>
            <w:vAlign w:val="center"/>
          </w:tcPr>
          <w:p>
            <w:pPr>
              <w:pStyle w:val="83"/>
              <w:rPr>
                <w:b/>
              </w:rPr>
            </w:pPr>
            <w:r>
              <w:rPr>
                <w:b/>
                <w:lang w:bidi="ar"/>
              </w:rPr>
              <w:t>相关要求</w:t>
            </w:r>
          </w:p>
        </w:tc>
        <w:tc>
          <w:tcPr>
            <w:tcW w:w="426" w:type="pct"/>
            <w:tcBorders>
              <w:bottom w:val="single" w:color="auto" w:sz="12" w:space="0"/>
            </w:tcBorders>
            <w:vAlign w:val="center"/>
          </w:tcPr>
          <w:p>
            <w:pPr>
              <w:pStyle w:val="83"/>
              <w:rPr>
                <w:b/>
              </w:rPr>
            </w:pPr>
            <w:r>
              <w:rPr>
                <w:b/>
                <w:lang w:bidi="ar"/>
              </w:rPr>
              <w:t>分值</w:t>
            </w:r>
          </w:p>
        </w:tc>
        <w:tc>
          <w:tcPr>
            <w:tcW w:w="392" w:type="pct"/>
            <w:tcBorders>
              <w:bottom w:val="single" w:color="auto" w:sz="12" w:space="0"/>
            </w:tcBorders>
            <w:vAlign w:val="center"/>
          </w:tcPr>
          <w:p>
            <w:pPr>
              <w:pStyle w:val="83"/>
              <w:rPr>
                <w:b/>
              </w:rPr>
            </w:pPr>
            <w:r>
              <w:rPr>
                <w:b/>
                <w:lang w:bidi="ar"/>
              </w:rPr>
              <w:t>得分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80" w:hRule="atLeast"/>
          <w:jc w:val="center"/>
        </w:trPr>
        <w:tc>
          <w:tcPr>
            <w:tcW w:w="639" w:type="pct"/>
            <w:vMerge w:val="restart"/>
            <w:tcBorders>
              <w:top w:val="single" w:color="auto" w:sz="12" w:space="0"/>
              <w:tl2br w:val="nil"/>
              <w:tr2bl w:val="nil"/>
            </w:tcBorders>
            <w:vAlign w:val="center"/>
          </w:tcPr>
          <w:p>
            <w:pPr>
              <w:pStyle w:val="83"/>
            </w:pPr>
            <w:r>
              <w:rPr>
                <w:lang w:bidi="ar"/>
              </w:rPr>
              <w:t>截流措施</w:t>
            </w:r>
          </w:p>
        </w:tc>
        <w:tc>
          <w:tcPr>
            <w:tcW w:w="3541" w:type="pct"/>
            <w:tcBorders>
              <w:top w:val="single" w:color="auto" w:sz="12" w:space="0"/>
              <w:tl2br w:val="nil"/>
              <w:tr2bl w:val="nil"/>
            </w:tcBorders>
            <w:vAlign w:val="center"/>
          </w:tcPr>
          <w:p>
            <w:pPr>
              <w:pStyle w:val="83"/>
              <w:jc w:val="left"/>
            </w:pPr>
            <w:r>
              <w:rPr>
                <w:lang w:bidi="ar"/>
              </w:rPr>
              <w:t>1</w:t>
            </w:r>
            <w:r>
              <w:rPr>
                <w:highlight w:val="none"/>
                <w:lang w:bidi="ar"/>
              </w:rPr>
              <w:t>)</w:t>
            </w:r>
            <w:r>
              <w:rPr>
                <w:lang w:bidi="ar"/>
              </w:rPr>
              <w:t>各个环境风险单元设防渗漏、防腐蚀、防淋溶、防流失措施，设防初期雨水、泄漏物、受污染的消防水（溢）流入雨水和清净下水系统的导流围挡收集措施（如防火堤、围堰等），且相关措施符合设计规范；且</w:t>
            </w:r>
          </w:p>
        </w:tc>
        <w:tc>
          <w:tcPr>
            <w:tcW w:w="426" w:type="pct"/>
            <w:vMerge w:val="restart"/>
            <w:tcBorders>
              <w:top w:val="single" w:color="auto" w:sz="12" w:space="0"/>
              <w:tl2br w:val="nil"/>
              <w:tr2bl w:val="nil"/>
            </w:tcBorders>
            <w:vAlign w:val="center"/>
          </w:tcPr>
          <w:p>
            <w:pPr>
              <w:pStyle w:val="83"/>
            </w:pPr>
            <w:r>
              <w:rPr>
                <w:lang w:bidi="ar"/>
              </w:rPr>
              <w:t>0</w:t>
            </w:r>
          </w:p>
        </w:tc>
        <w:tc>
          <w:tcPr>
            <w:tcW w:w="392" w:type="pct"/>
            <w:vMerge w:val="restart"/>
            <w:tcBorders>
              <w:top w:val="single" w:color="auto" w:sz="12" w:space="0"/>
              <w:tl2br w:val="nil"/>
              <w:tr2bl w:val="nil"/>
            </w:tcBorders>
            <w:vAlign w:val="center"/>
          </w:tcPr>
          <w:p>
            <w:pPr>
              <w:pStyle w:val="83"/>
            </w:pPr>
            <w:r>
              <w:rPr>
                <w:rFonts w:hint="eastAsia"/>
                <w:lang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8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2</w:t>
            </w:r>
            <w:r>
              <w:rPr>
                <w:highlight w:val="none"/>
                <w:lang w:bidi="ar"/>
              </w:rPr>
              <w:t>)</w:t>
            </w:r>
            <w:r>
              <w:rPr>
                <w:lang w:bidi="ar"/>
              </w:rPr>
              <w:t>装置围堰与罐区防火堤（围堰）外设排水切换阀，正常情况下通向雨水系统的阀门关闭，通向事故存液池、应急事故水池、清净下水排放缓冲池或污水处理系统的阀门打开；且</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2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3</w:t>
            </w:r>
            <w:r>
              <w:rPr>
                <w:highlight w:val="none"/>
                <w:lang w:bidi="ar"/>
              </w:rPr>
              <w:t>)</w:t>
            </w:r>
            <w:r>
              <w:rPr>
                <w:lang w:bidi="ar"/>
              </w:rPr>
              <w:t>前述措施日常管理及维护良好，有专人负责阀门切换，保证初期雨水、泄漏物和受污染的消防水排入污水系统。</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有任意一个环境风险单元的截流措施不符合上述任意一条要求的。</w:t>
            </w:r>
          </w:p>
        </w:tc>
        <w:tc>
          <w:tcPr>
            <w:tcW w:w="426" w:type="pct"/>
            <w:tcBorders>
              <w:tl2br w:val="nil"/>
              <w:tr2bl w:val="nil"/>
            </w:tcBorders>
            <w:vAlign w:val="center"/>
          </w:tcPr>
          <w:p>
            <w:pPr>
              <w:pStyle w:val="83"/>
            </w:pPr>
            <w:r>
              <w:rPr>
                <w:lang w:bidi="ar"/>
              </w:rPr>
              <w:t>8</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80" w:hRule="atLeast"/>
          <w:jc w:val="center"/>
        </w:trPr>
        <w:tc>
          <w:tcPr>
            <w:tcW w:w="639" w:type="pct"/>
            <w:vMerge w:val="restart"/>
            <w:tcBorders>
              <w:tl2br w:val="nil"/>
              <w:tr2bl w:val="nil"/>
            </w:tcBorders>
            <w:vAlign w:val="center"/>
          </w:tcPr>
          <w:p>
            <w:pPr>
              <w:pStyle w:val="83"/>
            </w:pPr>
            <w:r>
              <w:rPr>
                <w:lang w:bidi="ar"/>
              </w:rPr>
              <w:t>事故排水收集措施</w:t>
            </w:r>
          </w:p>
        </w:tc>
        <w:tc>
          <w:tcPr>
            <w:tcW w:w="3541" w:type="pct"/>
            <w:tcBorders>
              <w:tl2br w:val="nil"/>
              <w:tr2bl w:val="nil"/>
            </w:tcBorders>
            <w:vAlign w:val="center"/>
          </w:tcPr>
          <w:p>
            <w:pPr>
              <w:pStyle w:val="83"/>
              <w:jc w:val="left"/>
            </w:pPr>
            <w:r>
              <w:rPr>
                <w:lang w:bidi="ar"/>
              </w:rPr>
              <w:t>1</w:t>
            </w:r>
            <w:r>
              <w:rPr>
                <w:highlight w:val="none"/>
                <w:lang w:bidi="ar"/>
              </w:rPr>
              <w:t>)</w:t>
            </w:r>
            <w:r>
              <w:rPr>
                <w:lang w:bidi="ar"/>
              </w:rPr>
              <w:t>按相关设计规范设置应急事故水池、事故存液池或清净下水排放缓冲池等事故排水收集设施，并根据下游环境风险受体敏感程度和易发生极端天气情况，设置事故排水收集设施的容量；且</w:t>
            </w:r>
          </w:p>
        </w:tc>
        <w:tc>
          <w:tcPr>
            <w:tcW w:w="426" w:type="pct"/>
            <w:vMerge w:val="restart"/>
            <w:tcBorders>
              <w:tl2br w:val="nil"/>
              <w:tr2bl w:val="nil"/>
            </w:tcBorders>
            <w:vAlign w:val="center"/>
          </w:tcPr>
          <w:p>
            <w:pPr>
              <w:pStyle w:val="83"/>
            </w:pPr>
            <w:r>
              <w:rPr>
                <w:lang w:bidi="ar"/>
              </w:rPr>
              <w:t>0</w:t>
            </w:r>
          </w:p>
        </w:tc>
        <w:tc>
          <w:tcPr>
            <w:tcW w:w="392" w:type="pct"/>
            <w:vMerge w:val="restart"/>
            <w:tcBorders>
              <w:tl2br w:val="nil"/>
              <w:tr2bl w:val="nil"/>
            </w:tcBorders>
            <w:vAlign w:val="center"/>
          </w:tcPr>
          <w:p>
            <w:pPr>
              <w:pStyle w:val="83"/>
            </w:pPr>
            <w:r>
              <w:rPr>
                <w:rFonts w:hint="eastAsia"/>
                <w:lang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8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2</w:t>
            </w:r>
            <w:r>
              <w:rPr>
                <w:highlight w:val="none"/>
                <w:lang w:bidi="ar"/>
              </w:rPr>
              <w:t>)</w:t>
            </w:r>
            <w:r>
              <w:rPr>
                <w:lang w:bidi="ar"/>
              </w:rPr>
              <w:t>事故存液池、应急事故水池、清净下水排放缓冲池等事故排水收集设施位置合理，能自流式或确保事故状态下顺利收集泄漏物和消防水，日常保持足够的事故排水缓冲容量；且</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2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3</w:t>
            </w:r>
            <w:r>
              <w:rPr>
                <w:highlight w:val="none"/>
                <w:lang w:bidi="ar"/>
              </w:rPr>
              <w:t>)</w:t>
            </w:r>
            <w:r>
              <w:rPr>
                <w:lang w:bidi="ar"/>
              </w:rPr>
              <w:t>设抽水设施，并与污水管线连接，能将所收集物送至厂区内污水处理设施处理。</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有任意一个环境风险单元的事故排水收集措施不符合上述任意一条要求的。</w:t>
            </w:r>
          </w:p>
        </w:tc>
        <w:tc>
          <w:tcPr>
            <w:tcW w:w="426" w:type="pct"/>
            <w:tcBorders>
              <w:tl2br w:val="nil"/>
              <w:tr2bl w:val="nil"/>
            </w:tcBorders>
            <w:vAlign w:val="center"/>
          </w:tcPr>
          <w:p>
            <w:pPr>
              <w:pStyle w:val="83"/>
            </w:pPr>
            <w:r>
              <w:rPr>
                <w:lang w:bidi="ar"/>
              </w:rPr>
              <w:t>8</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restart"/>
            <w:tcBorders>
              <w:tl2br w:val="nil"/>
              <w:tr2bl w:val="nil"/>
            </w:tcBorders>
            <w:vAlign w:val="center"/>
          </w:tcPr>
          <w:p>
            <w:pPr>
              <w:pStyle w:val="83"/>
            </w:pPr>
            <w:r>
              <w:rPr>
                <w:lang w:bidi="ar"/>
              </w:rPr>
              <w:t>清净下水系统防控措施</w:t>
            </w:r>
          </w:p>
        </w:tc>
        <w:tc>
          <w:tcPr>
            <w:tcW w:w="3541" w:type="pct"/>
            <w:tcBorders>
              <w:tl2br w:val="nil"/>
              <w:tr2bl w:val="nil"/>
            </w:tcBorders>
            <w:vAlign w:val="center"/>
          </w:tcPr>
          <w:p>
            <w:pPr>
              <w:pStyle w:val="83"/>
              <w:jc w:val="left"/>
            </w:pPr>
            <w:r>
              <w:rPr>
                <w:lang w:bidi="ar"/>
              </w:rPr>
              <w:t>1</w:t>
            </w:r>
            <w:r>
              <w:rPr>
                <w:highlight w:val="none"/>
                <w:lang w:bidi="ar"/>
              </w:rPr>
              <w:t>)</w:t>
            </w:r>
            <w:r>
              <w:rPr>
                <w:lang w:bidi="ar"/>
              </w:rPr>
              <w:t>不涉及清净下水；</w:t>
            </w:r>
          </w:p>
        </w:tc>
        <w:tc>
          <w:tcPr>
            <w:tcW w:w="426" w:type="pct"/>
            <w:vMerge w:val="restart"/>
            <w:tcBorders>
              <w:tl2br w:val="nil"/>
              <w:tr2bl w:val="nil"/>
            </w:tcBorders>
            <w:vAlign w:val="center"/>
          </w:tcPr>
          <w:p>
            <w:pPr>
              <w:pStyle w:val="83"/>
            </w:pPr>
            <w:r>
              <w:rPr>
                <w:lang w:bidi="ar"/>
              </w:rPr>
              <w:t>0</w:t>
            </w:r>
          </w:p>
        </w:tc>
        <w:tc>
          <w:tcPr>
            <w:tcW w:w="392" w:type="pct"/>
            <w:vMerge w:val="restart"/>
            <w:tcBorders>
              <w:tl2br w:val="nil"/>
              <w:tr2bl w:val="nil"/>
            </w:tcBorders>
            <w:vAlign w:val="center"/>
          </w:tcPr>
          <w:p>
            <w:pPr>
              <w:pStyle w:val="83"/>
            </w:pPr>
            <w:r>
              <w:rPr>
                <w:rFonts w:hint="eastAsia"/>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2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2</w:t>
            </w:r>
            <w:r>
              <w:rPr>
                <w:highlight w:val="none"/>
                <w:lang w:bidi="ar"/>
              </w:rPr>
              <w:t>)</w:t>
            </w:r>
            <w:r>
              <w:rPr>
                <w:lang w:bidi="ar"/>
              </w:rPr>
              <w:t>厂区内清净下水均进入废水处理系统；或清污分流，且清净下水系统具有下述所有措施：</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6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①</w:t>
            </w:r>
            <w:r>
              <w:rPr>
                <w:lang w:bidi="ar"/>
              </w:rPr>
              <w:t>具有收集受污染的清净下水、初期雨水和消防水功能的清净下水排放缓冲池（或雨水收集池），池内日常保持足够的事故排水缓冲容量；池内设有提升设施，能将所集物送至厂区内污水处理设施处理；且</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6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②</w:t>
            </w:r>
            <w:r>
              <w:rPr>
                <w:lang w:bidi="ar"/>
              </w:rPr>
              <w:t>具有清净下水系统（或排入雨水系统）的总排口监视及关闭设施，有专人负责在紧急情况下关闭清净下水总排口，防止受污染的雨水、清净下水、消防水和泄漏物进入外环境。</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2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涉及清净下水，有任意一个环境风险单元的清净下水系统防控措施但不符合上述2）要求的。</w:t>
            </w:r>
          </w:p>
        </w:tc>
        <w:tc>
          <w:tcPr>
            <w:tcW w:w="426" w:type="pct"/>
            <w:tcBorders>
              <w:tl2br w:val="nil"/>
              <w:tr2bl w:val="nil"/>
            </w:tcBorders>
            <w:vAlign w:val="center"/>
          </w:tcPr>
          <w:p>
            <w:pPr>
              <w:pStyle w:val="83"/>
            </w:pPr>
            <w:r>
              <w:rPr>
                <w:lang w:bidi="ar"/>
              </w:rPr>
              <w:t>8</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10" w:hRule="atLeast"/>
          <w:jc w:val="center"/>
        </w:trPr>
        <w:tc>
          <w:tcPr>
            <w:tcW w:w="639" w:type="pct"/>
            <w:vMerge w:val="restart"/>
            <w:tcBorders>
              <w:tl2br w:val="nil"/>
              <w:tr2bl w:val="nil"/>
            </w:tcBorders>
            <w:vAlign w:val="center"/>
          </w:tcPr>
          <w:p>
            <w:pPr>
              <w:pStyle w:val="83"/>
            </w:pPr>
            <w:r>
              <w:rPr>
                <w:lang w:bidi="ar"/>
              </w:rPr>
              <w:t>雨水排水系统防控措施</w:t>
            </w:r>
          </w:p>
        </w:tc>
        <w:tc>
          <w:tcPr>
            <w:tcW w:w="3541" w:type="pct"/>
            <w:tcBorders>
              <w:tl2br w:val="nil"/>
              <w:tr2bl w:val="nil"/>
            </w:tcBorders>
            <w:vAlign w:val="center"/>
          </w:tcPr>
          <w:p>
            <w:pPr>
              <w:pStyle w:val="83"/>
              <w:jc w:val="left"/>
            </w:pPr>
            <w:r>
              <w:rPr>
                <w:lang w:bidi="ar"/>
              </w:rPr>
              <w:t>厂区内雨水均进入废水处理系统；或雨污分流，</w:t>
            </w:r>
            <w:r>
              <w:rPr>
                <w:highlight w:val="none"/>
                <w:lang w:bidi="ar"/>
              </w:rPr>
              <w:t>且雨</w:t>
            </w:r>
            <w:r>
              <w:rPr>
                <w:lang w:bidi="ar"/>
              </w:rPr>
              <w:t>排水系统具有下述所有措施：</w:t>
            </w:r>
          </w:p>
        </w:tc>
        <w:tc>
          <w:tcPr>
            <w:tcW w:w="426" w:type="pct"/>
            <w:vMerge w:val="restart"/>
            <w:tcBorders>
              <w:tl2br w:val="nil"/>
              <w:tr2bl w:val="nil"/>
            </w:tcBorders>
            <w:vAlign w:val="center"/>
          </w:tcPr>
          <w:p>
            <w:pPr>
              <w:pStyle w:val="83"/>
            </w:pPr>
            <w:r>
              <w:rPr>
                <w:lang w:bidi="ar"/>
              </w:rPr>
              <w:t>0</w:t>
            </w:r>
          </w:p>
        </w:tc>
        <w:tc>
          <w:tcPr>
            <w:tcW w:w="392" w:type="pct"/>
            <w:vMerge w:val="restart"/>
            <w:tcBorders>
              <w:tl2br w:val="nil"/>
              <w:tr2bl w:val="nil"/>
            </w:tcBorders>
            <w:vAlign w:val="center"/>
          </w:tcPr>
          <w:p>
            <w:pPr>
              <w:pStyle w:val="83"/>
              <w:rPr>
                <w:rFonts w:hint="eastAsia" w:eastAsia="宋体"/>
                <w:lang w:eastAsia="zh-CN"/>
              </w:rPr>
            </w:pPr>
            <w:r>
              <w:rPr>
                <w:rFonts w:hint="eastAsia"/>
                <w:lang w:val="en-US" w:eastAsia="zh-CN"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6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①</w:t>
            </w:r>
            <w:r>
              <w:rPr>
                <w:lang w:bidi="ar"/>
              </w:rPr>
              <w:t>具有收集初期雨水的收集池或雨水监控池；池出水管上设置切断阀，正常情况下阀门关闭，防止受污染的水外排；池内设有提升设施，能将所集物送至厂区内污水处理设施处理；且</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76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②</w:t>
            </w:r>
            <w:r>
              <w:rPr>
                <w:lang w:bidi="ar"/>
              </w:rPr>
              <w:t>具有雨水系统外排总排口（含泄洪渠）监视及关闭设施，有专人负责在紧急情况下关闭雨水排口（含与清净下水共用一套排水系统情况），防止雨水、消防水和泄漏物进入外境；</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1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③</w:t>
            </w:r>
            <w:r>
              <w:rPr>
                <w:lang w:bidi="ar"/>
              </w:rPr>
              <w:t>如果有排洪沟，排洪沟不通过生产区和罐区，具有防止泄漏物和受污染的消防水流入区域排洪沟的措施。</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不符合上述要求的</w:t>
            </w:r>
          </w:p>
        </w:tc>
        <w:tc>
          <w:tcPr>
            <w:tcW w:w="426" w:type="pct"/>
            <w:tcBorders>
              <w:tl2br w:val="nil"/>
              <w:tr2bl w:val="nil"/>
            </w:tcBorders>
            <w:vAlign w:val="center"/>
          </w:tcPr>
          <w:p>
            <w:pPr>
              <w:pStyle w:val="83"/>
            </w:pPr>
            <w:r>
              <w:rPr>
                <w:lang w:bidi="ar"/>
              </w:rPr>
              <w:t>8</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restart"/>
            <w:tcBorders>
              <w:tl2br w:val="nil"/>
              <w:tr2bl w:val="nil"/>
            </w:tcBorders>
            <w:vAlign w:val="center"/>
          </w:tcPr>
          <w:p>
            <w:pPr>
              <w:pStyle w:val="83"/>
            </w:pPr>
            <w:r>
              <w:rPr>
                <w:lang w:bidi="ar"/>
              </w:rPr>
              <w:t>生产废水处理系统防控措施</w:t>
            </w:r>
          </w:p>
        </w:tc>
        <w:tc>
          <w:tcPr>
            <w:tcW w:w="3541" w:type="pct"/>
            <w:tcBorders>
              <w:tl2br w:val="nil"/>
              <w:tr2bl w:val="nil"/>
            </w:tcBorders>
            <w:vAlign w:val="center"/>
          </w:tcPr>
          <w:p>
            <w:pPr>
              <w:pStyle w:val="83"/>
              <w:jc w:val="left"/>
            </w:pPr>
            <w:r>
              <w:rPr>
                <w:lang w:bidi="ar"/>
              </w:rPr>
              <w:t>1）无生产废水产生或外排；</w:t>
            </w:r>
          </w:p>
        </w:tc>
        <w:tc>
          <w:tcPr>
            <w:tcW w:w="426" w:type="pct"/>
            <w:vMerge w:val="restart"/>
            <w:tcBorders>
              <w:tl2br w:val="nil"/>
              <w:tr2bl w:val="nil"/>
            </w:tcBorders>
            <w:vAlign w:val="center"/>
          </w:tcPr>
          <w:p>
            <w:pPr>
              <w:pStyle w:val="83"/>
            </w:pPr>
            <w:r>
              <w:rPr>
                <w:lang w:bidi="ar"/>
              </w:rPr>
              <w:t>0</w:t>
            </w:r>
          </w:p>
        </w:tc>
        <w:tc>
          <w:tcPr>
            <w:tcW w:w="392" w:type="pct"/>
            <w:vMerge w:val="restart"/>
            <w:tcBorders>
              <w:tl2br w:val="nil"/>
              <w:tr2bl w:val="nil"/>
            </w:tcBorders>
            <w:vAlign w:val="center"/>
          </w:tcPr>
          <w:p>
            <w:pPr>
              <w:pStyle w:val="83"/>
              <w:rPr>
                <w:rFonts w:hint="eastAsia" w:eastAsia="宋体"/>
                <w:lang w:eastAsia="zh-CN"/>
              </w:rPr>
            </w:pPr>
            <w:r>
              <w:rPr>
                <w:rFonts w:hint="eastAsia"/>
                <w:lang w:val="en-US" w:eastAsia="zh-CN"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2）有废水产生或外排时：</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1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①</w:t>
            </w:r>
            <w:r>
              <w:rPr>
                <w:lang w:bidi="ar"/>
              </w:rPr>
              <w:t>受污染的循环冷却水、雨水、消防水等排入生产污水系统或独立处理系统；且</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②</w:t>
            </w:r>
            <w:r>
              <w:rPr>
                <w:lang w:bidi="ar"/>
              </w:rPr>
              <w:t>生产废水排放前设监控池，能够将不合格废水送废水处理设施重新处理；且</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1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③</w:t>
            </w:r>
            <w:r>
              <w:rPr>
                <w:lang w:bidi="ar"/>
              </w:rPr>
              <w:t>如企业受污染的清净下水或雨水进入废水处理系统处理，则废水处理系统应设置事故水缓冲设施；</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51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rFonts w:hint="eastAsia" w:ascii="宋体" w:hAnsi="宋体" w:cs="宋体"/>
                <w:lang w:bidi="ar"/>
              </w:rPr>
              <w:t>④</w:t>
            </w:r>
            <w:r>
              <w:rPr>
                <w:lang w:bidi="ar"/>
              </w:rPr>
              <w:t>具有生产废水总排口监视及关闭设施，有专人负责启闭，确保泄漏物、受污染的消防水、不合格废水不排出厂外。</w:t>
            </w:r>
          </w:p>
        </w:tc>
        <w:tc>
          <w:tcPr>
            <w:tcW w:w="426" w:type="pct"/>
            <w:vMerge w:val="continue"/>
            <w:tcBorders>
              <w:tl2br w:val="nil"/>
              <w:tr2bl w:val="nil"/>
            </w:tcBorders>
            <w:vAlign w:val="center"/>
          </w:tcPr>
          <w:p>
            <w:pPr>
              <w:pStyle w:val="83"/>
            </w:pP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涉及废水产生或外排，但不符合上述2）中任意一条要求的</w:t>
            </w:r>
          </w:p>
        </w:tc>
        <w:tc>
          <w:tcPr>
            <w:tcW w:w="426" w:type="pct"/>
            <w:tcBorders>
              <w:tl2br w:val="nil"/>
              <w:tr2bl w:val="nil"/>
            </w:tcBorders>
            <w:vAlign w:val="center"/>
          </w:tcPr>
          <w:p>
            <w:pPr>
              <w:pStyle w:val="83"/>
            </w:pPr>
            <w:r>
              <w:rPr>
                <w:lang w:bidi="ar"/>
              </w:rPr>
              <w:t>8</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restart"/>
            <w:tcBorders>
              <w:tl2br w:val="nil"/>
              <w:tr2bl w:val="nil"/>
            </w:tcBorders>
            <w:vAlign w:val="center"/>
          </w:tcPr>
          <w:p>
            <w:pPr>
              <w:pStyle w:val="83"/>
            </w:pPr>
            <w:r>
              <w:rPr>
                <w:lang w:bidi="ar"/>
              </w:rPr>
              <w:t>废水排放去向</w:t>
            </w:r>
          </w:p>
        </w:tc>
        <w:tc>
          <w:tcPr>
            <w:tcW w:w="3541" w:type="pct"/>
            <w:tcBorders>
              <w:tl2br w:val="nil"/>
              <w:tr2bl w:val="nil"/>
            </w:tcBorders>
            <w:vAlign w:val="center"/>
          </w:tcPr>
          <w:p>
            <w:pPr>
              <w:pStyle w:val="83"/>
              <w:jc w:val="left"/>
            </w:pPr>
            <w:r>
              <w:rPr>
                <w:lang w:bidi="ar"/>
              </w:rPr>
              <w:t>无生产废水产生或外排</w:t>
            </w:r>
          </w:p>
        </w:tc>
        <w:tc>
          <w:tcPr>
            <w:tcW w:w="426" w:type="pct"/>
            <w:tcBorders>
              <w:tl2br w:val="nil"/>
              <w:tr2bl w:val="nil"/>
            </w:tcBorders>
            <w:vAlign w:val="center"/>
          </w:tcPr>
          <w:p>
            <w:pPr>
              <w:pStyle w:val="83"/>
            </w:pPr>
            <w:r>
              <w:rPr>
                <w:lang w:bidi="ar"/>
              </w:rPr>
              <w:t>0</w:t>
            </w:r>
          </w:p>
        </w:tc>
        <w:tc>
          <w:tcPr>
            <w:tcW w:w="392" w:type="pct"/>
            <w:vMerge w:val="restart"/>
            <w:tcBorders>
              <w:tl2br w:val="nil"/>
              <w:tr2bl w:val="nil"/>
            </w:tcBorders>
            <w:vAlign w:val="center"/>
          </w:tcPr>
          <w:p>
            <w:pPr>
              <w:pStyle w:val="83"/>
            </w:pPr>
            <w:r>
              <w:rPr>
                <w:lang w:bidi="ar"/>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855"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（1）依法获取污水排入排水管网许可，进入城镇污水处理厂；或</w:t>
            </w:r>
            <w:r>
              <w:rPr>
                <w:lang w:bidi="ar"/>
              </w:rPr>
              <w:br w:type="textWrapping"/>
            </w:r>
            <w:r>
              <w:rPr>
                <w:lang w:bidi="ar"/>
              </w:rPr>
              <w:t>（2）进入工业废水集中处理厂；或</w:t>
            </w:r>
            <w:r>
              <w:rPr>
                <w:lang w:bidi="ar"/>
              </w:rPr>
              <w:br w:type="textWrapping"/>
            </w:r>
            <w:r>
              <w:rPr>
                <w:lang w:bidi="ar"/>
              </w:rPr>
              <w:t>（3）进入其他单位</w:t>
            </w:r>
          </w:p>
        </w:tc>
        <w:tc>
          <w:tcPr>
            <w:tcW w:w="426" w:type="pct"/>
            <w:tcBorders>
              <w:tl2br w:val="nil"/>
              <w:tr2bl w:val="nil"/>
            </w:tcBorders>
            <w:vAlign w:val="center"/>
          </w:tcPr>
          <w:p>
            <w:pPr>
              <w:pStyle w:val="83"/>
            </w:pPr>
            <w:r>
              <w:rPr>
                <w:lang w:bidi="ar"/>
              </w:rPr>
              <w:t>6</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114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（1）直接进入海域或江、河、湖、库等水环境；或</w:t>
            </w:r>
            <w:r>
              <w:rPr>
                <w:lang w:bidi="ar"/>
              </w:rPr>
              <w:br w:type="textWrapping"/>
            </w:r>
            <w:r>
              <w:rPr>
                <w:lang w:bidi="ar"/>
              </w:rPr>
              <w:t>（2）直接进入城市下水道再入江、河、湖、库或再入海域；或</w:t>
            </w:r>
            <w:r>
              <w:rPr>
                <w:lang w:bidi="ar"/>
              </w:rPr>
              <w:br w:type="textWrapping"/>
            </w:r>
            <w:r>
              <w:rPr>
                <w:lang w:bidi="ar"/>
              </w:rPr>
              <w:t>（3）未依法取得污水排入排水管网许可，进入城镇污水处理厂；或</w:t>
            </w:r>
            <w:r>
              <w:rPr>
                <w:lang w:bidi="ar"/>
              </w:rPr>
              <w:br w:type="textWrapping"/>
            </w:r>
            <w:r>
              <w:rPr>
                <w:lang w:bidi="ar"/>
              </w:rPr>
              <w:t>（4）直接进入污灌农田或蒸发地</w:t>
            </w:r>
          </w:p>
        </w:tc>
        <w:tc>
          <w:tcPr>
            <w:tcW w:w="426" w:type="pct"/>
            <w:tcBorders>
              <w:tl2br w:val="nil"/>
              <w:tr2bl w:val="nil"/>
            </w:tcBorders>
            <w:vAlign w:val="center"/>
          </w:tcPr>
          <w:p>
            <w:pPr>
              <w:pStyle w:val="83"/>
            </w:pPr>
            <w:r>
              <w:rPr>
                <w:lang w:bidi="ar"/>
              </w:rPr>
              <w:t>12</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855" w:hRule="atLeast"/>
          <w:jc w:val="center"/>
        </w:trPr>
        <w:tc>
          <w:tcPr>
            <w:tcW w:w="639" w:type="pct"/>
            <w:vMerge w:val="restart"/>
            <w:tcBorders>
              <w:tl2br w:val="nil"/>
              <w:tr2bl w:val="nil"/>
            </w:tcBorders>
            <w:vAlign w:val="center"/>
          </w:tcPr>
          <w:p>
            <w:pPr>
              <w:pStyle w:val="83"/>
            </w:pPr>
            <w:r>
              <w:rPr>
                <w:lang w:bidi="ar"/>
              </w:rPr>
              <w:t>厂内危险废物管理</w:t>
            </w:r>
          </w:p>
        </w:tc>
        <w:tc>
          <w:tcPr>
            <w:tcW w:w="3541" w:type="pct"/>
            <w:tcBorders>
              <w:tl2br w:val="nil"/>
              <w:tr2bl w:val="nil"/>
            </w:tcBorders>
            <w:vAlign w:val="center"/>
          </w:tcPr>
          <w:p>
            <w:pPr>
              <w:pStyle w:val="83"/>
              <w:jc w:val="left"/>
            </w:pPr>
            <w:r>
              <w:rPr>
                <w:lang w:bidi="ar"/>
              </w:rPr>
              <w:t>（1）不涉及危险废物的；或</w:t>
            </w:r>
            <w:r>
              <w:rPr>
                <w:lang w:bidi="ar"/>
              </w:rPr>
              <w:br w:type="textWrapping"/>
            </w:r>
            <w:r>
              <w:rPr>
                <w:lang w:bidi="ar"/>
              </w:rPr>
              <w:t>（2）针对危险废物分区贮存、运输、利用、处置具有完善的专业设施和风险防控措施</w:t>
            </w:r>
          </w:p>
        </w:tc>
        <w:tc>
          <w:tcPr>
            <w:tcW w:w="426" w:type="pct"/>
            <w:tcBorders>
              <w:tl2br w:val="nil"/>
              <w:tr2bl w:val="nil"/>
            </w:tcBorders>
            <w:vAlign w:val="center"/>
          </w:tcPr>
          <w:p>
            <w:pPr>
              <w:pStyle w:val="83"/>
            </w:pPr>
            <w:r>
              <w:rPr>
                <w:lang w:bidi="ar"/>
              </w:rPr>
              <w:t>0</w:t>
            </w:r>
          </w:p>
        </w:tc>
        <w:tc>
          <w:tcPr>
            <w:tcW w:w="392" w:type="pct"/>
            <w:vMerge w:val="restart"/>
            <w:tcBorders>
              <w:tl2br w:val="nil"/>
              <w:tr2bl w:val="nil"/>
            </w:tcBorders>
            <w:vAlign w:val="center"/>
          </w:tcPr>
          <w:p>
            <w:pPr>
              <w:pStyle w:val="83"/>
            </w:pPr>
            <w:r>
              <w:rPr>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1020"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不具备完善的危险废物贮存、运输、利用、处置设施和风险防控措施</w:t>
            </w:r>
          </w:p>
        </w:tc>
        <w:tc>
          <w:tcPr>
            <w:tcW w:w="426" w:type="pct"/>
            <w:tcBorders>
              <w:tl2br w:val="nil"/>
              <w:tr2bl w:val="nil"/>
            </w:tcBorders>
            <w:vAlign w:val="center"/>
          </w:tcPr>
          <w:p>
            <w:pPr>
              <w:pStyle w:val="83"/>
            </w:pPr>
            <w:r>
              <w:rPr>
                <w:lang w:bidi="ar"/>
              </w:rPr>
              <w:t>10</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restart"/>
            <w:tcBorders>
              <w:tl2br w:val="nil"/>
              <w:tr2bl w:val="nil"/>
            </w:tcBorders>
            <w:vAlign w:val="center"/>
          </w:tcPr>
          <w:p>
            <w:pPr>
              <w:pStyle w:val="83"/>
            </w:pPr>
            <w:r>
              <w:rPr>
                <w:lang w:bidi="ar"/>
              </w:rPr>
              <w:t>近3年内突发水环境事件发生情况</w:t>
            </w:r>
          </w:p>
        </w:tc>
        <w:tc>
          <w:tcPr>
            <w:tcW w:w="3541" w:type="pct"/>
            <w:tcBorders>
              <w:tl2br w:val="nil"/>
              <w:tr2bl w:val="nil"/>
            </w:tcBorders>
            <w:vAlign w:val="center"/>
          </w:tcPr>
          <w:p>
            <w:pPr>
              <w:pStyle w:val="83"/>
              <w:jc w:val="left"/>
            </w:pPr>
            <w:r>
              <w:rPr>
                <w:lang w:bidi="ar"/>
              </w:rPr>
              <w:t>发生过特别重大或重大等级突发水环境事件的</w:t>
            </w:r>
          </w:p>
        </w:tc>
        <w:tc>
          <w:tcPr>
            <w:tcW w:w="426" w:type="pct"/>
            <w:tcBorders>
              <w:tl2br w:val="nil"/>
              <w:tr2bl w:val="nil"/>
            </w:tcBorders>
            <w:vAlign w:val="center"/>
          </w:tcPr>
          <w:p>
            <w:pPr>
              <w:pStyle w:val="83"/>
            </w:pPr>
            <w:r>
              <w:rPr>
                <w:lang w:bidi="ar"/>
              </w:rPr>
              <w:t>8</w:t>
            </w:r>
          </w:p>
        </w:tc>
        <w:tc>
          <w:tcPr>
            <w:tcW w:w="392" w:type="pct"/>
            <w:vMerge w:val="restart"/>
            <w:tcBorders>
              <w:tl2br w:val="nil"/>
              <w:tr2bl w:val="nil"/>
            </w:tcBorders>
            <w:vAlign w:val="center"/>
          </w:tcPr>
          <w:p>
            <w:pPr>
              <w:pStyle w:val="83"/>
            </w:pPr>
            <w:r>
              <w:rPr>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发生过较大等级突发水环境事件的</w:t>
            </w:r>
          </w:p>
        </w:tc>
        <w:tc>
          <w:tcPr>
            <w:tcW w:w="426" w:type="pct"/>
            <w:tcBorders>
              <w:tl2br w:val="nil"/>
              <w:tr2bl w:val="nil"/>
            </w:tcBorders>
            <w:vAlign w:val="center"/>
          </w:tcPr>
          <w:p>
            <w:pPr>
              <w:pStyle w:val="83"/>
            </w:pPr>
            <w:r>
              <w:rPr>
                <w:lang w:bidi="ar"/>
              </w:rPr>
              <w:t>6</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发生过一般等级突发水环境事件的</w:t>
            </w:r>
          </w:p>
        </w:tc>
        <w:tc>
          <w:tcPr>
            <w:tcW w:w="426" w:type="pct"/>
            <w:tcBorders>
              <w:tl2br w:val="nil"/>
              <w:tr2bl w:val="nil"/>
            </w:tcBorders>
            <w:vAlign w:val="center"/>
          </w:tcPr>
          <w:p>
            <w:pPr>
              <w:pStyle w:val="83"/>
            </w:pPr>
            <w:r>
              <w:rPr>
                <w:lang w:bidi="ar"/>
              </w:rPr>
              <w:t>4</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vMerge w:val="continue"/>
            <w:tcBorders>
              <w:tl2br w:val="nil"/>
              <w:tr2bl w:val="nil"/>
            </w:tcBorders>
            <w:vAlign w:val="center"/>
          </w:tcPr>
          <w:p>
            <w:pPr>
              <w:pStyle w:val="83"/>
            </w:pPr>
          </w:p>
        </w:tc>
        <w:tc>
          <w:tcPr>
            <w:tcW w:w="3541" w:type="pct"/>
            <w:tcBorders>
              <w:tl2br w:val="nil"/>
              <w:tr2bl w:val="nil"/>
            </w:tcBorders>
            <w:vAlign w:val="center"/>
          </w:tcPr>
          <w:p>
            <w:pPr>
              <w:pStyle w:val="83"/>
              <w:jc w:val="left"/>
            </w:pPr>
            <w:r>
              <w:rPr>
                <w:lang w:bidi="ar"/>
              </w:rPr>
              <w:t>未发生突发水环境事件的</w:t>
            </w:r>
          </w:p>
        </w:tc>
        <w:tc>
          <w:tcPr>
            <w:tcW w:w="426" w:type="pct"/>
            <w:tcBorders>
              <w:tl2br w:val="nil"/>
              <w:tr2bl w:val="nil"/>
            </w:tcBorders>
            <w:vAlign w:val="center"/>
          </w:tcPr>
          <w:p>
            <w:pPr>
              <w:pStyle w:val="83"/>
            </w:pPr>
            <w:r>
              <w:rPr>
                <w:lang w:bidi="ar"/>
              </w:rPr>
              <w:t>0</w:t>
            </w:r>
          </w:p>
        </w:tc>
        <w:tc>
          <w:tcPr>
            <w:tcW w:w="392" w:type="pct"/>
            <w:vMerge w:val="continue"/>
            <w:tcBorders>
              <w:tl2br w:val="nil"/>
              <w:tr2bl w:val="nil"/>
            </w:tcBorders>
            <w:vAlign w:val="center"/>
          </w:tcPr>
          <w:p>
            <w:pPr>
              <w:pStyle w:val="83"/>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286" w:hRule="atLeast"/>
          <w:jc w:val="center"/>
        </w:trPr>
        <w:tc>
          <w:tcPr>
            <w:tcW w:w="639" w:type="pct"/>
            <w:tcBorders>
              <w:tl2br w:val="nil"/>
              <w:tr2bl w:val="nil"/>
            </w:tcBorders>
            <w:vAlign w:val="center"/>
          </w:tcPr>
          <w:p>
            <w:pPr>
              <w:pStyle w:val="83"/>
            </w:pPr>
            <w:r>
              <w:rPr>
                <w:rFonts w:hint="eastAsia"/>
              </w:rPr>
              <w:t>总分</w:t>
            </w:r>
          </w:p>
        </w:tc>
        <w:tc>
          <w:tcPr>
            <w:tcW w:w="4360" w:type="pct"/>
            <w:gridSpan w:val="3"/>
            <w:tcBorders>
              <w:tl2br w:val="nil"/>
              <w:tr2bl w:val="nil"/>
            </w:tcBorders>
            <w:vAlign w:val="center"/>
          </w:tcPr>
          <w:p>
            <w:pPr>
              <w:pStyle w:val="83"/>
              <w:rPr>
                <w:rFonts w:hint="default" w:eastAsia="宋体"/>
                <w:lang w:val="en-US" w:eastAsia="zh-CN"/>
              </w:rPr>
            </w:pPr>
            <w:r>
              <w:rPr>
                <w:rFonts w:hint="eastAsia"/>
                <w:lang w:val="en-US" w:eastAsia="zh-CN"/>
              </w:rPr>
              <w:t>38</w:t>
            </w:r>
          </w:p>
        </w:tc>
      </w:tr>
    </w:tbl>
    <w:p>
      <w:pPr>
        <w:pStyle w:val="90"/>
        <w:ind w:firstLine="480"/>
      </w:pPr>
      <w:r>
        <w:rPr>
          <w:rFonts w:hint="eastAsia"/>
        </w:rPr>
        <w:t>由于企业没有应急事故池事故池</w:t>
      </w:r>
      <w:r>
        <w:rPr>
          <w:rFonts w:hint="eastAsia"/>
          <w:lang w:bidi="ar"/>
        </w:rPr>
        <w:t>，污水经厂内污水处理站处理后排入市政管网至白水湖污水处理厂处理因此，评估本企业的该项得分为</w:t>
      </w:r>
      <w:r>
        <w:rPr>
          <w:rFonts w:hint="eastAsia"/>
          <w:lang w:val="en-US" w:eastAsia="zh-CN" w:bidi="ar"/>
        </w:rPr>
        <w:t>38</w:t>
      </w:r>
      <w:r>
        <w:rPr>
          <w:rFonts w:hint="eastAsia"/>
          <w:lang w:bidi="ar"/>
        </w:rPr>
        <w:t>。</w:t>
      </w:r>
    </w:p>
    <w:p>
      <w:pPr>
        <w:pStyle w:val="90"/>
        <w:ind w:firstLine="480"/>
      </w:pPr>
      <w:r>
        <w:t>将企业生产工艺过程、水环境风险防控措施及突发水环境事件发生情况各项指标评估分值累加，得出生产工艺过程与水环境风险控制水平值，按照表4划分为4个类型。</w:t>
      </w:r>
    </w:p>
    <w:p>
      <w:pPr>
        <w:pStyle w:val="82"/>
        <w:spacing w:before="163"/>
      </w:pPr>
      <w:r>
        <w:t>表3.4-</w:t>
      </w:r>
      <w:r>
        <w:rPr>
          <w:rFonts w:hint="eastAsia"/>
        </w:rPr>
        <w:t>2</w:t>
      </w:r>
      <w:r>
        <w:t xml:space="preserve"> 企业生产工艺过程与环境风险控制水平类型划分</w:t>
      </w:r>
    </w:p>
    <w:tbl>
      <w:tblPr>
        <w:tblStyle w:val="22"/>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75"/>
        <w:gridCol w:w="414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pct"/>
            <w:tcBorders>
              <w:bottom w:val="single" w:color="auto" w:sz="12" w:space="0"/>
            </w:tcBorders>
            <w:vAlign w:val="center"/>
          </w:tcPr>
          <w:p>
            <w:pPr>
              <w:pStyle w:val="83"/>
              <w:rPr>
                <w:b/>
                <w:bCs/>
              </w:rPr>
            </w:pPr>
            <w:r>
              <w:rPr>
                <w:b/>
                <w:bCs/>
              </w:rPr>
              <w:t>生产工艺过程与环境风险控制水平值</w:t>
            </w:r>
          </w:p>
        </w:tc>
        <w:tc>
          <w:tcPr>
            <w:tcW w:w="2375" w:type="pct"/>
            <w:tcBorders>
              <w:bottom w:val="single" w:color="auto" w:sz="12" w:space="0"/>
            </w:tcBorders>
            <w:vAlign w:val="center"/>
          </w:tcPr>
          <w:p>
            <w:pPr>
              <w:pStyle w:val="83"/>
              <w:rPr>
                <w:b/>
                <w:bCs/>
              </w:rPr>
            </w:pPr>
            <w:r>
              <w:rPr>
                <w:b/>
                <w:bCs/>
              </w:rPr>
              <w:t>生产工艺过程与环境风险控制水平类型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pct"/>
            <w:tcBorders>
              <w:top w:val="single" w:color="auto" w:sz="12" w:space="0"/>
              <w:tl2br w:val="nil"/>
              <w:tr2bl w:val="nil"/>
            </w:tcBorders>
          </w:tcPr>
          <w:p>
            <w:pPr>
              <w:pStyle w:val="83"/>
            </w:pPr>
            <w:r>
              <w:t>M</w:t>
            </w:r>
            <w:r>
              <w:rPr>
                <w:highlight w:val="none"/>
              </w:rPr>
              <w:t>＜</w:t>
            </w:r>
            <w:r>
              <w:t>25</w:t>
            </w:r>
          </w:p>
        </w:tc>
        <w:tc>
          <w:tcPr>
            <w:tcW w:w="2375" w:type="pct"/>
            <w:tcBorders>
              <w:top w:val="single" w:color="auto" w:sz="12" w:space="0"/>
              <w:tl2br w:val="nil"/>
              <w:tr2bl w:val="nil"/>
            </w:tcBorders>
          </w:tcPr>
          <w:p>
            <w:pPr>
              <w:pStyle w:val="83"/>
            </w:pPr>
            <w:r>
              <w:t>M1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pct"/>
            <w:tcBorders>
              <w:tl2br w:val="nil"/>
              <w:tr2bl w:val="nil"/>
            </w:tcBorders>
          </w:tcPr>
          <w:p>
            <w:pPr>
              <w:pStyle w:val="83"/>
            </w:pPr>
            <w:r>
              <w:t>25≤M</w:t>
            </w:r>
            <w:r>
              <w:rPr>
                <w:highlight w:val="none"/>
              </w:rPr>
              <w:t>＜</w:t>
            </w:r>
            <w:r>
              <w:t>45</w:t>
            </w:r>
          </w:p>
        </w:tc>
        <w:tc>
          <w:tcPr>
            <w:tcW w:w="2375" w:type="pct"/>
            <w:tcBorders>
              <w:tl2br w:val="nil"/>
              <w:tr2bl w:val="nil"/>
            </w:tcBorders>
          </w:tcPr>
          <w:p>
            <w:pPr>
              <w:pStyle w:val="83"/>
            </w:pPr>
            <w:r>
              <w:t>M2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pct"/>
            <w:tcBorders>
              <w:tl2br w:val="nil"/>
              <w:tr2bl w:val="nil"/>
            </w:tcBorders>
          </w:tcPr>
          <w:p>
            <w:pPr>
              <w:pStyle w:val="83"/>
            </w:pPr>
            <w:r>
              <w:t>45≤M</w:t>
            </w:r>
            <w:r>
              <w:rPr>
                <w:highlight w:val="none"/>
              </w:rPr>
              <w:t>＜</w:t>
            </w:r>
            <w:r>
              <w:t>65</w:t>
            </w:r>
          </w:p>
        </w:tc>
        <w:tc>
          <w:tcPr>
            <w:tcW w:w="2375" w:type="pct"/>
            <w:tcBorders>
              <w:tl2br w:val="nil"/>
              <w:tr2bl w:val="nil"/>
            </w:tcBorders>
          </w:tcPr>
          <w:p>
            <w:pPr>
              <w:pStyle w:val="83"/>
            </w:pPr>
            <w:r>
              <w:t>M3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24" w:type="pct"/>
            <w:tcBorders>
              <w:tl2br w:val="nil"/>
              <w:tr2bl w:val="nil"/>
            </w:tcBorders>
          </w:tcPr>
          <w:p>
            <w:pPr>
              <w:pStyle w:val="83"/>
            </w:pPr>
            <w:r>
              <w:t>M≥65</w:t>
            </w:r>
          </w:p>
        </w:tc>
        <w:tc>
          <w:tcPr>
            <w:tcW w:w="2375" w:type="pct"/>
            <w:tcBorders>
              <w:tl2br w:val="nil"/>
              <w:tr2bl w:val="nil"/>
            </w:tcBorders>
          </w:tcPr>
          <w:p>
            <w:pPr>
              <w:pStyle w:val="83"/>
            </w:pPr>
            <w:r>
              <w:t>M4</w:t>
            </w:r>
          </w:p>
        </w:tc>
      </w:tr>
    </w:tbl>
    <w:p>
      <w:pPr>
        <w:pStyle w:val="90"/>
        <w:ind w:firstLine="480"/>
      </w:pPr>
      <w:r>
        <w:t>由上表可知，本项目属于M</w:t>
      </w:r>
      <w:bookmarkStart w:id="256" w:name="_Toc28962"/>
      <w:bookmarkStart w:id="257" w:name="_Toc37600050"/>
      <w:bookmarkStart w:id="258" w:name="_Toc7209"/>
      <w:r>
        <w:rPr>
          <w:rFonts w:hint="eastAsia"/>
          <w:lang w:val="en-US" w:eastAsia="zh-CN"/>
        </w:rPr>
        <w:t>2</w:t>
      </w:r>
      <w:r>
        <w:rPr>
          <w:rFonts w:hint="eastAsia"/>
        </w:rPr>
        <w:t>。</w:t>
      </w:r>
    </w:p>
    <w:p>
      <w:pPr>
        <w:pStyle w:val="6"/>
        <w:bidi w:val="0"/>
      </w:pPr>
      <w:r>
        <w:t>3.4.3 确定水环境风险受体类型（E）</w:t>
      </w:r>
      <w:bookmarkEnd w:id="256"/>
      <w:bookmarkEnd w:id="257"/>
      <w:bookmarkEnd w:id="258"/>
    </w:p>
    <w:p>
      <w:pPr>
        <w:pStyle w:val="90"/>
        <w:ind w:firstLine="480"/>
      </w:pPr>
      <w:r>
        <w:t>按照水环境风险受体敏感程度，同时考虑河流跨界的情况和可能造成土壤污染的情况，将水环境受体敏感程度类型划分为类型1、类型2和类型3，分别以E1、E2和E3表示，见表3.4</w:t>
      </w:r>
      <w:r>
        <w:rPr>
          <w:rFonts w:hint="eastAsia"/>
          <w:lang w:val="en-US" w:eastAsia="zh-CN"/>
        </w:rPr>
        <w:t>.3</w:t>
      </w:r>
      <w:r>
        <w:t>-</w:t>
      </w:r>
      <w:r>
        <w:rPr>
          <w:rFonts w:hint="eastAsia"/>
          <w:lang w:val="en-US" w:eastAsia="zh-CN"/>
        </w:rPr>
        <w:t>1</w:t>
      </w:r>
      <w:r>
        <w:t>。</w:t>
      </w:r>
    </w:p>
    <w:p>
      <w:pPr>
        <w:pStyle w:val="90"/>
        <w:ind w:firstLine="480"/>
      </w:pPr>
      <w:r>
        <w:t>水环境风险受体敏感程度按类型1、类型2和类型3以此降低。若企业周边存在多种敏感程度类型的水环境风险受体，则按敏感程度高者确定企业水环境风险受体敏感程度类型。</w:t>
      </w:r>
    </w:p>
    <w:p>
      <w:pPr>
        <w:pStyle w:val="82"/>
        <w:spacing w:before="163"/>
      </w:pPr>
      <w:bookmarkStart w:id="259" w:name="_Toc19386_WPSOffice_Level1"/>
      <w:r>
        <w:t>表3.4</w:t>
      </w:r>
      <w:r>
        <w:rPr>
          <w:rFonts w:hint="eastAsia"/>
          <w:lang w:val="en-US" w:eastAsia="zh-CN"/>
        </w:rPr>
        <w:t>.3</w:t>
      </w:r>
      <w:r>
        <w:t>-</w:t>
      </w:r>
      <w:r>
        <w:rPr>
          <w:rFonts w:hint="eastAsia"/>
          <w:lang w:val="en-US" w:eastAsia="zh-CN"/>
        </w:rPr>
        <w:t>1</w:t>
      </w:r>
      <w:r>
        <w:t xml:space="preserve"> 水环境风险受体敏感程度类型划分</w:t>
      </w:r>
      <w:bookmarkEnd w:id="259"/>
    </w:p>
    <w:p>
      <w:r>
        <w:drawing>
          <wp:inline distT="0" distB="0" distL="114300" distR="114300">
            <wp:extent cx="5342255" cy="3564255"/>
            <wp:effectExtent l="9525" t="9525" r="20320" b="2667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18"/>
                    <a:stretch>
                      <a:fillRect/>
                    </a:stretch>
                  </pic:blipFill>
                  <pic:spPr>
                    <a:xfrm>
                      <a:off x="0" y="0"/>
                      <a:ext cx="5342255" cy="3564255"/>
                    </a:xfrm>
                    <a:prstGeom prst="rect">
                      <a:avLst/>
                    </a:prstGeom>
                    <a:noFill/>
                    <a:ln>
                      <a:solidFill>
                        <a:schemeClr val="tx1"/>
                      </a:solidFill>
                    </a:ln>
                  </pic:spPr>
                </pic:pic>
              </a:graphicData>
            </a:graphic>
          </wp:inline>
        </w:drawing>
      </w:r>
    </w:p>
    <w:p>
      <w:pPr>
        <w:pStyle w:val="90"/>
        <w:ind w:firstLine="480"/>
        <w:rPr>
          <w:rStyle w:val="28"/>
        </w:rPr>
      </w:pPr>
      <w:r>
        <w:t>本项目污水</w:t>
      </w:r>
      <w:r>
        <w:rPr>
          <w:rFonts w:hint="eastAsia"/>
        </w:rPr>
        <w:t>排入白水湖污水处理厂，白水湖污水处理厂</w:t>
      </w:r>
      <w:r>
        <w:t>排到</w:t>
      </w:r>
      <w:r>
        <w:rPr>
          <w:rFonts w:hint="eastAsia"/>
        </w:rPr>
        <w:t>赣江北支</w:t>
      </w:r>
      <w:r>
        <w:t>，企业水环境受体敏感程度为E</w:t>
      </w:r>
      <w:r>
        <w:rPr>
          <w:rFonts w:hint="eastAsia"/>
        </w:rPr>
        <w:t>3</w:t>
      </w:r>
      <w:r>
        <w:t>。</w:t>
      </w:r>
    </w:p>
    <w:p>
      <w:pPr>
        <w:pStyle w:val="6"/>
        <w:bidi w:val="0"/>
      </w:pPr>
      <w:bookmarkStart w:id="260" w:name="_Toc8955"/>
      <w:bookmarkStart w:id="261" w:name="_Toc32234"/>
      <w:bookmarkStart w:id="262" w:name="_Toc37600051"/>
      <w:r>
        <w:t>3.4.</w:t>
      </w:r>
      <w:r>
        <w:rPr>
          <w:rFonts w:hint="eastAsia"/>
        </w:rPr>
        <w:t>4</w:t>
      </w:r>
      <w:r>
        <w:t xml:space="preserve"> </w:t>
      </w:r>
      <w:r>
        <w:rPr>
          <w:rFonts w:hint="eastAsia"/>
        </w:rPr>
        <w:t>突发水环境风险等级确定</w:t>
      </w:r>
      <w:bookmarkEnd w:id="260"/>
      <w:bookmarkEnd w:id="261"/>
      <w:bookmarkEnd w:id="262"/>
    </w:p>
    <w:p>
      <w:pPr>
        <w:pStyle w:val="90"/>
        <w:ind w:firstLine="480"/>
        <w:rPr>
          <w:lang w:val="zh-CN"/>
        </w:rPr>
      </w:pPr>
      <w:r>
        <w:rPr>
          <w:lang w:val="zh-CN"/>
        </w:rPr>
        <w:t>根据企业周边水环境风险受体敏感程度（E）、涉水风险物质数量与临界量比值（Q）和生产工艺过程与水环境风险控制水平（M），按照表</w:t>
      </w:r>
      <w:r>
        <w:rPr>
          <w:rFonts w:hint="eastAsia"/>
        </w:rPr>
        <w:t>3.1-2</w:t>
      </w:r>
      <w:r>
        <w:rPr>
          <w:lang w:val="zh-CN"/>
        </w:rPr>
        <w:t>确定企业突发水环境事件风险等级。</w:t>
      </w:r>
    </w:p>
    <w:p>
      <w:pPr>
        <w:pStyle w:val="90"/>
        <w:ind w:firstLine="480"/>
        <w:rPr>
          <w:lang w:val="zh-CN"/>
        </w:rPr>
      </w:pPr>
      <w:r>
        <w:rPr>
          <w:lang w:val="zh-CN"/>
        </w:rPr>
        <w:t>根据《企业突发环境事件风险分级方法》（HJ941-2018），企业突发水环境事件风险等级表征分为两种情况：</w:t>
      </w:r>
    </w:p>
    <w:p>
      <w:pPr>
        <w:pStyle w:val="90"/>
        <w:ind w:firstLine="480"/>
        <w:rPr>
          <w:lang w:val="zh-CN"/>
        </w:rPr>
      </w:pPr>
      <w:r>
        <w:rPr>
          <w:lang w:val="zh-CN"/>
        </w:rPr>
        <w:t>（1）Q</w:t>
      </w:r>
      <w:r>
        <w:rPr>
          <w:highlight w:val="none"/>
          <w:lang w:val="zh-CN"/>
        </w:rPr>
        <w:t>＜</w:t>
      </w:r>
      <w:r>
        <w:rPr>
          <w:lang w:val="zh-CN"/>
        </w:rPr>
        <w:t>1时，企业突发水环境事件风险等级表示为“一般-水（Q0）”。</w:t>
      </w:r>
    </w:p>
    <w:p>
      <w:pPr>
        <w:pStyle w:val="90"/>
        <w:ind w:firstLine="480"/>
        <w:rPr>
          <w:lang w:val="zh-CN"/>
        </w:rPr>
      </w:pPr>
      <w:r>
        <w:rPr>
          <w:lang w:val="zh-CN"/>
        </w:rPr>
        <w:t>（2）Q≥1时，企业突发水环境事件风险等级表示为“环境风险等级-水（Q水平-M类型-E类型）”。</w:t>
      </w:r>
    </w:p>
    <w:p>
      <w:pPr>
        <w:pStyle w:val="90"/>
        <w:ind w:firstLine="480"/>
        <w:rPr>
          <w:lang w:val="zh-CN"/>
        </w:rPr>
      </w:pPr>
      <w:r>
        <w:rPr>
          <w:lang w:val="zh-CN"/>
        </w:rPr>
        <w:t>综上所述，因</w:t>
      </w:r>
      <w:r>
        <w:t>南昌</w:t>
      </w:r>
      <w:r>
        <w:rPr>
          <w:rFonts w:hint="eastAsia"/>
        </w:rPr>
        <w:t>瀛宇金属制品</w:t>
      </w:r>
      <w:r>
        <w:t>有限公司</w:t>
      </w:r>
      <w:r>
        <w:rPr>
          <w:lang w:val="zh-CN"/>
        </w:rPr>
        <w:t>水涉水风险物质</w:t>
      </w:r>
      <w:r>
        <w:rPr>
          <w:rFonts w:hint="eastAsia"/>
          <w:color w:val="000000" w:themeColor="text1"/>
          <w:lang w:val="zh-CN"/>
          <w14:textFill>
            <w14:solidFill>
              <w14:schemeClr w14:val="tx1"/>
            </w14:solidFill>
          </w14:textFill>
        </w:rPr>
        <w:t>Q=0.008004</w:t>
      </w:r>
      <w:r>
        <w:rPr>
          <w:rFonts w:hint="eastAsia"/>
          <w:color w:val="FF0000"/>
        </w:rPr>
        <w:t>.</w:t>
      </w:r>
      <w:r>
        <w:rPr>
          <w:lang w:val="zh-CN"/>
        </w:rPr>
        <w:t>，Q</w:t>
      </w:r>
      <w:r>
        <w:rPr>
          <w:highlight w:val="none"/>
          <w:lang w:val="zh-CN"/>
        </w:rPr>
        <w:t>＜</w:t>
      </w:r>
      <w:r>
        <w:rPr>
          <w:lang w:val="zh-CN"/>
        </w:rPr>
        <w:t>1</w:t>
      </w:r>
      <w:r>
        <w:rPr>
          <w:rFonts w:hint="eastAsia"/>
        </w:rPr>
        <w:t>，</w:t>
      </w:r>
      <w:r>
        <w:rPr>
          <w:lang w:val="zh-CN"/>
        </w:rPr>
        <w:t>所以</w:t>
      </w:r>
      <w:r>
        <w:t>南昌</w:t>
      </w:r>
      <w:r>
        <w:rPr>
          <w:rFonts w:hint="eastAsia"/>
        </w:rPr>
        <w:t>瀛宇金属制品</w:t>
      </w:r>
      <w:r>
        <w:t>有限公司</w:t>
      </w:r>
      <w:r>
        <w:rPr>
          <w:lang w:val="zh-CN"/>
        </w:rPr>
        <w:t>突发水环境事件风险等级为“一般-水（Q</w:t>
      </w:r>
      <w:r>
        <w:rPr>
          <w:rFonts w:hint="eastAsia"/>
        </w:rPr>
        <w:t>0</w:t>
      </w:r>
      <w:r>
        <w:rPr>
          <w:lang w:val="zh-CN"/>
        </w:rPr>
        <w:t>）”。</w:t>
      </w:r>
    </w:p>
    <w:p>
      <w:pPr>
        <w:pStyle w:val="5"/>
        <w:bidi w:val="0"/>
      </w:pPr>
      <w:bookmarkStart w:id="263" w:name="_Toc2056"/>
      <w:bookmarkStart w:id="264" w:name="_Toc3800"/>
      <w:bookmarkStart w:id="265" w:name="_Toc5566"/>
      <w:bookmarkStart w:id="266" w:name="_Toc6889"/>
      <w:bookmarkStart w:id="267" w:name="_Toc37600052"/>
      <w:bookmarkStart w:id="268" w:name="_Toc4436"/>
      <w:r>
        <w:t>3.</w:t>
      </w:r>
      <w:r>
        <w:rPr>
          <w:rFonts w:hint="eastAsia"/>
        </w:rPr>
        <w:t>5</w:t>
      </w:r>
      <w:r>
        <w:t xml:space="preserve"> 环境风险等级</w:t>
      </w:r>
      <w:bookmarkEnd w:id="263"/>
      <w:bookmarkEnd w:id="264"/>
      <w:bookmarkEnd w:id="265"/>
      <w:bookmarkEnd w:id="266"/>
      <w:bookmarkEnd w:id="267"/>
      <w:bookmarkEnd w:id="268"/>
    </w:p>
    <w:p>
      <w:pPr>
        <w:pStyle w:val="90"/>
        <w:ind w:firstLine="480"/>
        <w:rPr>
          <w:b/>
          <w:bCs/>
        </w:rPr>
      </w:pPr>
      <w:r>
        <w:t>由《</w:t>
      </w:r>
      <w:r>
        <w:rPr>
          <w:rFonts w:hint="eastAsia"/>
        </w:rPr>
        <w:t>南昌瀛宇金属制品有限公司</w:t>
      </w:r>
      <w:r>
        <w:t>环境风险评估报告》可知，</w:t>
      </w:r>
      <w:r>
        <w:rPr>
          <w:rFonts w:hint="eastAsia"/>
        </w:rPr>
        <w:t>企业同时涉及突发大气和水环境事件风险的企业</w:t>
      </w:r>
      <w:r>
        <w:t>，风险等级表示为</w:t>
      </w:r>
      <w:r>
        <w:rPr>
          <w:rFonts w:hint="eastAsia"/>
        </w:rPr>
        <w:t>“一般</w:t>
      </w:r>
      <w:r>
        <w:t>-大气（Q</w:t>
      </w:r>
      <w:r>
        <w:rPr>
          <w:rFonts w:hint="eastAsia"/>
        </w:rPr>
        <w:t>0</w:t>
      </w:r>
      <w:r>
        <w:t>）+一般-水（Q</w:t>
      </w:r>
      <w:r>
        <w:rPr>
          <w:rFonts w:hint="eastAsia"/>
        </w:rPr>
        <w:t>0</w:t>
      </w:r>
      <w:r>
        <w:t>）</w:t>
      </w:r>
      <w:r>
        <w:rPr>
          <w:rFonts w:hint="eastAsia"/>
        </w:rPr>
        <w:t>”</w:t>
      </w:r>
      <w:r>
        <w:t>。</w:t>
      </w:r>
    </w:p>
    <w:p>
      <w:pPr>
        <w:pStyle w:val="5"/>
        <w:bidi w:val="0"/>
      </w:pPr>
      <w:bookmarkStart w:id="269" w:name="_Toc37600053"/>
      <w:bookmarkStart w:id="270" w:name="_Toc18966"/>
      <w:bookmarkStart w:id="271" w:name="_Toc10581"/>
      <w:bookmarkStart w:id="272" w:name="_Toc30887"/>
      <w:bookmarkStart w:id="273" w:name="_Toc11083"/>
      <w:bookmarkStart w:id="274" w:name="_Toc8367"/>
      <w:r>
        <w:t>3.</w:t>
      </w:r>
      <w:r>
        <w:rPr>
          <w:rFonts w:hint="eastAsia"/>
        </w:rPr>
        <w:t>6</w:t>
      </w:r>
      <w:r>
        <w:t xml:space="preserve"> 环境风险单元</w:t>
      </w:r>
      <w:bookmarkEnd w:id="269"/>
      <w:bookmarkEnd w:id="270"/>
      <w:bookmarkEnd w:id="271"/>
      <w:bookmarkEnd w:id="272"/>
      <w:bookmarkEnd w:id="273"/>
      <w:bookmarkEnd w:id="274"/>
    </w:p>
    <w:p>
      <w:pPr>
        <w:pStyle w:val="6"/>
        <w:bidi w:val="0"/>
      </w:pPr>
      <w:bookmarkStart w:id="275" w:name="_Toc7080"/>
      <w:bookmarkStart w:id="276" w:name="_Toc7248"/>
      <w:bookmarkStart w:id="277" w:name="_Toc37600054"/>
      <w:bookmarkStart w:id="278" w:name="_Toc10170"/>
      <w:r>
        <w:t>3.</w:t>
      </w:r>
      <w:r>
        <w:rPr>
          <w:rFonts w:hint="eastAsia"/>
        </w:rPr>
        <w:t>6</w:t>
      </w:r>
      <w:r>
        <w:t>.1 本公司主要污染物种类及污染源见表2.</w:t>
      </w:r>
      <w:r>
        <w:rPr>
          <w:rFonts w:hint="eastAsia"/>
        </w:rPr>
        <w:t>6</w:t>
      </w:r>
      <w:r>
        <w:t>.1-1。</w:t>
      </w:r>
      <w:bookmarkEnd w:id="275"/>
      <w:bookmarkEnd w:id="276"/>
      <w:bookmarkEnd w:id="277"/>
      <w:bookmarkEnd w:id="278"/>
    </w:p>
    <w:p>
      <w:pPr>
        <w:pStyle w:val="6"/>
        <w:bidi w:val="0"/>
      </w:pPr>
      <w:bookmarkStart w:id="279" w:name="_Toc37600055"/>
      <w:bookmarkStart w:id="280" w:name="_Toc32152"/>
      <w:bookmarkStart w:id="281" w:name="_Toc31451"/>
      <w:bookmarkStart w:id="282" w:name="_Toc696"/>
      <w:r>
        <w:t>3.</w:t>
      </w:r>
      <w:r>
        <w:rPr>
          <w:rFonts w:hint="eastAsia"/>
        </w:rPr>
        <w:t>6</w:t>
      </w:r>
      <w:r>
        <w:t>.2 生产工艺及重大危险源辨识结果</w:t>
      </w:r>
      <w:bookmarkEnd w:id="279"/>
      <w:bookmarkEnd w:id="280"/>
      <w:bookmarkEnd w:id="281"/>
      <w:bookmarkEnd w:id="282"/>
    </w:p>
    <w:p>
      <w:pPr>
        <w:pStyle w:val="90"/>
        <w:ind w:firstLine="480"/>
      </w:pPr>
      <w:bookmarkStart w:id="283" w:name="_Toc401227244"/>
      <w:bookmarkStart w:id="284" w:name="_Toc23371"/>
      <w:r>
        <w:t>企业生产工艺及重大危险源辨识结果见表3.1-</w:t>
      </w:r>
      <w:r>
        <w:rPr>
          <w:rFonts w:hint="eastAsia"/>
          <w:lang w:val="en-US" w:eastAsia="zh-CN"/>
        </w:rPr>
        <w:t>2</w:t>
      </w:r>
      <w:r>
        <w:t>，本项目所有危险化学品贮存量与临界量的比值之和</w:t>
      </w:r>
      <w:r>
        <w:rPr>
          <w:rFonts w:hint="eastAsia" w:cs="Times New Roman"/>
        </w:rPr>
        <w:t>0.008004，</w:t>
      </w:r>
      <w:r>
        <w:rPr>
          <w:rFonts w:hint="eastAsia"/>
        </w:rPr>
        <w:t>小</w:t>
      </w:r>
      <w:r>
        <w:t>于1，</w:t>
      </w:r>
      <w:r>
        <w:rPr>
          <w:rFonts w:hint="eastAsia"/>
        </w:rPr>
        <w:t>不构成重大危险源</w:t>
      </w:r>
      <w:r>
        <w:t>。</w:t>
      </w:r>
    </w:p>
    <w:p>
      <w:pPr>
        <w:pStyle w:val="6"/>
        <w:bidi w:val="0"/>
      </w:pPr>
      <w:bookmarkStart w:id="285" w:name="_Toc19952"/>
      <w:bookmarkStart w:id="286" w:name="_Toc134"/>
      <w:bookmarkStart w:id="287" w:name="_Toc37600056"/>
      <w:bookmarkStart w:id="288" w:name="_Toc6385"/>
      <w:r>
        <w:t>3.</w:t>
      </w:r>
      <w:bookmarkEnd w:id="283"/>
      <w:r>
        <w:rPr>
          <w:rFonts w:hint="eastAsia"/>
        </w:rPr>
        <w:t>6</w:t>
      </w:r>
      <w:r>
        <w:t>.3 厂区可能发生的环境事件</w:t>
      </w:r>
      <w:bookmarkEnd w:id="284"/>
      <w:bookmarkEnd w:id="285"/>
      <w:bookmarkEnd w:id="286"/>
      <w:bookmarkEnd w:id="287"/>
      <w:bookmarkEnd w:id="288"/>
    </w:p>
    <w:p>
      <w:pPr>
        <w:pStyle w:val="90"/>
        <w:ind w:firstLine="480"/>
      </w:pPr>
      <w:r>
        <w:t>通过对企业风险物质及风险装置</w:t>
      </w:r>
      <w:r>
        <w:rPr>
          <w:highlight w:val="none"/>
        </w:rPr>
        <w:t>的风险</w:t>
      </w:r>
      <w:r>
        <w:t>识别，存在的发生突发性环境污染事件威胁的潜在事件类型可以概括为以下：生产装置及储运系统风险物质的泄漏</w:t>
      </w:r>
      <w:r>
        <w:rPr>
          <w:rFonts w:hint="eastAsia"/>
        </w:rPr>
        <w:t>、</w:t>
      </w:r>
      <w:r>
        <w:t>火灾</w:t>
      </w:r>
      <w:r>
        <w:rPr>
          <w:rFonts w:hint="eastAsia"/>
        </w:rPr>
        <w:t>爆炸</w:t>
      </w:r>
      <w:r>
        <w:t>影响。根据风险识别从物质风险性、装置生产情况、防控措施综合分析确定事故情景</w:t>
      </w:r>
      <w:r>
        <w:rPr>
          <w:rFonts w:hint="eastAsia"/>
        </w:rPr>
        <w:t>：</w:t>
      </w:r>
    </w:p>
    <w:p>
      <w:pPr>
        <w:pStyle w:val="90"/>
        <w:ind w:firstLine="480"/>
        <w:rPr>
          <w:b/>
          <w:bCs/>
        </w:rPr>
      </w:pPr>
      <w:r>
        <w:t>企业环境事件情景分析见表3.</w:t>
      </w:r>
      <w:r>
        <w:rPr>
          <w:rFonts w:hint="eastAsia"/>
        </w:rPr>
        <w:t>6</w:t>
      </w:r>
      <w:r>
        <w:rPr>
          <w:rFonts w:hint="eastAsia"/>
          <w:lang w:val="en-US" w:eastAsia="zh-CN"/>
        </w:rPr>
        <w:t>.3</w:t>
      </w:r>
      <w:r>
        <w:t>-1。</w:t>
      </w:r>
      <w:bookmarkStart w:id="289" w:name="_Toc6986_WPSOffice_Level2"/>
    </w:p>
    <w:p>
      <w:pPr>
        <w:pStyle w:val="82"/>
        <w:spacing w:before="163"/>
      </w:pPr>
      <w:r>
        <w:t>表3.</w:t>
      </w:r>
      <w:r>
        <w:rPr>
          <w:rFonts w:hint="eastAsia"/>
        </w:rPr>
        <w:t>6</w:t>
      </w:r>
      <w:r>
        <w:rPr>
          <w:rFonts w:hint="eastAsia"/>
          <w:lang w:val="en-US" w:eastAsia="zh-CN"/>
        </w:rPr>
        <w:t>.3</w:t>
      </w:r>
      <w:r>
        <w:t>-1 突发环境事件情景分析</w:t>
      </w:r>
      <w:bookmarkEnd w:id="289"/>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03"/>
        <w:gridCol w:w="1536"/>
        <w:gridCol w:w="2176"/>
        <w:gridCol w:w="2201"/>
        <w:gridCol w:w="220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6" w:type="pct"/>
            <w:tcBorders>
              <w:bottom w:val="single" w:color="auto" w:sz="12" w:space="0"/>
            </w:tcBorders>
            <w:vAlign w:val="center"/>
          </w:tcPr>
          <w:p>
            <w:pPr>
              <w:pStyle w:val="83"/>
              <w:rPr>
                <w:b/>
              </w:rPr>
            </w:pPr>
            <w:r>
              <w:rPr>
                <w:rFonts w:hint="eastAsia"/>
                <w:b/>
              </w:rPr>
              <w:t>单元</w:t>
            </w:r>
          </w:p>
        </w:tc>
        <w:tc>
          <w:tcPr>
            <w:tcW w:w="881" w:type="pct"/>
            <w:tcBorders>
              <w:bottom w:val="single" w:color="auto" w:sz="12" w:space="0"/>
            </w:tcBorders>
            <w:vAlign w:val="center"/>
          </w:tcPr>
          <w:p>
            <w:pPr>
              <w:pStyle w:val="83"/>
              <w:rPr>
                <w:b/>
              </w:rPr>
            </w:pPr>
            <w:r>
              <w:rPr>
                <w:b/>
              </w:rPr>
              <w:t>情景假设</w:t>
            </w:r>
          </w:p>
        </w:tc>
        <w:tc>
          <w:tcPr>
            <w:tcW w:w="1248" w:type="pct"/>
            <w:tcBorders>
              <w:bottom w:val="single" w:color="auto" w:sz="12" w:space="0"/>
            </w:tcBorders>
            <w:vAlign w:val="center"/>
          </w:tcPr>
          <w:p>
            <w:pPr>
              <w:pStyle w:val="83"/>
              <w:rPr>
                <w:b/>
              </w:rPr>
            </w:pPr>
            <w:r>
              <w:rPr>
                <w:b/>
              </w:rPr>
              <w:t>事故诱因</w:t>
            </w:r>
          </w:p>
        </w:tc>
        <w:tc>
          <w:tcPr>
            <w:tcW w:w="1262" w:type="pct"/>
            <w:tcBorders>
              <w:bottom w:val="single" w:color="auto" w:sz="12" w:space="0"/>
            </w:tcBorders>
            <w:vAlign w:val="center"/>
          </w:tcPr>
          <w:p>
            <w:pPr>
              <w:pStyle w:val="83"/>
              <w:rPr>
                <w:b/>
              </w:rPr>
            </w:pPr>
            <w:r>
              <w:rPr>
                <w:b/>
              </w:rPr>
              <w:t>结果</w:t>
            </w:r>
          </w:p>
        </w:tc>
        <w:tc>
          <w:tcPr>
            <w:tcW w:w="1261" w:type="pct"/>
            <w:tcBorders>
              <w:bottom w:val="single" w:color="auto" w:sz="12" w:space="0"/>
            </w:tcBorders>
            <w:vAlign w:val="center"/>
          </w:tcPr>
          <w:p>
            <w:pPr>
              <w:pStyle w:val="83"/>
              <w:rPr>
                <w:b/>
              </w:rPr>
            </w:pPr>
            <w:r>
              <w:rPr>
                <w:rFonts w:hint="eastAsia"/>
                <w:b/>
              </w:rPr>
              <w:t>防范措施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6" w:type="pct"/>
            <w:tcBorders>
              <w:top w:val="single" w:color="auto" w:sz="12" w:space="0"/>
              <w:tl2br w:val="nil"/>
              <w:tr2bl w:val="nil"/>
            </w:tcBorders>
            <w:vAlign w:val="center"/>
          </w:tcPr>
          <w:p>
            <w:pPr>
              <w:pStyle w:val="83"/>
            </w:pPr>
            <w:r>
              <w:rPr>
                <w:rFonts w:hint="eastAsia"/>
              </w:rPr>
              <w:t>原辅料储存库</w:t>
            </w:r>
          </w:p>
        </w:tc>
        <w:tc>
          <w:tcPr>
            <w:tcW w:w="881" w:type="pct"/>
            <w:tcBorders>
              <w:top w:val="single" w:color="auto" w:sz="12" w:space="0"/>
              <w:tl2br w:val="nil"/>
              <w:tr2bl w:val="nil"/>
            </w:tcBorders>
            <w:vAlign w:val="center"/>
          </w:tcPr>
          <w:p>
            <w:pPr>
              <w:pStyle w:val="83"/>
            </w:pPr>
            <w:r>
              <w:rPr>
                <w:rFonts w:hint="eastAsia"/>
              </w:rPr>
              <w:t>储存，运输、</w:t>
            </w:r>
            <w:r>
              <w:t>泄漏事故</w:t>
            </w:r>
          </w:p>
        </w:tc>
        <w:tc>
          <w:tcPr>
            <w:tcW w:w="1248" w:type="pct"/>
            <w:tcBorders>
              <w:top w:val="single" w:color="auto" w:sz="12" w:space="0"/>
              <w:tl2br w:val="nil"/>
              <w:tr2bl w:val="nil"/>
            </w:tcBorders>
            <w:vAlign w:val="center"/>
          </w:tcPr>
          <w:p>
            <w:pPr>
              <w:pStyle w:val="83"/>
            </w:pPr>
            <w:r>
              <w:t>1、</w:t>
            </w:r>
            <w:r>
              <w:rPr>
                <w:rFonts w:hint="eastAsia"/>
              </w:rPr>
              <w:t>未执行存放规章，乱摆乱放导致倾倒泄露等</w:t>
            </w:r>
          </w:p>
          <w:p>
            <w:pPr>
              <w:pStyle w:val="83"/>
            </w:pPr>
            <w:r>
              <w:rPr>
                <w:rFonts w:hint="eastAsia"/>
              </w:rPr>
              <w:t>2</w:t>
            </w:r>
            <w:r>
              <w:t>、未执行操作规程（装卸、输送、安装等）、火源未严格管理、工具使用不当</w:t>
            </w:r>
            <w:r>
              <w:rPr>
                <w:rFonts w:hint="eastAsia"/>
              </w:rPr>
              <w:t>等</w:t>
            </w:r>
          </w:p>
        </w:tc>
        <w:tc>
          <w:tcPr>
            <w:tcW w:w="1262" w:type="pct"/>
            <w:tcBorders>
              <w:top w:val="single" w:color="auto" w:sz="12" w:space="0"/>
              <w:tl2br w:val="nil"/>
              <w:tr2bl w:val="nil"/>
            </w:tcBorders>
            <w:vAlign w:val="center"/>
          </w:tcPr>
          <w:p>
            <w:pPr>
              <w:pStyle w:val="83"/>
            </w:pPr>
            <w:r>
              <w:rPr>
                <w:rFonts w:hint="eastAsia"/>
              </w:rPr>
              <w:t>由于原辅料乱摆乱放、运输不规范等因素引起原辅料外泄，污染环境。</w:t>
            </w:r>
          </w:p>
        </w:tc>
        <w:tc>
          <w:tcPr>
            <w:tcW w:w="1261" w:type="pct"/>
            <w:tcBorders>
              <w:top w:val="single" w:color="auto" w:sz="12" w:space="0"/>
              <w:tl2br w:val="nil"/>
              <w:tr2bl w:val="nil"/>
            </w:tcBorders>
            <w:vAlign w:val="center"/>
          </w:tcPr>
          <w:p>
            <w:pPr>
              <w:pStyle w:val="83"/>
            </w:pPr>
            <w:r>
              <w:rPr>
                <w:rFonts w:hint="eastAsia"/>
              </w:rPr>
              <w:t>1、每日定期检查原辅料储存库，及时发现问题；</w:t>
            </w:r>
          </w:p>
          <w:p>
            <w:pPr>
              <w:pStyle w:val="83"/>
            </w:pPr>
            <w:r>
              <w:rPr>
                <w:rFonts w:hint="eastAsia"/>
              </w:rPr>
              <w:t>3、严格按照操作规程执行，培训考核合格后上岗，严禁将一切火源带进厂区；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6" w:type="pct"/>
            <w:tcBorders>
              <w:tl2br w:val="nil"/>
              <w:tr2bl w:val="nil"/>
            </w:tcBorders>
            <w:vAlign w:val="center"/>
          </w:tcPr>
          <w:p>
            <w:pPr>
              <w:pStyle w:val="83"/>
            </w:pPr>
            <w:r>
              <w:rPr>
                <w:rFonts w:hint="eastAsia"/>
              </w:rPr>
              <w:t>废水收集系统</w:t>
            </w:r>
          </w:p>
        </w:tc>
        <w:tc>
          <w:tcPr>
            <w:tcW w:w="881" w:type="pct"/>
            <w:tcBorders>
              <w:tl2br w:val="nil"/>
              <w:tr2bl w:val="nil"/>
            </w:tcBorders>
            <w:vAlign w:val="center"/>
          </w:tcPr>
          <w:p>
            <w:pPr>
              <w:pStyle w:val="83"/>
            </w:pPr>
            <w:r>
              <w:rPr>
                <w:rFonts w:hint="eastAsia" w:cs="宋体"/>
              </w:rPr>
              <w:t>废水收集装置泄漏</w:t>
            </w:r>
          </w:p>
        </w:tc>
        <w:tc>
          <w:tcPr>
            <w:tcW w:w="1248" w:type="pct"/>
            <w:tcBorders>
              <w:tl2br w:val="nil"/>
              <w:tr2bl w:val="nil"/>
            </w:tcBorders>
            <w:vAlign w:val="center"/>
          </w:tcPr>
          <w:p>
            <w:pPr>
              <w:pStyle w:val="83"/>
              <w:rPr>
                <w:rFonts w:cs="宋体"/>
              </w:rPr>
            </w:pPr>
            <w:r>
              <w:rPr>
                <w:rFonts w:hint="eastAsia" w:cs="宋体"/>
              </w:rPr>
              <w:t>（1）收集、运输管道破损、破裂；</w:t>
            </w:r>
          </w:p>
          <w:p>
            <w:pPr>
              <w:pStyle w:val="83"/>
            </w:pPr>
            <w:r>
              <w:rPr>
                <w:rFonts w:hint="eastAsia" w:cs="宋体"/>
              </w:rPr>
              <w:t>（</w:t>
            </w:r>
            <w:r>
              <w:rPr>
                <w:rFonts w:hint="eastAsia"/>
              </w:rPr>
              <w:t>2</w:t>
            </w:r>
            <w:r>
              <w:rPr>
                <w:rFonts w:hint="eastAsia" w:cs="宋体"/>
              </w:rPr>
              <w:t>）各种自然灾害、极端天气或不利气象条件。</w:t>
            </w:r>
          </w:p>
        </w:tc>
        <w:tc>
          <w:tcPr>
            <w:tcW w:w="1262" w:type="pct"/>
            <w:tcBorders>
              <w:tl2br w:val="nil"/>
              <w:tr2bl w:val="nil"/>
            </w:tcBorders>
            <w:vAlign w:val="center"/>
          </w:tcPr>
          <w:p>
            <w:pPr>
              <w:pStyle w:val="83"/>
            </w:pPr>
            <w:r>
              <w:rPr>
                <w:rFonts w:hint="eastAsia" w:cs="宋体"/>
              </w:rPr>
              <w:t>污水未经处理或处理不合格，直接进入受纳处理厂（本项目依托白水湖污水处理厂）</w:t>
            </w:r>
          </w:p>
        </w:tc>
        <w:tc>
          <w:tcPr>
            <w:tcW w:w="1261" w:type="pct"/>
            <w:tcBorders>
              <w:tl2br w:val="nil"/>
              <w:tr2bl w:val="nil"/>
            </w:tcBorders>
            <w:vAlign w:val="center"/>
          </w:tcPr>
          <w:p>
            <w:pPr>
              <w:pStyle w:val="83"/>
              <w:rPr>
                <w:rFonts w:cs="宋体"/>
              </w:rPr>
            </w:pPr>
            <w:r>
              <w:rPr>
                <w:rFonts w:hint="eastAsia" w:cs="宋体"/>
              </w:rPr>
              <w:t>已设置生产废水收集井及污水管道渠收集泄漏的废水，防止乱排，并定期检查管道、管线及处理设施。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6" w:type="pct"/>
            <w:tcBorders>
              <w:tl2br w:val="nil"/>
              <w:tr2bl w:val="nil"/>
            </w:tcBorders>
            <w:vAlign w:val="center"/>
          </w:tcPr>
          <w:p>
            <w:pPr>
              <w:pStyle w:val="83"/>
            </w:pPr>
            <w:r>
              <w:rPr>
                <w:rFonts w:hint="eastAsia"/>
              </w:rPr>
              <w:t>废气排放系统</w:t>
            </w:r>
          </w:p>
        </w:tc>
        <w:tc>
          <w:tcPr>
            <w:tcW w:w="881" w:type="pct"/>
            <w:tcBorders>
              <w:tl2br w:val="nil"/>
              <w:tr2bl w:val="nil"/>
            </w:tcBorders>
            <w:vAlign w:val="center"/>
          </w:tcPr>
          <w:p>
            <w:pPr>
              <w:pStyle w:val="83"/>
            </w:pPr>
            <w:r>
              <w:rPr>
                <w:rFonts w:hint="eastAsia" w:cs="宋体"/>
              </w:rPr>
              <w:t>废气事故排放</w:t>
            </w:r>
          </w:p>
        </w:tc>
        <w:tc>
          <w:tcPr>
            <w:tcW w:w="1248" w:type="pct"/>
            <w:tcBorders>
              <w:tl2br w:val="nil"/>
              <w:tr2bl w:val="nil"/>
            </w:tcBorders>
            <w:vAlign w:val="center"/>
          </w:tcPr>
          <w:p>
            <w:pPr>
              <w:pStyle w:val="83"/>
            </w:pPr>
            <w:r>
              <w:rPr>
                <w:rFonts w:hint="eastAsia" w:cs="宋体"/>
              </w:rPr>
              <w:t>（</w:t>
            </w:r>
            <w:r>
              <w:rPr>
                <w:rFonts w:hint="eastAsia"/>
              </w:rPr>
              <w:t>1</w:t>
            </w:r>
            <w:r>
              <w:rPr>
                <w:rFonts w:hint="eastAsia" w:cs="宋体"/>
              </w:rPr>
              <w:t>）非正常工况；</w:t>
            </w:r>
          </w:p>
          <w:p>
            <w:pPr>
              <w:pStyle w:val="83"/>
              <w:rPr>
                <w:rFonts w:cs="宋体"/>
              </w:rPr>
            </w:pPr>
            <w:r>
              <w:rPr>
                <w:rFonts w:hint="eastAsia" w:cs="宋体"/>
              </w:rPr>
              <w:t>（2）超负荷运行；</w:t>
            </w:r>
          </w:p>
          <w:p>
            <w:pPr>
              <w:pStyle w:val="83"/>
            </w:pPr>
            <w:r>
              <w:rPr>
                <w:rFonts w:hint="eastAsia" w:cs="宋体"/>
              </w:rPr>
              <w:t>（</w:t>
            </w:r>
            <w:r>
              <w:rPr>
                <w:rFonts w:hint="eastAsia"/>
              </w:rPr>
              <w:t>3</w:t>
            </w:r>
            <w:r>
              <w:rPr>
                <w:rFonts w:hint="eastAsia" w:cs="宋体"/>
              </w:rPr>
              <w:t>）系统故障。</w:t>
            </w:r>
          </w:p>
        </w:tc>
        <w:tc>
          <w:tcPr>
            <w:tcW w:w="1262" w:type="pct"/>
            <w:tcBorders>
              <w:tl2br w:val="nil"/>
              <w:tr2bl w:val="nil"/>
            </w:tcBorders>
            <w:vAlign w:val="center"/>
          </w:tcPr>
          <w:p>
            <w:pPr>
              <w:pStyle w:val="83"/>
            </w:pPr>
            <w:r>
              <w:rPr>
                <w:rFonts w:hint="eastAsia" w:hAnsi="宋体"/>
              </w:rPr>
              <w:t>导致颗粒物超标排放，污染环境。</w:t>
            </w:r>
          </w:p>
        </w:tc>
        <w:tc>
          <w:tcPr>
            <w:tcW w:w="1261" w:type="pct"/>
            <w:tcBorders>
              <w:tl2br w:val="nil"/>
              <w:tr2bl w:val="nil"/>
            </w:tcBorders>
            <w:vAlign w:val="center"/>
          </w:tcPr>
          <w:p>
            <w:pPr>
              <w:pStyle w:val="83"/>
              <w:rPr>
                <w:rFonts w:hAnsi="宋体"/>
              </w:rPr>
            </w:pPr>
            <w:r>
              <w:rPr>
                <w:rFonts w:hint="eastAsia" w:hAnsi="宋体"/>
              </w:rPr>
              <w:t>已设置一体化控制系统，严格控制运行系统，严禁超负荷运行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6" w:type="pct"/>
            <w:tcBorders>
              <w:tl2br w:val="nil"/>
              <w:tr2bl w:val="nil"/>
            </w:tcBorders>
            <w:vAlign w:val="center"/>
          </w:tcPr>
          <w:p>
            <w:pPr>
              <w:pStyle w:val="83"/>
            </w:pPr>
            <w:r>
              <w:rPr>
                <w:rFonts w:hint="eastAsia"/>
              </w:rPr>
              <w:t>危废暂存库</w:t>
            </w:r>
          </w:p>
        </w:tc>
        <w:tc>
          <w:tcPr>
            <w:tcW w:w="881" w:type="pct"/>
            <w:tcBorders>
              <w:tl2br w:val="nil"/>
              <w:tr2bl w:val="nil"/>
            </w:tcBorders>
            <w:vAlign w:val="center"/>
          </w:tcPr>
          <w:p>
            <w:pPr>
              <w:pStyle w:val="83"/>
            </w:pPr>
            <w:r>
              <w:rPr>
                <w:rFonts w:hint="eastAsia"/>
              </w:rPr>
              <w:t>废机油泄漏事故</w:t>
            </w:r>
          </w:p>
        </w:tc>
        <w:tc>
          <w:tcPr>
            <w:tcW w:w="1248" w:type="pct"/>
            <w:tcBorders>
              <w:tl2br w:val="nil"/>
              <w:tr2bl w:val="nil"/>
            </w:tcBorders>
            <w:vAlign w:val="center"/>
          </w:tcPr>
          <w:p>
            <w:pPr>
              <w:pStyle w:val="83"/>
            </w:pPr>
            <w:r>
              <w:rPr>
                <w:rFonts w:hint="eastAsia"/>
              </w:rPr>
              <w:t>（1）储存装置破损；</w:t>
            </w:r>
          </w:p>
          <w:p>
            <w:pPr>
              <w:pStyle w:val="83"/>
            </w:pPr>
            <w:r>
              <w:rPr>
                <w:rFonts w:hint="eastAsia"/>
              </w:rPr>
              <w:t>（2）装卸、转运过程造成泄漏；</w:t>
            </w:r>
          </w:p>
          <w:p>
            <w:pPr>
              <w:pStyle w:val="83"/>
            </w:pPr>
            <w:r>
              <w:rPr>
                <w:rFonts w:hint="eastAsia"/>
              </w:rPr>
              <w:t>（2）暂存场所地面渗漏；</w:t>
            </w:r>
          </w:p>
        </w:tc>
        <w:tc>
          <w:tcPr>
            <w:tcW w:w="1262" w:type="pct"/>
            <w:tcBorders>
              <w:tl2br w:val="nil"/>
              <w:tr2bl w:val="nil"/>
            </w:tcBorders>
            <w:vAlign w:val="center"/>
          </w:tcPr>
          <w:p>
            <w:pPr>
              <w:pStyle w:val="83"/>
            </w:pPr>
            <w:r>
              <w:rPr>
                <w:rFonts w:hint="eastAsia"/>
              </w:rPr>
              <w:t>由于储存装置破损、装卸、转运过程造成泄漏，遇火源引发火灾。</w:t>
            </w:r>
          </w:p>
        </w:tc>
        <w:tc>
          <w:tcPr>
            <w:tcW w:w="1261" w:type="pct"/>
            <w:tcBorders>
              <w:tl2br w:val="nil"/>
              <w:tr2bl w:val="nil"/>
            </w:tcBorders>
            <w:vAlign w:val="center"/>
          </w:tcPr>
          <w:p>
            <w:pPr>
              <w:pStyle w:val="83"/>
              <w:rPr>
                <w:rFonts w:hAnsi="宋体"/>
              </w:rPr>
            </w:pPr>
            <w:r>
              <w:rPr>
                <w:rFonts w:hint="eastAsia" w:hAnsi="宋体"/>
              </w:rPr>
              <w:t>1、设置</w:t>
            </w:r>
            <w:r>
              <w:rPr>
                <w:rFonts w:hint="eastAsia" w:hAnsi="宋体"/>
                <w:highlight w:val="none"/>
              </w:rPr>
              <w:t>托盘</w:t>
            </w:r>
            <w:r>
              <w:rPr>
                <w:rFonts w:hint="eastAsia" w:hAnsi="宋体"/>
              </w:rPr>
              <w:t>防泄漏，若发生泄漏能及时收集；</w:t>
            </w:r>
          </w:p>
          <w:p>
            <w:pPr>
              <w:pStyle w:val="83"/>
              <w:rPr>
                <w:rFonts w:hAnsi="宋体"/>
              </w:rPr>
            </w:pPr>
            <w:r>
              <w:rPr>
                <w:rFonts w:hint="eastAsia" w:hAnsi="宋体"/>
              </w:rPr>
              <w:t>2、规范操作，委托专业部门进行转运；</w:t>
            </w:r>
          </w:p>
          <w:p>
            <w:pPr>
              <w:pStyle w:val="83"/>
            </w:pPr>
            <w:r>
              <w:rPr>
                <w:rFonts w:hint="eastAsia" w:hAnsi="宋体"/>
              </w:rPr>
              <w:t>3、暂存场所定期检查及维护，发现异常及时修补。</w:t>
            </w:r>
          </w:p>
        </w:tc>
      </w:tr>
    </w:tbl>
    <w:p>
      <w:pPr>
        <w:pStyle w:val="5"/>
        <w:bidi w:val="0"/>
      </w:pPr>
      <w:bookmarkStart w:id="290" w:name="_Toc30708"/>
      <w:bookmarkStart w:id="291" w:name="_Toc5690"/>
      <w:bookmarkStart w:id="292" w:name="_Toc37600057"/>
      <w:bookmarkStart w:id="293" w:name="_Toc7099"/>
      <w:bookmarkStart w:id="294" w:name="_Toc117"/>
      <w:bookmarkStart w:id="295" w:name="_Toc2324"/>
      <w:r>
        <w:t>3.</w:t>
      </w:r>
      <w:r>
        <w:rPr>
          <w:rFonts w:hint="eastAsia"/>
        </w:rPr>
        <w:t>7</w:t>
      </w:r>
      <w:r>
        <w:t xml:space="preserve"> 环境</w:t>
      </w:r>
      <w:r>
        <w:rPr>
          <w:rFonts w:hint="eastAsia"/>
        </w:rPr>
        <w:t>物质</w:t>
      </w:r>
      <w:r>
        <w:t>风险辨识</w:t>
      </w:r>
      <w:bookmarkEnd w:id="290"/>
      <w:bookmarkEnd w:id="291"/>
      <w:bookmarkEnd w:id="292"/>
      <w:bookmarkEnd w:id="293"/>
      <w:bookmarkEnd w:id="294"/>
      <w:bookmarkEnd w:id="295"/>
    </w:p>
    <w:p>
      <w:pPr>
        <w:pStyle w:val="6"/>
        <w:bidi w:val="0"/>
      </w:pPr>
      <w:bookmarkStart w:id="296" w:name="_Toc32209"/>
      <w:bookmarkStart w:id="297" w:name="_Toc21809"/>
      <w:bookmarkStart w:id="298" w:name="_Toc37600058"/>
      <w:bookmarkStart w:id="299" w:name="_Toc26413"/>
      <w:r>
        <w:t>3.</w:t>
      </w:r>
      <w:r>
        <w:rPr>
          <w:rFonts w:hint="eastAsia"/>
        </w:rPr>
        <w:t>7</w:t>
      </w:r>
      <w:r>
        <w:t>.1 环境物质风险识别</w:t>
      </w:r>
      <w:bookmarkEnd w:id="296"/>
      <w:bookmarkEnd w:id="297"/>
      <w:bookmarkEnd w:id="298"/>
      <w:bookmarkEnd w:id="299"/>
    </w:p>
    <w:p>
      <w:pPr>
        <w:pStyle w:val="90"/>
        <w:ind w:firstLine="480"/>
      </w:pPr>
      <w:r>
        <w:t>根据《建设项目环境风险评价技术导则》</w:t>
      </w:r>
      <w:r>
        <w:rPr>
          <w:color w:val="0000FF"/>
        </w:rPr>
        <w:t>、</w:t>
      </w:r>
      <w:r>
        <w:t>《危险化学品重大危险源辨别》（GB18218-20</w:t>
      </w:r>
      <w:r>
        <w:rPr>
          <w:rFonts w:hint="eastAsia"/>
        </w:rPr>
        <w:t>18</w:t>
      </w:r>
      <w:r>
        <w:t>）、《职业性接触毒物危害程度分析》（GB50844-85）等相关标准，对我公司运输、储运物质的有毒有害性、易燃易爆性进行识别。</w:t>
      </w:r>
    </w:p>
    <w:p>
      <w:pPr>
        <w:pStyle w:val="90"/>
        <w:ind w:firstLine="480"/>
      </w:pPr>
      <w:r>
        <w:t>物质危险性判定标准见下表3.</w:t>
      </w:r>
      <w:r>
        <w:rPr>
          <w:rFonts w:hint="eastAsia"/>
        </w:rPr>
        <w:t>7</w:t>
      </w:r>
      <w:r>
        <w:rPr>
          <w:rFonts w:hint="eastAsia"/>
          <w:lang w:val="en-US" w:eastAsia="zh-CN"/>
        </w:rPr>
        <w:t>.1</w:t>
      </w:r>
      <w:r>
        <w:t>-1。</w:t>
      </w:r>
    </w:p>
    <w:p>
      <w:pPr>
        <w:pStyle w:val="82"/>
        <w:spacing w:before="163"/>
      </w:pPr>
      <w:bookmarkStart w:id="300" w:name="_Toc28247_WPSOffice_Level2"/>
      <w:r>
        <w:t>表3.</w:t>
      </w:r>
      <w:r>
        <w:rPr>
          <w:rFonts w:hint="eastAsia"/>
        </w:rPr>
        <w:t>7</w:t>
      </w:r>
      <w:r>
        <w:rPr>
          <w:rFonts w:hint="eastAsia"/>
          <w:lang w:val="en-US" w:eastAsia="zh-CN"/>
        </w:rPr>
        <w:t>.1</w:t>
      </w:r>
      <w:r>
        <w:t>-1 物质危险性标准</w:t>
      </w:r>
      <w:bookmarkEnd w:id="300"/>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46"/>
        <w:gridCol w:w="736"/>
        <w:gridCol w:w="1921"/>
        <w:gridCol w:w="1984"/>
        <w:gridCol w:w="27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9" w:hRule="atLeast"/>
          <w:jc w:val="center"/>
        </w:trPr>
        <w:tc>
          <w:tcPr>
            <w:tcW w:w="772" w:type="pct"/>
            <w:tcBorders>
              <w:bottom w:val="single" w:color="auto" w:sz="12" w:space="0"/>
            </w:tcBorders>
            <w:vAlign w:val="center"/>
          </w:tcPr>
          <w:p>
            <w:pPr>
              <w:pStyle w:val="83"/>
              <w:rPr>
                <w:b/>
              </w:rPr>
            </w:pPr>
            <w:r>
              <w:rPr>
                <w:b/>
              </w:rPr>
              <w:t>物质类别</w:t>
            </w:r>
          </w:p>
        </w:tc>
        <w:tc>
          <w:tcPr>
            <w:tcW w:w="422" w:type="pct"/>
            <w:tcBorders>
              <w:bottom w:val="single" w:color="auto" w:sz="12" w:space="0"/>
            </w:tcBorders>
            <w:vAlign w:val="center"/>
          </w:tcPr>
          <w:p>
            <w:pPr>
              <w:pStyle w:val="83"/>
              <w:rPr>
                <w:b/>
              </w:rPr>
            </w:pPr>
            <w:r>
              <w:rPr>
                <w:b/>
              </w:rPr>
              <w:t>等级</w:t>
            </w:r>
          </w:p>
        </w:tc>
        <w:tc>
          <w:tcPr>
            <w:tcW w:w="1102" w:type="pct"/>
            <w:tcBorders>
              <w:bottom w:val="single" w:color="auto" w:sz="12" w:space="0"/>
            </w:tcBorders>
            <w:vAlign w:val="center"/>
          </w:tcPr>
          <w:p>
            <w:pPr>
              <w:pStyle w:val="83"/>
              <w:rPr>
                <w:b/>
              </w:rPr>
            </w:pPr>
            <w:r>
              <w:rPr>
                <w:b/>
              </w:rPr>
              <w:t>LD</w:t>
            </w:r>
            <w:r>
              <w:rPr>
                <w:b/>
                <w:vertAlign w:val="subscript"/>
              </w:rPr>
              <w:t>50</w:t>
            </w:r>
            <w:r>
              <w:rPr>
                <w:b/>
              </w:rPr>
              <w:t>（大鼠经口）mg/kg</w:t>
            </w:r>
          </w:p>
        </w:tc>
        <w:tc>
          <w:tcPr>
            <w:tcW w:w="1138" w:type="pct"/>
            <w:tcBorders>
              <w:bottom w:val="single" w:color="auto" w:sz="12" w:space="0"/>
            </w:tcBorders>
            <w:vAlign w:val="center"/>
          </w:tcPr>
          <w:p>
            <w:pPr>
              <w:pStyle w:val="83"/>
              <w:rPr>
                <w:b/>
              </w:rPr>
            </w:pPr>
            <w:r>
              <w:rPr>
                <w:b/>
              </w:rPr>
              <w:t>LD</w:t>
            </w:r>
            <w:r>
              <w:rPr>
                <w:b/>
                <w:vertAlign w:val="subscript"/>
              </w:rPr>
              <w:t>50</w:t>
            </w:r>
            <w:r>
              <w:rPr>
                <w:b/>
              </w:rPr>
              <w:t>（大鼠经皮）mg/kg</w:t>
            </w:r>
          </w:p>
        </w:tc>
        <w:tc>
          <w:tcPr>
            <w:tcW w:w="1564" w:type="pct"/>
            <w:tcBorders>
              <w:bottom w:val="single" w:color="auto" w:sz="12" w:space="0"/>
            </w:tcBorders>
            <w:vAlign w:val="center"/>
          </w:tcPr>
          <w:p>
            <w:pPr>
              <w:pStyle w:val="83"/>
              <w:rPr>
                <w:b/>
              </w:rPr>
            </w:pPr>
            <w:r>
              <w:rPr>
                <w:b/>
              </w:rPr>
              <w:t>LC</w:t>
            </w:r>
            <w:r>
              <w:rPr>
                <w:b/>
                <w:vertAlign w:val="subscript"/>
              </w:rPr>
              <w:t>50</w:t>
            </w:r>
            <w:r>
              <w:rPr>
                <w:b/>
              </w:rPr>
              <w:t>（小鼠吸入、4小时）mg/L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4" w:hRule="atLeast"/>
          <w:jc w:val="center"/>
        </w:trPr>
        <w:tc>
          <w:tcPr>
            <w:tcW w:w="772" w:type="pct"/>
            <w:vMerge w:val="restart"/>
            <w:tcBorders>
              <w:top w:val="single" w:color="auto" w:sz="12" w:space="0"/>
              <w:tl2br w:val="nil"/>
              <w:tr2bl w:val="nil"/>
            </w:tcBorders>
            <w:vAlign w:val="center"/>
          </w:tcPr>
          <w:p>
            <w:pPr>
              <w:pStyle w:val="83"/>
            </w:pPr>
            <w:r>
              <w:t>有毒物质</w:t>
            </w:r>
          </w:p>
        </w:tc>
        <w:tc>
          <w:tcPr>
            <w:tcW w:w="422" w:type="pct"/>
            <w:tcBorders>
              <w:top w:val="single" w:color="auto" w:sz="12" w:space="0"/>
              <w:tl2br w:val="nil"/>
              <w:tr2bl w:val="nil"/>
            </w:tcBorders>
            <w:vAlign w:val="center"/>
          </w:tcPr>
          <w:p>
            <w:pPr>
              <w:pStyle w:val="83"/>
            </w:pPr>
            <w:r>
              <w:t>1</w:t>
            </w:r>
          </w:p>
        </w:tc>
        <w:tc>
          <w:tcPr>
            <w:tcW w:w="1102" w:type="pct"/>
            <w:tcBorders>
              <w:top w:val="single" w:color="auto" w:sz="12" w:space="0"/>
              <w:tl2br w:val="nil"/>
              <w:tr2bl w:val="nil"/>
            </w:tcBorders>
            <w:vAlign w:val="center"/>
          </w:tcPr>
          <w:p>
            <w:pPr>
              <w:pStyle w:val="83"/>
            </w:pPr>
            <w:r>
              <w:rPr>
                <w:highlight w:val="none"/>
              </w:rPr>
              <w:t>＜</w:t>
            </w:r>
            <w:r>
              <w:t>5</w:t>
            </w:r>
          </w:p>
        </w:tc>
        <w:tc>
          <w:tcPr>
            <w:tcW w:w="1138" w:type="pct"/>
            <w:tcBorders>
              <w:top w:val="single" w:color="auto" w:sz="12" w:space="0"/>
              <w:tl2br w:val="nil"/>
              <w:tr2bl w:val="nil"/>
            </w:tcBorders>
            <w:vAlign w:val="center"/>
          </w:tcPr>
          <w:p>
            <w:pPr>
              <w:pStyle w:val="83"/>
            </w:pPr>
            <w:r>
              <w:rPr>
                <w:highlight w:val="none"/>
              </w:rPr>
              <w:t>＜</w:t>
            </w:r>
            <w:r>
              <w:t>1</w:t>
            </w:r>
          </w:p>
        </w:tc>
        <w:tc>
          <w:tcPr>
            <w:tcW w:w="1564" w:type="pct"/>
            <w:tcBorders>
              <w:top w:val="single" w:color="auto" w:sz="12" w:space="0"/>
              <w:tl2br w:val="nil"/>
              <w:tr2bl w:val="nil"/>
            </w:tcBorders>
            <w:vAlign w:val="center"/>
          </w:tcPr>
          <w:p>
            <w:pPr>
              <w:pStyle w:val="83"/>
            </w:pPr>
            <w:r>
              <w:rPr>
                <w:highlight w:val="none"/>
              </w:rPr>
              <w:t>＜</w:t>
            </w:r>
            <w: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13" w:hRule="atLeast"/>
          <w:jc w:val="center"/>
        </w:trPr>
        <w:tc>
          <w:tcPr>
            <w:tcW w:w="772" w:type="pct"/>
            <w:vMerge w:val="continue"/>
            <w:tcBorders>
              <w:tl2br w:val="nil"/>
              <w:tr2bl w:val="nil"/>
            </w:tcBorders>
            <w:vAlign w:val="center"/>
          </w:tcPr>
          <w:p>
            <w:pPr>
              <w:pStyle w:val="83"/>
            </w:pPr>
          </w:p>
        </w:tc>
        <w:tc>
          <w:tcPr>
            <w:tcW w:w="422" w:type="pct"/>
            <w:tcBorders>
              <w:tl2br w:val="nil"/>
              <w:tr2bl w:val="nil"/>
            </w:tcBorders>
            <w:vAlign w:val="center"/>
          </w:tcPr>
          <w:p>
            <w:pPr>
              <w:pStyle w:val="83"/>
            </w:pPr>
            <w:r>
              <w:t>2</w:t>
            </w:r>
          </w:p>
        </w:tc>
        <w:tc>
          <w:tcPr>
            <w:tcW w:w="1102" w:type="pct"/>
            <w:tcBorders>
              <w:tl2br w:val="nil"/>
              <w:tr2bl w:val="nil"/>
            </w:tcBorders>
            <w:vAlign w:val="center"/>
          </w:tcPr>
          <w:p>
            <w:pPr>
              <w:pStyle w:val="83"/>
            </w:pPr>
            <w:r>
              <w:t>5</w:t>
            </w:r>
            <w:r>
              <w:rPr>
                <w:highlight w:val="none"/>
              </w:rPr>
              <w:t>＜</w:t>
            </w:r>
            <w:r>
              <w:t>LD</w:t>
            </w:r>
            <w:r>
              <w:rPr>
                <w:vertAlign w:val="subscript"/>
              </w:rPr>
              <w:t>50</w:t>
            </w:r>
            <w:r>
              <w:rPr>
                <w:highlight w:val="none"/>
              </w:rPr>
              <w:t>＜</w:t>
            </w:r>
            <w:r>
              <w:t>25</w:t>
            </w:r>
          </w:p>
        </w:tc>
        <w:tc>
          <w:tcPr>
            <w:tcW w:w="1138" w:type="pct"/>
            <w:tcBorders>
              <w:tl2br w:val="nil"/>
              <w:tr2bl w:val="nil"/>
            </w:tcBorders>
            <w:vAlign w:val="center"/>
          </w:tcPr>
          <w:p>
            <w:pPr>
              <w:pStyle w:val="83"/>
            </w:pPr>
            <w:r>
              <w:t>10</w:t>
            </w:r>
            <w:r>
              <w:rPr>
                <w:highlight w:val="none"/>
              </w:rPr>
              <w:t>＜</w:t>
            </w:r>
            <w:r>
              <w:t>LD</w:t>
            </w:r>
            <w:r>
              <w:rPr>
                <w:vertAlign w:val="subscript"/>
              </w:rPr>
              <w:t>50</w:t>
            </w:r>
            <w:r>
              <w:rPr>
                <w:highlight w:val="none"/>
              </w:rPr>
              <w:t>＜</w:t>
            </w:r>
            <w:r>
              <w:t>50</w:t>
            </w:r>
          </w:p>
        </w:tc>
        <w:tc>
          <w:tcPr>
            <w:tcW w:w="1564" w:type="pct"/>
            <w:tcBorders>
              <w:tl2br w:val="nil"/>
              <w:tr2bl w:val="nil"/>
            </w:tcBorders>
            <w:vAlign w:val="center"/>
          </w:tcPr>
          <w:p>
            <w:pPr>
              <w:pStyle w:val="83"/>
            </w:pPr>
            <w:r>
              <w:t>0.1</w:t>
            </w:r>
            <w:r>
              <w:rPr>
                <w:highlight w:val="none"/>
              </w:rPr>
              <w:t>＜</w:t>
            </w:r>
            <w:r>
              <w:t>LC</w:t>
            </w:r>
            <w:r>
              <w:rPr>
                <w:vertAlign w:val="subscript"/>
              </w:rPr>
              <w:t>50</w:t>
            </w:r>
            <w:r>
              <w:rPr>
                <w:highlight w:val="none"/>
              </w:rPr>
              <w:t>＜</w:t>
            </w:r>
            <w: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00" w:hRule="atLeast"/>
          <w:jc w:val="center"/>
        </w:trPr>
        <w:tc>
          <w:tcPr>
            <w:tcW w:w="772" w:type="pct"/>
            <w:vMerge w:val="continue"/>
            <w:tcBorders>
              <w:tl2br w:val="nil"/>
              <w:tr2bl w:val="nil"/>
            </w:tcBorders>
            <w:vAlign w:val="center"/>
          </w:tcPr>
          <w:p>
            <w:pPr>
              <w:pStyle w:val="83"/>
            </w:pPr>
          </w:p>
        </w:tc>
        <w:tc>
          <w:tcPr>
            <w:tcW w:w="422" w:type="pct"/>
            <w:tcBorders>
              <w:tl2br w:val="nil"/>
              <w:tr2bl w:val="nil"/>
            </w:tcBorders>
            <w:vAlign w:val="center"/>
          </w:tcPr>
          <w:p>
            <w:pPr>
              <w:pStyle w:val="83"/>
            </w:pPr>
            <w:r>
              <w:t>3</w:t>
            </w:r>
          </w:p>
        </w:tc>
        <w:tc>
          <w:tcPr>
            <w:tcW w:w="1102" w:type="pct"/>
            <w:tcBorders>
              <w:tl2br w:val="nil"/>
              <w:tr2bl w:val="nil"/>
            </w:tcBorders>
            <w:vAlign w:val="center"/>
          </w:tcPr>
          <w:p>
            <w:pPr>
              <w:pStyle w:val="83"/>
            </w:pPr>
            <w:r>
              <w:t>25</w:t>
            </w:r>
            <w:r>
              <w:rPr>
                <w:highlight w:val="none"/>
              </w:rPr>
              <w:t>＜</w:t>
            </w:r>
            <w:r>
              <w:t>LD</w:t>
            </w:r>
            <w:r>
              <w:rPr>
                <w:vertAlign w:val="subscript"/>
              </w:rPr>
              <w:t>50</w:t>
            </w:r>
            <w:r>
              <w:rPr>
                <w:highlight w:val="none"/>
              </w:rPr>
              <w:t>＜</w:t>
            </w:r>
            <w:r>
              <w:t>200</w:t>
            </w:r>
          </w:p>
        </w:tc>
        <w:tc>
          <w:tcPr>
            <w:tcW w:w="1138" w:type="pct"/>
            <w:tcBorders>
              <w:tl2br w:val="nil"/>
              <w:tr2bl w:val="nil"/>
            </w:tcBorders>
            <w:vAlign w:val="center"/>
          </w:tcPr>
          <w:p>
            <w:pPr>
              <w:pStyle w:val="83"/>
            </w:pPr>
            <w:r>
              <w:t>40</w:t>
            </w:r>
            <w:r>
              <w:rPr>
                <w:highlight w:val="none"/>
              </w:rPr>
              <w:t>＜</w:t>
            </w:r>
            <w:r>
              <w:t>LD</w:t>
            </w:r>
            <w:r>
              <w:rPr>
                <w:vertAlign w:val="subscript"/>
              </w:rPr>
              <w:t>50</w:t>
            </w:r>
            <w:r>
              <w:rPr>
                <w:highlight w:val="none"/>
              </w:rPr>
              <w:t>＜</w:t>
            </w:r>
            <w:r>
              <w:t>400</w:t>
            </w:r>
          </w:p>
        </w:tc>
        <w:tc>
          <w:tcPr>
            <w:tcW w:w="1564" w:type="pct"/>
            <w:tcBorders>
              <w:tl2br w:val="nil"/>
              <w:tr2bl w:val="nil"/>
            </w:tcBorders>
            <w:vAlign w:val="center"/>
          </w:tcPr>
          <w:p>
            <w:pPr>
              <w:pStyle w:val="83"/>
            </w:pPr>
            <w:r>
              <w:t>0.5</w:t>
            </w:r>
            <w:r>
              <w:rPr>
                <w:highlight w:val="none"/>
              </w:rPr>
              <w:t>＜</w:t>
            </w:r>
            <w:r>
              <w:t>LC</w:t>
            </w:r>
            <w:r>
              <w:rPr>
                <w:vertAlign w:val="subscript"/>
              </w:rPr>
              <w:t>50</w:t>
            </w:r>
            <w:r>
              <w:rPr>
                <w:highlight w:val="none"/>
              </w:rPr>
              <w:t>＜</w:t>
            </w:r>
            <w: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647" w:hRule="atLeast"/>
          <w:jc w:val="center"/>
        </w:trPr>
        <w:tc>
          <w:tcPr>
            <w:tcW w:w="772" w:type="pct"/>
            <w:vMerge w:val="restart"/>
            <w:tcBorders>
              <w:tl2br w:val="nil"/>
              <w:tr2bl w:val="nil"/>
            </w:tcBorders>
            <w:vAlign w:val="center"/>
          </w:tcPr>
          <w:p>
            <w:pPr>
              <w:pStyle w:val="83"/>
            </w:pPr>
            <w:r>
              <w:t>易燃物质</w:t>
            </w:r>
          </w:p>
        </w:tc>
        <w:tc>
          <w:tcPr>
            <w:tcW w:w="422" w:type="pct"/>
            <w:tcBorders>
              <w:tl2br w:val="nil"/>
              <w:tr2bl w:val="nil"/>
            </w:tcBorders>
            <w:vAlign w:val="center"/>
          </w:tcPr>
          <w:p>
            <w:pPr>
              <w:pStyle w:val="83"/>
            </w:pPr>
            <w:r>
              <w:t>1</w:t>
            </w:r>
          </w:p>
        </w:tc>
        <w:tc>
          <w:tcPr>
            <w:tcW w:w="3805" w:type="pct"/>
            <w:gridSpan w:val="3"/>
            <w:tcBorders>
              <w:tl2br w:val="nil"/>
              <w:tr2bl w:val="nil"/>
            </w:tcBorders>
            <w:vAlign w:val="center"/>
          </w:tcPr>
          <w:p>
            <w:pPr>
              <w:pStyle w:val="83"/>
            </w:pPr>
            <w:r>
              <w:t>可燃气体——在常压下以气态存在并与空气混合形成可燃混合物：其沸点（常压下）是20℃或20℃以下的物质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528" w:hRule="atLeast"/>
          <w:jc w:val="center"/>
        </w:trPr>
        <w:tc>
          <w:tcPr>
            <w:tcW w:w="772" w:type="pct"/>
            <w:vMerge w:val="continue"/>
            <w:tcBorders>
              <w:tl2br w:val="nil"/>
              <w:tr2bl w:val="nil"/>
            </w:tcBorders>
            <w:vAlign w:val="center"/>
          </w:tcPr>
          <w:p>
            <w:pPr>
              <w:pStyle w:val="83"/>
            </w:pPr>
          </w:p>
        </w:tc>
        <w:tc>
          <w:tcPr>
            <w:tcW w:w="422" w:type="pct"/>
            <w:tcBorders>
              <w:tl2br w:val="nil"/>
              <w:tr2bl w:val="nil"/>
            </w:tcBorders>
            <w:vAlign w:val="center"/>
          </w:tcPr>
          <w:p>
            <w:pPr>
              <w:pStyle w:val="83"/>
            </w:pPr>
            <w:r>
              <w:t>2</w:t>
            </w:r>
          </w:p>
        </w:tc>
        <w:tc>
          <w:tcPr>
            <w:tcW w:w="3805" w:type="pct"/>
            <w:gridSpan w:val="3"/>
            <w:tcBorders>
              <w:tl2br w:val="nil"/>
              <w:tr2bl w:val="nil"/>
            </w:tcBorders>
            <w:vAlign w:val="center"/>
          </w:tcPr>
          <w:p>
            <w:pPr>
              <w:pStyle w:val="83"/>
            </w:pPr>
            <w:r>
              <w:t>易燃液体——闪点低于21℃，沸点高于20℃的物质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56" w:hRule="atLeast"/>
          <w:jc w:val="center"/>
        </w:trPr>
        <w:tc>
          <w:tcPr>
            <w:tcW w:w="772" w:type="pct"/>
            <w:vMerge w:val="continue"/>
            <w:tcBorders>
              <w:tl2br w:val="nil"/>
              <w:tr2bl w:val="nil"/>
            </w:tcBorders>
            <w:vAlign w:val="center"/>
          </w:tcPr>
          <w:p>
            <w:pPr>
              <w:pStyle w:val="83"/>
            </w:pPr>
          </w:p>
        </w:tc>
        <w:tc>
          <w:tcPr>
            <w:tcW w:w="422" w:type="pct"/>
            <w:tcBorders>
              <w:tl2br w:val="nil"/>
              <w:tr2bl w:val="nil"/>
            </w:tcBorders>
            <w:vAlign w:val="center"/>
          </w:tcPr>
          <w:p>
            <w:pPr>
              <w:pStyle w:val="83"/>
            </w:pPr>
            <w:r>
              <w:t>3</w:t>
            </w:r>
          </w:p>
        </w:tc>
        <w:tc>
          <w:tcPr>
            <w:tcW w:w="3805" w:type="pct"/>
            <w:gridSpan w:val="3"/>
            <w:tcBorders>
              <w:tl2br w:val="nil"/>
              <w:tr2bl w:val="nil"/>
            </w:tcBorders>
            <w:vAlign w:val="center"/>
          </w:tcPr>
          <w:p>
            <w:pPr>
              <w:pStyle w:val="83"/>
            </w:pPr>
            <w:r>
              <w:t>可燃液体——闪点低于55℃，压力下保持液态，在实际操作条件下（高温高压下）可引起重大事故的物质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694" w:hRule="atLeast"/>
          <w:jc w:val="center"/>
        </w:trPr>
        <w:tc>
          <w:tcPr>
            <w:tcW w:w="1194" w:type="pct"/>
            <w:gridSpan w:val="2"/>
            <w:tcBorders>
              <w:tl2br w:val="nil"/>
              <w:tr2bl w:val="nil"/>
            </w:tcBorders>
            <w:vAlign w:val="center"/>
          </w:tcPr>
          <w:p>
            <w:pPr>
              <w:pStyle w:val="83"/>
            </w:pPr>
            <w:r>
              <w:t>爆炸性物质</w:t>
            </w:r>
          </w:p>
        </w:tc>
        <w:tc>
          <w:tcPr>
            <w:tcW w:w="3805" w:type="pct"/>
            <w:gridSpan w:val="3"/>
            <w:tcBorders>
              <w:tl2br w:val="nil"/>
              <w:tr2bl w:val="nil"/>
            </w:tcBorders>
            <w:vAlign w:val="center"/>
          </w:tcPr>
          <w:p>
            <w:pPr>
              <w:pStyle w:val="83"/>
            </w:pPr>
            <w:r>
              <w:t>在火焰影响下可以爆炸，或者对冲击、摩擦比硝基苯更为敏感的物质</w:t>
            </w:r>
          </w:p>
        </w:tc>
      </w:tr>
    </w:tbl>
    <w:p>
      <w:pPr>
        <w:spacing w:after="163" w:afterLines="50"/>
        <w:ind w:firstLine="480"/>
        <w:rPr>
          <w:rFonts w:ascii="黑体" w:hAnsi="黑体" w:eastAsia="黑体"/>
          <w:color w:val="1C1B10"/>
          <w:sz w:val="18"/>
          <w:szCs w:val="18"/>
        </w:rPr>
      </w:pPr>
      <w:r>
        <w:rPr>
          <w:rFonts w:ascii="黑体" w:hAnsi="黑体" w:eastAsia="黑体"/>
          <w:color w:val="1C1B10"/>
          <w:sz w:val="18"/>
          <w:szCs w:val="18"/>
        </w:rPr>
        <w:t>备注：</w:t>
      </w:r>
    </w:p>
    <w:p>
      <w:pPr>
        <w:spacing w:after="163" w:afterLines="50"/>
        <w:ind w:firstLine="270" w:firstLineChars="150"/>
        <w:rPr>
          <w:rFonts w:ascii="黑体" w:hAnsi="黑体" w:eastAsia="黑体"/>
          <w:color w:val="1C1B10"/>
          <w:sz w:val="18"/>
          <w:szCs w:val="18"/>
        </w:rPr>
      </w:pPr>
      <w:r>
        <w:rPr>
          <w:rFonts w:ascii="黑体" w:hAnsi="黑体" w:eastAsia="黑体"/>
          <w:color w:val="1C1B10"/>
          <w:sz w:val="18"/>
          <w:szCs w:val="18"/>
        </w:rPr>
        <w:t>（1）有毒物质判定标准序号为1、2的物质属于剧毒物质；符合有毒物质判定标准序号3的属于</w:t>
      </w:r>
      <w:r>
        <w:rPr>
          <w:rFonts w:ascii="黑体" w:hAnsi="黑体" w:eastAsia="黑体"/>
          <w:color w:val="1C1B10"/>
          <w:sz w:val="18"/>
          <w:szCs w:val="18"/>
          <w:highlight w:val="none"/>
        </w:rPr>
        <w:t>一般毒物</w:t>
      </w:r>
      <w:r>
        <w:rPr>
          <w:rFonts w:ascii="黑体" w:hAnsi="黑体" w:eastAsia="黑体"/>
          <w:color w:val="1C1B10"/>
          <w:sz w:val="18"/>
          <w:szCs w:val="18"/>
        </w:rPr>
        <w:t>。</w:t>
      </w:r>
    </w:p>
    <w:p>
      <w:pPr>
        <w:spacing w:after="163" w:afterLines="50"/>
        <w:ind w:firstLine="270" w:firstLineChars="150"/>
        <w:rPr>
          <w:rFonts w:ascii="黑体" w:hAnsi="黑体" w:eastAsia="黑体"/>
          <w:color w:val="1C1B10"/>
          <w:sz w:val="18"/>
          <w:szCs w:val="18"/>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rPr>
          <w:rFonts w:ascii="黑体" w:hAnsi="黑体" w:eastAsia="黑体"/>
          <w:color w:val="1C1B10"/>
          <w:sz w:val="18"/>
          <w:szCs w:val="18"/>
        </w:rPr>
        <w:t>（2）凡符合表中易燃物质和爆炸性物质标准的物质，均视为火灾、爆炸危险物质。</w:t>
      </w:r>
    </w:p>
    <w:p>
      <w:pPr>
        <w:pStyle w:val="6"/>
        <w:bidi w:val="0"/>
      </w:pPr>
      <w:bookmarkStart w:id="301" w:name="_Toc101"/>
      <w:bookmarkStart w:id="302" w:name="_Toc29556"/>
      <w:bookmarkStart w:id="303" w:name="_Toc22593"/>
      <w:bookmarkStart w:id="304" w:name="_Toc37600059"/>
      <w:bookmarkStart w:id="305" w:name="_Toc27833"/>
      <w:r>
        <w:t>3.</w:t>
      </w:r>
      <w:r>
        <w:rPr>
          <w:rFonts w:hint="eastAsia"/>
        </w:rPr>
        <w:t>7</w:t>
      </w:r>
      <w:r>
        <w:t>.2 环境物质的危险性识别</w:t>
      </w:r>
      <w:bookmarkEnd w:id="301"/>
      <w:bookmarkEnd w:id="302"/>
      <w:bookmarkEnd w:id="303"/>
      <w:bookmarkEnd w:id="304"/>
      <w:bookmarkEnd w:id="305"/>
    </w:p>
    <w:p>
      <w:pPr>
        <w:pStyle w:val="82"/>
        <w:spacing w:before="163"/>
        <w:rPr>
          <w:rFonts w:hint="eastAsia" w:ascii="Times New Roman" w:hAnsi="Times New Roman" w:eastAsia="宋体"/>
        </w:rPr>
      </w:pPr>
      <w:r>
        <w:rPr>
          <w:rFonts w:ascii="Times New Roman" w:hAnsi="Times New Roman" w:eastAsia="宋体"/>
        </w:rPr>
        <w:t>表3.</w:t>
      </w:r>
      <w:r>
        <w:rPr>
          <w:rFonts w:hint="eastAsia" w:ascii="Times New Roman" w:hAnsi="Times New Roman" w:eastAsia="宋体"/>
        </w:rPr>
        <w:t>7</w:t>
      </w:r>
      <w:r>
        <w:rPr>
          <w:rFonts w:hint="eastAsia" w:ascii="Times New Roman" w:hAnsi="Times New Roman" w:eastAsia="宋体"/>
          <w:lang w:val="en-US" w:eastAsia="zh-CN"/>
        </w:rPr>
        <w:t>.2</w:t>
      </w:r>
      <w:r>
        <w:rPr>
          <w:rFonts w:ascii="Times New Roman" w:hAnsi="Times New Roman" w:eastAsia="宋体"/>
        </w:rPr>
        <w:t xml:space="preserve">-1 </w:t>
      </w:r>
      <w:r>
        <w:rPr>
          <w:rFonts w:hint="eastAsia" w:ascii="Times New Roman" w:hAnsi="Times New Roman" w:eastAsia="宋体"/>
        </w:rPr>
        <w:t>风险物质理化性质</w:t>
      </w:r>
    </w:p>
    <w:p>
      <w:pPr>
        <w:pStyle w:val="90"/>
        <w:numPr>
          <w:ilvl w:val="0"/>
          <w:numId w:val="1"/>
        </w:numPr>
        <w:ind w:firstLineChars="0"/>
        <w:rPr>
          <w:rFonts w:hint="eastAsia"/>
          <w:b/>
        </w:rPr>
      </w:pPr>
      <w:r>
        <w:rPr>
          <w:rFonts w:hint="eastAsia"/>
          <w:b/>
        </w:rPr>
        <w:t>脱脂剂</w:t>
      </w:r>
      <w:r>
        <w:rPr>
          <w:rFonts w:hint="eastAsia"/>
          <w:b/>
          <w:highlight w:val="none"/>
        </w:rPr>
        <w:t>(</w:t>
      </w:r>
      <w:r>
        <w:rPr>
          <w:rFonts w:hint="eastAsia"/>
          <w:b/>
        </w:rPr>
        <w:t>氢氧化钠</w:t>
      </w:r>
      <w:r>
        <w:rPr>
          <w:rFonts w:hint="eastAsia"/>
          <w:b/>
          <w:highlight w:val="none"/>
        </w:rPr>
        <w:t>)</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1"/>
        <w:gridCol w:w="2157"/>
        <w:gridCol w:w="1370"/>
        <w:gridCol w:w="1372"/>
        <w:gridCol w:w="1372"/>
        <w:gridCol w:w="1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574" w:type="pct"/>
            <w:vAlign w:val="center"/>
          </w:tcPr>
          <w:p>
            <w:pPr>
              <w:pStyle w:val="83"/>
              <w:rPr>
                <w:b/>
              </w:rPr>
            </w:pPr>
            <w:r>
              <w:rPr>
                <w:rFonts w:hAnsi="宋体"/>
                <w:b/>
              </w:rPr>
              <w:t>品</w:t>
            </w:r>
            <w:r>
              <w:rPr>
                <w:b/>
              </w:rPr>
              <w:t xml:space="preserve">   </w:t>
            </w:r>
            <w:r>
              <w:rPr>
                <w:rFonts w:hAnsi="宋体"/>
                <w:b/>
              </w:rPr>
              <w:t>名</w:t>
            </w:r>
          </w:p>
        </w:tc>
        <w:tc>
          <w:tcPr>
            <w:tcW w:w="1237" w:type="pct"/>
            <w:vAlign w:val="center"/>
          </w:tcPr>
          <w:p>
            <w:pPr>
              <w:pStyle w:val="83"/>
              <w:rPr>
                <w:b/>
              </w:rPr>
            </w:pPr>
            <w:r>
              <w:rPr>
                <w:rFonts w:hint="eastAsia" w:hAnsi="宋体"/>
                <w:b/>
              </w:rPr>
              <w:t>氢氧化钠</w:t>
            </w:r>
          </w:p>
        </w:tc>
        <w:tc>
          <w:tcPr>
            <w:tcW w:w="786" w:type="pct"/>
            <w:vAlign w:val="center"/>
          </w:tcPr>
          <w:p>
            <w:pPr>
              <w:pStyle w:val="83"/>
              <w:rPr>
                <w:b/>
              </w:rPr>
            </w:pPr>
            <w:r>
              <w:rPr>
                <w:rFonts w:hAnsi="宋体"/>
                <w:b/>
              </w:rPr>
              <w:t>别</w:t>
            </w:r>
            <w:r>
              <w:rPr>
                <w:b/>
              </w:rPr>
              <w:t xml:space="preserve">   </w:t>
            </w:r>
            <w:r>
              <w:rPr>
                <w:rFonts w:hAnsi="宋体"/>
                <w:b/>
              </w:rPr>
              <w:t>名</w:t>
            </w:r>
          </w:p>
        </w:tc>
        <w:tc>
          <w:tcPr>
            <w:tcW w:w="787" w:type="pct"/>
            <w:vAlign w:val="center"/>
          </w:tcPr>
          <w:p>
            <w:pPr>
              <w:pStyle w:val="83"/>
              <w:rPr>
                <w:b/>
              </w:rPr>
            </w:pPr>
          </w:p>
        </w:tc>
        <w:tc>
          <w:tcPr>
            <w:tcW w:w="787" w:type="pct"/>
            <w:vAlign w:val="center"/>
          </w:tcPr>
          <w:p>
            <w:pPr>
              <w:pStyle w:val="83"/>
              <w:rPr>
                <w:b/>
              </w:rPr>
            </w:pPr>
            <w:r>
              <w:rPr>
                <w:rFonts w:hAnsi="宋体"/>
                <w:b/>
              </w:rPr>
              <w:t>分子式</w:t>
            </w:r>
          </w:p>
        </w:tc>
        <w:tc>
          <w:tcPr>
            <w:tcW w:w="827" w:type="pct"/>
            <w:vAlign w:val="center"/>
          </w:tcPr>
          <w:p>
            <w:pPr>
              <w:pStyle w:val="83"/>
              <w:rPr>
                <w:b/>
              </w:rPr>
            </w:pPr>
            <w:r>
              <w:rPr>
                <w:b/>
              </w:rPr>
              <w:t>NaOH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574" w:type="pct"/>
            <w:vAlign w:val="center"/>
          </w:tcPr>
          <w:p>
            <w:pPr>
              <w:pStyle w:val="83"/>
              <w:rPr>
                <w:b/>
              </w:rPr>
            </w:pPr>
            <w:r>
              <w:rPr>
                <w:rFonts w:hAnsi="宋体"/>
                <w:b/>
              </w:rPr>
              <w:t>英文名称</w:t>
            </w:r>
          </w:p>
        </w:tc>
        <w:tc>
          <w:tcPr>
            <w:tcW w:w="1237" w:type="pct"/>
            <w:vAlign w:val="center"/>
          </w:tcPr>
          <w:p>
            <w:pPr>
              <w:pStyle w:val="83"/>
              <w:rPr>
                <w:b/>
              </w:rPr>
            </w:pPr>
            <w:r>
              <w:rPr>
                <w:b/>
              </w:rPr>
              <w:t xml:space="preserve">Sodium hydroxide </w:t>
            </w:r>
            <w:r>
              <w:rPr>
                <w:b/>
                <w:highlight w:val="none"/>
              </w:rPr>
              <w:t>;</w:t>
            </w:r>
          </w:p>
        </w:tc>
        <w:tc>
          <w:tcPr>
            <w:tcW w:w="786" w:type="pct"/>
            <w:vAlign w:val="center"/>
          </w:tcPr>
          <w:p>
            <w:pPr>
              <w:pStyle w:val="83"/>
              <w:rPr>
                <w:b/>
              </w:rPr>
            </w:pPr>
            <w:r>
              <w:rPr>
                <w:rFonts w:hAnsi="宋体"/>
                <w:b/>
              </w:rPr>
              <w:t>分</w:t>
            </w:r>
            <w:r>
              <w:rPr>
                <w:b/>
              </w:rPr>
              <w:t xml:space="preserve">   </w:t>
            </w:r>
            <w:r>
              <w:rPr>
                <w:rFonts w:hAnsi="宋体"/>
                <w:b/>
              </w:rPr>
              <w:t>子</w:t>
            </w:r>
            <w:r>
              <w:rPr>
                <w:b/>
              </w:rPr>
              <w:t xml:space="preserve">   </w:t>
            </w:r>
            <w:r>
              <w:rPr>
                <w:rFonts w:hAnsi="宋体"/>
                <w:b/>
              </w:rPr>
              <w:t>量</w:t>
            </w:r>
          </w:p>
        </w:tc>
        <w:tc>
          <w:tcPr>
            <w:tcW w:w="787" w:type="pct"/>
            <w:vAlign w:val="center"/>
          </w:tcPr>
          <w:p>
            <w:pPr>
              <w:pStyle w:val="83"/>
              <w:rPr>
                <w:b/>
              </w:rPr>
            </w:pPr>
            <w:r>
              <w:rPr>
                <w:b/>
              </w:rPr>
              <w:t>39.9971</w:t>
            </w:r>
          </w:p>
        </w:tc>
        <w:tc>
          <w:tcPr>
            <w:tcW w:w="787" w:type="pct"/>
            <w:vAlign w:val="center"/>
          </w:tcPr>
          <w:p>
            <w:pPr>
              <w:pStyle w:val="83"/>
              <w:rPr>
                <w:b/>
              </w:rPr>
            </w:pPr>
            <w:r>
              <w:rPr>
                <w:b/>
              </w:rPr>
              <w:t>C A S</w:t>
            </w:r>
            <w:r>
              <w:rPr>
                <w:rFonts w:hAnsi="宋体"/>
                <w:b/>
              </w:rPr>
              <w:t>号</w:t>
            </w:r>
          </w:p>
        </w:tc>
        <w:tc>
          <w:tcPr>
            <w:tcW w:w="827" w:type="pct"/>
            <w:vAlign w:val="center"/>
          </w:tcPr>
          <w:p>
            <w:pPr>
              <w:pStyle w:val="83"/>
              <w:rPr>
                <w:b/>
              </w:rPr>
            </w:pPr>
            <w:r>
              <w:rPr>
                <w:rFonts w:hint="eastAsia"/>
                <w:b/>
              </w:rPr>
              <w:t>1310-58-3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17" w:hRule="atLeast"/>
        </w:trPr>
        <w:tc>
          <w:tcPr>
            <w:tcW w:w="574" w:type="pct"/>
            <w:tcBorders>
              <w:bottom w:val="single" w:color="auto" w:sz="4" w:space="0"/>
            </w:tcBorders>
            <w:vAlign w:val="center"/>
          </w:tcPr>
          <w:p>
            <w:pPr>
              <w:pStyle w:val="83"/>
              <w:rPr>
                <w:b/>
              </w:rPr>
            </w:pPr>
            <w:r>
              <w:rPr>
                <w:rFonts w:hAnsi="宋体"/>
                <w:b/>
              </w:rPr>
              <w:t>理</w:t>
            </w:r>
          </w:p>
          <w:p>
            <w:pPr>
              <w:pStyle w:val="83"/>
              <w:rPr>
                <w:b/>
              </w:rPr>
            </w:pPr>
            <w:r>
              <w:rPr>
                <w:rFonts w:hAnsi="宋体"/>
                <w:b/>
              </w:rPr>
              <w:t>化</w:t>
            </w:r>
          </w:p>
          <w:p>
            <w:pPr>
              <w:pStyle w:val="83"/>
              <w:rPr>
                <w:b/>
              </w:rPr>
            </w:pPr>
            <w:r>
              <w:rPr>
                <w:rFonts w:hAnsi="宋体"/>
                <w:b/>
              </w:rPr>
              <w:t>性</w:t>
            </w:r>
          </w:p>
          <w:p>
            <w:pPr>
              <w:pStyle w:val="83"/>
              <w:rPr>
                <w:b/>
              </w:rPr>
            </w:pPr>
            <w:r>
              <w:rPr>
                <w:rFonts w:hAnsi="宋体"/>
                <w:b/>
              </w:rPr>
              <w:t>质</w:t>
            </w:r>
          </w:p>
        </w:tc>
        <w:tc>
          <w:tcPr>
            <w:tcW w:w="4425" w:type="pct"/>
            <w:gridSpan w:val="5"/>
            <w:tcBorders>
              <w:bottom w:val="single" w:color="auto" w:sz="4" w:space="0"/>
            </w:tcBorders>
            <w:vAlign w:val="center"/>
          </w:tcPr>
          <w:p>
            <w:pPr>
              <w:pStyle w:val="83"/>
              <w:jc w:val="left"/>
            </w:pPr>
            <w:r>
              <w:rPr>
                <w:rFonts w:hAnsi="宋体"/>
              </w:rPr>
              <w:t>外观与性状：氢氧化钠为白色半透明结晶状固体。其水溶液有涩味和滑腻感。</w:t>
            </w:r>
          </w:p>
          <w:p>
            <w:pPr>
              <w:pStyle w:val="83"/>
              <w:jc w:val="left"/>
            </w:pPr>
            <w:r>
              <w:rPr>
                <w:rFonts w:hAnsi="宋体"/>
              </w:rPr>
              <w:t>主要用途：</w:t>
            </w:r>
            <w:r>
              <w:rPr>
                <w:rFonts w:hint="eastAsia" w:ascii="微软雅黑" w:hAnsi="微软雅黑" w:eastAsia="微软雅黑" w:cs="微软雅黑"/>
                <w:color w:val="333333"/>
                <w:shd w:val="clear" w:color="auto" w:fill="FFFFFF"/>
              </w:rPr>
              <w:t>用于肥皂工业、石油精炼、造纸、人造丝、染色、制革、医药、有机合成等</w:t>
            </w:r>
          </w:p>
          <w:p>
            <w:pPr>
              <w:pStyle w:val="83"/>
              <w:jc w:val="left"/>
            </w:pPr>
            <w:r>
              <w:rPr>
                <w:rFonts w:hAnsi="宋体"/>
              </w:rPr>
              <w:t>相对密度：1.097</w:t>
            </w:r>
            <w:r>
              <w:rPr>
                <w:rFonts w:hint="eastAsia" w:ascii="Arial" w:hAnsi="Arial" w:cs="Arial"/>
                <w:color w:val="333333"/>
                <w:shd w:val="clear" w:color="auto" w:fill="FFFFFF"/>
              </w:rPr>
              <w:t>。</w:t>
            </w:r>
          </w:p>
          <w:p>
            <w:pPr>
              <w:pStyle w:val="83"/>
              <w:jc w:val="left"/>
            </w:pPr>
            <w:r>
              <w:rPr>
                <w:rFonts w:hAnsi="宋体"/>
              </w:rPr>
              <w:t>溶解性：</w:t>
            </w:r>
            <w:r>
              <w:rPr>
                <w:rFonts w:hint="eastAsia" w:hAnsi="宋体"/>
              </w:rPr>
              <w:t>易溶于水</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65" w:hRule="atLeast"/>
        </w:trPr>
        <w:tc>
          <w:tcPr>
            <w:tcW w:w="574" w:type="pct"/>
            <w:tcBorders>
              <w:bottom w:val="single" w:color="auto" w:sz="4" w:space="0"/>
            </w:tcBorders>
            <w:vAlign w:val="center"/>
          </w:tcPr>
          <w:p>
            <w:pPr>
              <w:pStyle w:val="83"/>
              <w:rPr>
                <w:b/>
              </w:rPr>
            </w:pPr>
            <w:r>
              <w:rPr>
                <w:rFonts w:hAnsi="宋体"/>
                <w:b/>
              </w:rPr>
              <w:t>燃</w:t>
            </w:r>
          </w:p>
          <w:p>
            <w:pPr>
              <w:pStyle w:val="83"/>
              <w:rPr>
                <w:b/>
              </w:rPr>
            </w:pPr>
            <w:r>
              <w:rPr>
                <w:rFonts w:hAnsi="宋体"/>
                <w:b/>
              </w:rPr>
              <w:t>烧</w:t>
            </w:r>
          </w:p>
          <w:p>
            <w:pPr>
              <w:pStyle w:val="83"/>
              <w:rPr>
                <w:b/>
              </w:rPr>
            </w:pPr>
            <w:r>
              <w:rPr>
                <w:rFonts w:hAnsi="宋体"/>
                <w:b/>
              </w:rPr>
              <w:t>爆</w:t>
            </w:r>
          </w:p>
          <w:p>
            <w:pPr>
              <w:pStyle w:val="83"/>
              <w:rPr>
                <w:b/>
              </w:rPr>
            </w:pPr>
            <w:r>
              <w:rPr>
                <w:rFonts w:hAnsi="宋体"/>
                <w:b/>
              </w:rPr>
              <w:t>炸</w:t>
            </w:r>
          </w:p>
          <w:p>
            <w:pPr>
              <w:pStyle w:val="83"/>
              <w:rPr>
                <w:b/>
              </w:rPr>
            </w:pPr>
            <w:r>
              <w:rPr>
                <w:rFonts w:hAnsi="宋体"/>
                <w:b/>
              </w:rPr>
              <w:t>危</w:t>
            </w:r>
          </w:p>
          <w:p>
            <w:pPr>
              <w:pStyle w:val="83"/>
              <w:rPr>
                <w:b/>
              </w:rPr>
            </w:pPr>
            <w:r>
              <w:rPr>
                <w:rFonts w:hAnsi="宋体"/>
                <w:b/>
              </w:rPr>
              <w:t>险</w:t>
            </w:r>
          </w:p>
          <w:p>
            <w:pPr>
              <w:pStyle w:val="83"/>
              <w:rPr>
                <w:b/>
              </w:rPr>
            </w:pPr>
            <w:r>
              <w:rPr>
                <w:rFonts w:hAnsi="宋体"/>
                <w:b/>
              </w:rPr>
              <w:t>性</w:t>
            </w:r>
          </w:p>
        </w:tc>
        <w:tc>
          <w:tcPr>
            <w:tcW w:w="4425" w:type="pct"/>
            <w:gridSpan w:val="5"/>
          </w:tcPr>
          <w:p>
            <w:pPr>
              <w:pStyle w:val="83"/>
              <w:jc w:val="left"/>
            </w:pPr>
            <w:r>
              <w:rPr>
                <w:rFonts w:hAnsi="宋体"/>
              </w:rPr>
              <w:t>燃烧性：</w:t>
            </w:r>
            <w:r>
              <w:rPr>
                <w:rFonts w:hint="eastAsia"/>
                <w:kern w:val="0"/>
              </w:rPr>
              <w:t>不燃烧</w:t>
            </w:r>
          </w:p>
          <w:p>
            <w:pPr>
              <w:pStyle w:val="83"/>
              <w:jc w:val="left"/>
            </w:pPr>
            <w:r>
              <w:rPr>
                <w:rFonts w:hAnsi="宋体"/>
              </w:rPr>
              <w:t>建规火险等级：</w:t>
            </w:r>
          </w:p>
          <w:p>
            <w:pPr>
              <w:pStyle w:val="83"/>
              <w:jc w:val="left"/>
            </w:pPr>
            <w:r>
              <w:rPr>
                <w:rFonts w:hAnsi="宋体"/>
              </w:rPr>
              <w:t>闪点：无意义；</w:t>
            </w:r>
          </w:p>
          <w:p>
            <w:pPr>
              <w:pStyle w:val="83"/>
              <w:jc w:val="left"/>
            </w:pPr>
            <w:r>
              <w:rPr>
                <w:rFonts w:hAnsi="宋体"/>
                <w:highlight w:val="none"/>
              </w:rPr>
              <w:t>自燃点</w:t>
            </w:r>
            <w:r>
              <w:rPr>
                <w:rFonts w:hAnsi="宋体"/>
              </w:rPr>
              <w:t>：</w:t>
            </w:r>
          </w:p>
          <w:p>
            <w:pPr>
              <w:pStyle w:val="83"/>
              <w:jc w:val="left"/>
            </w:pPr>
            <w:r>
              <w:rPr>
                <w:rFonts w:hAnsi="宋体"/>
              </w:rPr>
              <w:t>建筑防火设计规范火险等级：</w:t>
            </w:r>
          </w:p>
          <w:p>
            <w:pPr>
              <w:pStyle w:val="83"/>
              <w:jc w:val="left"/>
              <w:rPr>
                <w:rFonts w:hAnsi="宋体"/>
              </w:rPr>
            </w:pPr>
            <w:r>
              <w:rPr>
                <w:rFonts w:hAnsi="宋体"/>
              </w:rPr>
              <w:t>爆炸下限</w:t>
            </w:r>
            <w:r>
              <w:rPr>
                <w:kern w:val="0"/>
                <w:highlight w:val="none"/>
              </w:rPr>
              <w:t>(</w:t>
            </w:r>
            <w:r>
              <w:rPr>
                <w:kern w:val="0"/>
              </w:rPr>
              <w:t>V%</w:t>
            </w:r>
            <w:r>
              <w:rPr>
                <w:kern w:val="0"/>
                <w:highlight w:val="none"/>
              </w:rPr>
              <w:t>)</w:t>
            </w:r>
            <w:r>
              <w:rPr>
                <w:rFonts w:hAnsi="宋体"/>
              </w:rPr>
              <w:t>：</w:t>
            </w:r>
          </w:p>
          <w:p>
            <w:pPr>
              <w:pStyle w:val="83"/>
              <w:jc w:val="left"/>
            </w:pPr>
            <w:r>
              <w:rPr>
                <w:rFonts w:hAnsi="宋体"/>
              </w:rPr>
              <w:t>爆炸上限</w:t>
            </w:r>
            <w:r>
              <w:rPr>
                <w:kern w:val="0"/>
                <w:highlight w:val="none"/>
              </w:rPr>
              <w:t>(</w:t>
            </w:r>
            <w:r>
              <w:rPr>
                <w:kern w:val="0"/>
              </w:rPr>
              <w:t>V%</w:t>
            </w:r>
            <w:r>
              <w:rPr>
                <w:kern w:val="0"/>
                <w:highlight w:val="none"/>
              </w:rPr>
              <w:t>)</w:t>
            </w:r>
            <w:r>
              <w:rPr>
                <w:rFonts w:hAnsi="宋体"/>
              </w:rPr>
              <w:t>：</w:t>
            </w:r>
          </w:p>
          <w:p>
            <w:pPr>
              <w:pStyle w:val="83"/>
              <w:jc w:val="left"/>
            </w:pPr>
            <w:r>
              <w:rPr>
                <w:rFonts w:hAnsi="宋体"/>
              </w:rPr>
              <w:t>灭火方法：</w:t>
            </w:r>
            <w:r>
              <w:rPr>
                <w:rFonts w:hint="eastAsia" w:hAnsi="宋体"/>
              </w:rPr>
              <w:t>雾状水，</w:t>
            </w:r>
            <w:r>
              <w:rPr>
                <w:rFonts w:hint="eastAsia" w:hAnsi="宋体"/>
                <w:highlight w:val="none"/>
              </w:rPr>
              <w:t>砂土</w:t>
            </w:r>
          </w:p>
          <w:p>
            <w:pPr>
              <w:pStyle w:val="83"/>
              <w:jc w:val="left"/>
            </w:pPr>
            <w:r>
              <w:rPr>
                <w:rFonts w:hAnsi="宋体"/>
              </w:rPr>
              <w:t>危险特性：</w:t>
            </w:r>
            <w:r>
              <w:rPr>
                <w:rFonts w:hint="eastAsia"/>
                <w:kern w:val="0"/>
              </w:rPr>
              <w:t>本品不会燃烧，遇水和水蒸气大量放热，形成腐蚀性溶液。与酸发生中和反应并放热。具有强腐蚀性。</w:t>
            </w:r>
          </w:p>
          <w:p>
            <w:pPr>
              <w:pStyle w:val="83"/>
              <w:jc w:val="left"/>
            </w:pPr>
            <w:r>
              <w:rPr>
                <w:rFonts w:hAnsi="宋体"/>
              </w:rPr>
              <w:t>稳定性：</w:t>
            </w:r>
            <w:r>
              <w:t xml:space="preserve"> </w:t>
            </w:r>
            <w:r>
              <w:rPr>
                <w:rFonts w:hAnsi="宋体"/>
              </w:rPr>
              <w:t>稳定</w:t>
            </w:r>
            <w:r>
              <w:t xml:space="preserve"> </w:t>
            </w:r>
          </w:p>
          <w:p>
            <w:pPr>
              <w:pStyle w:val="83"/>
              <w:jc w:val="left"/>
            </w:pPr>
            <w:r>
              <w:rPr>
                <w:rFonts w:hAnsi="宋体"/>
              </w:rPr>
              <w:t>聚合危害：</w:t>
            </w:r>
            <w:r>
              <w:br w:type="textWrapping"/>
            </w:r>
            <w:r>
              <w:rPr>
                <w:rFonts w:hAnsi="宋体"/>
              </w:rPr>
              <w:t>避免接触的条件：</w:t>
            </w:r>
            <w:r>
              <w:br w:type="textWrapping"/>
            </w:r>
            <w:r>
              <w:rPr>
                <w:rFonts w:hAnsi="宋体"/>
              </w:rPr>
              <w:t>禁忌物：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55" w:hRule="atLeast"/>
        </w:trPr>
        <w:tc>
          <w:tcPr>
            <w:tcW w:w="574" w:type="pct"/>
            <w:vAlign w:val="center"/>
          </w:tcPr>
          <w:p>
            <w:pPr>
              <w:pStyle w:val="83"/>
              <w:rPr>
                <w:b/>
              </w:rPr>
            </w:pPr>
            <w:r>
              <w:rPr>
                <w:rFonts w:hAnsi="宋体"/>
                <w:b/>
              </w:rPr>
              <w:t>包</w:t>
            </w:r>
          </w:p>
          <w:p>
            <w:pPr>
              <w:pStyle w:val="83"/>
              <w:rPr>
                <w:b/>
              </w:rPr>
            </w:pPr>
            <w:r>
              <w:rPr>
                <w:rFonts w:hAnsi="宋体"/>
                <w:b/>
              </w:rPr>
              <w:t>装</w:t>
            </w:r>
          </w:p>
          <w:p>
            <w:pPr>
              <w:pStyle w:val="83"/>
              <w:rPr>
                <w:b/>
              </w:rPr>
            </w:pPr>
            <w:r>
              <w:rPr>
                <w:rFonts w:hAnsi="宋体"/>
                <w:b/>
              </w:rPr>
              <w:t>与</w:t>
            </w:r>
          </w:p>
          <w:p>
            <w:pPr>
              <w:pStyle w:val="83"/>
              <w:rPr>
                <w:b/>
              </w:rPr>
            </w:pPr>
            <w:r>
              <w:rPr>
                <w:rFonts w:hAnsi="宋体"/>
                <w:b/>
              </w:rPr>
              <w:t>储</w:t>
            </w:r>
          </w:p>
          <w:p>
            <w:pPr>
              <w:pStyle w:val="83"/>
              <w:rPr>
                <w:b/>
              </w:rPr>
            </w:pPr>
            <w:r>
              <w:rPr>
                <w:rFonts w:hAnsi="宋体"/>
                <w:b/>
              </w:rPr>
              <w:t>运</w:t>
            </w:r>
          </w:p>
        </w:tc>
        <w:tc>
          <w:tcPr>
            <w:tcW w:w="4425" w:type="pct"/>
            <w:gridSpan w:val="5"/>
            <w:vAlign w:val="center"/>
          </w:tcPr>
          <w:p>
            <w:pPr>
              <w:pStyle w:val="83"/>
              <w:jc w:val="left"/>
            </w:pPr>
            <w:r>
              <w:rPr>
                <w:rFonts w:hAnsi="宋体"/>
              </w:rPr>
              <w:t>危险性类别：</w:t>
            </w:r>
            <w:r>
              <w:rPr>
                <w:kern w:val="0"/>
              </w:rPr>
              <w:t>第2．1类易燃气体</w:t>
            </w:r>
            <w:r>
              <w:rPr>
                <w:rFonts w:hAnsi="宋体"/>
              </w:rPr>
              <w:t>；</w:t>
            </w:r>
          </w:p>
          <w:p>
            <w:pPr>
              <w:pStyle w:val="83"/>
              <w:jc w:val="left"/>
            </w:pPr>
            <w:r>
              <w:rPr>
                <w:rFonts w:hAnsi="宋体"/>
              </w:rPr>
              <w:t>危险货物包装标志：</w:t>
            </w:r>
            <w:r>
              <w:rPr>
                <w:rFonts w:hint="eastAsia"/>
              </w:rPr>
              <w:t>4</w:t>
            </w:r>
            <w:r>
              <w:rPr>
                <w:rFonts w:hAnsi="宋体"/>
              </w:rPr>
              <w:t>；</w:t>
            </w:r>
          </w:p>
          <w:p>
            <w:pPr>
              <w:pStyle w:val="83"/>
              <w:jc w:val="left"/>
            </w:pPr>
            <w:r>
              <w:rPr>
                <w:rFonts w:hAnsi="宋体"/>
              </w:rPr>
              <w:t>包装类别：</w:t>
            </w:r>
            <w:r>
              <w:fldChar w:fldCharType="begin"/>
            </w:r>
            <w:r>
              <w:instrText xml:space="preserve"> = 2 \* ROMAN </w:instrText>
            </w:r>
            <w:r>
              <w:fldChar w:fldCharType="separate"/>
            </w:r>
            <w:r>
              <w:rPr>
                <w:highlight w:val="none"/>
              </w:rPr>
              <w:t>II</w:t>
            </w:r>
            <w:r>
              <w:fldChar w:fldCharType="end"/>
            </w:r>
            <w:r>
              <w:rPr>
                <w:rFonts w:hAnsi="宋体"/>
              </w:rPr>
              <w:t>；</w:t>
            </w:r>
          </w:p>
          <w:p>
            <w:pPr>
              <w:pStyle w:val="83"/>
              <w:jc w:val="left"/>
            </w:pPr>
            <w:r>
              <w:rPr>
                <w:rFonts w:hAnsi="宋体"/>
              </w:rPr>
              <w:t>储运注意事项：</w:t>
            </w:r>
            <w:r>
              <w:rPr>
                <w:kern w:val="0"/>
              </w:rPr>
              <w:t>易燃压缩气体。储存于阴凉、干燥、通风良好的不燃库房。仓温不宜超过30℃。远离火种、热源。防止阳光直射。应与氧气、压缩空气、卤素</w:t>
            </w:r>
            <w:r>
              <w:rPr>
                <w:kern w:val="0"/>
                <w:highlight w:val="none"/>
              </w:rPr>
              <w:t>(</w:t>
            </w:r>
            <w:r>
              <w:rPr>
                <w:kern w:val="0"/>
              </w:rPr>
              <w:t>氟、氯、溴</w:t>
            </w:r>
            <w:r>
              <w:rPr>
                <w:kern w:val="0"/>
                <w:highlight w:val="none"/>
              </w:rPr>
              <w:t>)</w:t>
            </w:r>
            <w:r>
              <w:rPr>
                <w:kern w:val="0"/>
              </w:rPr>
              <w:t>、氧化剂等分开存放。储存间内的照明、通风等设施应采用防爆型。若是储罐存放，储罐区域要有禁火标志和防火防爆技术措施。禁止使用易产生火花的机械设备和工具。槽车运送时要灌装适量，不可超压超量运输。搬运时轻装轻卸，防止钢瓶及附件破损</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51" w:hRule="atLeast"/>
        </w:trPr>
        <w:tc>
          <w:tcPr>
            <w:tcW w:w="574" w:type="pct"/>
            <w:vAlign w:val="center"/>
          </w:tcPr>
          <w:p>
            <w:pPr>
              <w:pStyle w:val="83"/>
              <w:rPr>
                <w:b/>
              </w:rPr>
            </w:pPr>
            <w:r>
              <w:rPr>
                <w:rFonts w:hAnsi="宋体"/>
                <w:b/>
              </w:rPr>
              <w:t>毒性</w:t>
            </w:r>
          </w:p>
          <w:p>
            <w:pPr>
              <w:pStyle w:val="83"/>
              <w:rPr>
                <w:b/>
              </w:rPr>
            </w:pPr>
            <w:r>
              <w:rPr>
                <w:rFonts w:hAnsi="宋体"/>
                <w:b/>
              </w:rPr>
              <w:t>及</w:t>
            </w:r>
          </w:p>
          <w:p>
            <w:pPr>
              <w:pStyle w:val="83"/>
              <w:rPr>
                <w:b/>
              </w:rPr>
            </w:pPr>
            <w:r>
              <w:rPr>
                <w:rFonts w:hAnsi="宋体"/>
                <w:b/>
              </w:rPr>
              <w:t>健康</w:t>
            </w:r>
          </w:p>
          <w:p>
            <w:pPr>
              <w:pStyle w:val="83"/>
              <w:rPr>
                <w:b/>
              </w:rPr>
            </w:pPr>
            <w:r>
              <w:rPr>
                <w:rFonts w:hAnsi="宋体"/>
                <w:b/>
              </w:rPr>
              <w:t>危害</w:t>
            </w:r>
          </w:p>
          <w:p>
            <w:pPr>
              <w:pStyle w:val="83"/>
              <w:rPr>
                <w:b/>
              </w:rPr>
            </w:pPr>
            <w:r>
              <w:rPr>
                <w:rFonts w:hAnsi="宋体"/>
                <w:b/>
              </w:rPr>
              <w:t>性</w:t>
            </w:r>
          </w:p>
        </w:tc>
        <w:tc>
          <w:tcPr>
            <w:tcW w:w="4425" w:type="pct"/>
            <w:gridSpan w:val="5"/>
            <w:vAlign w:val="center"/>
          </w:tcPr>
          <w:p>
            <w:pPr>
              <w:pStyle w:val="83"/>
              <w:jc w:val="left"/>
            </w:pPr>
            <w:r>
              <w:rPr>
                <w:rFonts w:hAnsi="宋体"/>
              </w:rPr>
              <w:t>接触限值：</w:t>
            </w:r>
            <w:r>
              <w:rPr>
                <w:rFonts w:hint="eastAsia" w:hAnsi="宋体"/>
              </w:rPr>
              <w:t>未制定标准</w:t>
            </w:r>
          </w:p>
          <w:p>
            <w:pPr>
              <w:pStyle w:val="83"/>
              <w:jc w:val="left"/>
            </w:pPr>
            <w:r>
              <w:rPr>
                <w:rFonts w:hAnsi="宋体"/>
              </w:rPr>
              <w:t>侵入途径：吸入。</w:t>
            </w:r>
          </w:p>
          <w:p>
            <w:pPr>
              <w:pStyle w:val="83"/>
              <w:jc w:val="left"/>
            </w:pPr>
            <w:r>
              <w:rPr>
                <w:rFonts w:hAnsi="宋体"/>
              </w:rPr>
              <w:t>毒性：</w:t>
            </w:r>
          </w:p>
          <w:p>
            <w:pPr>
              <w:pStyle w:val="83"/>
              <w:jc w:val="left"/>
            </w:pPr>
            <w:r>
              <w:rPr>
                <w:rFonts w:hAnsi="宋体"/>
              </w:rPr>
              <w:t>健康危害：</w:t>
            </w:r>
            <w:r>
              <w:rPr>
                <w:rFonts w:hint="eastAsia" w:hAnsi="宋体"/>
              </w:rPr>
              <w:t>本品有强烈刺激和腐蚀性。粉尘或烟雾刺激眼和呼吸道，腐蚀鼻中隔，皮肤和眼直接接触可引起灼伤，误服可造成消化道灼伤，黏膜糜烂、出血和休克。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84" w:hRule="atLeast"/>
        </w:trPr>
        <w:tc>
          <w:tcPr>
            <w:tcW w:w="574" w:type="pct"/>
            <w:vAlign w:val="center"/>
          </w:tcPr>
          <w:p>
            <w:pPr>
              <w:pStyle w:val="83"/>
              <w:rPr>
                <w:b/>
              </w:rPr>
            </w:pPr>
            <w:r>
              <w:rPr>
                <w:rFonts w:hAnsi="宋体"/>
                <w:b/>
              </w:rPr>
              <w:t>急</w:t>
            </w:r>
          </w:p>
          <w:p>
            <w:pPr>
              <w:pStyle w:val="83"/>
              <w:rPr>
                <w:b/>
              </w:rPr>
            </w:pPr>
          </w:p>
          <w:p>
            <w:pPr>
              <w:pStyle w:val="83"/>
              <w:rPr>
                <w:b/>
              </w:rPr>
            </w:pPr>
            <w:r>
              <w:rPr>
                <w:rFonts w:hAnsi="宋体"/>
                <w:b/>
              </w:rPr>
              <w:t>救</w:t>
            </w:r>
          </w:p>
        </w:tc>
        <w:tc>
          <w:tcPr>
            <w:tcW w:w="4425" w:type="pct"/>
            <w:gridSpan w:val="5"/>
            <w:vAlign w:val="center"/>
          </w:tcPr>
          <w:p>
            <w:pPr>
              <w:pStyle w:val="83"/>
              <w:jc w:val="left"/>
              <w:rPr>
                <w:rFonts w:ascii="Calibri" w:hAnsi="宋体"/>
                <w:kern w:val="0"/>
              </w:rPr>
            </w:pPr>
            <w:r>
              <w:rPr>
                <w:rFonts w:hint="eastAsia" w:ascii="Calibri" w:hAnsi="宋体"/>
                <w:kern w:val="0"/>
              </w:rPr>
              <w:t>吸入：迅速脱离现场至空气新鲜处。必要进行人工呼吸。就医</w:t>
            </w:r>
          </w:p>
          <w:p>
            <w:pPr>
              <w:pStyle w:val="83"/>
              <w:jc w:val="left"/>
            </w:pPr>
            <w:r>
              <w:rPr>
                <w:rFonts w:hint="eastAsia" w:hAnsi="宋体"/>
              </w:rPr>
              <w:t>食入：患者清醒时立即漱口，口服稀释的醋或柠檬汁，就医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20" w:hRule="atLeast"/>
        </w:trPr>
        <w:tc>
          <w:tcPr>
            <w:tcW w:w="574" w:type="pct"/>
            <w:vAlign w:val="center"/>
          </w:tcPr>
          <w:p>
            <w:pPr>
              <w:pStyle w:val="83"/>
              <w:rPr>
                <w:b/>
              </w:rPr>
            </w:pPr>
            <w:r>
              <w:rPr>
                <w:rFonts w:hAnsi="宋体"/>
                <w:b/>
              </w:rPr>
              <w:t>防</w:t>
            </w:r>
          </w:p>
          <w:p>
            <w:pPr>
              <w:pStyle w:val="83"/>
              <w:rPr>
                <w:b/>
              </w:rPr>
            </w:pPr>
            <w:r>
              <w:rPr>
                <w:rFonts w:hAnsi="宋体"/>
                <w:b/>
              </w:rPr>
              <w:t>护</w:t>
            </w:r>
          </w:p>
          <w:p>
            <w:pPr>
              <w:pStyle w:val="83"/>
              <w:rPr>
                <w:b/>
              </w:rPr>
            </w:pPr>
            <w:r>
              <w:rPr>
                <w:rFonts w:hAnsi="宋体"/>
                <w:b/>
              </w:rPr>
              <w:t>措</w:t>
            </w:r>
          </w:p>
          <w:p>
            <w:pPr>
              <w:pStyle w:val="83"/>
              <w:rPr>
                <w:b/>
              </w:rPr>
            </w:pPr>
            <w:r>
              <w:rPr>
                <w:rFonts w:hAnsi="宋体"/>
                <w:b/>
              </w:rPr>
              <w:t>施</w:t>
            </w:r>
          </w:p>
        </w:tc>
        <w:tc>
          <w:tcPr>
            <w:tcW w:w="4425" w:type="pct"/>
            <w:gridSpan w:val="5"/>
            <w:vAlign w:val="center"/>
          </w:tcPr>
          <w:p>
            <w:pPr>
              <w:pStyle w:val="83"/>
              <w:jc w:val="left"/>
            </w:pPr>
            <w:r>
              <w:rPr>
                <w:rFonts w:hAnsi="宋体"/>
              </w:rPr>
              <w:t>工程控制：密闭操作，注意通风。</w:t>
            </w:r>
            <w:r>
              <w:br w:type="textWrapping"/>
            </w:r>
            <w:r>
              <w:rPr>
                <w:rFonts w:hAnsi="宋体"/>
              </w:rPr>
              <w:t>呼吸系统防护：</w:t>
            </w:r>
            <w:r>
              <w:rPr>
                <w:rFonts w:hint="eastAsia"/>
                <w:kern w:val="0"/>
              </w:rPr>
              <w:t>必要时</w:t>
            </w:r>
            <w:r>
              <w:rPr>
                <w:rFonts w:hint="eastAsia"/>
                <w:kern w:val="0"/>
                <w:lang w:val="en-US" w:eastAsia="zh-CN"/>
              </w:rPr>
              <w:t>佩戴</w:t>
            </w:r>
            <w:r>
              <w:rPr>
                <w:rFonts w:hint="eastAsia"/>
                <w:kern w:val="0"/>
              </w:rPr>
              <w:t>防毒口罩</w:t>
            </w:r>
            <w:r>
              <w:rPr>
                <w:rFonts w:hAnsi="宋体"/>
              </w:rPr>
              <w:t>。</w:t>
            </w:r>
            <w:r>
              <w:br w:type="textWrapping"/>
            </w:r>
            <w:r>
              <w:rPr>
                <w:rFonts w:hAnsi="宋体"/>
              </w:rPr>
              <w:t>眼睛防护：</w:t>
            </w:r>
            <w:r>
              <w:rPr>
                <w:kern w:val="0"/>
              </w:rPr>
              <w:t>戴化学安全防护眼镜</w:t>
            </w:r>
            <w:r>
              <w:rPr>
                <w:rFonts w:hAnsi="宋体"/>
              </w:rPr>
              <w:t>。</w:t>
            </w:r>
            <w:r>
              <w:br w:type="textWrapping"/>
            </w:r>
            <w:r>
              <w:rPr>
                <w:rFonts w:hAnsi="宋体"/>
              </w:rPr>
              <w:t>身体防护：</w:t>
            </w:r>
            <w:r>
              <w:rPr>
                <w:kern w:val="0"/>
              </w:rPr>
              <w:t>穿工作服</w:t>
            </w:r>
            <w:r>
              <w:rPr>
                <w:rFonts w:hint="eastAsia"/>
                <w:kern w:val="0"/>
              </w:rPr>
              <w:t>（防腐材料制作）</w:t>
            </w:r>
            <w:r>
              <w:rPr>
                <w:rFonts w:hAnsi="宋体"/>
              </w:rPr>
              <w:t>。</w:t>
            </w:r>
            <w:r>
              <w:br w:type="textWrapping"/>
            </w:r>
            <w:r>
              <w:rPr>
                <w:rFonts w:hAnsi="宋体"/>
              </w:rPr>
              <w:t>手防护：</w:t>
            </w:r>
            <w:r>
              <w:rPr>
                <w:rFonts w:hint="eastAsia" w:hAnsi="宋体"/>
              </w:rPr>
              <w:t>戴橡皮</w:t>
            </w:r>
            <w:r>
              <w:rPr>
                <w:rFonts w:hAnsi="宋体"/>
              </w:rPr>
              <w:t>手套。</w:t>
            </w:r>
            <w:r>
              <w:br w:type="textWrapping"/>
            </w:r>
            <w:r>
              <w:rPr>
                <w:rFonts w:hAnsi="宋体"/>
                <w:highlight w:val="none"/>
              </w:rPr>
              <w:t>其它</w:t>
            </w:r>
            <w:r>
              <w:rPr>
                <w:rFonts w:hAnsi="宋体"/>
              </w:rPr>
              <w:t>：</w:t>
            </w:r>
            <w:r>
              <w:rPr>
                <w:rFonts w:hint="eastAsia" w:hAnsi="宋体"/>
              </w:rPr>
              <w:t>工作后，淋浴更衣。注意个人清洁卫生</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3" w:hRule="atLeast"/>
        </w:trPr>
        <w:tc>
          <w:tcPr>
            <w:tcW w:w="574" w:type="pct"/>
            <w:vAlign w:val="center"/>
          </w:tcPr>
          <w:p>
            <w:pPr>
              <w:pStyle w:val="83"/>
              <w:rPr>
                <w:b/>
              </w:rPr>
            </w:pPr>
            <w:r>
              <w:rPr>
                <w:rFonts w:hAnsi="宋体"/>
                <w:b/>
              </w:rPr>
              <w:t>泄</w:t>
            </w:r>
          </w:p>
          <w:p>
            <w:pPr>
              <w:pStyle w:val="83"/>
              <w:rPr>
                <w:b/>
              </w:rPr>
            </w:pPr>
            <w:r>
              <w:rPr>
                <w:rFonts w:hAnsi="宋体"/>
                <w:b/>
              </w:rPr>
              <w:t>漏</w:t>
            </w:r>
          </w:p>
          <w:p>
            <w:pPr>
              <w:pStyle w:val="83"/>
              <w:rPr>
                <w:b/>
              </w:rPr>
            </w:pPr>
            <w:r>
              <w:rPr>
                <w:rFonts w:hAnsi="宋体"/>
                <w:b/>
              </w:rPr>
              <w:t>处</w:t>
            </w:r>
          </w:p>
          <w:p>
            <w:pPr>
              <w:pStyle w:val="83"/>
              <w:rPr>
                <w:b/>
              </w:rPr>
            </w:pPr>
            <w:r>
              <w:rPr>
                <w:rFonts w:hAnsi="宋体"/>
                <w:b/>
              </w:rPr>
              <w:t>置</w:t>
            </w:r>
          </w:p>
        </w:tc>
        <w:tc>
          <w:tcPr>
            <w:tcW w:w="4425" w:type="pct"/>
            <w:gridSpan w:val="5"/>
            <w:vAlign w:val="center"/>
          </w:tcPr>
          <w:p>
            <w:pPr>
              <w:pStyle w:val="83"/>
              <w:jc w:val="left"/>
            </w:pPr>
            <w:r>
              <w:rPr>
                <w:rFonts w:hint="eastAsia" w:hAnsi="宋体"/>
              </w:rPr>
              <w:t>隔离泄露污染区，周围设警告标志，建议应急处理人员戴好防毒面具，穿化学防护服。不要直接接触泄漏物，用洁清的铲子收集于干燥净洁有盖容器中，以少量加入大量水中，调节至中性，再放入废水系统。也可以用大量水冲洗，经稀释的洗水放入废水系统。如大量泄露，收集回收或无害化处理后废弃。</w:t>
            </w:r>
          </w:p>
        </w:tc>
      </w:tr>
    </w:tbl>
    <w:p>
      <w:pPr>
        <w:pStyle w:val="90"/>
        <w:keepNext w:val="0"/>
        <w:keepLines w:val="0"/>
        <w:pageBreakBefore w:val="0"/>
        <w:widowControl w:val="0"/>
        <w:kinsoku/>
        <w:wordWrap/>
        <w:overflowPunct/>
        <w:topLinePunct w:val="0"/>
        <w:autoSpaceDE/>
        <w:autoSpaceDN/>
        <w:bidi w:val="0"/>
        <w:adjustRightInd w:val="0"/>
        <w:snapToGrid w:val="0"/>
        <w:spacing w:before="168" w:beforeLines="50"/>
        <w:ind w:firstLine="482"/>
        <w:textAlignment w:val="auto"/>
        <w:rPr>
          <w:b/>
        </w:rPr>
      </w:pPr>
      <w:r>
        <w:rPr>
          <w:rFonts w:hint="eastAsia"/>
          <w:b/>
        </w:rPr>
        <w:t>②防锈剂（二乙醇胺）</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1"/>
        <w:gridCol w:w="2157"/>
        <w:gridCol w:w="1370"/>
        <w:gridCol w:w="1372"/>
        <w:gridCol w:w="1372"/>
        <w:gridCol w:w="1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574" w:type="pct"/>
            <w:vAlign w:val="center"/>
          </w:tcPr>
          <w:p>
            <w:pPr>
              <w:pStyle w:val="83"/>
              <w:rPr>
                <w:b/>
                <w:bCs/>
              </w:rPr>
            </w:pPr>
            <w:r>
              <w:rPr>
                <w:rFonts w:hAnsi="宋体"/>
                <w:b/>
                <w:bCs/>
              </w:rPr>
              <w:t>品</w:t>
            </w:r>
            <w:r>
              <w:rPr>
                <w:b/>
                <w:bCs/>
              </w:rPr>
              <w:t xml:space="preserve">   </w:t>
            </w:r>
            <w:r>
              <w:rPr>
                <w:rFonts w:hAnsi="宋体"/>
                <w:b/>
                <w:bCs/>
              </w:rPr>
              <w:t>名</w:t>
            </w:r>
          </w:p>
        </w:tc>
        <w:tc>
          <w:tcPr>
            <w:tcW w:w="1237" w:type="pct"/>
            <w:vAlign w:val="center"/>
          </w:tcPr>
          <w:p>
            <w:pPr>
              <w:pStyle w:val="83"/>
              <w:rPr>
                <w:b/>
                <w:bCs/>
              </w:rPr>
            </w:pPr>
            <w:r>
              <w:rPr>
                <w:rFonts w:hint="eastAsia"/>
                <w:b/>
                <w:bCs/>
              </w:rPr>
              <w:t>二乙醇胺</w:t>
            </w:r>
          </w:p>
        </w:tc>
        <w:tc>
          <w:tcPr>
            <w:tcW w:w="786" w:type="pct"/>
            <w:vAlign w:val="center"/>
          </w:tcPr>
          <w:p>
            <w:pPr>
              <w:pStyle w:val="83"/>
              <w:rPr>
                <w:b/>
                <w:bCs/>
              </w:rPr>
            </w:pPr>
            <w:r>
              <w:rPr>
                <w:rFonts w:hAnsi="宋体"/>
                <w:b/>
                <w:bCs/>
              </w:rPr>
              <w:t>别</w:t>
            </w:r>
            <w:r>
              <w:rPr>
                <w:b/>
                <w:bCs/>
              </w:rPr>
              <w:t xml:space="preserve">   </w:t>
            </w:r>
            <w:r>
              <w:rPr>
                <w:rFonts w:hAnsi="宋体"/>
                <w:b/>
                <w:bCs/>
              </w:rPr>
              <w:t>名</w:t>
            </w:r>
          </w:p>
        </w:tc>
        <w:tc>
          <w:tcPr>
            <w:tcW w:w="787" w:type="pct"/>
            <w:vAlign w:val="center"/>
          </w:tcPr>
          <w:p>
            <w:pPr>
              <w:pStyle w:val="83"/>
              <w:rPr>
                <w:b/>
                <w:bCs/>
              </w:rPr>
            </w:pPr>
          </w:p>
        </w:tc>
        <w:tc>
          <w:tcPr>
            <w:tcW w:w="787" w:type="pct"/>
            <w:vAlign w:val="center"/>
          </w:tcPr>
          <w:p>
            <w:pPr>
              <w:pStyle w:val="83"/>
              <w:rPr>
                <w:b/>
                <w:bCs/>
              </w:rPr>
            </w:pPr>
            <w:r>
              <w:rPr>
                <w:rFonts w:hAnsi="宋体"/>
                <w:b/>
                <w:bCs/>
              </w:rPr>
              <w:t>分子式</w:t>
            </w:r>
          </w:p>
        </w:tc>
        <w:tc>
          <w:tcPr>
            <w:tcW w:w="827" w:type="pct"/>
            <w:vAlign w:val="center"/>
          </w:tcPr>
          <w:p>
            <w:pPr>
              <w:pStyle w:val="83"/>
              <w:rPr>
                <w:b/>
                <w:bCs/>
              </w:rPr>
            </w:pPr>
            <w:r>
              <w:rPr>
                <w:b/>
                <w:bCs/>
              </w:rPr>
              <w:t>C</w:t>
            </w:r>
            <w:r>
              <w:rPr>
                <w:b/>
                <w:bCs/>
                <w:vertAlign w:val="subscript"/>
              </w:rPr>
              <w:t>4</w:t>
            </w:r>
            <w:r>
              <w:rPr>
                <w:b/>
                <w:bCs/>
              </w:rPr>
              <w:t>H</w:t>
            </w:r>
            <w:r>
              <w:rPr>
                <w:b/>
                <w:bCs/>
                <w:vertAlign w:val="subscript"/>
              </w:rPr>
              <w:t>11</w:t>
            </w:r>
            <w:r>
              <w:rPr>
                <w:b/>
                <w:bCs/>
              </w:rPr>
              <w:t>NO</w:t>
            </w:r>
            <w:r>
              <w:rPr>
                <w:b/>
                <w:bCs/>
                <w:vertAlign w:val="sub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574" w:type="pct"/>
            <w:vAlign w:val="center"/>
          </w:tcPr>
          <w:p>
            <w:pPr>
              <w:pStyle w:val="83"/>
              <w:rPr>
                <w:b/>
                <w:bCs/>
              </w:rPr>
            </w:pPr>
            <w:r>
              <w:rPr>
                <w:rFonts w:hAnsi="宋体"/>
                <w:b/>
                <w:bCs/>
              </w:rPr>
              <w:t>英文名称</w:t>
            </w:r>
          </w:p>
        </w:tc>
        <w:tc>
          <w:tcPr>
            <w:tcW w:w="1237" w:type="pct"/>
            <w:vAlign w:val="center"/>
          </w:tcPr>
          <w:p>
            <w:pPr>
              <w:pStyle w:val="83"/>
              <w:rPr>
                <w:b/>
                <w:bCs/>
              </w:rPr>
            </w:pPr>
            <w:r>
              <w:rPr>
                <w:b/>
                <w:bCs/>
              </w:rPr>
              <w:t xml:space="preserve">Diethanolamine </w:t>
            </w:r>
            <w:r>
              <w:rPr>
                <w:b/>
                <w:bCs/>
                <w:highlight w:val="none"/>
              </w:rPr>
              <w:t>;</w:t>
            </w:r>
          </w:p>
        </w:tc>
        <w:tc>
          <w:tcPr>
            <w:tcW w:w="786" w:type="pct"/>
            <w:vAlign w:val="center"/>
          </w:tcPr>
          <w:p>
            <w:pPr>
              <w:pStyle w:val="83"/>
              <w:rPr>
                <w:b/>
                <w:bCs/>
              </w:rPr>
            </w:pPr>
            <w:r>
              <w:rPr>
                <w:rFonts w:hAnsi="宋体"/>
                <w:b/>
                <w:bCs/>
              </w:rPr>
              <w:t>分</w:t>
            </w:r>
            <w:r>
              <w:rPr>
                <w:b/>
                <w:bCs/>
              </w:rPr>
              <w:t xml:space="preserve">   </w:t>
            </w:r>
            <w:r>
              <w:rPr>
                <w:rFonts w:hAnsi="宋体"/>
                <w:b/>
                <w:bCs/>
              </w:rPr>
              <w:t>子</w:t>
            </w:r>
            <w:r>
              <w:rPr>
                <w:b/>
                <w:bCs/>
              </w:rPr>
              <w:t xml:space="preserve">   </w:t>
            </w:r>
            <w:r>
              <w:rPr>
                <w:rFonts w:hAnsi="宋体"/>
                <w:b/>
                <w:bCs/>
              </w:rPr>
              <w:t>量</w:t>
            </w:r>
          </w:p>
        </w:tc>
        <w:tc>
          <w:tcPr>
            <w:tcW w:w="787" w:type="pct"/>
            <w:vAlign w:val="center"/>
          </w:tcPr>
          <w:p>
            <w:pPr>
              <w:pStyle w:val="83"/>
              <w:rPr>
                <w:b/>
                <w:bCs/>
              </w:rPr>
            </w:pPr>
            <w:r>
              <w:rPr>
                <w:b/>
                <w:bCs/>
              </w:rPr>
              <w:t>105.14</w:t>
            </w:r>
          </w:p>
        </w:tc>
        <w:tc>
          <w:tcPr>
            <w:tcW w:w="787" w:type="pct"/>
            <w:vAlign w:val="center"/>
          </w:tcPr>
          <w:p>
            <w:pPr>
              <w:pStyle w:val="83"/>
              <w:rPr>
                <w:b/>
                <w:bCs/>
              </w:rPr>
            </w:pPr>
            <w:r>
              <w:rPr>
                <w:b/>
                <w:bCs/>
              </w:rPr>
              <w:t>C A S</w:t>
            </w:r>
            <w:r>
              <w:rPr>
                <w:rFonts w:hAnsi="宋体"/>
                <w:b/>
                <w:bCs/>
              </w:rPr>
              <w:t>号</w:t>
            </w:r>
          </w:p>
        </w:tc>
        <w:tc>
          <w:tcPr>
            <w:tcW w:w="827" w:type="pct"/>
            <w:vAlign w:val="center"/>
          </w:tcPr>
          <w:p>
            <w:pPr>
              <w:pStyle w:val="83"/>
              <w:rPr>
                <w:b/>
                <w:bCs/>
              </w:rPr>
            </w:pPr>
            <w:r>
              <w:rPr>
                <w:b/>
                <w:bCs/>
              </w:rPr>
              <w:t>111-42-2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7" w:hRule="atLeast"/>
        </w:trPr>
        <w:tc>
          <w:tcPr>
            <w:tcW w:w="574" w:type="pct"/>
            <w:tcBorders>
              <w:bottom w:val="single" w:color="auto" w:sz="4" w:space="0"/>
            </w:tcBorders>
            <w:vAlign w:val="center"/>
          </w:tcPr>
          <w:p>
            <w:pPr>
              <w:pStyle w:val="83"/>
              <w:rPr>
                <w:b/>
              </w:rPr>
            </w:pPr>
            <w:r>
              <w:rPr>
                <w:rFonts w:hAnsi="宋体"/>
                <w:b/>
              </w:rPr>
              <w:t>理</w:t>
            </w:r>
          </w:p>
          <w:p>
            <w:pPr>
              <w:pStyle w:val="83"/>
              <w:rPr>
                <w:b/>
              </w:rPr>
            </w:pPr>
            <w:r>
              <w:rPr>
                <w:rFonts w:hAnsi="宋体"/>
                <w:b/>
              </w:rPr>
              <w:t>化</w:t>
            </w:r>
          </w:p>
          <w:p>
            <w:pPr>
              <w:pStyle w:val="83"/>
              <w:rPr>
                <w:b/>
              </w:rPr>
            </w:pPr>
            <w:r>
              <w:rPr>
                <w:rFonts w:hAnsi="宋体"/>
                <w:b/>
              </w:rPr>
              <w:t>性</w:t>
            </w:r>
          </w:p>
          <w:p>
            <w:pPr>
              <w:pStyle w:val="83"/>
              <w:rPr>
                <w:b/>
              </w:rPr>
            </w:pPr>
            <w:r>
              <w:rPr>
                <w:rFonts w:hAnsi="宋体"/>
                <w:b/>
              </w:rPr>
              <w:t>质</w:t>
            </w:r>
          </w:p>
        </w:tc>
        <w:tc>
          <w:tcPr>
            <w:tcW w:w="4425" w:type="pct"/>
            <w:gridSpan w:val="5"/>
            <w:tcBorders>
              <w:bottom w:val="single" w:color="auto" w:sz="4" w:space="0"/>
            </w:tcBorders>
            <w:vAlign w:val="center"/>
          </w:tcPr>
          <w:p>
            <w:pPr>
              <w:pStyle w:val="83"/>
              <w:jc w:val="left"/>
            </w:pPr>
            <w:r>
              <w:rPr>
                <w:rFonts w:hAnsi="宋体"/>
              </w:rPr>
              <w:t>外观与性状：无色黏性液体或结晶。</w:t>
            </w:r>
          </w:p>
          <w:p>
            <w:pPr>
              <w:pStyle w:val="83"/>
              <w:jc w:val="left"/>
            </w:pPr>
            <w:r>
              <w:rPr>
                <w:rFonts w:hAnsi="宋体"/>
              </w:rPr>
              <w:t>主要用途：主要用作CO2、H2S和SO2等酸性气体吸收剂、非离子表面活性剂、乳化剂、擦光剂、工业气体净化剂、润滑剂。亚氨基二乙醇又称二乙醇胺，是除草剂</w:t>
            </w:r>
            <w:r>
              <w:fldChar w:fldCharType="begin"/>
            </w:r>
            <w:r>
              <w:instrText xml:space="preserve"> HYPERLINK "https://baike.so.com/doc/785866-831492.html" \t "https://baike.so.com/doc/_blank" </w:instrText>
            </w:r>
            <w:r>
              <w:fldChar w:fldCharType="separate"/>
            </w:r>
            <w:r>
              <w:rPr>
                <w:rFonts w:hAnsi="宋体"/>
              </w:rPr>
              <w:t>草甘膦</w:t>
            </w:r>
            <w:r>
              <w:rPr>
                <w:rFonts w:hAnsi="宋体"/>
              </w:rPr>
              <w:fldChar w:fldCharType="end"/>
            </w:r>
            <w:r>
              <w:rPr>
                <w:rFonts w:hAnsi="宋体"/>
              </w:rPr>
              <w:t>的中间体。用作气体的净化剂，也用作合成药物及有机合成的原料。</w:t>
            </w:r>
          </w:p>
          <w:p>
            <w:pPr>
              <w:pStyle w:val="83"/>
              <w:jc w:val="left"/>
            </w:pPr>
            <w:r>
              <w:rPr>
                <w:rFonts w:hAnsi="宋体"/>
              </w:rPr>
              <w:t>相对密度：（水=1）：1.092</w:t>
            </w:r>
            <w:r>
              <w:rPr>
                <w:rFonts w:hint="eastAsia" w:ascii="Arial" w:hAnsi="Arial" w:cs="Arial"/>
                <w:color w:val="333333"/>
                <w:shd w:val="clear" w:color="auto" w:fill="FFFFFF"/>
              </w:rPr>
              <w:t>。</w:t>
            </w:r>
          </w:p>
          <w:p>
            <w:pPr>
              <w:pStyle w:val="83"/>
              <w:jc w:val="left"/>
            </w:pPr>
            <w:r>
              <w:rPr>
                <w:rFonts w:hAnsi="宋体"/>
              </w:rPr>
              <w:t>溶解性：</w:t>
            </w:r>
            <w:r>
              <w:rPr>
                <w:rFonts w:hint="eastAsia" w:hAnsi="宋体"/>
              </w:rPr>
              <w:t>易溶于水</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91" w:hRule="atLeast"/>
        </w:trPr>
        <w:tc>
          <w:tcPr>
            <w:tcW w:w="574" w:type="pct"/>
            <w:tcBorders>
              <w:bottom w:val="single" w:color="auto" w:sz="4" w:space="0"/>
            </w:tcBorders>
            <w:vAlign w:val="center"/>
          </w:tcPr>
          <w:p>
            <w:pPr>
              <w:pStyle w:val="83"/>
              <w:rPr>
                <w:b/>
              </w:rPr>
            </w:pPr>
            <w:r>
              <w:rPr>
                <w:rFonts w:hAnsi="宋体"/>
                <w:b/>
              </w:rPr>
              <w:t>燃</w:t>
            </w:r>
          </w:p>
          <w:p>
            <w:pPr>
              <w:pStyle w:val="83"/>
              <w:rPr>
                <w:b/>
              </w:rPr>
            </w:pPr>
            <w:r>
              <w:rPr>
                <w:rFonts w:hAnsi="宋体"/>
                <w:b/>
              </w:rPr>
              <w:t>烧</w:t>
            </w:r>
          </w:p>
          <w:p>
            <w:pPr>
              <w:pStyle w:val="83"/>
              <w:rPr>
                <w:b/>
              </w:rPr>
            </w:pPr>
            <w:r>
              <w:rPr>
                <w:rFonts w:hAnsi="宋体"/>
                <w:b/>
              </w:rPr>
              <w:t>爆</w:t>
            </w:r>
          </w:p>
          <w:p>
            <w:pPr>
              <w:pStyle w:val="83"/>
              <w:rPr>
                <w:b/>
              </w:rPr>
            </w:pPr>
            <w:r>
              <w:rPr>
                <w:rFonts w:hAnsi="宋体"/>
                <w:b/>
              </w:rPr>
              <w:t>炸</w:t>
            </w:r>
          </w:p>
          <w:p>
            <w:pPr>
              <w:pStyle w:val="83"/>
              <w:rPr>
                <w:b/>
              </w:rPr>
            </w:pPr>
            <w:r>
              <w:rPr>
                <w:rFonts w:hAnsi="宋体"/>
                <w:b/>
              </w:rPr>
              <w:t>危</w:t>
            </w:r>
          </w:p>
          <w:p>
            <w:pPr>
              <w:pStyle w:val="83"/>
              <w:rPr>
                <w:b/>
              </w:rPr>
            </w:pPr>
            <w:r>
              <w:rPr>
                <w:rFonts w:hAnsi="宋体"/>
                <w:b/>
              </w:rPr>
              <w:t>险</w:t>
            </w:r>
          </w:p>
          <w:p>
            <w:pPr>
              <w:pStyle w:val="83"/>
              <w:rPr>
                <w:b/>
              </w:rPr>
            </w:pPr>
            <w:r>
              <w:rPr>
                <w:rFonts w:hAnsi="宋体"/>
                <w:b/>
              </w:rPr>
              <w:t>性</w:t>
            </w:r>
          </w:p>
        </w:tc>
        <w:tc>
          <w:tcPr>
            <w:tcW w:w="4425" w:type="pct"/>
            <w:gridSpan w:val="5"/>
          </w:tcPr>
          <w:p>
            <w:pPr>
              <w:pStyle w:val="83"/>
              <w:jc w:val="left"/>
            </w:pPr>
            <w:r>
              <w:rPr>
                <w:rFonts w:hAnsi="宋体"/>
              </w:rPr>
              <w:t>燃烧性：</w:t>
            </w:r>
            <w:r>
              <w:rPr>
                <w:rFonts w:hint="eastAsia"/>
                <w:kern w:val="0"/>
              </w:rPr>
              <w:t>可燃</w:t>
            </w:r>
          </w:p>
          <w:p>
            <w:pPr>
              <w:pStyle w:val="83"/>
              <w:jc w:val="left"/>
            </w:pPr>
            <w:r>
              <w:rPr>
                <w:rFonts w:hAnsi="宋体"/>
              </w:rPr>
              <w:t>建规火险等级：</w:t>
            </w:r>
            <w:r>
              <w:rPr>
                <w:rFonts w:hint="eastAsia" w:hAnsi="宋体"/>
              </w:rPr>
              <w:t>丙</w:t>
            </w:r>
          </w:p>
          <w:p>
            <w:pPr>
              <w:pStyle w:val="83"/>
              <w:jc w:val="left"/>
            </w:pPr>
            <w:r>
              <w:rPr>
                <w:rFonts w:hAnsi="宋体"/>
              </w:rPr>
              <w:t>闪点：137（CC）；134（OC）；</w:t>
            </w:r>
          </w:p>
          <w:p>
            <w:pPr>
              <w:pStyle w:val="83"/>
              <w:jc w:val="left"/>
            </w:pPr>
            <w:r>
              <w:rPr>
                <w:rFonts w:hAnsi="宋体"/>
                <w:highlight w:val="none"/>
              </w:rPr>
              <w:t>自燃点</w:t>
            </w:r>
            <w:r>
              <w:rPr>
                <w:rFonts w:hAnsi="宋体"/>
              </w:rPr>
              <w:t>：</w:t>
            </w:r>
          </w:p>
          <w:p>
            <w:pPr>
              <w:pStyle w:val="83"/>
              <w:jc w:val="left"/>
            </w:pPr>
            <w:r>
              <w:rPr>
                <w:rFonts w:hAnsi="宋体"/>
              </w:rPr>
              <w:t>建筑防火设计规范火险等级：</w:t>
            </w:r>
          </w:p>
          <w:p>
            <w:pPr>
              <w:pStyle w:val="83"/>
              <w:jc w:val="left"/>
              <w:rPr>
                <w:rFonts w:hAnsi="宋体"/>
              </w:rPr>
            </w:pPr>
            <w:r>
              <w:rPr>
                <w:rFonts w:hAnsi="宋体"/>
              </w:rPr>
              <w:t>爆炸下限</w:t>
            </w:r>
            <w:r>
              <w:rPr>
                <w:kern w:val="0"/>
                <w:highlight w:val="none"/>
              </w:rPr>
              <w:t>(</w:t>
            </w:r>
            <w:r>
              <w:rPr>
                <w:kern w:val="0"/>
              </w:rPr>
              <w:t>V%</w:t>
            </w:r>
            <w:r>
              <w:rPr>
                <w:kern w:val="0"/>
                <w:highlight w:val="none"/>
              </w:rPr>
              <w:t>)</w:t>
            </w:r>
            <w:r>
              <w:rPr>
                <w:rFonts w:hAnsi="宋体"/>
              </w:rPr>
              <w:t>：</w:t>
            </w:r>
            <w:r>
              <w:rPr>
                <w:rFonts w:ascii="Arial" w:hAnsi="Arial" w:cs="Arial"/>
                <w:color w:val="333333"/>
                <w:shd w:val="clear" w:color="auto" w:fill="FFFFFF"/>
              </w:rPr>
              <w:t>1.8</w:t>
            </w:r>
          </w:p>
          <w:p>
            <w:pPr>
              <w:pStyle w:val="83"/>
              <w:jc w:val="left"/>
            </w:pPr>
            <w:r>
              <w:rPr>
                <w:rFonts w:hAnsi="宋体"/>
              </w:rPr>
              <w:t>爆炸上限</w:t>
            </w:r>
            <w:r>
              <w:rPr>
                <w:kern w:val="0"/>
                <w:highlight w:val="none"/>
              </w:rPr>
              <w:t>(</w:t>
            </w:r>
            <w:r>
              <w:rPr>
                <w:kern w:val="0"/>
              </w:rPr>
              <w:t>V%</w:t>
            </w:r>
            <w:r>
              <w:rPr>
                <w:kern w:val="0"/>
                <w:highlight w:val="none"/>
              </w:rPr>
              <w:t>)</w:t>
            </w:r>
            <w:r>
              <w:rPr>
                <w:rFonts w:hAnsi="宋体"/>
              </w:rPr>
              <w:t>：</w:t>
            </w:r>
            <w:r>
              <w:rPr>
                <w:rFonts w:ascii="Arial" w:hAnsi="Arial" w:cs="Arial"/>
                <w:color w:val="333333"/>
                <w:shd w:val="clear" w:color="auto" w:fill="FFFFFF"/>
              </w:rPr>
              <w:t>13.4</w:t>
            </w:r>
          </w:p>
          <w:p>
            <w:pPr>
              <w:pStyle w:val="83"/>
              <w:jc w:val="left"/>
            </w:pPr>
            <w:r>
              <w:rPr>
                <w:rFonts w:hAnsi="宋体"/>
              </w:rPr>
              <w:t>灭火方法：</w:t>
            </w:r>
            <w:r>
              <w:rPr>
                <w:rFonts w:hint="eastAsia" w:hAnsi="宋体"/>
              </w:rPr>
              <w:t>喷水保持火场容器冷却，直至灭火结束。灭火剂：水、干粉、二氧化碳、抗溶性泡沫。</w:t>
            </w:r>
          </w:p>
          <w:p>
            <w:pPr>
              <w:pStyle w:val="83"/>
              <w:jc w:val="left"/>
            </w:pPr>
            <w:r>
              <w:rPr>
                <w:rFonts w:hAnsi="宋体"/>
              </w:rPr>
              <w:t>危险特性：</w:t>
            </w:r>
            <w:r>
              <w:rPr>
                <w:rFonts w:hint="eastAsia" w:hAnsi="宋体"/>
              </w:rPr>
              <w:t>遇明火、高热可燃。受热分解放出有毒的氧化氮烟气。与强氧化剂接触可发生化学反应。能腐蚀铜及铜的化合物。</w:t>
            </w:r>
          </w:p>
          <w:p>
            <w:pPr>
              <w:pStyle w:val="83"/>
              <w:jc w:val="left"/>
            </w:pPr>
            <w:r>
              <w:rPr>
                <w:rFonts w:hAnsi="宋体"/>
              </w:rPr>
              <w:t>稳定性：</w:t>
            </w:r>
            <w:r>
              <w:t xml:space="preserve"> </w:t>
            </w:r>
            <w:r>
              <w:rPr>
                <w:rFonts w:hAnsi="宋体"/>
              </w:rPr>
              <w:t>稳定</w:t>
            </w:r>
            <w:r>
              <w:t xml:space="preserve"> </w:t>
            </w:r>
          </w:p>
          <w:p>
            <w:pPr>
              <w:pStyle w:val="83"/>
              <w:jc w:val="left"/>
            </w:pPr>
            <w:r>
              <w:rPr>
                <w:rFonts w:hAnsi="宋体"/>
              </w:rPr>
              <w:t>聚合危害：</w:t>
            </w:r>
            <w:r>
              <w:rPr>
                <w:rFonts w:ascii="Arial" w:hAnsi="Arial" w:cs="Arial"/>
                <w:color w:val="333333"/>
                <w:shd w:val="clear" w:color="auto" w:fill="FFFFFF"/>
              </w:rPr>
              <w:t>不聚合</w:t>
            </w:r>
            <w:r>
              <w:br w:type="textWrapping"/>
            </w:r>
            <w:r>
              <w:rPr>
                <w:rFonts w:hAnsi="宋体"/>
              </w:rPr>
              <w:t>避免接触的条件：</w:t>
            </w:r>
            <w:r>
              <w:rPr>
                <w:rFonts w:ascii="Arial" w:hAnsi="Arial" w:cs="Arial"/>
                <w:color w:val="333333"/>
                <w:shd w:val="clear" w:color="auto" w:fill="FFFFFF"/>
              </w:rPr>
              <w:t>受热</w:t>
            </w:r>
            <w:r>
              <w:br w:type="textWrapping"/>
            </w:r>
            <w:r>
              <w:rPr>
                <w:rFonts w:hAnsi="宋体"/>
              </w:rPr>
              <w:t>禁忌物：</w:t>
            </w:r>
            <w:r>
              <w:rPr>
                <w:rFonts w:ascii="Arial" w:hAnsi="Arial" w:cs="Arial"/>
                <w:color w:val="333333"/>
                <w:shd w:val="clear" w:color="auto" w:fill="FFFFFF"/>
              </w:rPr>
              <w:t>酸类、强氧化剂、铜、锌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rPr>
        <w:tc>
          <w:tcPr>
            <w:tcW w:w="574" w:type="pct"/>
            <w:vAlign w:val="center"/>
          </w:tcPr>
          <w:p>
            <w:pPr>
              <w:pStyle w:val="83"/>
              <w:rPr>
                <w:b/>
              </w:rPr>
            </w:pPr>
            <w:r>
              <w:rPr>
                <w:rFonts w:hAnsi="宋体"/>
                <w:b/>
              </w:rPr>
              <w:t>包</w:t>
            </w:r>
          </w:p>
          <w:p>
            <w:pPr>
              <w:pStyle w:val="83"/>
              <w:rPr>
                <w:b/>
              </w:rPr>
            </w:pPr>
            <w:r>
              <w:rPr>
                <w:rFonts w:hAnsi="宋体"/>
                <w:b/>
              </w:rPr>
              <w:t>装</w:t>
            </w:r>
          </w:p>
          <w:p>
            <w:pPr>
              <w:pStyle w:val="83"/>
              <w:rPr>
                <w:b/>
              </w:rPr>
            </w:pPr>
            <w:r>
              <w:rPr>
                <w:rFonts w:hAnsi="宋体"/>
                <w:b/>
              </w:rPr>
              <w:t>与</w:t>
            </w:r>
          </w:p>
          <w:p>
            <w:pPr>
              <w:pStyle w:val="83"/>
              <w:rPr>
                <w:b/>
              </w:rPr>
            </w:pPr>
            <w:r>
              <w:rPr>
                <w:rFonts w:hAnsi="宋体"/>
                <w:b/>
              </w:rPr>
              <w:t>储</w:t>
            </w:r>
          </w:p>
          <w:p>
            <w:pPr>
              <w:pStyle w:val="83"/>
              <w:rPr>
                <w:b/>
              </w:rPr>
            </w:pPr>
            <w:r>
              <w:rPr>
                <w:rFonts w:hAnsi="宋体"/>
                <w:b/>
              </w:rPr>
              <w:t>运</w:t>
            </w:r>
          </w:p>
        </w:tc>
        <w:tc>
          <w:tcPr>
            <w:tcW w:w="4425" w:type="pct"/>
            <w:gridSpan w:val="5"/>
            <w:vAlign w:val="center"/>
          </w:tcPr>
          <w:p>
            <w:pPr>
              <w:pStyle w:val="83"/>
              <w:jc w:val="left"/>
            </w:pPr>
            <w:r>
              <w:rPr>
                <w:rFonts w:hAnsi="宋体"/>
              </w:rPr>
              <w:t>危险性类别：</w:t>
            </w:r>
          </w:p>
          <w:p>
            <w:pPr>
              <w:pStyle w:val="83"/>
              <w:jc w:val="left"/>
            </w:pPr>
            <w:r>
              <w:rPr>
                <w:rFonts w:hAnsi="宋体"/>
              </w:rPr>
              <w:t>危险货物包装标志：</w:t>
            </w:r>
          </w:p>
          <w:p>
            <w:pPr>
              <w:pStyle w:val="83"/>
              <w:jc w:val="left"/>
            </w:pPr>
            <w:r>
              <w:rPr>
                <w:rFonts w:hAnsi="宋体"/>
              </w:rPr>
              <w:t>包装类别：</w:t>
            </w:r>
          </w:p>
          <w:p>
            <w:pPr>
              <w:pStyle w:val="83"/>
              <w:jc w:val="left"/>
            </w:pPr>
            <w:r>
              <w:rPr>
                <w:rFonts w:hAnsi="宋体"/>
              </w:rPr>
              <w:t>储运注意事项：储存于阴凉、通风的库房。远离火种、热源。包装密封。应与氧化剂、酸类等分开存放，切忌混储。配备相应品种和数量的</w:t>
            </w:r>
            <w:r>
              <w:fldChar w:fldCharType="begin"/>
            </w:r>
            <w:r>
              <w:instrText xml:space="preserve"> HYPERLINK "https://baike.so.com/doc/5394226-5631323.html" \t "https://baike.so.com/doc/_blank" </w:instrText>
            </w:r>
            <w:r>
              <w:fldChar w:fldCharType="separate"/>
            </w:r>
            <w:r>
              <w:rPr>
                <w:rFonts w:hAnsi="宋体"/>
              </w:rPr>
              <w:t>消防器材</w:t>
            </w:r>
            <w:r>
              <w:rPr>
                <w:rFonts w:hAnsi="宋体"/>
              </w:rPr>
              <w:fldChar w:fldCharType="end"/>
            </w:r>
            <w:r>
              <w:rPr>
                <w:rFonts w:hAnsi="宋体"/>
              </w:rPr>
              <w:t>。储区应备有泄漏应急处理设备和合适的收容材料。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rPr>
        <w:tc>
          <w:tcPr>
            <w:tcW w:w="574" w:type="pct"/>
            <w:vAlign w:val="center"/>
          </w:tcPr>
          <w:p>
            <w:pPr>
              <w:pStyle w:val="83"/>
              <w:rPr>
                <w:b/>
              </w:rPr>
            </w:pPr>
            <w:r>
              <w:rPr>
                <w:rFonts w:hAnsi="宋体"/>
                <w:b/>
              </w:rPr>
              <w:t>毒性</w:t>
            </w:r>
          </w:p>
          <w:p>
            <w:pPr>
              <w:pStyle w:val="83"/>
              <w:rPr>
                <w:b/>
              </w:rPr>
            </w:pPr>
            <w:r>
              <w:rPr>
                <w:rFonts w:hAnsi="宋体"/>
                <w:b/>
              </w:rPr>
              <w:t>及</w:t>
            </w:r>
          </w:p>
          <w:p>
            <w:pPr>
              <w:pStyle w:val="83"/>
              <w:rPr>
                <w:b/>
              </w:rPr>
            </w:pPr>
            <w:r>
              <w:rPr>
                <w:rFonts w:hAnsi="宋体"/>
                <w:b/>
              </w:rPr>
              <w:t>健康</w:t>
            </w:r>
          </w:p>
          <w:p>
            <w:pPr>
              <w:pStyle w:val="83"/>
              <w:rPr>
                <w:b/>
              </w:rPr>
            </w:pPr>
            <w:r>
              <w:rPr>
                <w:rFonts w:hAnsi="宋体"/>
                <w:b/>
              </w:rPr>
              <w:t>危害</w:t>
            </w:r>
          </w:p>
          <w:p>
            <w:pPr>
              <w:pStyle w:val="83"/>
              <w:rPr>
                <w:b/>
              </w:rPr>
            </w:pPr>
            <w:r>
              <w:rPr>
                <w:rFonts w:hAnsi="宋体"/>
                <w:b/>
              </w:rPr>
              <w:t>性</w:t>
            </w:r>
          </w:p>
        </w:tc>
        <w:tc>
          <w:tcPr>
            <w:tcW w:w="4425" w:type="pct"/>
            <w:gridSpan w:val="5"/>
            <w:vAlign w:val="center"/>
          </w:tcPr>
          <w:p>
            <w:pPr>
              <w:pStyle w:val="83"/>
              <w:jc w:val="left"/>
            </w:pPr>
            <w:r>
              <w:rPr>
                <w:rFonts w:hAnsi="宋体"/>
              </w:rPr>
              <w:t>接触限值：</w:t>
            </w:r>
            <w:r>
              <w:rPr>
                <w:rFonts w:hint="eastAsia" w:hAnsi="宋体"/>
              </w:rPr>
              <w:t>未制定标准</w:t>
            </w:r>
          </w:p>
          <w:p>
            <w:pPr>
              <w:pStyle w:val="83"/>
              <w:jc w:val="left"/>
            </w:pPr>
            <w:r>
              <w:rPr>
                <w:rFonts w:hAnsi="宋体"/>
              </w:rPr>
              <w:t>侵入途径：吸入。</w:t>
            </w:r>
          </w:p>
          <w:p>
            <w:pPr>
              <w:pStyle w:val="83"/>
              <w:jc w:val="left"/>
            </w:pPr>
            <w:r>
              <w:rPr>
                <w:rFonts w:hAnsi="宋体"/>
              </w:rPr>
              <w:t>毒性：</w:t>
            </w:r>
          </w:p>
          <w:p>
            <w:pPr>
              <w:pStyle w:val="83"/>
              <w:jc w:val="left"/>
            </w:pPr>
            <w:r>
              <w:rPr>
                <w:rFonts w:hAnsi="宋体"/>
              </w:rPr>
              <w:t>健康危害：</w:t>
            </w:r>
            <w:r>
              <w:rPr>
                <w:rFonts w:hint="eastAsia" w:hAnsi="宋体"/>
              </w:rPr>
              <w:t>吸入本品蒸汽或雾，刺激呼吸道。高浓度吸入出现咳嗽、头痛、恶心、呕吐、昏迷。蒸汽对眼有强烈刺激性/液体或雾可致严重眼损害，甚至导致失明。长时间皮肤接触，可致灼伤。大量口服出现恶、呕吐和腹痛。慢性影响：长期反复接触可能引起肝肾损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rPr>
        <w:tc>
          <w:tcPr>
            <w:tcW w:w="574" w:type="pct"/>
            <w:vAlign w:val="center"/>
          </w:tcPr>
          <w:p>
            <w:pPr>
              <w:pStyle w:val="83"/>
              <w:rPr>
                <w:b/>
              </w:rPr>
            </w:pPr>
            <w:r>
              <w:rPr>
                <w:rFonts w:hAnsi="宋体"/>
                <w:b/>
              </w:rPr>
              <w:t>急</w:t>
            </w:r>
          </w:p>
          <w:p>
            <w:pPr>
              <w:pStyle w:val="83"/>
              <w:rPr>
                <w:b/>
              </w:rPr>
            </w:pPr>
          </w:p>
          <w:p>
            <w:pPr>
              <w:pStyle w:val="83"/>
              <w:rPr>
                <w:b/>
              </w:rPr>
            </w:pPr>
            <w:r>
              <w:rPr>
                <w:rFonts w:hAnsi="宋体"/>
                <w:b/>
              </w:rPr>
              <w:t>救</w:t>
            </w:r>
          </w:p>
        </w:tc>
        <w:tc>
          <w:tcPr>
            <w:tcW w:w="4425" w:type="pct"/>
            <w:gridSpan w:val="5"/>
            <w:vAlign w:val="center"/>
          </w:tcPr>
          <w:p>
            <w:pPr>
              <w:pStyle w:val="83"/>
              <w:jc w:val="left"/>
              <w:rPr>
                <w:rFonts w:ascii="Calibri" w:hAnsi="宋体"/>
                <w:kern w:val="0"/>
              </w:rPr>
            </w:pPr>
            <w:r>
              <w:rPr>
                <w:rFonts w:hint="eastAsia" w:ascii="Calibri" w:hAnsi="宋体"/>
                <w:kern w:val="0"/>
              </w:rPr>
              <w:t>吸入：迅速脱离现场至空气新鲜处。必要进行人工呼吸。就医</w:t>
            </w:r>
          </w:p>
          <w:p>
            <w:pPr>
              <w:pStyle w:val="83"/>
              <w:jc w:val="left"/>
            </w:pPr>
            <w:r>
              <w:rPr>
                <w:rFonts w:hint="eastAsia" w:hAnsi="宋体"/>
              </w:rPr>
              <w:t>食入：误服者立即漱口，给饮牛奶或蛋清。就医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rPr>
        <w:tc>
          <w:tcPr>
            <w:tcW w:w="574" w:type="pct"/>
            <w:vAlign w:val="center"/>
          </w:tcPr>
          <w:p>
            <w:pPr>
              <w:pStyle w:val="83"/>
              <w:rPr>
                <w:b/>
              </w:rPr>
            </w:pPr>
            <w:r>
              <w:rPr>
                <w:rFonts w:hAnsi="宋体"/>
                <w:b/>
              </w:rPr>
              <w:t>防</w:t>
            </w:r>
          </w:p>
          <w:p>
            <w:pPr>
              <w:pStyle w:val="83"/>
              <w:rPr>
                <w:b/>
              </w:rPr>
            </w:pPr>
            <w:r>
              <w:rPr>
                <w:rFonts w:hAnsi="宋体"/>
                <w:b/>
              </w:rPr>
              <w:t>护</w:t>
            </w:r>
          </w:p>
          <w:p>
            <w:pPr>
              <w:pStyle w:val="83"/>
              <w:rPr>
                <w:b/>
              </w:rPr>
            </w:pPr>
            <w:r>
              <w:rPr>
                <w:rFonts w:hAnsi="宋体"/>
                <w:b/>
              </w:rPr>
              <w:t>措</w:t>
            </w:r>
          </w:p>
          <w:p>
            <w:pPr>
              <w:pStyle w:val="83"/>
              <w:rPr>
                <w:b/>
              </w:rPr>
            </w:pPr>
            <w:r>
              <w:rPr>
                <w:rFonts w:hAnsi="宋体"/>
                <w:b/>
              </w:rPr>
              <w:t>施</w:t>
            </w:r>
          </w:p>
        </w:tc>
        <w:tc>
          <w:tcPr>
            <w:tcW w:w="4425" w:type="pct"/>
            <w:gridSpan w:val="5"/>
            <w:vAlign w:val="center"/>
          </w:tcPr>
          <w:p>
            <w:pPr>
              <w:pStyle w:val="83"/>
              <w:jc w:val="left"/>
            </w:pPr>
            <w:r>
              <w:rPr>
                <w:rFonts w:hAnsi="宋体"/>
              </w:rPr>
              <w:t>工程控制：密闭操作，注意通风。</w:t>
            </w:r>
            <w:r>
              <w:br w:type="textWrapping"/>
            </w:r>
            <w:r>
              <w:rPr>
                <w:rFonts w:hAnsi="宋体"/>
              </w:rPr>
              <w:t>呼吸系统防护：</w:t>
            </w:r>
            <w:r>
              <w:rPr>
                <w:rFonts w:ascii="Arial" w:hAnsi="Arial" w:cs="Arial"/>
                <w:color w:val="333333"/>
                <w:shd w:val="clear" w:color="auto" w:fill="FFFFFF"/>
              </w:rPr>
              <w:t>可能接触其蒸气时，</w:t>
            </w:r>
            <w:r>
              <w:rPr>
                <w:rFonts w:hint="eastAsia" w:ascii="Arial" w:hAnsi="Arial" w:cs="Arial"/>
                <w:color w:val="333333"/>
                <w:shd w:val="clear" w:color="auto" w:fill="FFFFFF"/>
                <w:lang w:val="en-US" w:eastAsia="zh-CN"/>
              </w:rPr>
              <w:t>佩戴</w:t>
            </w:r>
            <w:r>
              <w:rPr>
                <w:rFonts w:ascii="Arial" w:hAnsi="Arial" w:cs="Arial"/>
                <w:color w:val="333333"/>
                <w:shd w:val="clear" w:color="auto" w:fill="FFFFFF"/>
              </w:rPr>
              <w:t>防毒面具。紧急事态抢救或逃生时，建议</w:t>
            </w:r>
            <w:r>
              <w:rPr>
                <w:rFonts w:hint="eastAsia" w:ascii="Arial" w:hAnsi="Arial" w:cs="Arial"/>
                <w:color w:val="333333"/>
                <w:shd w:val="clear" w:color="auto" w:fill="FFFFFF"/>
                <w:lang w:val="en-US" w:eastAsia="zh-CN"/>
              </w:rPr>
              <w:t>佩戴</w:t>
            </w:r>
            <w:r>
              <w:rPr>
                <w:rFonts w:ascii="Arial" w:hAnsi="Arial" w:cs="Arial"/>
                <w:color w:val="333333"/>
                <w:shd w:val="clear" w:color="auto" w:fill="FFFFFF"/>
              </w:rPr>
              <w:t>自给式呼吸器。</w:t>
            </w:r>
            <w:r>
              <w:br w:type="textWrapping"/>
            </w:r>
            <w:r>
              <w:rPr>
                <w:rFonts w:hAnsi="宋体"/>
              </w:rPr>
              <w:t>眼睛防护：</w:t>
            </w:r>
            <w:r>
              <w:rPr>
                <w:kern w:val="0"/>
              </w:rPr>
              <w:t>戴化学安全防护眼镜</w:t>
            </w:r>
            <w:r>
              <w:rPr>
                <w:rFonts w:hAnsi="宋体"/>
              </w:rPr>
              <w:t>。</w:t>
            </w:r>
            <w:r>
              <w:br w:type="textWrapping"/>
            </w:r>
            <w:r>
              <w:rPr>
                <w:rFonts w:hAnsi="宋体"/>
              </w:rPr>
              <w:t>身体防护：</w:t>
            </w:r>
            <w:r>
              <w:rPr>
                <w:kern w:val="0"/>
              </w:rPr>
              <w:t>穿工作服</w:t>
            </w:r>
            <w:r>
              <w:rPr>
                <w:rFonts w:hint="eastAsia"/>
                <w:kern w:val="0"/>
              </w:rPr>
              <w:t>（防腐材料制作）</w:t>
            </w:r>
            <w:r>
              <w:rPr>
                <w:rFonts w:hAnsi="宋体"/>
              </w:rPr>
              <w:t>。</w:t>
            </w:r>
            <w:r>
              <w:br w:type="textWrapping"/>
            </w:r>
            <w:r>
              <w:rPr>
                <w:rFonts w:hAnsi="宋体"/>
              </w:rPr>
              <w:t>手防护：</w:t>
            </w:r>
            <w:r>
              <w:rPr>
                <w:rFonts w:hint="eastAsia" w:hAnsi="宋体"/>
              </w:rPr>
              <w:t>戴橡皮</w:t>
            </w:r>
            <w:r>
              <w:rPr>
                <w:rFonts w:hAnsi="宋体"/>
              </w:rPr>
              <w:t>手套。</w:t>
            </w:r>
            <w:r>
              <w:br w:type="textWrapping"/>
            </w:r>
            <w:r>
              <w:rPr>
                <w:rFonts w:hAnsi="宋体"/>
                <w:highlight w:val="none"/>
              </w:rPr>
              <w:t>其它</w:t>
            </w:r>
            <w:r>
              <w:rPr>
                <w:rFonts w:hAnsi="宋体"/>
              </w:rPr>
              <w:t>：</w:t>
            </w:r>
            <w:r>
              <w:rPr>
                <w:rFonts w:ascii="Arial" w:hAnsi="Arial" w:cs="Arial"/>
                <w:color w:val="333333"/>
                <w:shd w:val="clear" w:color="auto" w:fill="FFFFFF"/>
              </w:rPr>
              <w:t>工作现场禁止吸烟、进食和饮水。工作后，淋浴更衣。进行就业前和定期的体检</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rPr>
        <w:tc>
          <w:tcPr>
            <w:tcW w:w="574" w:type="pct"/>
            <w:vAlign w:val="center"/>
          </w:tcPr>
          <w:p>
            <w:pPr>
              <w:pStyle w:val="83"/>
              <w:rPr>
                <w:b/>
              </w:rPr>
            </w:pPr>
            <w:r>
              <w:rPr>
                <w:rFonts w:hAnsi="宋体"/>
                <w:b/>
              </w:rPr>
              <w:t>泄</w:t>
            </w:r>
          </w:p>
          <w:p>
            <w:pPr>
              <w:pStyle w:val="83"/>
              <w:rPr>
                <w:b/>
              </w:rPr>
            </w:pPr>
            <w:r>
              <w:rPr>
                <w:rFonts w:hAnsi="宋体"/>
                <w:b/>
              </w:rPr>
              <w:t>漏</w:t>
            </w:r>
          </w:p>
          <w:p>
            <w:pPr>
              <w:pStyle w:val="83"/>
              <w:rPr>
                <w:b/>
              </w:rPr>
            </w:pPr>
            <w:r>
              <w:rPr>
                <w:rFonts w:hAnsi="宋体"/>
                <w:b/>
              </w:rPr>
              <w:t>处</w:t>
            </w:r>
          </w:p>
          <w:p>
            <w:pPr>
              <w:pStyle w:val="83"/>
              <w:rPr>
                <w:b/>
              </w:rPr>
            </w:pPr>
            <w:r>
              <w:rPr>
                <w:rFonts w:hAnsi="宋体"/>
                <w:b/>
              </w:rPr>
              <w:t>置</w:t>
            </w:r>
          </w:p>
        </w:tc>
        <w:tc>
          <w:tcPr>
            <w:tcW w:w="4425" w:type="pct"/>
            <w:gridSpan w:val="5"/>
            <w:vAlign w:val="center"/>
          </w:tcPr>
          <w:p>
            <w:pPr>
              <w:pStyle w:val="83"/>
              <w:jc w:val="left"/>
            </w:pPr>
            <w:r>
              <w:t>疏散泄漏污染区人员至安全区，禁止无关人员进入污染区，建议应急处理人员戴好防毒面具，穿化学防护服。不要直接接触泄漏物，在确保安全情况下堵漏。用沙土</w:t>
            </w:r>
            <w:r>
              <w:rPr>
                <w:highlight w:val="none"/>
              </w:rPr>
              <w:t>或其它</w:t>
            </w:r>
            <w:r>
              <w:t>不燃性吸附剂混合吸收，然后收集运至废物处理场所处置。也可以用大量水冲洗，经稀释的洗水放入废水系统。如大量泄漏，利用围堤收容，然后收集、转移、回收或无害处理后废弃。</w:t>
            </w:r>
          </w:p>
        </w:tc>
      </w:tr>
    </w:tbl>
    <w:p>
      <w:pPr>
        <w:pStyle w:val="90"/>
        <w:keepNext w:val="0"/>
        <w:keepLines w:val="0"/>
        <w:pageBreakBefore w:val="0"/>
        <w:widowControl w:val="0"/>
        <w:kinsoku/>
        <w:wordWrap/>
        <w:overflowPunct/>
        <w:topLinePunct w:val="0"/>
        <w:autoSpaceDE/>
        <w:autoSpaceDN/>
        <w:bidi w:val="0"/>
        <w:adjustRightInd w:val="0"/>
        <w:snapToGrid w:val="0"/>
        <w:spacing w:before="168" w:beforeLines="50"/>
        <w:ind w:firstLine="482"/>
        <w:textAlignment w:val="auto"/>
        <w:rPr>
          <w:b/>
        </w:rPr>
      </w:pPr>
      <w:r>
        <w:rPr>
          <w:rFonts w:hint="eastAsia" w:ascii="宋体" w:hAnsi="宋体"/>
          <w:b/>
        </w:rPr>
        <w:t>③</w:t>
      </w:r>
      <w:r>
        <w:rPr>
          <w:rFonts w:hint="eastAsia"/>
          <w:b/>
        </w:rPr>
        <w:t>机油</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1"/>
        <w:gridCol w:w="2157"/>
        <w:gridCol w:w="1370"/>
        <w:gridCol w:w="1370"/>
        <w:gridCol w:w="1374"/>
        <w:gridCol w:w="1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574" w:type="pct"/>
            <w:vAlign w:val="center"/>
          </w:tcPr>
          <w:p>
            <w:pPr>
              <w:pStyle w:val="83"/>
            </w:pPr>
            <w:r>
              <w:rPr>
                <w:rFonts w:hAnsi="宋体"/>
              </w:rPr>
              <w:t>品</w:t>
            </w:r>
            <w:r>
              <w:t xml:space="preserve">   </w:t>
            </w:r>
            <w:r>
              <w:rPr>
                <w:rFonts w:hAnsi="宋体"/>
              </w:rPr>
              <w:t>名</w:t>
            </w:r>
          </w:p>
        </w:tc>
        <w:tc>
          <w:tcPr>
            <w:tcW w:w="1237" w:type="pct"/>
            <w:vAlign w:val="center"/>
          </w:tcPr>
          <w:p>
            <w:pPr>
              <w:pStyle w:val="83"/>
            </w:pPr>
            <w:r>
              <w:rPr>
                <w:rFonts w:hint="eastAsia" w:hAnsi="宋体"/>
              </w:rPr>
              <w:t>机油</w:t>
            </w:r>
          </w:p>
        </w:tc>
        <w:tc>
          <w:tcPr>
            <w:tcW w:w="786" w:type="pct"/>
            <w:vAlign w:val="center"/>
          </w:tcPr>
          <w:p>
            <w:pPr>
              <w:pStyle w:val="83"/>
            </w:pPr>
            <w:r>
              <w:rPr>
                <w:rFonts w:hAnsi="宋体"/>
              </w:rPr>
              <w:t>别</w:t>
            </w:r>
            <w:r>
              <w:t xml:space="preserve">   </w:t>
            </w:r>
            <w:r>
              <w:rPr>
                <w:rFonts w:hAnsi="宋体"/>
              </w:rPr>
              <w:t>名</w:t>
            </w:r>
          </w:p>
        </w:tc>
        <w:tc>
          <w:tcPr>
            <w:tcW w:w="786" w:type="pct"/>
            <w:vAlign w:val="center"/>
          </w:tcPr>
          <w:p>
            <w:pPr>
              <w:pStyle w:val="83"/>
            </w:pPr>
          </w:p>
        </w:tc>
        <w:tc>
          <w:tcPr>
            <w:tcW w:w="788" w:type="pct"/>
            <w:vAlign w:val="center"/>
          </w:tcPr>
          <w:p>
            <w:pPr>
              <w:pStyle w:val="83"/>
            </w:pPr>
            <w:r>
              <w:rPr>
                <w:rFonts w:hAnsi="宋体"/>
              </w:rPr>
              <w:t>分子式</w:t>
            </w:r>
          </w:p>
        </w:tc>
        <w:tc>
          <w:tcPr>
            <w:tcW w:w="827" w:type="pct"/>
            <w:vAlign w:val="center"/>
          </w:tcPr>
          <w:p>
            <w:pPr>
              <w:pStyle w:val="83"/>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574" w:type="pct"/>
            <w:vAlign w:val="center"/>
          </w:tcPr>
          <w:p>
            <w:pPr>
              <w:pStyle w:val="83"/>
            </w:pPr>
            <w:r>
              <w:rPr>
                <w:rFonts w:hAnsi="宋体"/>
              </w:rPr>
              <w:t>英文名称</w:t>
            </w:r>
          </w:p>
        </w:tc>
        <w:tc>
          <w:tcPr>
            <w:tcW w:w="1237" w:type="pct"/>
            <w:vAlign w:val="center"/>
          </w:tcPr>
          <w:p>
            <w:pPr>
              <w:pStyle w:val="83"/>
            </w:pPr>
            <w:r>
              <w:rPr>
                <w:rFonts w:hint="eastAsia"/>
              </w:rPr>
              <w:t>Lube oil</w:t>
            </w:r>
            <w:r>
              <w:rPr>
                <w:highlight w:val="none"/>
              </w:rPr>
              <w:t>;</w:t>
            </w:r>
          </w:p>
        </w:tc>
        <w:tc>
          <w:tcPr>
            <w:tcW w:w="786" w:type="pct"/>
            <w:vAlign w:val="center"/>
          </w:tcPr>
          <w:p>
            <w:pPr>
              <w:pStyle w:val="83"/>
            </w:pPr>
            <w:r>
              <w:rPr>
                <w:rFonts w:hAnsi="宋体"/>
              </w:rPr>
              <w:t>分</w:t>
            </w:r>
            <w:r>
              <w:t xml:space="preserve">   </w:t>
            </w:r>
            <w:r>
              <w:rPr>
                <w:rFonts w:hAnsi="宋体"/>
              </w:rPr>
              <w:t>子</w:t>
            </w:r>
            <w:r>
              <w:t xml:space="preserve">   </w:t>
            </w:r>
            <w:r>
              <w:rPr>
                <w:rFonts w:hAnsi="宋体"/>
              </w:rPr>
              <w:t>量</w:t>
            </w:r>
          </w:p>
        </w:tc>
        <w:tc>
          <w:tcPr>
            <w:tcW w:w="786" w:type="pct"/>
            <w:vAlign w:val="center"/>
          </w:tcPr>
          <w:p>
            <w:pPr>
              <w:pStyle w:val="83"/>
            </w:pPr>
            <w:r>
              <w:rPr>
                <w:rFonts w:hint="eastAsia"/>
              </w:rPr>
              <w:t>/</w:t>
            </w:r>
          </w:p>
        </w:tc>
        <w:tc>
          <w:tcPr>
            <w:tcW w:w="788" w:type="pct"/>
            <w:vAlign w:val="center"/>
          </w:tcPr>
          <w:p>
            <w:pPr>
              <w:pStyle w:val="83"/>
            </w:pPr>
            <w:r>
              <w:t>C A S</w:t>
            </w:r>
            <w:r>
              <w:rPr>
                <w:rFonts w:hAnsi="宋体"/>
              </w:rPr>
              <w:t>号</w:t>
            </w:r>
          </w:p>
        </w:tc>
        <w:tc>
          <w:tcPr>
            <w:tcW w:w="827" w:type="pct"/>
            <w:vAlign w:val="center"/>
          </w:tcPr>
          <w:p>
            <w:pPr>
              <w:pStyle w:val="83"/>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68" w:hRule="atLeast"/>
        </w:trPr>
        <w:tc>
          <w:tcPr>
            <w:tcW w:w="574" w:type="pct"/>
            <w:tcBorders>
              <w:bottom w:val="single" w:color="auto" w:sz="4" w:space="0"/>
            </w:tcBorders>
            <w:vAlign w:val="center"/>
          </w:tcPr>
          <w:p>
            <w:pPr>
              <w:pStyle w:val="83"/>
              <w:rPr>
                <w:b/>
              </w:rPr>
            </w:pPr>
            <w:r>
              <w:rPr>
                <w:rFonts w:hAnsi="宋体"/>
                <w:b/>
              </w:rPr>
              <w:t>理</w:t>
            </w:r>
          </w:p>
          <w:p>
            <w:pPr>
              <w:pStyle w:val="83"/>
              <w:rPr>
                <w:b/>
              </w:rPr>
            </w:pPr>
            <w:r>
              <w:rPr>
                <w:rFonts w:hAnsi="宋体"/>
                <w:b/>
              </w:rPr>
              <w:t>化</w:t>
            </w:r>
          </w:p>
          <w:p>
            <w:pPr>
              <w:pStyle w:val="83"/>
              <w:rPr>
                <w:b/>
              </w:rPr>
            </w:pPr>
            <w:r>
              <w:rPr>
                <w:rFonts w:hAnsi="宋体"/>
                <w:b/>
              </w:rPr>
              <w:t>性</w:t>
            </w:r>
          </w:p>
          <w:p>
            <w:pPr>
              <w:pStyle w:val="83"/>
              <w:rPr>
                <w:b/>
              </w:rPr>
            </w:pPr>
            <w:r>
              <w:rPr>
                <w:rFonts w:hAnsi="宋体"/>
                <w:b/>
              </w:rPr>
              <w:t>质</w:t>
            </w:r>
          </w:p>
        </w:tc>
        <w:tc>
          <w:tcPr>
            <w:tcW w:w="4425" w:type="pct"/>
            <w:gridSpan w:val="5"/>
            <w:tcBorders>
              <w:bottom w:val="single" w:color="auto" w:sz="4" w:space="0"/>
            </w:tcBorders>
            <w:vAlign w:val="center"/>
          </w:tcPr>
          <w:p>
            <w:pPr>
              <w:pStyle w:val="83"/>
              <w:jc w:val="left"/>
            </w:pPr>
            <w:r>
              <w:rPr>
                <w:rFonts w:hAnsi="宋体"/>
              </w:rPr>
              <w:t>外观与性状：</w:t>
            </w:r>
            <w:r>
              <w:rPr>
                <w:rFonts w:hint="eastAsia" w:hAnsi="宋体"/>
              </w:rPr>
              <w:t>油状液体，淡黄色至褐色，无气味</w:t>
            </w:r>
            <w:r>
              <w:rPr>
                <w:rFonts w:hAnsi="宋体"/>
              </w:rPr>
              <w:t>。</w:t>
            </w:r>
            <w:r>
              <w:t xml:space="preserve"> </w:t>
            </w:r>
          </w:p>
          <w:p>
            <w:pPr>
              <w:pStyle w:val="83"/>
              <w:jc w:val="left"/>
            </w:pPr>
            <w:r>
              <w:t>主要用途：</w:t>
            </w:r>
            <w:r>
              <w:rPr>
                <w:rFonts w:hint="eastAsia"/>
              </w:rPr>
              <w:t>用于机械的摩擦部分，起润滑、冷却和密封作用。</w:t>
            </w:r>
          </w:p>
          <w:p>
            <w:pPr>
              <w:pStyle w:val="83"/>
              <w:jc w:val="left"/>
            </w:pPr>
            <w:r>
              <w:rPr>
                <w:rFonts w:hAnsi="宋体"/>
              </w:rPr>
              <w:t>相对密度：（空气</w:t>
            </w:r>
            <w:r>
              <w:t>=1</w:t>
            </w:r>
            <w:r>
              <w:rPr>
                <w:rFonts w:hAnsi="宋体"/>
              </w:rPr>
              <w:t>）：</w:t>
            </w:r>
          </w:p>
          <w:p>
            <w:pPr>
              <w:pStyle w:val="83"/>
              <w:jc w:val="left"/>
            </w:pPr>
            <w:r>
              <w:rPr>
                <w:rFonts w:hAnsi="宋体"/>
              </w:rPr>
              <w:t>饱和蒸气压</w:t>
            </w:r>
            <w:r>
              <w:rPr>
                <w:highlight w:val="none"/>
              </w:rPr>
              <w:t>(</w:t>
            </w:r>
            <w:r>
              <w:t>kPa</w:t>
            </w:r>
            <w:r>
              <w:rPr>
                <w:highlight w:val="none"/>
              </w:rPr>
              <w:t>)</w:t>
            </w:r>
            <w:r>
              <w:rPr>
                <w:rFonts w:hAnsi="宋体"/>
              </w:rPr>
              <w:t>：</w:t>
            </w:r>
            <w:r>
              <w:rPr>
                <w:rFonts w:hint="eastAsia"/>
              </w:rPr>
              <w:t>/</w:t>
            </w:r>
          </w:p>
          <w:p>
            <w:pPr>
              <w:pStyle w:val="83"/>
              <w:jc w:val="left"/>
            </w:pPr>
            <w:r>
              <w:rPr>
                <w:rFonts w:hAnsi="宋体"/>
              </w:rPr>
              <w:t>溶解性：</w:t>
            </w:r>
            <w:r>
              <w:rPr>
                <w:rFonts w:hint="eastAsia"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42" w:hRule="atLeast"/>
        </w:trPr>
        <w:tc>
          <w:tcPr>
            <w:tcW w:w="574" w:type="pct"/>
            <w:tcBorders>
              <w:bottom w:val="single" w:color="auto" w:sz="4" w:space="0"/>
            </w:tcBorders>
            <w:vAlign w:val="center"/>
          </w:tcPr>
          <w:p>
            <w:pPr>
              <w:pStyle w:val="83"/>
              <w:rPr>
                <w:b/>
              </w:rPr>
            </w:pPr>
            <w:r>
              <w:rPr>
                <w:rFonts w:hAnsi="宋体"/>
                <w:b/>
              </w:rPr>
              <w:t>燃</w:t>
            </w:r>
          </w:p>
          <w:p>
            <w:pPr>
              <w:pStyle w:val="83"/>
              <w:rPr>
                <w:b/>
              </w:rPr>
            </w:pPr>
            <w:r>
              <w:rPr>
                <w:rFonts w:hAnsi="宋体"/>
                <w:b/>
              </w:rPr>
              <w:t>烧</w:t>
            </w:r>
          </w:p>
          <w:p>
            <w:pPr>
              <w:pStyle w:val="83"/>
              <w:rPr>
                <w:b/>
              </w:rPr>
            </w:pPr>
            <w:r>
              <w:rPr>
                <w:rFonts w:hAnsi="宋体"/>
                <w:b/>
              </w:rPr>
              <w:t>爆</w:t>
            </w:r>
          </w:p>
          <w:p>
            <w:pPr>
              <w:pStyle w:val="83"/>
              <w:rPr>
                <w:b/>
              </w:rPr>
            </w:pPr>
            <w:r>
              <w:rPr>
                <w:rFonts w:hAnsi="宋体"/>
                <w:b/>
              </w:rPr>
              <w:t>炸</w:t>
            </w:r>
          </w:p>
          <w:p>
            <w:pPr>
              <w:pStyle w:val="83"/>
              <w:rPr>
                <w:b/>
              </w:rPr>
            </w:pPr>
            <w:r>
              <w:rPr>
                <w:rFonts w:hAnsi="宋体"/>
                <w:b/>
              </w:rPr>
              <w:t>危</w:t>
            </w:r>
          </w:p>
          <w:p>
            <w:pPr>
              <w:pStyle w:val="83"/>
              <w:rPr>
                <w:b/>
              </w:rPr>
            </w:pPr>
            <w:r>
              <w:rPr>
                <w:rFonts w:hAnsi="宋体"/>
                <w:b/>
              </w:rPr>
              <w:t>险</w:t>
            </w:r>
          </w:p>
          <w:p>
            <w:pPr>
              <w:pStyle w:val="83"/>
              <w:rPr>
                <w:b/>
              </w:rPr>
            </w:pPr>
            <w:r>
              <w:rPr>
                <w:rFonts w:hAnsi="宋体"/>
                <w:b/>
              </w:rPr>
              <w:t>性</w:t>
            </w:r>
          </w:p>
        </w:tc>
        <w:tc>
          <w:tcPr>
            <w:tcW w:w="4425" w:type="pct"/>
            <w:gridSpan w:val="5"/>
          </w:tcPr>
          <w:p>
            <w:pPr>
              <w:pStyle w:val="83"/>
              <w:jc w:val="left"/>
              <w:rPr>
                <w:rFonts w:hAnsi="宋体"/>
              </w:rPr>
            </w:pPr>
            <w:r>
              <w:rPr>
                <w:rFonts w:hAnsi="宋体"/>
              </w:rPr>
              <w:t>燃烧性：</w:t>
            </w:r>
            <w:r>
              <w:rPr>
                <w:rFonts w:hint="eastAsia" w:hAnsi="宋体"/>
              </w:rPr>
              <w:t>可燃</w:t>
            </w:r>
          </w:p>
          <w:p>
            <w:pPr>
              <w:pStyle w:val="83"/>
              <w:jc w:val="left"/>
            </w:pPr>
            <w:r>
              <w:rPr>
                <w:rFonts w:hAnsi="宋体"/>
              </w:rPr>
              <w:t>建规火险等级：</w:t>
            </w:r>
            <w:r>
              <w:rPr>
                <w:rFonts w:hint="eastAsia" w:hAnsi="宋体"/>
              </w:rPr>
              <w:t>甲</w:t>
            </w:r>
          </w:p>
          <w:p>
            <w:pPr>
              <w:pStyle w:val="83"/>
              <w:jc w:val="left"/>
            </w:pPr>
            <w:r>
              <w:rPr>
                <w:rFonts w:hAnsi="宋体"/>
              </w:rPr>
              <w:t>闪点：</w:t>
            </w:r>
            <w:r>
              <w:rPr>
                <w:rFonts w:hint="eastAsia" w:hAnsi="宋体"/>
              </w:rPr>
              <w:t>76℃</w:t>
            </w:r>
            <w:r>
              <w:rPr>
                <w:rFonts w:hAnsi="宋体"/>
              </w:rPr>
              <w:t>；</w:t>
            </w:r>
            <w:r>
              <w:t xml:space="preserve">                   </w:t>
            </w:r>
          </w:p>
          <w:p>
            <w:pPr>
              <w:pStyle w:val="83"/>
              <w:jc w:val="left"/>
            </w:pPr>
            <w:r>
              <w:rPr>
                <w:rFonts w:hAnsi="宋体"/>
                <w:highlight w:val="none"/>
              </w:rPr>
              <w:t>自燃点</w:t>
            </w:r>
            <w:r>
              <w:rPr>
                <w:rFonts w:hAnsi="宋体"/>
              </w:rPr>
              <w:t>：无意义；</w:t>
            </w:r>
          </w:p>
          <w:p>
            <w:pPr>
              <w:pStyle w:val="83"/>
              <w:jc w:val="left"/>
            </w:pPr>
            <w:r>
              <w:rPr>
                <w:rFonts w:hAnsi="宋体"/>
              </w:rPr>
              <w:t>爆炸下限：无意义；</w:t>
            </w:r>
          </w:p>
          <w:p>
            <w:pPr>
              <w:pStyle w:val="83"/>
              <w:jc w:val="left"/>
            </w:pPr>
            <w:r>
              <w:rPr>
                <w:rFonts w:hAnsi="宋体"/>
              </w:rPr>
              <w:t>爆炸上限：无意义；</w:t>
            </w:r>
          </w:p>
          <w:p>
            <w:pPr>
              <w:pStyle w:val="83"/>
              <w:jc w:val="left"/>
            </w:pPr>
            <w:r>
              <w:t>危险特性：能对发动机起到润滑减磨、辅助冷却降温、密封防漏、防锈防蚀、减震缓冲等作用。</w:t>
            </w:r>
          </w:p>
          <w:p>
            <w:pPr>
              <w:pStyle w:val="83"/>
              <w:jc w:val="left"/>
            </w:pPr>
            <w:r>
              <w:rPr>
                <w:rFonts w:hAnsi="宋体"/>
              </w:rPr>
              <w:t>稳定性：</w:t>
            </w:r>
            <w:r>
              <w:t xml:space="preserve"> </w:t>
            </w:r>
            <w:r>
              <w:rPr>
                <w:rFonts w:hAnsi="宋体"/>
              </w:rPr>
              <w:t>稳定</w:t>
            </w:r>
            <w:r>
              <w:t xml:space="preserve"> </w:t>
            </w:r>
          </w:p>
          <w:p>
            <w:pPr>
              <w:pStyle w:val="83"/>
              <w:jc w:val="left"/>
            </w:pPr>
            <w:r>
              <w:rPr>
                <w:rFonts w:hAnsi="宋体"/>
              </w:rPr>
              <w:t>聚合危害：</w:t>
            </w:r>
            <w:r>
              <w:t xml:space="preserve"> </w:t>
            </w:r>
            <w:r>
              <w:rPr>
                <w:rFonts w:hAnsi="宋体"/>
              </w:rPr>
              <w:t>不出现；</w:t>
            </w:r>
            <w:r>
              <w:br w:type="textWrapping"/>
            </w:r>
            <w:r>
              <w:rPr>
                <w:rFonts w:hAnsi="宋体"/>
              </w:rPr>
              <w:t>避免接触的条件：</w:t>
            </w:r>
            <w:r>
              <w:rPr>
                <w:rFonts w:hint="eastAsia"/>
              </w:rPr>
              <w:t>极端温度和阳光直晒</w:t>
            </w:r>
            <w:r>
              <w:rPr>
                <w:rFonts w:hAnsi="宋体"/>
              </w:rPr>
              <w:t>。</w:t>
            </w:r>
            <w:r>
              <w:br w:type="textWrapping"/>
            </w:r>
            <w:r>
              <w:rPr>
                <w:rFonts w:hAnsi="宋体"/>
              </w:rPr>
              <w:t>禁忌物：</w:t>
            </w:r>
            <w:r>
              <w:rPr>
                <w:rFonts w:hint="eastAsia" w:hAnsi="宋体"/>
              </w:rPr>
              <w:t>强氧化剂</w:t>
            </w:r>
            <w:r>
              <w:rPr>
                <w:rFonts w:hAnsi="宋体"/>
              </w:rPr>
              <w:t>。</w:t>
            </w:r>
          </w:p>
          <w:p>
            <w:pPr>
              <w:pStyle w:val="83"/>
              <w:jc w:val="left"/>
            </w:pPr>
            <w:r>
              <w:rPr>
                <w:rFonts w:hAnsi="宋体"/>
              </w:rPr>
              <w:t>灭火方法：</w:t>
            </w:r>
            <w:r>
              <w:rPr>
                <w:rFonts w:hint="eastAsia" w:hAnsi="宋体"/>
              </w:rPr>
              <w:t>沙子、泥土、灭火器</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68" w:hRule="atLeast"/>
        </w:trPr>
        <w:tc>
          <w:tcPr>
            <w:tcW w:w="574" w:type="pct"/>
            <w:vAlign w:val="center"/>
          </w:tcPr>
          <w:p>
            <w:pPr>
              <w:pStyle w:val="83"/>
              <w:rPr>
                <w:b/>
              </w:rPr>
            </w:pPr>
            <w:r>
              <w:rPr>
                <w:rFonts w:hAnsi="宋体"/>
                <w:b/>
              </w:rPr>
              <w:t>包</w:t>
            </w:r>
          </w:p>
          <w:p>
            <w:pPr>
              <w:pStyle w:val="83"/>
              <w:rPr>
                <w:b/>
              </w:rPr>
            </w:pPr>
            <w:r>
              <w:rPr>
                <w:rFonts w:hAnsi="宋体"/>
                <w:b/>
              </w:rPr>
              <w:t>装</w:t>
            </w:r>
          </w:p>
          <w:p>
            <w:pPr>
              <w:pStyle w:val="83"/>
              <w:rPr>
                <w:b/>
              </w:rPr>
            </w:pPr>
            <w:r>
              <w:rPr>
                <w:rFonts w:hAnsi="宋体"/>
                <w:b/>
              </w:rPr>
              <w:t>与</w:t>
            </w:r>
          </w:p>
          <w:p>
            <w:pPr>
              <w:pStyle w:val="83"/>
              <w:rPr>
                <w:b/>
              </w:rPr>
            </w:pPr>
            <w:r>
              <w:rPr>
                <w:rFonts w:hAnsi="宋体"/>
                <w:b/>
              </w:rPr>
              <w:t>储</w:t>
            </w:r>
          </w:p>
          <w:p>
            <w:pPr>
              <w:pStyle w:val="83"/>
              <w:rPr>
                <w:b/>
              </w:rPr>
            </w:pPr>
            <w:r>
              <w:rPr>
                <w:rFonts w:hAnsi="宋体"/>
                <w:b/>
              </w:rPr>
              <w:t>运</w:t>
            </w:r>
          </w:p>
        </w:tc>
        <w:tc>
          <w:tcPr>
            <w:tcW w:w="4425" w:type="pct"/>
            <w:gridSpan w:val="5"/>
            <w:vAlign w:val="center"/>
          </w:tcPr>
          <w:p>
            <w:pPr>
              <w:pStyle w:val="83"/>
              <w:jc w:val="left"/>
            </w:pPr>
            <w:r>
              <w:rPr>
                <w:rFonts w:hAnsi="宋体"/>
              </w:rPr>
              <w:t>危险性类别：</w:t>
            </w:r>
            <w:r>
              <w:rPr>
                <w:rFonts w:hint="eastAsia" w:hAnsi="宋体"/>
              </w:rPr>
              <w:t>/</w:t>
            </w:r>
            <w:r>
              <w:rPr>
                <w:rFonts w:hAnsi="宋体"/>
              </w:rPr>
              <w:t>；</w:t>
            </w:r>
          </w:p>
          <w:p>
            <w:pPr>
              <w:pStyle w:val="83"/>
              <w:jc w:val="left"/>
            </w:pPr>
            <w:r>
              <w:rPr>
                <w:rFonts w:hAnsi="宋体"/>
              </w:rPr>
              <w:t>危险货物包装标志：</w:t>
            </w:r>
            <w:r>
              <w:rPr>
                <w:rFonts w:hint="eastAsia"/>
              </w:rPr>
              <w:t>/</w:t>
            </w:r>
            <w:r>
              <w:rPr>
                <w:rFonts w:hAnsi="宋体"/>
              </w:rPr>
              <w:t>；</w:t>
            </w:r>
          </w:p>
          <w:p>
            <w:pPr>
              <w:pStyle w:val="83"/>
              <w:jc w:val="left"/>
            </w:pPr>
            <w:r>
              <w:rPr>
                <w:rFonts w:hAnsi="宋体"/>
              </w:rPr>
              <w:t>包装类别：</w:t>
            </w:r>
            <w:r>
              <w:rPr>
                <w:rFonts w:hint="eastAsia"/>
              </w:rPr>
              <w:t>Z01</w:t>
            </w:r>
            <w:r>
              <w:rPr>
                <w:rFonts w:hAnsi="宋体"/>
              </w:rPr>
              <w:t>；</w:t>
            </w:r>
          </w:p>
          <w:p>
            <w:pPr>
              <w:pStyle w:val="83"/>
              <w:jc w:val="left"/>
              <w:rPr>
                <w:rFonts w:hAnsi="宋体"/>
              </w:rPr>
            </w:pPr>
            <w:r>
              <w:rPr>
                <w:rFonts w:hAnsi="宋体"/>
              </w:rPr>
              <w:t>储运注意事项：</w:t>
            </w:r>
            <w:r>
              <w:rPr>
                <w:rFonts w:hint="eastAsia" w:hAnsi="宋体"/>
              </w:rPr>
              <w:t>保存在凉爽、通风好的地方。使用正确的、贴有标签的、可封闭的容器。避</w:t>
            </w:r>
          </w:p>
          <w:p>
            <w:pPr>
              <w:pStyle w:val="83"/>
              <w:jc w:val="left"/>
            </w:pPr>
            <w:r>
              <w:rPr>
                <w:rFonts w:hint="eastAsia" w:hAnsi="宋体"/>
              </w:rPr>
              <w:t>开阳光直晒、热源和强氧化剂</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41" w:hRule="atLeast"/>
        </w:trPr>
        <w:tc>
          <w:tcPr>
            <w:tcW w:w="574" w:type="pct"/>
            <w:vAlign w:val="center"/>
          </w:tcPr>
          <w:p>
            <w:pPr>
              <w:pStyle w:val="83"/>
              <w:rPr>
                <w:b/>
              </w:rPr>
            </w:pPr>
            <w:r>
              <w:rPr>
                <w:rFonts w:hAnsi="宋体"/>
                <w:b/>
              </w:rPr>
              <w:t>毒性</w:t>
            </w:r>
          </w:p>
          <w:p>
            <w:pPr>
              <w:pStyle w:val="83"/>
              <w:rPr>
                <w:b/>
              </w:rPr>
            </w:pPr>
            <w:r>
              <w:rPr>
                <w:rFonts w:hAnsi="宋体"/>
                <w:b/>
              </w:rPr>
              <w:t>及</w:t>
            </w:r>
          </w:p>
          <w:p>
            <w:pPr>
              <w:pStyle w:val="83"/>
              <w:rPr>
                <w:b/>
              </w:rPr>
            </w:pPr>
            <w:r>
              <w:rPr>
                <w:rFonts w:hAnsi="宋体"/>
                <w:b/>
              </w:rPr>
              <w:t>健康</w:t>
            </w:r>
          </w:p>
          <w:p>
            <w:pPr>
              <w:pStyle w:val="83"/>
              <w:rPr>
                <w:b/>
              </w:rPr>
            </w:pPr>
            <w:r>
              <w:rPr>
                <w:rFonts w:hAnsi="宋体"/>
                <w:b/>
              </w:rPr>
              <w:t>危害</w:t>
            </w:r>
          </w:p>
          <w:p>
            <w:pPr>
              <w:pStyle w:val="83"/>
              <w:rPr>
                <w:b/>
              </w:rPr>
            </w:pPr>
            <w:r>
              <w:rPr>
                <w:rFonts w:hAnsi="宋体"/>
                <w:b/>
              </w:rPr>
              <w:t>性</w:t>
            </w:r>
          </w:p>
        </w:tc>
        <w:tc>
          <w:tcPr>
            <w:tcW w:w="4425" w:type="pct"/>
            <w:gridSpan w:val="5"/>
            <w:vAlign w:val="center"/>
          </w:tcPr>
          <w:p>
            <w:pPr>
              <w:pStyle w:val="83"/>
              <w:jc w:val="left"/>
            </w:pPr>
            <w:r>
              <w:rPr>
                <w:rFonts w:hAnsi="宋体"/>
              </w:rPr>
              <w:t>接触限值：</w:t>
            </w:r>
            <w:r>
              <w:rPr>
                <w:rFonts w:hint="eastAsia" w:hAnsi="宋体"/>
              </w:rPr>
              <w:t>无标准限值</w:t>
            </w:r>
            <w:r>
              <w:rPr>
                <w:rFonts w:hAnsi="宋体"/>
              </w:rPr>
              <w:t>。</w:t>
            </w:r>
          </w:p>
          <w:p>
            <w:pPr>
              <w:pStyle w:val="83"/>
              <w:jc w:val="left"/>
            </w:pPr>
            <w:r>
              <w:rPr>
                <w:rFonts w:hAnsi="宋体"/>
              </w:rPr>
              <w:t>毒性：</w:t>
            </w:r>
          </w:p>
          <w:p>
            <w:pPr>
              <w:pStyle w:val="83"/>
              <w:jc w:val="left"/>
            </w:pPr>
            <w:r>
              <w:t>LD</w:t>
            </w:r>
            <w:r>
              <w:rPr>
                <w:vertAlign w:val="subscript"/>
              </w:rPr>
              <w:t>50</w:t>
            </w:r>
            <w:r>
              <w:rPr>
                <w:rFonts w:hAnsi="宋体"/>
              </w:rPr>
              <w:t>：</w:t>
            </w:r>
            <w:r>
              <w:rPr>
                <w:rFonts w:hint="eastAsia"/>
              </w:rPr>
              <w:t>200</w:t>
            </w:r>
            <w:r>
              <w:t>0mg</w:t>
            </w:r>
            <w:r>
              <w:rPr>
                <w:rFonts w:hint="eastAsia"/>
              </w:rPr>
              <w:t>/</w:t>
            </w:r>
            <w:r>
              <w:t>kg</w:t>
            </w:r>
            <w:r>
              <w:rPr>
                <w:rFonts w:hAnsi="宋体"/>
              </w:rPr>
              <w:t>。</w:t>
            </w:r>
          </w:p>
          <w:p>
            <w:pPr>
              <w:pStyle w:val="83"/>
              <w:jc w:val="left"/>
            </w:pPr>
            <w:r>
              <w:rPr>
                <w:rFonts w:hAnsi="宋体"/>
              </w:rPr>
              <w:t>健康危害：</w:t>
            </w:r>
            <w:r>
              <w:rPr>
                <w:rFonts w:hint="eastAsia" w:hAnsi="宋体"/>
              </w:rPr>
              <w:t>急性吸入，可出现乏力、头晕、头痛、恶心，严重者可引起油脂性肺炎。慢接触者，暴露部位可发生油性痤疮和接触性皮炎。可引起神经衰弱综合征，呼吸道和眼刺激症状及慢性油脂性肺炎。有资料报道，接触石油润滑油类的工人，有致癌的病例报告</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68" w:hRule="atLeast"/>
        </w:trPr>
        <w:tc>
          <w:tcPr>
            <w:tcW w:w="574" w:type="pct"/>
            <w:vAlign w:val="center"/>
          </w:tcPr>
          <w:p>
            <w:pPr>
              <w:pStyle w:val="83"/>
              <w:rPr>
                <w:b/>
              </w:rPr>
            </w:pPr>
            <w:r>
              <w:rPr>
                <w:rFonts w:hAnsi="宋体"/>
                <w:b/>
              </w:rPr>
              <w:t>急</w:t>
            </w:r>
          </w:p>
          <w:p>
            <w:pPr>
              <w:pStyle w:val="83"/>
              <w:rPr>
                <w:b/>
              </w:rPr>
            </w:pPr>
          </w:p>
          <w:p>
            <w:pPr>
              <w:pStyle w:val="83"/>
              <w:rPr>
                <w:b/>
              </w:rPr>
            </w:pPr>
            <w:r>
              <w:rPr>
                <w:rFonts w:hAnsi="宋体"/>
                <w:b/>
              </w:rPr>
              <w:t>救</w:t>
            </w:r>
          </w:p>
        </w:tc>
        <w:tc>
          <w:tcPr>
            <w:tcW w:w="4425" w:type="pct"/>
            <w:gridSpan w:val="5"/>
            <w:vAlign w:val="center"/>
          </w:tcPr>
          <w:p>
            <w:pPr>
              <w:pStyle w:val="83"/>
              <w:jc w:val="left"/>
            </w:pPr>
            <w:r>
              <w:rPr>
                <w:rFonts w:hAnsi="宋体"/>
              </w:rPr>
              <w:t>皮肤接触：</w:t>
            </w:r>
            <w:r>
              <w:rPr>
                <w:rFonts w:hint="eastAsia" w:hAnsi="宋体"/>
              </w:rPr>
              <w:t>脱去污染的衣着，用大量流动清水冲洗。就医</w:t>
            </w:r>
            <w:r>
              <w:rPr>
                <w:rFonts w:hAnsi="宋体"/>
              </w:rPr>
              <w:t>。</w:t>
            </w:r>
          </w:p>
          <w:p>
            <w:pPr>
              <w:pStyle w:val="83"/>
              <w:jc w:val="left"/>
              <w:rPr>
                <w:rFonts w:hAnsi="宋体"/>
              </w:rPr>
            </w:pPr>
            <w:r>
              <w:rPr>
                <w:rFonts w:hAnsi="宋体"/>
              </w:rPr>
              <w:t>眼睛接触：</w:t>
            </w:r>
            <w:r>
              <w:rPr>
                <w:rFonts w:hint="eastAsia" w:hAnsi="宋体"/>
              </w:rPr>
              <w:t>提起眼睑，用流动清水或生理盐水冲洗。就医。</w:t>
            </w:r>
          </w:p>
          <w:p>
            <w:pPr>
              <w:pStyle w:val="83"/>
              <w:jc w:val="left"/>
            </w:pPr>
            <w:r>
              <w:rPr>
                <w:rFonts w:hAnsi="宋体"/>
              </w:rPr>
              <w:t>吸入：</w:t>
            </w:r>
            <w:r>
              <w:rPr>
                <w:rFonts w:hint="eastAsia" w:hAnsi="宋体"/>
              </w:rPr>
              <w:t>迅速脱离现场至空气新鲜处。保持呼吸道通畅。如呼吸困难，给输氧。如呼吸停止，立即进行人工呼吸。就医</w:t>
            </w:r>
            <w:r>
              <w:rPr>
                <w:rFonts w:hAnsi="宋体"/>
              </w:rPr>
              <w:t>。</w:t>
            </w:r>
          </w:p>
          <w:p>
            <w:pPr>
              <w:pStyle w:val="83"/>
              <w:jc w:val="left"/>
            </w:pPr>
            <w:r>
              <w:rPr>
                <w:rFonts w:hAnsi="宋体"/>
              </w:rPr>
              <w:t>食入：</w:t>
            </w:r>
            <w:r>
              <w:rPr>
                <w:rFonts w:hint="eastAsia" w:hAnsi="宋体"/>
              </w:rPr>
              <w:t>饮足量温水，催吐。就医</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12" w:hRule="atLeast"/>
        </w:trPr>
        <w:tc>
          <w:tcPr>
            <w:tcW w:w="574" w:type="pct"/>
            <w:vAlign w:val="center"/>
          </w:tcPr>
          <w:p>
            <w:pPr>
              <w:pStyle w:val="83"/>
              <w:rPr>
                <w:b/>
              </w:rPr>
            </w:pPr>
            <w:r>
              <w:rPr>
                <w:rFonts w:hAnsi="宋体"/>
                <w:b/>
              </w:rPr>
              <w:t>防</w:t>
            </w:r>
          </w:p>
          <w:p>
            <w:pPr>
              <w:pStyle w:val="83"/>
              <w:rPr>
                <w:b/>
              </w:rPr>
            </w:pPr>
            <w:r>
              <w:rPr>
                <w:rFonts w:hAnsi="宋体"/>
                <w:b/>
              </w:rPr>
              <w:t>护</w:t>
            </w:r>
          </w:p>
          <w:p>
            <w:pPr>
              <w:pStyle w:val="83"/>
              <w:rPr>
                <w:b/>
              </w:rPr>
            </w:pPr>
            <w:r>
              <w:rPr>
                <w:rFonts w:hAnsi="宋体"/>
                <w:b/>
              </w:rPr>
              <w:t>措</w:t>
            </w:r>
          </w:p>
          <w:p>
            <w:pPr>
              <w:pStyle w:val="83"/>
              <w:rPr>
                <w:b/>
              </w:rPr>
            </w:pPr>
            <w:r>
              <w:rPr>
                <w:rFonts w:hAnsi="宋体"/>
                <w:b/>
              </w:rPr>
              <w:t>施</w:t>
            </w:r>
          </w:p>
        </w:tc>
        <w:tc>
          <w:tcPr>
            <w:tcW w:w="4425" w:type="pct"/>
            <w:gridSpan w:val="5"/>
            <w:vAlign w:val="center"/>
          </w:tcPr>
          <w:p>
            <w:pPr>
              <w:pStyle w:val="83"/>
              <w:jc w:val="left"/>
              <w:rPr>
                <w:rFonts w:hAnsi="宋体"/>
              </w:rPr>
            </w:pPr>
            <w:r>
              <w:rPr>
                <w:rFonts w:hAnsi="宋体"/>
              </w:rPr>
              <w:t>工程控制：密闭操作，注意通风。</w:t>
            </w:r>
          </w:p>
          <w:p>
            <w:pPr>
              <w:pStyle w:val="83"/>
              <w:jc w:val="left"/>
              <w:rPr>
                <w:rFonts w:hAnsi="宋体"/>
              </w:rPr>
            </w:pPr>
            <w:r>
              <w:rPr>
                <w:rFonts w:hAnsi="宋体"/>
              </w:rPr>
              <w:t>呼吸系统防护：</w:t>
            </w:r>
            <w:r>
              <w:rPr>
                <w:rFonts w:hint="eastAsia" w:hAnsi="宋体"/>
              </w:rPr>
              <w:t>空气中浓度超标时，必须佩戴自吸过滤式防毒面具（半面罩）。紧急事态抢救或撤离时，应该佩戴空气呼吸器</w:t>
            </w:r>
            <w:r>
              <w:rPr>
                <w:rFonts w:hAnsi="宋体"/>
              </w:rPr>
              <w:t>。</w:t>
            </w:r>
            <w:r>
              <w:br w:type="textWrapping"/>
            </w:r>
            <w:r>
              <w:rPr>
                <w:rFonts w:hAnsi="宋体"/>
              </w:rPr>
              <w:t>眼睛防护：戴化学安全防护眼镜。</w:t>
            </w:r>
            <w:r>
              <w:br w:type="textWrapping"/>
            </w:r>
            <w:r>
              <w:rPr>
                <w:rFonts w:hAnsi="宋体"/>
              </w:rPr>
              <w:t>身体防护：穿</w:t>
            </w:r>
            <w:r>
              <w:rPr>
                <w:rFonts w:hint="eastAsia" w:hAnsi="宋体"/>
              </w:rPr>
              <w:t>防毒物渗透工作</w:t>
            </w:r>
            <w:r>
              <w:rPr>
                <w:rFonts w:hAnsi="宋体"/>
              </w:rPr>
              <w:t>服。</w:t>
            </w:r>
            <w:r>
              <w:br w:type="textWrapping"/>
            </w:r>
            <w:r>
              <w:rPr>
                <w:rFonts w:hAnsi="宋体"/>
              </w:rPr>
              <w:t>手防护：戴橡胶耐</w:t>
            </w:r>
            <w:r>
              <w:rPr>
                <w:rFonts w:hint="eastAsia" w:hAnsi="宋体"/>
              </w:rPr>
              <w:t>油</w:t>
            </w:r>
            <w:r>
              <w:rPr>
                <w:rFonts w:hAnsi="宋体"/>
              </w:rPr>
              <w:t>手套。</w:t>
            </w:r>
          </w:p>
          <w:p>
            <w:pPr>
              <w:pStyle w:val="83"/>
              <w:jc w:val="left"/>
            </w:pPr>
            <w:r>
              <w:rPr>
                <w:rFonts w:hAnsi="宋体"/>
                <w:highlight w:val="none"/>
              </w:rPr>
              <w:t>其它</w:t>
            </w:r>
            <w:r>
              <w:rPr>
                <w:rFonts w:hAnsi="宋体"/>
              </w:rPr>
              <w:t>：</w:t>
            </w:r>
            <w:r>
              <w:rPr>
                <w:rFonts w:hint="eastAsia" w:hAnsi="宋体"/>
              </w:rPr>
              <w:t>工作现场严禁吸烟。避免长期反复接触</w:t>
            </w:r>
            <w:r>
              <w:rPr>
                <w:rFonts w:hAnsi="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2" w:hRule="atLeast"/>
        </w:trPr>
        <w:tc>
          <w:tcPr>
            <w:tcW w:w="574" w:type="pct"/>
            <w:vAlign w:val="center"/>
          </w:tcPr>
          <w:p>
            <w:pPr>
              <w:pStyle w:val="83"/>
              <w:rPr>
                <w:b/>
              </w:rPr>
            </w:pPr>
            <w:r>
              <w:rPr>
                <w:rFonts w:hAnsi="宋体"/>
                <w:b/>
              </w:rPr>
              <w:t>泄</w:t>
            </w:r>
          </w:p>
          <w:p>
            <w:pPr>
              <w:pStyle w:val="83"/>
              <w:rPr>
                <w:b/>
              </w:rPr>
            </w:pPr>
            <w:r>
              <w:rPr>
                <w:rFonts w:hAnsi="宋体"/>
                <w:b/>
              </w:rPr>
              <w:t>漏</w:t>
            </w:r>
          </w:p>
          <w:p>
            <w:pPr>
              <w:pStyle w:val="83"/>
              <w:rPr>
                <w:b/>
              </w:rPr>
            </w:pPr>
            <w:r>
              <w:rPr>
                <w:rFonts w:hAnsi="宋体"/>
                <w:b/>
              </w:rPr>
              <w:t>处</w:t>
            </w:r>
          </w:p>
          <w:p>
            <w:pPr>
              <w:pStyle w:val="83"/>
              <w:rPr>
                <w:b/>
              </w:rPr>
            </w:pPr>
            <w:r>
              <w:rPr>
                <w:rFonts w:hAnsi="宋体"/>
                <w:b/>
              </w:rPr>
              <w:t>置</w:t>
            </w:r>
          </w:p>
        </w:tc>
        <w:tc>
          <w:tcPr>
            <w:tcW w:w="4425" w:type="pct"/>
            <w:gridSpan w:val="5"/>
            <w:vAlign w:val="center"/>
          </w:tcPr>
          <w:p>
            <w:pPr>
              <w:pStyle w:val="83"/>
              <w:jc w:val="left"/>
            </w:pPr>
            <w:r>
              <w:rPr>
                <w:rFonts w:hAnsi="宋体"/>
              </w:rPr>
              <w:t>迅速撤离泄漏污染区人员至安全区，</w:t>
            </w:r>
            <w:r>
              <w:rPr>
                <w:rFonts w:hint="eastAsia" w:hAnsi="宋体"/>
              </w:rPr>
              <w:t>并进行隔离，严格限制出入。切断火源</w:t>
            </w:r>
            <w:r>
              <w:rPr>
                <w:rFonts w:hAnsi="宋体"/>
              </w:rPr>
              <w:t>。</w:t>
            </w:r>
            <w:r>
              <w:rPr>
                <w:rFonts w:hint="eastAsia" w:hAnsi="宋体"/>
              </w:rPr>
              <w:t>建议应急处理人员戴空气呼吸器，穿防毒服。尽可能切断泄漏源。防止流入下水道、排洪沟等限制性空间。小量泄漏：用</w:t>
            </w:r>
            <w:r>
              <w:rPr>
                <w:rFonts w:hint="eastAsia" w:hAnsi="宋体"/>
                <w:highlight w:val="none"/>
                <w:lang w:val="en-US" w:eastAsia="zh-CN"/>
              </w:rPr>
              <w:t>沙</w:t>
            </w:r>
            <w:r>
              <w:rPr>
                <w:rFonts w:hint="eastAsia" w:hAnsi="宋体"/>
                <w:highlight w:val="none"/>
              </w:rPr>
              <w:t>土</w:t>
            </w:r>
            <w:r>
              <w:rPr>
                <w:rFonts w:hint="eastAsia" w:hAnsi="宋体"/>
              </w:rPr>
              <w:t>或其他不燃材料吸附或吸收。大量泄漏：构筑围堤或挖坑收容。用泵转移至槽车或专用</w:t>
            </w:r>
            <w:r>
              <w:rPr>
                <w:rFonts w:hint="eastAsia"/>
              </w:rPr>
              <w:t>运至废物处理所处置。</w:t>
            </w:r>
          </w:p>
        </w:tc>
      </w:tr>
    </w:tbl>
    <w:p>
      <w:pPr>
        <w:pStyle w:val="6"/>
        <w:bidi w:val="0"/>
      </w:pPr>
      <w:bookmarkStart w:id="306" w:name="_Toc29976"/>
      <w:bookmarkStart w:id="307" w:name="_Toc37600060"/>
      <w:bookmarkStart w:id="308" w:name="_Toc1421"/>
      <w:bookmarkStart w:id="309" w:name="_Toc27349"/>
      <w:r>
        <w:t>3.</w:t>
      </w:r>
      <w:r>
        <w:rPr>
          <w:rFonts w:hint="eastAsia"/>
        </w:rPr>
        <w:t>7.</w:t>
      </w:r>
      <w:r>
        <w:rPr>
          <w:rFonts w:hint="eastAsia"/>
          <w:lang w:val="en-US" w:eastAsia="zh-CN"/>
        </w:rPr>
        <w:t>3</w:t>
      </w:r>
      <w:r>
        <w:t xml:space="preserve"> </w:t>
      </w:r>
      <w:r>
        <w:rPr>
          <w:rFonts w:hint="eastAsia"/>
        </w:rPr>
        <w:t>厂区可能发生的环境事件</w:t>
      </w:r>
      <w:bookmarkEnd w:id="306"/>
      <w:bookmarkEnd w:id="307"/>
      <w:bookmarkEnd w:id="308"/>
      <w:bookmarkEnd w:id="309"/>
    </w:p>
    <w:p>
      <w:pPr>
        <w:pStyle w:val="90"/>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rPr>
          <w:rFonts w:hint="eastAsia"/>
        </w:rPr>
        <w:t>通过对企业风险物质及风险装置</w:t>
      </w:r>
      <w:r>
        <w:rPr>
          <w:rFonts w:hint="eastAsia"/>
          <w:highlight w:val="none"/>
        </w:rPr>
        <w:t>的风险</w:t>
      </w:r>
      <w:r>
        <w:rPr>
          <w:rFonts w:hint="eastAsia"/>
        </w:rPr>
        <w:t>识别，存在的发生突发性环境污染事件威胁的潜在事件类型可以概括为以下：储运风险物质的泄漏、火灾、爆炸影响。根据风险识别从物质风险性、生产装置情况、防控措施综合分析确定事故情景，企业环境事件情景分析见表3.6</w:t>
      </w:r>
      <w:r>
        <w:rPr>
          <w:rFonts w:hint="eastAsia"/>
          <w:lang w:val="en-US" w:eastAsia="zh-CN"/>
        </w:rPr>
        <w:t>.3</w:t>
      </w:r>
      <w:r>
        <w:rPr>
          <w:rFonts w:hint="eastAsia"/>
        </w:rPr>
        <w:t>-1。</w:t>
      </w:r>
    </w:p>
    <w:p>
      <w:pPr>
        <w:pStyle w:val="4"/>
        <w:bidi w:val="0"/>
      </w:pPr>
      <w:bookmarkStart w:id="310" w:name="_Toc37600061"/>
      <w:bookmarkStart w:id="311" w:name="_Toc12565"/>
      <w:bookmarkStart w:id="312" w:name="_Toc22474"/>
      <w:bookmarkStart w:id="313" w:name="_Toc25755"/>
      <w:bookmarkStart w:id="314" w:name="_Toc31551_WPSOffice_Level1"/>
      <w:bookmarkStart w:id="315" w:name="_Toc18136"/>
      <w:bookmarkStart w:id="316" w:name="_Toc7233"/>
      <w:r>
        <w:t xml:space="preserve">4 </w:t>
      </w:r>
      <w:r>
        <w:rPr>
          <w:rFonts w:hint="eastAsia"/>
        </w:rPr>
        <w:t>应急组织指挥体系与职责</w:t>
      </w:r>
      <w:bookmarkEnd w:id="310"/>
      <w:bookmarkEnd w:id="311"/>
      <w:bookmarkEnd w:id="312"/>
      <w:bookmarkEnd w:id="313"/>
      <w:bookmarkEnd w:id="314"/>
      <w:bookmarkEnd w:id="315"/>
      <w:bookmarkEnd w:id="316"/>
    </w:p>
    <w:p>
      <w:pPr>
        <w:pStyle w:val="90"/>
        <w:ind w:firstLine="480"/>
        <w:rPr>
          <w:lang w:val="zh-CN"/>
        </w:rPr>
      </w:pPr>
      <w:r>
        <w:rPr>
          <w:lang w:val="zh-CN"/>
        </w:rPr>
        <w:t>按照“预防为主、自救为主、统一指挥、分工负责”的原则，成立突发环境应急事件应急指挥组，统一负责可能发生突发环境事件的应急处置工作。</w:t>
      </w:r>
    </w:p>
    <w:p>
      <w:pPr>
        <w:pStyle w:val="5"/>
        <w:bidi w:val="0"/>
      </w:pPr>
      <w:bookmarkStart w:id="317" w:name="_Toc19485"/>
      <w:bookmarkStart w:id="318" w:name="_Toc10182"/>
      <w:bookmarkStart w:id="319" w:name="_Toc12426"/>
      <w:bookmarkStart w:id="320" w:name="_Toc31825"/>
      <w:bookmarkStart w:id="321" w:name="_Toc463_WPSOffice_Level1"/>
      <w:bookmarkStart w:id="322" w:name="_Toc18352"/>
      <w:bookmarkStart w:id="323" w:name="_Toc37600062"/>
      <w:bookmarkStart w:id="324" w:name="_Toc13275"/>
      <w:r>
        <w:t>4.1</w:t>
      </w:r>
      <w:r>
        <w:rPr>
          <w:rFonts w:hint="eastAsia"/>
          <w:lang w:val="en-US" w:eastAsia="zh-CN"/>
        </w:rPr>
        <w:t xml:space="preserve"> </w:t>
      </w:r>
      <w:r>
        <w:rPr>
          <w:rFonts w:hint="eastAsia"/>
        </w:rPr>
        <w:t>组织机构</w:t>
      </w:r>
      <w:bookmarkEnd w:id="317"/>
      <w:bookmarkEnd w:id="318"/>
      <w:bookmarkEnd w:id="319"/>
      <w:bookmarkEnd w:id="320"/>
      <w:bookmarkEnd w:id="321"/>
      <w:bookmarkEnd w:id="322"/>
      <w:bookmarkEnd w:id="323"/>
      <w:bookmarkEnd w:id="324"/>
    </w:p>
    <w:p>
      <w:pPr>
        <w:pStyle w:val="6"/>
        <w:bidi w:val="0"/>
      </w:pPr>
      <w:bookmarkStart w:id="325" w:name="_Toc37600063"/>
      <w:bookmarkStart w:id="326" w:name="_Toc16321"/>
      <w:bookmarkStart w:id="327" w:name="_Toc9360"/>
      <w:bookmarkStart w:id="328" w:name="_Toc21823"/>
      <w:r>
        <w:t>4.1.1</w:t>
      </w:r>
      <w:r>
        <w:rPr>
          <w:rFonts w:hint="eastAsia"/>
          <w:lang w:val="en-US" w:eastAsia="zh-CN"/>
        </w:rPr>
        <w:t xml:space="preserve"> </w:t>
      </w:r>
      <w:r>
        <w:rPr>
          <w:rFonts w:hint="eastAsia"/>
        </w:rPr>
        <w:t>应急组织体系</w:t>
      </w:r>
      <w:bookmarkEnd w:id="325"/>
      <w:bookmarkEnd w:id="326"/>
      <w:bookmarkEnd w:id="327"/>
      <w:bookmarkEnd w:id="328"/>
    </w:p>
    <w:p>
      <w:pPr>
        <w:pStyle w:val="90"/>
        <w:ind w:firstLine="480"/>
      </w:pPr>
      <w:r>
        <w:rPr>
          <w:rFonts w:hint="eastAsia"/>
        </w:rPr>
        <w:t>公司成立事故应急救援指挥领导队伍，</w:t>
      </w:r>
      <w:r>
        <w:rPr>
          <w:rFonts w:hint="eastAsia"/>
          <w:snapToGrid w:val="0"/>
        </w:rPr>
        <w:t>在</w:t>
      </w:r>
      <w:r>
        <w:rPr>
          <w:rFonts w:hint="eastAsia"/>
        </w:rPr>
        <w:t>应急救援总指挥统一领导下，编为应急抢险组、通讯联络组共</w:t>
      </w:r>
      <w:r>
        <w:t>2</w:t>
      </w:r>
      <w:r>
        <w:rPr>
          <w:rFonts w:hint="eastAsia"/>
        </w:rPr>
        <w:t>个行动小组。</w:t>
      </w:r>
    </w:p>
    <w:p>
      <w:pPr>
        <w:ind w:firstLine="480"/>
        <w:rPr>
          <w:b/>
          <w:bCs/>
        </w:rPr>
      </w:pPr>
      <w:r>
        <mc:AlternateContent>
          <mc:Choice Requires="wpg">
            <w:drawing>
              <wp:anchor distT="0" distB="0" distL="114300" distR="114300" simplePos="0" relativeHeight="251643904" behindDoc="0" locked="0" layoutInCell="1" allowOverlap="1">
                <wp:simplePos x="0" y="0"/>
                <wp:positionH relativeFrom="column">
                  <wp:posOffset>2286635</wp:posOffset>
                </wp:positionH>
                <wp:positionV relativeFrom="paragraph">
                  <wp:posOffset>182245</wp:posOffset>
                </wp:positionV>
                <wp:extent cx="1377950" cy="1906270"/>
                <wp:effectExtent l="5080" t="5080" r="7620" b="12700"/>
                <wp:wrapNone/>
                <wp:docPr id="101" name="组合 101"/>
                <wp:cNvGraphicFramePr/>
                <a:graphic xmlns:a="http://schemas.openxmlformats.org/drawingml/2006/main">
                  <a:graphicData uri="http://schemas.microsoft.com/office/word/2010/wordprocessingGroup">
                    <wpg:wgp>
                      <wpg:cNvGrpSpPr/>
                      <wpg:grpSpPr>
                        <a:xfrm>
                          <a:off x="0" y="0"/>
                          <a:ext cx="1377950" cy="1906270"/>
                          <a:chOff x="3678" y="5612"/>
                          <a:chExt cx="2170" cy="3001"/>
                        </a:xfrm>
                        <a:effectLst/>
                      </wpg:grpSpPr>
                      <wps:wsp>
                        <wps:cNvPr id="94" name="矩形 94"/>
                        <wps:cNvSpPr/>
                        <wps:spPr>
                          <a:xfrm>
                            <a:off x="3678" y="5612"/>
                            <a:ext cx="2170" cy="51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pStyle w:val="11"/>
                                <w:spacing w:after="0"/>
                                <w:jc w:val="center"/>
                                <w:rPr>
                                  <w:rFonts w:cs="Times New Roman"/>
                                </w:rPr>
                              </w:pPr>
                              <w:r>
                                <w:rPr>
                                  <w:rFonts w:hint="eastAsia" w:cs="宋体"/>
                                  <w:sz w:val="24"/>
                                  <w:szCs w:val="24"/>
                                </w:rPr>
                                <w:t>应急救援指挥部</w:t>
                              </w:r>
                            </w:p>
                          </w:txbxContent>
                        </wps:txbx>
                        <wps:bodyPr upright="1"/>
                      </wps:wsp>
                      <wps:wsp>
                        <wps:cNvPr id="95" name="直接连接符 95"/>
                        <wps:cNvCnPr/>
                        <wps:spPr>
                          <a:xfrm flipH="1">
                            <a:off x="4750" y="6134"/>
                            <a:ext cx="0" cy="275"/>
                          </a:xfrm>
                          <a:prstGeom prst="line">
                            <a:avLst/>
                          </a:prstGeom>
                          <a:ln w="9525" cap="flat" cmpd="sng">
                            <a:solidFill>
                              <a:srgbClr val="000000"/>
                            </a:solidFill>
                            <a:prstDash val="solid"/>
                            <a:headEnd type="none" w="med" len="med"/>
                            <a:tailEnd type="none" w="med" len="med"/>
                          </a:ln>
                          <a:effectLst/>
                        </wps:spPr>
                        <wps:bodyPr/>
                      </wps:wsp>
                      <wps:wsp>
                        <wps:cNvPr id="96" name="矩形 96"/>
                        <wps:cNvSpPr/>
                        <wps:spPr>
                          <a:xfrm>
                            <a:off x="3731" y="6738"/>
                            <a:ext cx="480" cy="18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pStyle w:val="11"/>
                                <w:spacing w:after="0"/>
                                <w:jc w:val="left"/>
                                <w:rPr>
                                  <w:rFonts w:cs="Times New Roman"/>
                                </w:rPr>
                              </w:pPr>
                              <w:r>
                                <w:rPr>
                                  <w:rFonts w:hint="eastAsia" w:cs="宋体"/>
                                  <w:sz w:val="24"/>
                                  <w:szCs w:val="24"/>
                                </w:rPr>
                                <w:t>应急抢险组</w:t>
                              </w:r>
                            </w:p>
                          </w:txbxContent>
                        </wps:txbx>
                        <wps:bodyPr upright="1"/>
                      </wps:wsp>
                      <wps:wsp>
                        <wps:cNvPr id="97" name="直接连接符 97"/>
                        <wps:cNvCnPr/>
                        <wps:spPr>
                          <a:xfrm>
                            <a:off x="3988" y="6409"/>
                            <a:ext cx="0" cy="330"/>
                          </a:xfrm>
                          <a:prstGeom prst="line">
                            <a:avLst/>
                          </a:prstGeom>
                          <a:ln w="9525" cap="flat" cmpd="sng">
                            <a:solidFill>
                              <a:srgbClr val="000000"/>
                            </a:solidFill>
                            <a:prstDash val="solid"/>
                            <a:headEnd type="none" w="med" len="med"/>
                            <a:tailEnd type="none" w="med" len="med"/>
                          </a:ln>
                          <a:effectLst/>
                        </wps:spPr>
                        <wps:bodyPr/>
                      </wps:wsp>
                      <wps:wsp>
                        <wps:cNvPr id="98" name="直接连接符 98"/>
                        <wps:cNvCnPr/>
                        <wps:spPr>
                          <a:xfrm flipV="1">
                            <a:off x="3988" y="6394"/>
                            <a:ext cx="1468" cy="15"/>
                          </a:xfrm>
                          <a:prstGeom prst="line">
                            <a:avLst/>
                          </a:prstGeom>
                          <a:ln w="9525" cap="flat" cmpd="sng">
                            <a:solidFill>
                              <a:srgbClr val="000000"/>
                            </a:solidFill>
                            <a:prstDash val="solid"/>
                            <a:headEnd type="none" w="med" len="med"/>
                            <a:tailEnd type="none" w="med" len="med"/>
                          </a:ln>
                          <a:effectLst/>
                        </wps:spPr>
                        <wps:bodyPr/>
                      </wps:wsp>
                      <wps:wsp>
                        <wps:cNvPr id="99" name="矩形 99"/>
                        <wps:cNvSpPr/>
                        <wps:spPr>
                          <a:xfrm>
                            <a:off x="5229" y="6720"/>
                            <a:ext cx="480" cy="189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pStyle w:val="11"/>
                                <w:spacing w:after="0"/>
                                <w:rPr>
                                  <w:rFonts w:cs="Times New Roman"/>
                                  <w:sz w:val="24"/>
                                  <w:szCs w:val="24"/>
                                </w:rPr>
                              </w:pPr>
                              <w:r>
                                <w:rPr>
                                  <w:rFonts w:hint="eastAsia" w:cs="宋体"/>
                                  <w:sz w:val="24"/>
                                  <w:szCs w:val="24"/>
                                </w:rPr>
                                <w:t>通讯联络组</w:t>
                              </w:r>
                            </w:p>
                          </w:txbxContent>
                        </wps:txbx>
                        <wps:bodyPr upright="1"/>
                      </wps:wsp>
                      <wps:wsp>
                        <wps:cNvPr id="100" name="直接连接符 100"/>
                        <wps:cNvCnPr/>
                        <wps:spPr>
                          <a:xfrm>
                            <a:off x="5456" y="6409"/>
                            <a:ext cx="0" cy="312"/>
                          </a:xfrm>
                          <a:prstGeom prst="line">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id="_x0000_s1026" o:spid="_x0000_s1026" o:spt="203" style="position:absolute;left:0pt;margin-left:180.05pt;margin-top:14.35pt;height:150.1pt;width:108.5pt;z-index:251643904;mso-width-relative:page;mso-height-relative:page;" coordorigin="3678,5612" coordsize="2170,3001" o:gfxdata="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">
                <o:lock v:ext="edit" aspectratio="f"/>
                <v:rect id="_x0000_s1026" o:spid="_x0000_s1026" o:spt="1" style="position:absolute;left:3678;top:5612;height:518;width:2170;" fillcolor="#FFFFFF" filled="t" stroked="t" coordsize="21600,21600" o:gfxdata="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3Qby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pStyle w:val="11"/>
                          <w:spacing w:after="0"/>
                          <w:jc w:val="center"/>
                          <w:rPr>
                            <w:rFonts w:cs="Times New Roman"/>
                          </w:rPr>
                        </w:pPr>
                        <w:r>
                          <w:rPr>
                            <w:rFonts w:hint="eastAsia" w:cs="宋体"/>
                            <w:sz w:val="24"/>
                            <w:szCs w:val="24"/>
                          </w:rPr>
                          <w:t>应急救援指挥部</w:t>
                        </w:r>
                      </w:p>
                    </w:txbxContent>
                  </v:textbox>
                </v:rect>
                <v:line id="_x0000_s1026" o:spid="_x0000_s1026" o:spt="20" style="position:absolute;left:4750;top:6134;flip:x;height:275;width:0;" filled="f" stroked="t" coordsize="21600,21600" o:gfxdata="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WTkC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rect id="_x0000_s1026" o:spid="_x0000_s1026" o:spt="1" style="position:absolute;left:3731;top:6738;height:1875;width:480;" fillcolor="#FFFFFF" filled="t" stroked="t" coordsize="21600,21600" o:gfxdata="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OogJ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pPr>
                          <w:pStyle w:val="11"/>
                          <w:spacing w:after="0"/>
                          <w:jc w:val="left"/>
                          <w:rPr>
                            <w:rFonts w:cs="Times New Roman"/>
                          </w:rPr>
                        </w:pPr>
                        <w:r>
                          <w:rPr>
                            <w:rFonts w:hint="eastAsia" w:cs="宋体"/>
                            <w:sz w:val="24"/>
                            <w:szCs w:val="24"/>
                          </w:rPr>
                          <w:t>应急抢险组</w:t>
                        </w:r>
                      </w:p>
                    </w:txbxContent>
                  </v:textbox>
                </v:rect>
                <v:line id="_x0000_s1026" o:spid="_x0000_s1026" o:spt="20" style="position:absolute;left:3988;top:6409;height:330;width:0;" filled="f" stroked="t" coordsize="21600,21600" o:gfxdata="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UGS4a/&#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3988;top:6394;flip:y;height:15;width:1468;" filled="f" stroked="t" coordsize="21600,21600" o:gfxdata="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WX4d6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rect id="_x0000_s1026" o:spid="_x0000_s1026" o:spt="1" style="position:absolute;left:5229;top:6720;height:1894;width:480;" fillcolor="#FFFFFF" filled="t" stroked="t" coordsize="21600,21600" o:gfxdata="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l1tFa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pStyle w:val="11"/>
                          <w:spacing w:after="0"/>
                          <w:rPr>
                            <w:rFonts w:cs="Times New Roman"/>
                            <w:sz w:val="24"/>
                            <w:szCs w:val="24"/>
                          </w:rPr>
                        </w:pPr>
                        <w:r>
                          <w:rPr>
                            <w:rFonts w:hint="eastAsia" w:cs="宋体"/>
                            <w:sz w:val="24"/>
                            <w:szCs w:val="24"/>
                          </w:rPr>
                          <w:t>通讯联络组</w:t>
                        </w:r>
                      </w:p>
                    </w:txbxContent>
                  </v:textbox>
                </v:rect>
                <v:line id="_x0000_s1026" o:spid="_x0000_s1026" o:spt="20" style="position:absolute;left:5456;top:6409;height:312;width:0;" filled="f" stroked="t" coordsize="21600,21600" o:gfxdata="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P2ZJ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w:pict>
          </mc:Fallback>
        </mc:AlternateContent>
      </w:r>
    </w:p>
    <w:p>
      <w:pPr>
        <w:ind w:firstLine="482"/>
        <w:rPr>
          <w:b/>
          <w:bCs/>
        </w:rPr>
      </w:pPr>
    </w:p>
    <w:p>
      <w:pPr>
        <w:ind w:firstLine="482"/>
        <w:rPr>
          <w:b/>
          <w:bCs/>
        </w:rPr>
      </w:pPr>
    </w:p>
    <w:p>
      <w:pPr>
        <w:ind w:firstLine="482"/>
        <w:rPr>
          <w:b/>
          <w:bCs/>
        </w:rPr>
      </w:pPr>
    </w:p>
    <w:p>
      <w:pPr>
        <w:ind w:firstLine="482"/>
        <w:rPr>
          <w:b/>
          <w:bCs/>
        </w:rPr>
      </w:pPr>
    </w:p>
    <w:p>
      <w:pPr>
        <w:ind w:firstLine="482"/>
        <w:rPr>
          <w:b/>
          <w:bCs/>
        </w:rPr>
      </w:pPr>
    </w:p>
    <w:p>
      <w:pPr>
        <w:ind w:firstLine="482"/>
        <w:rPr>
          <w:b/>
          <w:bCs/>
        </w:rPr>
      </w:pPr>
    </w:p>
    <w:p>
      <w:pPr>
        <w:ind w:firstLine="482"/>
        <w:rPr>
          <w:b/>
          <w:bCs/>
        </w:rPr>
      </w:pPr>
    </w:p>
    <w:p>
      <w:pPr>
        <w:ind w:firstLine="482"/>
        <w:rPr>
          <w:b/>
          <w:bCs/>
        </w:rPr>
      </w:pPr>
    </w:p>
    <w:p>
      <w:pPr>
        <w:ind w:firstLine="482"/>
        <w:rPr>
          <w:b/>
          <w:bCs/>
        </w:rPr>
      </w:pPr>
    </w:p>
    <w:p>
      <w:pPr>
        <w:pStyle w:val="90"/>
        <w:bidi w:val="0"/>
        <w:spacing w:line="240" w:lineRule="auto"/>
        <w:jc w:val="center"/>
        <w:rPr>
          <w:rFonts w:hint="eastAsia" w:ascii="黑体" w:hAnsi="黑体" w:eastAsia="黑体" w:cs="黑体"/>
        </w:rPr>
      </w:pPr>
      <w:r>
        <w:rPr>
          <w:rFonts w:hint="eastAsia" w:ascii="黑体" w:hAnsi="黑体" w:eastAsia="黑体" w:cs="黑体"/>
        </w:rPr>
        <w:t>图</w:t>
      </w:r>
      <w:r>
        <w:rPr>
          <w:rFonts w:hint="eastAsia" w:ascii="黑体" w:hAnsi="黑体" w:eastAsia="黑体" w:cs="黑体"/>
          <w:lang w:val="en-US" w:eastAsia="zh-CN"/>
        </w:rPr>
        <w:t>4</w:t>
      </w:r>
      <w:r>
        <w:rPr>
          <w:rFonts w:hint="eastAsia" w:ascii="黑体" w:hAnsi="黑体" w:eastAsia="黑体" w:cs="黑体"/>
        </w:rPr>
        <w:t>.</w:t>
      </w:r>
      <w:r>
        <w:rPr>
          <w:rFonts w:hint="eastAsia" w:ascii="黑体" w:hAnsi="黑体" w:eastAsia="黑体" w:cs="黑体"/>
          <w:lang w:val="en-US" w:eastAsia="zh-CN"/>
        </w:rPr>
        <w:t>1.1-1</w:t>
      </w:r>
      <w:r>
        <w:rPr>
          <w:rFonts w:hint="eastAsia" w:ascii="黑体" w:hAnsi="黑体" w:eastAsia="黑体" w:cs="黑体"/>
        </w:rPr>
        <w:t xml:space="preserve"> 应急组织机构图</w:t>
      </w:r>
    </w:p>
    <w:p>
      <w:pPr>
        <w:pStyle w:val="6"/>
        <w:bidi w:val="0"/>
      </w:pPr>
      <w:bookmarkStart w:id="329" w:name="_Toc386980280"/>
      <w:bookmarkStart w:id="330" w:name="_Toc391374694"/>
      <w:bookmarkStart w:id="331" w:name="_Toc387409135"/>
      <w:bookmarkStart w:id="332" w:name="_Toc7368"/>
      <w:bookmarkStart w:id="333" w:name="_Toc390869073"/>
      <w:bookmarkStart w:id="334" w:name="_Toc386210777"/>
      <w:bookmarkStart w:id="335" w:name="_Toc390868906"/>
      <w:bookmarkStart w:id="336" w:name="_Toc28211"/>
      <w:bookmarkStart w:id="337" w:name="_Toc37600064"/>
      <w:bookmarkStart w:id="338" w:name="_Toc10534"/>
      <w:r>
        <w:t xml:space="preserve">4.1.2 </w:t>
      </w:r>
      <w:r>
        <w:rPr>
          <w:rFonts w:hint="eastAsia"/>
        </w:rPr>
        <w:t>组织机构成员</w:t>
      </w:r>
      <w:bookmarkEnd w:id="329"/>
      <w:bookmarkEnd w:id="330"/>
      <w:bookmarkEnd w:id="331"/>
      <w:bookmarkEnd w:id="332"/>
      <w:bookmarkEnd w:id="333"/>
      <w:bookmarkEnd w:id="334"/>
      <w:bookmarkEnd w:id="335"/>
      <w:bookmarkEnd w:id="336"/>
      <w:bookmarkEnd w:id="337"/>
      <w:bookmarkEnd w:id="338"/>
    </w:p>
    <w:p>
      <w:pPr>
        <w:pStyle w:val="90"/>
        <w:ind w:firstLine="480"/>
      </w:pPr>
      <w:r>
        <w:rPr>
          <w:rFonts w:hint="eastAsia"/>
        </w:rPr>
        <w:t>应急救援指挥部成员及联系方式见表</w:t>
      </w:r>
      <w:r>
        <w:t>4.1</w:t>
      </w:r>
      <w:r>
        <w:rPr>
          <w:rFonts w:hint="eastAsia"/>
          <w:lang w:val="en-US" w:eastAsia="zh-CN"/>
        </w:rPr>
        <w:t>.2</w:t>
      </w:r>
      <w:r>
        <w:t>-</w:t>
      </w:r>
      <w:r>
        <w:rPr>
          <w:rFonts w:hint="eastAsia"/>
          <w:lang w:val="en-US" w:eastAsia="zh-CN"/>
        </w:rPr>
        <w:t>2</w:t>
      </w:r>
      <w:r>
        <w:rPr>
          <w:rFonts w:hint="eastAsia"/>
        </w:rPr>
        <w:t>，应急专业组成员及联系方式见表</w:t>
      </w:r>
      <w:r>
        <w:t>4.1</w:t>
      </w:r>
      <w:r>
        <w:rPr>
          <w:rFonts w:hint="eastAsia"/>
          <w:lang w:val="en-US" w:eastAsia="zh-CN"/>
        </w:rPr>
        <w:t>.2</w:t>
      </w:r>
      <w:r>
        <w:t>-</w:t>
      </w:r>
      <w:r>
        <w:rPr>
          <w:rFonts w:hint="eastAsia"/>
          <w:lang w:val="en-US" w:eastAsia="zh-CN"/>
        </w:rPr>
        <w:t>3</w:t>
      </w:r>
      <w:r>
        <w:rPr>
          <w:rFonts w:hint="eastAsia"/>
        </w:rPr>
        <w:t>。</w:t>
      </w:r>
    </w:p>
    <w:p>
      <w:pPr>
        <w:pStyle w:val="82"/>
        <w:spacing w:before="163"/>
      </w:pPr>
      <w:r>
        <w:t>表4.1</w:t>
      </w:r>
      <w:r>
        <w:rPr>
          <w:rFonts w:hint="eastAsia"/>
          <w:lang w:val="en-US" w:eastAsia="zh-CN"/>
        </w:rPr>
        <w:t>.2</w:t>
      </w:r>
      <w:r>
        <w:t>-</w:t>
      </w:r>
      <w:r>
        <w:rPr>
          <w:rFonts w:hint="eastAsia"/>
          <w:lang w:val="en-US" w:eastAsia="zh-CN"/>
        </w:rPr>
        <w:t>2</w:t>
      </w:r>
      <w:r>
        <w:t xml:space="preserve"> 应急救援指挥部成员一览表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2340"/>
        <w:gridCol w:w="316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840" w:type="pct"/>
            <w:tcBorders>
              <w:bottom w:val="single" w:color="auto" w:sz="12" w:space="0"/>
            </w:tcBorders>
            <w:vAlign w:val="center"/>
          </w:tcPr>
          <w:p>
            <w:pPr>
              <w:pStyle w:val="83"/>
              <w:rPr>
                <w:b/>
              </w:rPr>
            </w:pPr>
            <w:r>
              <w:rPr>
                <w:b/>
              </w:rPr>
              <w:t>项目</w:t>
            </w:r>
          </w:p>
        </w:tc>
        <w:tc>
          <w:tcPr>
            <w:tcW w:w="1342" w:type="pct"/>
            <w:tcBorders>
              <w:bottom w:val="single" w:color="auto" w:sz="12" w:space="0"/>
            </w:tcBorders>
            <w:vAlign w:val="center"/>
          </w:tcPr>
          <w:p>
            <w:pPr>
              <w:pStyle w:val="83"/>
              <w:rPr>
                <w:b/>
              </w:rPr>
            </w:pPr>
            <w:r>
              <w:rPr>
                <w:b/>
              </w:rPr>
              <w:t>姓名</w:t>
            </w:r>
          </w:p>
        </w:tc>
        <w:tc>
          <w:tcPr>
            <w:tcW w:w="1816" w:type="pct"/>
            <w:tcBorders>
              <w:bottom w:val="single" w:color="auto" w:sz="12" w:space="0"/>
            </w:tcBorders>
            <w:vAlign w:val="center"/>
          </w:tcPr>
          <w:p>
            <w:pPr>
              <w:pStyle w:val="83"/>
              <w:rPr>
                <w:b/>
              </w:rPr>
            </w:pPr>
            <w:r>
              <w:rPr>
                <w:b/>
              </w:rPr>
              <w:t>内线电话和手机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40" w:type="pct"/>
            <w:tcBorders>
              <w:top w:val="single" w:color="auto" w:sz="12" w:space="0"/>
              <w:tl2br w:val="nil"/>
              <w:tr2bl w:val="nil"/>
            </w:tcBorders>
            <w:vAlign w:val="center"/>
          </w:tcPr>
          <w:p>
            <w:pPr>
              <w:pStyle w:val="83"/>
            </w:pPr>
            <w:r>
              <w:t>总指挥</w:t>
            </w:r>
          </w:p>
        </w:tc>
        <w:tc>
          <w:tcPr>
            <w:tcW w:w="1342" w:type="pct"/>
            <w:tcBorders>
              <w:top w:val="single" w:color="auto" w:sz="12" w:space="0"/>
              <w:tl2br w:val="nil"/>
              <w:tr2bl w:val="nil"/>
            </w:tcBorders>
            <w:vAlign w:val="center"/>
          </w:tcPr>
          <w:p>
            <w:pPr>
              <w:pStyle w:val="83"/>
              <w:rPr>
                <w:color w:val="000000" w:themeColor="text1"/>
                <w14:textFill>
                  <w14:solidFill>
                    <w14:schemeClr w14:val="tx1"/>
                  </w14:solidFill>
                </w14:textFill>
              </w:rPr>
            </w:pPr>
            <w:r>
              <w:rPr>
                <w:color w:val="000000" w:themeColor="text1"/>
                <w14:textFill>
                  <w14:solidFill>
                    <w14:schemeClr w14:val="tx1"/>
                  </w14:solidFill>
                </w14:textFill>
              </w:rPr>
              <w:t>秦俭</w:t>
            </w:r>
          </w:p>
        </w:tc>
        <w:tc>
          <w:tcPr>
            <w:tcW w:w="1816" w:type="pct"/>
            <w:tcBorders>
              <w:top w:val="single" w:color="auto" w:sz="12" w:space="0"/>
              <w:tl2br w:val="nil"/>
              <w:tr2bl w:val="nil"/>
            </w:tcBorders>
            <w:vAlign w:val="center"/>
          </w:tcPr>
          <w:p>
            <w:pPr>
              <w:pStyle w:val="83"/>
              <w:rPr>
                <w:color w:val="000000" w:themeColor="text1"/>
                <w14:textFill>
                  <w14:solidFill>
                    <w14:schemeClr w14:val="tx1"/>
                  </w14:solidFill>
                </w14:textFill>
              </w:rPr>
            </w:pPr>
            <w:r>
              <w:rPr>
                <w:rFonts w:hint="eastAsia"/>
                <w:color w:val="000000" w:themeColor="text1"/>
                <w14:textFill>
                  <w14:solidFill>
                    <w14:schemeClr w14:val="tx1"/>
                  </w14:solidFill>
                </w14:textFill>
              </w:rPr>
              <w:t>13501660667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40" w:type="pct"/>
            <w:tcBorders>
              <w:tl2br w:val="nil"/>
              <w:tr2bl w:val="nil"/>
            </w:tcBorders>
            <w:vAlign w:val="center"/>
          </w:tcPr>
          <w:p>
            <w:pPr>
              <w:pStyle w:val="83"/>
            </w:pPr>
            <w:r>
              <w:t>副总指挥</w:t>
            </w:r>
          </w:p>
        </w:tc>
        <w:tc>
          <w:tcPr>
            <w:tcW w:w="1342" w:type="pct"/>
            <w:tcBorders>
              <w:tl2br w:val="nil"/>
              <w:tr2bl w:val="nil"/>
            </w:tcBorders>
            <w:vAlign w:val="center"/>
          </w:tcPr>
          <w:p>
            <w:pPr>
              <w:pStyle w:val="83"/>
              <w:rPr>
                <w:color w:val="000000" w:themeColor="text1"/>
                <w14:textFill>
                  <w14:solidFill>
                    <w14:schemeClr w14:val="tx1"/>
                  </w14:solidFill>
                </w14:textFill>
              </w:rPr>
            </w:pPr>
            <w:r>
              <w:rPr>
                <w:rFonts w:hint="eastAsia"/>
                <w:color w:val="000000" w:themeColor="text1"/>
                <w14:textFill>
                  <w14:solidFill>
                    <w14:schemeClr w14:val="tx1"/>
                  </w14:solidFill>
                </w14:textFill>
              </w:rPr>
              <w:t>王永平</w:t>
            </w:r>
          </w:p>
        </w:tc>
        <w:tc>
          <w:tcPr>
            <w:tcW w:w="1816" w:type="pct"/>
            <w:tcBorders>
              <w:tl2br w:val="nil"/>
              <w:tr2bl w:val="nil"/>
            </w:tcBorders>
            <w:vAlign w:val="center"/>
          </w:tcPr>
          <w:p>
            <w:pPr>
              <w:pStyle w:val="83"/>
              <w:rPr>
                <w:color w:val="000000" w:themeColor="text1"/>
                <w14:textFill>
                  <w14:solidFill>
                    <w14:schemeClr w14:val="tx1"/>
                  </w14:solidFill>
                </w14:textFill>
              </w:rPr>
            </w:pPr>
            <w:r>
              <w:rPr>
                <w:rFonts w:hint="eastAsia"/>
                <w:color w:val="000000" w:themeColor="text1"/>
                <w14:textFill>
                  <w14:solidFill>
                    <w14:schemeClr w14:val="tx1"/>
                  </w14:solidFill>
                </w14:textFill>
              </w:rPr>
              <w:t>18779151631</w:t>
            </w:r>
          </w:p>
        </w:tc>
      </w:tr>
    </w:tbl>
    <w:p>
      <w:pPr>
        <w:pStyle w:val="82"/>
        <w:spacing w:before="163"/>
      </w:pPr>
      <w:r>
        <w:t>表4.1</w:t>
      </w:r>
      <w:r>
        <w:rPr>
          <w:rFonts w:hint="eastAsia"/>
          <w:lang w:val="en-US" w:eastAsia="zh-CN"/>
        </w:rPr>
        <w:t>.2</w:t>
      </w:r>
      <w:r>
        <w:t>-</w:t>
      </w:r>
      <w:r>
        <w:rPr>
          <w:rFonts w:hint="eastAsia"/>
          <w:lang w:val="en-US" w:eastAsia="zh-CN"/>
        </w:rPr>
        <w:t>3</w:t>
      </w:r>
      <w:r>
        <w:t xml:space="preserve"> 应急专业组成员一览表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1123"/>
        <w:gridCol w:w="1093"/>
        <w:gridCol w:w="1607"/>
        <w:gridCol w:w="1715"/>
        <w:gridCol w:w="180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789" w:type="pct"/>
            <w:tcBorders>
              <w:bottom w:val="single" w:color="auto" w:sz="12" w:space="0"/>
            </w:tcBorders>
            <w:vAlign w:val="center"/>
          </w:tcPr>
          <w:p>
            <w:pPr>
              <w:pStyle w:val="83"/>
              <w:rPr>
                <w:b/>
              </w:rPr>
            </w:pPr>
            <w:r>
              <w:rPr>
                <w:b/>
              </w:rPr>
              <w:t>专业组名称</w:t>
            </w:r>
          </w:p>
        </w:tc>
        <w:tc>
          <w:tcPr>
            <w:tcW w:w="644" w:type="pct"/>
            <w:tcBorders>
              <w:bottom w:val="single" w:color="auto" w:sz="12" w:space="0"/>
            </w:tcBorders>
            <w:vAlign w:val="center"/>
          </w:tcPr>
          <w:p>
            <w:pPr>
              <w:pStyle w:val="83"/>
              <w:rPr>
                <w:b/>
              </w:rPr>
            </w:pPr>
            <w:r>
              <w:rPr>
                <w:b/>
              </w:rPr>
              <w:t>专业组中职务</w:t>
            </w:r>
          </w:p>
        </w:tc>
        <w:tc>
          <w:tcPr>
            <w:tcW w:w="627" w:type="pct"/>
            <w:tcBorders>
              <w:bottom w:val="single" w:color="auto" w:sz="12" w:space="0"/>
            </w:tcBorders>
            <w:vAlign w:val="center"/>
          </w:tcPr>
          <w:p>
            <w:pPr>
              <w:pStyle w:val="83"/>
              <w:rPr>
                <w:b/>
              </w:rPr>
            </w:pPr>
            <w:r>
              <w:rPr>
                <w:b/>
              </w:rPr>
              <w:t>名字</w:t>
            </w:r>
          </w:p>
        </w:tc>
        <w:tc>
          <w:tcPr>
            <w:tcW w:w="922" w:type="pct"/>
            <w:tcBorders>
              <w:bottom w:val="single" w:color="auto" w:sz="12" w:space="0"/>
            </w:tcBorders>
            <w:vAlign w:val="center"/>
          </w:tcPr>
          <w:p>
            <w:pPr>
              <w:pStyle w:val="83"/>
              <w:rPr>
                <w:b/>
              </w:rPr>
            </w:pPr>
            <w:r>
              <w:rPr>
                <w:b/>
              </w:rPr>
              <w:t>手机</w:t>
            </w:r>
          </w:p>
        </w:tc>
        <w:tc>
          <w:tcPr>
            <w:tcW w:w="984" w:type="pct"/>
            <w:tcBorders>
              <w:bottom w:val="single" w:color="auto" w:sz="12" w:space="0"/>
            </w:tcBorders>
            <w:vAlign w:val="center"/>
          </w:tcPr>
          <w:p>
            <w:pPr>
              <w:pStyle w:val="83"/>
              <w:rPr>
                <w:b/>
              </w:rPr>
            </w:pPr>
            <w:r>
              <w:rPr>
                <w:b/>
              </w:rPr>
              <w:t>专业组组成人员</w:t>
            </w:r>
          </w:p>
        </w:tc>
        <w:tc>
          <w:tcPr>
            <w:tcW w:w="1032" w:type="pct"/>
            <w:tcBorders>
              <w:bottom w:val="single" w:color="auto" w:sz="12" w:space="0"/>
            </w:tcBorders>
            <w:vAlign w:val="center"/>
          </w:tcPr>
          <w:p>
            <w:pPr>
              <w:pStyle w:val="83"/>
              <w:rPr>
                <w:b/>
              </w:rPr>
            </w:pPr>
            <w:r>
              <w:rPr>
                <w:rFonts w:hint="eastAsia"/>
                <w:b/>
              </w:rPr>
              <w:t>联系方式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789" w:type="pct"/>
            <w:vMerge w:val="restart"/>
            <w:tcBorders>
              <w:top w:val="single" w:color="auto" w:sz="12" w:space="0"/>
              <w:tl2br w:val="nil"/>
              <w:tr2bl w:val="nil"/>
            </w:tcBorders>
            <w:vAlign w:val="center"/>
          </w:tcPr>
          <w:p>
            <w:pPr>
              <w:pStyle w:val="83"/>
            </w:pPr>
            <w:r>
              <w:t>应急抢险组</w:t>
            </w:r>
          </w:p>
        </w:tc>
        <w:tc>
          <w:tcPr>
            <w:tcW w:w="644" w:type="pct"/>
            <w:vMerge w:val="restart"/>
            <w:tcBorders>
              <w:top w:val="single" w:color="auto" w:sz="12" w:space="0"/>
              <w:tl2br w:val="nil"/>
              <w:tr2bl w:val="nil"/>
            </w:tcBorders>
            <w:vAlign w:val="center"/>
          </w:tcPr>
          <w:p>
            <w:pPr>
              <w:pStyle w:val="83"/>
            </w:pPr>
            <w:r>
              <w:t>负责人</w:t>
            </w:r>
          </w:p>
        </w:tc>
        <w:tc>
          <w:tcPr>
            <w:tcW w:w="627" w:type="pct"/>
            <w:vMerge w:val="restart"/>
            <w:tcBorders>
              <w:top w:val="single" w:color="auto" w:sz="12" w:space="0"/>
              <w:tl2br w:val="nil"/>
              <w:tr2bl w:val="nil"/>
            </w:tcBorders>
            <w:vAlign w:val="center"/>
          </w:tcPr>
          <w:p>
            <w:pPr>
              <w:pStyle w:val="83"/>
            </w:pPr>
            <w:r>
              <w:rPr>
                <w:rFonts w:hint="eastAsia"/>
              </w:rPr>
              <w:t>孟凡伦</w:t>
            </w:r>
          </w:p>
        </w:tc>
        <w:tc>
          <w:tcPr>
            <w:tcW w:w="922" w:type="pct"/>
            <w:vMerge w:val="restart"/>
            <w:tcBorders>
              <w:top w:val="single" w:color="auto" w:sz="12" w:space="0"/>
              <w:tl2br w:val="nil"/>
              <w:tr2bl w:val="nil"/>
            </w:tcBorders>
            <w:vAlign w:val="center"/>
          </w:tcPr>
          <w:p>
            <w:pPr>
              <w:pStyle w:val="83"/>
            </w:pPr>
            <w:r>
              <w:rPr>
                <w:rFonts w:hint="eastAsia"/>
              </w:rPr>
              <w:t>17321026614</w:t>
            </w:r>
          </w:p>
        </w:tc>
        <w:tc>
          <w:tcPr>
            <w:tcW w:w="984" w:type="pct"/>
            <w:tcBorders>
              <w:top w:val="single" w:color="auto" w:sz="12" w:space="0"/>
              <w:tl2br w:val="nil"/>
              <w:tr2bl w:val="nil"/>
            </w:tcBorders>
            <w:vAlign w:val="center"/>
          </w:tcPr>
          <w:p>
            <w:pPr>
              <w:pStyle w:val="83"/>
            </w:pPr>
            <w:r>
              <w:t>丰绿云</w:t>
            </w:r>
          </w:p>
        </w:tc>
        <w:tc>
          <w:tcPr>
            <w:tcW w:w="1032" w:type="pct"/>
            <w:tcBorders>
              <w:top w:val="single" w:color="auto" w:sz="12" w:space="0"/>
              <w:tl2br w:val="nil"/>
              <w:tr2bl w:val="nil"/>
            </w:tcBorders>
            <w:vAlign w:val="center"/>
          </w:tcPr>
          <w:p>
            <w:pPr>
              <w:pStyle w:val="83"/>
            </w:pPr>
            <w:r>
              <w:rPr>
                <w:rFonts w:hint="eastAsia"/>
              </w:rPr>
              <w:t>15807004889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789" w:type="pct"/>
            <w:vMerge w:val="continue"/>
            <w:tcBorders>
              <w:tl2br w:val="nil"/>
              <w:tr2bl w:val="nil"/>
            </w:tcBorders>
            <w:vAlign w:val="center"/>
          </w:tcPr>
          <w:p>
            <w:pPr>
              <w:pStyle w:val="83"/>
            </w:pPr>
          </w:p>
        </w:tc>
        <w:tc>
          <w:tcPr>
            <w:tcW w:w="644" w:type="pct"/>
            <w:vMerge w:val="continue"/>
            <w:tcBorders>
              <w:tl2br w:val="nil"/>
              <w:tr2bl w:val="nil"/>
            </w:tcBorders>
            <w:vAlign w:val="center"/>
          </w:tcPr>
          <w:p>
            <w:pPr>
              <w:pStyle w:val="83"/>
            </w:pPr>
          </w:p>
        </w:tc>
        <w:tc>
          <w:tcPr>
            <w:tcW w:w="627" w:type="pct"/>
            <w:vMerge w:val="continue"/>
            <w:tcBorders>
              <w:tl2br w:val="nil"/>
              <w:tr2bl w:val="nil"/>
            </w:tcBorders>
            <w:vAlign w:val="center"/>
          </w:tcPr>
          <w:p>
            <w:pPr>
              <w:pStyle w:val="83"/>
            </w:pPr>
          </w:p>
        </w:tc>
        <w:tc>
          <w:tcPr>
            <w:tcW w:w="922" w:type="pct"/>
            <w:vMerge w:val="continue"/>
            <w:tcBorders>
              <w:tl2br w:val="nil"/>
              <w:tr2bl w:val="nil"/>
            </w:tcBorders>
            <w:vAlign w:val="center"/>
          </w:tcPr>
          <w:p>
            <w:pPr>
              <w:pStyle w:val="83"/>
            </w:pPr>
          </w:p>
        </w:tc>
        <w:tc>
          <w:tcPr>
            <w:tcW w:w="984" w:type="pct"/>
            <w:tcBorders>
              <w:tl2br w:val="nil"/>
              <w:tr2bl w:val="nil"/>
            </w:tcBorders>
            <w:vAlign w:val="center"/>
          </w:tcPr>
          <w:p>
            <w:pPr>
              <w:pStyle w:val="83"/>
            </w:pPr>
            <w:r>
              <w:t>李志新</w:t>
            </w:r>
          </w:p>
        </w:tc>
        <w:tc>
          <w:tcPr>
            <w:tcW w:w="1032" w:type="pct"/>
            <w:tcBorders>
              <w:tl2br w:val="nil"/>
              <w:tr2bl w:val="nil"/>
            </w:tcBorders>
            <w:vAlign w:val="center"/>
          </w:tcPr>
          <w:p>
            <w:pPr>
              <w:pStyle w:val="83"/>
            </w:pPr>
            <w:r>
              <w:rPr>
                <w:rFonts w:hint="eastAsia"/>
              </w:rPr>
              <w:t>16650851663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789" w:type="pct"/>
            <w:vMerge w:val="restart"/>
            <w:tcBorders>
              <w:tl2br w:val="nil"/>
              <w:tr2bl w:val="nil"/>
            </w:tcBorders>
            <w:vAlign w:val="center"/>
          </w:tcPr>
          <w:p>
            <w:pPr>
              <w:pStyle w:val="83"/>
            </w:pPr>
            <w:r>
              <w:t>通讯联络组</w:t>
            </w:r>
          </w:p>
        </w:tc>
        <w:tc>
          <w:tcPr>
            <w:tcW w:w="644" w:type="pct"/>
            <w:vMerge w:val="restart"/>
            <w:tcBorders>
              <w:tl2br w:val="nil"/>
              <w:tr2bl w:val="nil"/>
            </w:tcBorders>
            <w:vAlign w:val="center"/>
          </w:tcPr>
          <w:p>
            <w:pPr>
              <w:pStyle w:val="83"/>
            </w:pPr>
            <w:r>
              <w:t>负责人</w:t>
            </w:r>
          </w:p>
        </w:tc>
        <w:tc>
          <w:tcPr>
            <w:tcW w:w="627" w:type="pct"/>
            <w:vMerge w:val="restart"/>
            <w:tcBorders>
              <w:tl2br w:val="nil"/>
              <w:tr2bl w:val="nil"/>
            </w:tcBorders>
            <w:vAlign w:val="center"/>
          </w:tcPr>
          <w:p>
            <w:pPr>
              <w:pStyle w:val="83"/>
            </w:pPr>
            <w:r>
              <w:rPr>
                <w:rFonts w:hint="eastAsia"/>
              </w:rPr>
              <w:t>王永平</w:t>
            </w:r>
          </w:p>
        </w:tc>
        <w:tc>
          <w:tcPr>
            <w:tcW w:w="922" w:type="pct"/>
            <w:vMerge w:val="restart"/>
            <w:tcBorders>
              <w:tl2br w:val="nil"/>
              <w:tr2bl w:val="nil"/>
            </w:tcBorders>
            <w:vAlign w:val="center"/>
          </w:tcPr>
          <w:p>
            <w:pPr>
              <w:pStyle w:val="83"/>
            </w:pPr>
            <w:r>
              <w:rPr>
                <w:rFonts w:hint="eastAsia"/>
              </w:rPr>
              <w:t>18779151631</w:t>
            </w:r>
          </w:p>
        </w:tc>
        <w:tc>
          <w:tcPr>
            <w:tcW w:w="984" w:type="pct"/>
            <w:tcBorders>
              <w:tl2br w:val="nil"/>
              <w:tr2bl w:val="nil"/>
            </w:tcBorders>
            <w:vAlign w:val="center"/>
          </w:tcPr>
          <w:p>
            <w:pPr>
              <w:pStyle w:val="83"/>
            </w:pPr>
            <w:r>
              <w:t>崔永泉</w:t>
            </w:r>
          </w:p>
        </w:tc>
        <w:tc>
          <w:tcPr>
            <w:tcW w:w="1032" w:type="pct"/>
            <w:tcBorders>
              <w:tl2br w:val="nil"/>
              <w:tr2bl w:val="nil"/>
            </w:tcBorders>
            <w:vAlign w:val="center"/>
          </w:tcPr>
          <w:p>
            <w:pPr>
              <w:pStyle w:val="83"/>
            </w:pPr>
            <w:r>
              <w:rPr>
                <w:rFonts w:hint="eastAsia"/>
              </w:rPr>
              <w:t>13576126230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789" w:type="pct"/>
            <w:vMerge w:val="continue"/>
            <w:tcBorders>
              <w:tl2br w:val="nil"/>
              <w:tr2bl w:val="nil"/>
            </w:tcBorders>
            <w:vAlign w:val="center"/>
          </w:tcPr>
          <w:p>
            <w:pPr>
              <w:pStyle w:val="83"/>
            </w:pPr>
          </w:p>
        </w:tc>
        <w:tc>
          <w:tcPr>
            <w:tcW w:w="644" w:type="pct"/>
            <w:vMerge w:val="continue"/>
            <w:tcBorders>
              <w:tl2br w:val="nil"/>
              <w:tr2bl w:val="nil"/>
            </w:tcBorders>
            <w:vAlign w:val="center"/>
          </w:tcPr>
          <w:p>
            <w:pPr>
              <w:pStyle w:val="83"/>
            </w:pPr>
          </w:p>
        </w:tc>
        <w:tc>
          <w:tcPr>
            <w:tcW w:w="627" w:type="pct"/>
            <w:vMerge w:val="continue"/>
            <w:tcBorders>
              <w:tl2br w:val="nil"/>
              <w:tr2bl w:val="nil"/>
            </w:tcBorders>
            <w:vAlign w:val="center"/>
          </w:tcPr>
          <w:p>
            <w:pPr>
              <w:pStyle w:val="83"/>
            </w:pPr>
          </w:p>
        </w:tc>
        <w:tc>
          <w:tcPr>
            <w:tcW w:w="922" w:type="pct"/>
            <w:vMerge w:val="continue"/>
            <w:tcBorders>
              <w:tl2br w:val="nil"/>
              <w:tr2bl w:val="nil"/>
            </w:tcBorders>
            <w:vAlign w:val="center"/>
          </w:tcPr>
          <w:p>
            <w:pPr>
              <w:pStyle w:val="83"/>
            </w:pPr>
          </w:p>
        </w:tc>
        <w:tc>
          <w:tcPr>
            <w:tcW w:w="984" w:type="pct"/>
            <w:tcBorders>
              <w:tl2br w:val="nil"/>
              <w:tr2bl w:val="nil"/>
            </w:tcBorders>
            <w:vAlign w:val="center"/>
          </w:tcPr>
          <w:p>
            <w:pPr>
              <w:pStyle w:val="83"/>
            </w:pPr>
            <w:bookmarkStart w:id="997" w:name="_GoBack"/>
            <w:r>
              <w:t>李亚杰</w:t>
            </w:r>
            <w:bookmarkEnd w:id="997"/>
          </w:p>
        </w:tc>
        <w:tc>
          <w:tcPr>
            <w:tcW w:w="1032" w:type="pct"/>
            <w:tcBorders>
              <w:tl2br w:val="nil"/>
              <w:tr2bl w:val="nil"/>
            </w:tcBorders>
            <w:vAlign w:val="center"/>
          </w:tcPr>
          <w:p>
            <w:pPr>
              <w:pStyle w:val="83"/>
            </w:pPr>
            <w:r>
              <w:rPr>
                <w:rFonts w:hint="eastAsia"/>
              </w:rPr>
              <w:t>13803708972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5000" w:type="pct"/>
            <w:gridSpan w:val="6"/>
            <w:tcBorders>
              <w:tl2br w:val="nil"/>
              <w:tr2bl w:val="nil"/>
            </w:tcBorders>
            <w:vAlign w:val="center"/>
          </w:tcPr>
          <w:p>
            <w:pPr>
              <w:pStyle w:val="83"/>
            </w:pPr>
            <w:r>
              <w:rPr>
                <w:rFonts w:hint="eastAsia"/>
              </w:rPr>
              <w:t>危险废物暂存间管理人及电话：王永平18779151631</w:t>
            </w:r>
          </w:p>
        </w:tc>
      </w:tr>
    </w:tbl>
    <w:p>
      <w:pPr>
        <w:pStyle w:val="90"/>
        <w:ind w:firstLine="480"/>
      </w:pPr>
      <w:r>
        <w:rPr>
          <w:rFonts w:hint="eastAsia"/>
        </w:rPr>
        <w:t>当公司区域发生环境事故启动应急预案时，应立即成立应急救援现场指挥部，负责全公司应急救援工作的组织和指挥。总经理任现场总指挥（以下简称总指挥）。当总指挥或副总指挥不在时，由在场的</w:t>
      </w:r>
      <w:r>
        <w:rPr>
          <w:rFonts w:hint="eastAsia"/>
          <w:snapToGrid w:val="0"/>
        </w:rPr>
        <w:t>现场指挥</w:t>
      </w:r>
      <w:r>
        <w:rPr>
          <w:rFonts w:hint="eastAsia"/>
        </w:rPr>
        <w:t>任副总指挥，全权负责应急救援工作，直到上级人员到达现场后，所有指挥权交于政府领导全权指挥，公司所有人员协助政府部门救援。</w:t>
      </w:r>
    </w:p>
    <w:p>
      <w:pPr>
        <w:pStyle w:val="6"/>
        <w:bidi w:val="0"/>
      </w:pPr>
      <w:bookmarkStart w:id="339" w:name="_Toc9975"/>
      <w:bookmarkStart w:id="340" w:name="_Toc390869074"/>
      <w:bookmarkStart w:id="341" w:name="_Toc387409136"/>
      <w:bookmarkStart w:id="342" w:name="_Toc37600065"/>
      <w:bookmarkStart w:id="343" w:name="_Toc2906"/>
      <w:bookmarkStart w:id="344" w:name="_Toc391374695"/>
      <w:bookmarkStart w:id="345" w:name="_Toc27721"/>
      <w:bookmarkStart w:id="346" w:name="_Toc390868907"/>
      <w:r>
        <w:t xml:space="preserve">4.1.3 </w:t>
      </w:r>
      <w:r>
        <w:rPr>
          <w:rFonts w:hint="eastAsia"/>
        </w:rPr>
        <w:t>相关联络电话</w:t>
      </w:r>
      <w:bookmarkEnd w:id="339"/>
      <w:bookmarkEnd w:id="340"/>
      <w:bookmarkEnd w:id="341"/>
      <w:bookmarkEnd w:id="342"/>
      <w:bookmarkEnd w:id="343"/>
      <w:bookmarkEnd w:id="344"/>
      <w:bookmarkEnd w:id="345"/>
      <w:bookmarkEnd w:id="346"/>
    </w:p>
    <w:tbl>
      <w:tblPr>
        <w:tblStyle w:val="22"/>
        <w:tblW w:w="498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718"/>
        <w:gridCol w:w="3400"/>
        <w:gridCol w:w="258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87" w:hRule="atLeast"/>
          <w:jc w:val="center"/>
        </w:trPr>
        <w:tc>
          <w:tcPr>
            <w:tcW w:w="1562" w:type="pct"/>
            <w:tcBorders>
              <w:bottom w:val="single" w:color="auto" w:sz="12" w:space="0"/>
            </w:tcBorders>
            <w:vAlign w:val="center"/>
          </w:tcPr>
          <w:p>
            <w:pPr>
              <w:pStyle w:val="83"/>
              <w:ind w:firstLine="422"/>
              <w:rPr>
                <w:b/>
                <w:bCs/>
              </w:rPr>
            </w:pPr>
            <w:r>
              <w:rPr>
                <w:rFonts w:hint="eastAsia"/>
                <w:b/>
                <w:bCs/>
              </w:rPr>
              <w:t>应急事故</w:t>
            </w:r>
          </w:p>
        </w:tc>
        <w:tc>
          <w:tcPr>
            <w:tcW w:w="1954" w:type="pct"/>
            <w:tcBorders>
              <w:bottom w:val="single" w:color="auto" w:sz="12" w:space="0"/>
            </w:tcBorders>
            <w:vAlign w:val="center"/>
          </w:tcPr>
          <w:p>
            <w:pPr>
              <w:pStyle w:val="83"/>
              <w:ind w:firstLine="422"/>
              <w:rPr>
                <w:b/>
                <w:bCs/>
              </w:rPr>
            </w:pPr>
            <w:r>
              <w:rPr>
                <w:rFonts w:hint="eastAsia"/>
                <w:b/>
                <w:bCs/>
              </w:rPr>
              <w:t>外部资源</w:t>
            </w:r>
          </w:p>
        </w:tc>
        <w:tc>
          <w:tcPr>
            <w:tcW w:w="1483" w:type="pct"/>
            <w:tcBorders>
              <w:bottom w:val="single" w:color="auto" w:sz="12" w:space="0"/>
            </w:tcBorders>
            <w:vAlign w:val="center"/>
          </w:tcPr>
          <w:p>
            <w:pPr>
              <w:pStyle w:val="83"/>
              <w:ind w:firstLine="422"/>
              <w:rPr>
                <w:b/>
                <w:bCs/>
              </w:rPr>
            </w:pPr>
            <w:r>
              <w:rPr>
                <w:rFonts w:hint="eastAsia"/>
                <w:b/>
                <w:bCs/>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562" w:type="pct"/>
            <w:tcBorders>
              <w:top w:val="single" w:color="auto" w:sz="12" w:space="0"/>
              <w:tl2br w:val="nil"/>
              <w:tr2bl w:val="nil"/>
            </w:tcBorders>
            <w:vAlign w:val="center"/>
          </w:tcPr>
          <w:p>
            <w:pPr>
              <w:pStyle w:val="83"/>
              <w:ind w:firstLine="422"/>
              <w:rPr>
                <w:bCs w:val="0"/>
              </w:rPr>
            </w:pPr>
            <w:r>
              <w:rPr>
                <w:rFonts w:hint="eastAsia"/>
                <w:bCs w:val="0"/>
              </w:rPr>
              <w:t>火灾爆炸</w:t>
            </w:r>
          </w:p>
        </w:tc>
        <w:tc>
          <w:tcPr>
            <w:tcW w:w="1954" w:type="pct"/>
            <w:tcBorders>
              <w:top w:val="single" w:color="auto" w:sz="12" w:space="0"/>
              <w:tl2br w:val="nil"/>
              <w:tr2bl w:val="nil"/>
            </w:tcBorders>
            <w:vAlign w:val="center"/>
          </w:tcPr>
          <w:p>
            <w:pPr>
              <w:pStyle w:val="83"/>
              <w:ind w:firstLine="422"/>
              <w:rPr>
                <w:bCs w:val="0"/>
              </w:rPr>
            </w:pPr>
            <w:r>
              <w:rPr>
                <w:rFonts w:hint="eastAsia"/>
                <w:bCs w:val="0"/>
              </w:rPr>
              <w:t>公安消防</w:t>
            </w:r>
          </w:p>
        </w:tc>
        <w:tc>
          <w:tcPr>
            <w:tcW w:w="1483" w:type="pct"/>
            <w:tcBorders>
              <w:top w:val="single" w:color="auto" w:sz="12" w:space="0"/>
              <w:tl2br w:val="nil"/>
              <w:tr2bl w:val="nil"/>
            </w:tcBorders>
            <w:vAlign w:val="center"/>
          </w:tcPr>
          <w:p>
            <w:pPr>
              <w:pStyle w:val="83"/>
              <w:ind w:firstLine="422"/>
              <w:rPr>
                <w:bCs w:val="0"/>
              </w:rPr>
            </w:pPr>
            <w:r>
              <w:rPr>
                <w:rFonts w:hint="eastAsia"/>
                <w:bCs w:val="0"/>
              </w:rPr>
              <w:t>119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62" w:type="pct"/>
            <w:tcBorders>
              <w:tl2br w:val="nil"/>
              <w:tr2bl w:val="nil"/>
            </w:tcBorders>
            <w:vAlign w:val="center"/>
          </w:tcPr>
          <w:p>
            <w:pPr>
              <w:pStyle w:val="83"/>
              <w:ind w:firstLine="422"/>
              <w:rPr>
                <w:bCs w:val="0"/>
              </w:rPr>
            </w:pPr>
            <w:r>
              <w:rPr>
                <w:rFonts w:hint="eastAsia"/>
                <w:bCs w:val="0"/>
              </w:rPr>
              <w:t>人员受伤</w:t>
            </w:r>
          </w:p>
        </w:tc>
        <w:tc>
          <w:tcPr>
            <w:tcW w:w="1954" w:type="pct"/>
            <w:tcBorders>
              <w:tl2br w:val="nil"/>
              <w:tr2bl w:val="nil"/>
            </w:tcBorders>
            <w:vAlign w:val="center"/>
          </w:tcPr>
          <w:p>
            <w:pPr>
              <w:pStyle w:val="83"/>
              <w:ind w:firstLine="422"/>
              <w:rPr>
                <w:bCs w:val="0"/>
              </w:rPr>
            </w:pPr>
            <w:r>
              <w:rPr>
                <w:rFonts w:hint="eastAsia"/>
                <w:bCs w:val="0"/>
              </w:rPr>
              <w:t>医疗救护</w:t>
            </w:r>
          </w:p>
        </w:tc>
        <w:tc>
          <w:tcPr>
            <w:tcW w:w="1483" w:type="pct"/>
            <w:tcBorders>
              <w:tl2br w:val="nil"/>
              <w:tr2bl w:val="nil"/>
            </w:tcBorders>
            <w:vAlign w:val="center"/>
          </w:tcPr>
          <w:p>
            <w:pPr>
              <w:pStyle w:val="83"/>
              <w:ind w:firstLine="422"/>
              <w:rPr>
                <w:bCs w:val="0"/>
              </w:rPr>
            </w:pPr>
            <w:r>
              <w:rPr>
                <w:rFonts w:hint="eastAsia"/>
                <w:bCs w:val="0"/>
              </w:rPr>
              <w:t>120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62" w:type="pct"/>
            <w:tcBorders>
              <w:tl2br w:val="nil"/>
              <w:tr2bl w:val="nil"/>
            </w:tcBorders>
            <w:vAlign w:val="center"/>
          </w:tcPr>
          <w:p>
            <w:pPr>
              <w:pStyle w:val="83"/>
              <w:ind w:firstLine="422"/>
              <w:rPr>
                <w:bCs w:val="0"/>
              </w:rPr>
            </w:pPr>
            <w:r>
              <w:rPr>
                <w:rFonts w:hint="eastAsia"/>
                <w:bCs w:val="0"/>
              </w:rPr>
              <w:t>人员中毒</w:t>
            </w:r>
          </w:p>
        </w:tc>
        <w:tc>
          <w:tcPr>
            <w:tcW w:w="1954" w:type="pct"/>
            <w:tcBorders>
              <w:tl2br w:val="nil"/>
              <w:tr2bl w:val="nil"/>
            </w:tcBorders>
            <w:vAlign w:val="center"/>
          </w:tcPr>
          <w:p>
            <w:pPr>
              <w:pStyle w:val="83"/>
              <w:ind w:firstLine="422"/>
              <w:rPr>
                <w:bCs w:val="0"/>
              </w:rPr>
            </w:pPr>
            <w:r>
              <w:rPr>
                <w:rFonts w:hint="eastAsia"/>
                <w:bCs w:val="0"/>
              </w:rPr>
              <w:t>危险化学品事故应急救援中心</w:t>
            </w:r>
          </w:p>
        </w:tc>
        <w:tc>
          <w:tcPr>
            <w:tcW w:w="1483" w:type="pct"/>
            <w:tcBorders>
              <w:tl2br w:val="nil"/>
              <w:tr2bl w:val="nil"/>
            </w:tcBorders>
            <w:vAlign w:val="center"/>
          </w:tcPr>
          <w:p>
            <w:pPr>
              <w:pStyle w:val="83"/>
              <w:ind w:firstLine="422"/>
              <w:rPr>
                <w:bCs w:val="0"/>
              </w:rPr>
            </w:pPr>
            <w:r>
              <w:rPr>
                <w:rFonts w:hint="eastAsia"/>
                <w:bCs w:val="0"/>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62" w:type="pct"/>
            <w:tcBorders>
              <w:tl2br w:val="nil"/>
              <w:tr2bl w:val="nil"/>
            </w:tcBorders>
            <w:vAlign w:val="center"/>
          </w:tcPr>
          <w:p>
            <w:pPr>
              <w:pStyle w:val="83"/>
              <w:ind w:firstLine="422"/>
              <w:rPr>
                <w:bCs w:val="0"/>
              </w:rPr>
            </w:pPr>
            <w:r>
              <w:rPr>
                <w:rFonts w:hint="eastAsia"/>
                <w:bCs w:val="0"/>
              </w:rPr>
              <w:t>社会治安</w:t>
            </w:r>
          </w:p>
        </w:tc>
        <w:tc>
          <w:tcPr>
            <w:tcW w:w="1954" w:type="pct"/>
            <w:tcBorders>
              <w:tl2br w:val="nil"/>
              <w:tr2bl w:val="nil"/>
            </w:tcBorders>
            <w:vAlign w:val="center"/>
          </w:tcPr>
          <w:p>
            <w:pPr>
              <w:pStyle w:val="83"/>
              <w:ind w:firstLine="422"/>
              <w:rPr>
                <w:bCs w:val="0"/>
              </w:rPr>
            </w:pPr>
            <w:r>
              <w:rPr>
                <w:rFonts w:hint="eastAsia"/>
                <w:bCs w:val="0"/>
              </w:rPr>
              <w:t>公安治安</w:t>
            </w:r>
          </w:p>
        </w:tc>
        <w:tc>
          <w:tcPr>
            <w:tcW w:w="1483" w:type="pct"/>
            <w:tcBorders>
              <w:tl2br w:val="nil"/>
              <w:tr2bl w:val="nil"/>
            </w:tcBorders>
            <w:vAlign w:val="center"/>
          </w:tcPr>
          <w:p>
            <w:pPr>
              <w:pStyle w:val="83"/>
              <w:ind w:firstLine="422"/>
              <w:rPr>
                <w:bCs w:val="0"/>
              </w:rPr>
            </w:pPr>
            <w:r>
              <w:rPr>
                <w:rFonts w:hint="eastAsia"/>
                <w:bCs w:val="0"/>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562" w:type="pct"/>
            <w:tcBorders>
              <w:tl2br w:val="nil"/>
              <w:tr2bl w:val="nil"/>
            </w:tcBorders>
            <w:vAlign w:val="center"/>
          </w:tcPr>
          <w:p>
            <w:pPr>
              <w:pStyle w:val="83"/>
              <w:ind w:firstLine="422"/>
              <w:rPr>
                <w:bCs w:val="0"/>
              </w:rPr>
            </w:pPr>
            <w:r>
              <w:rPr>
                <w:rFonts w:hint="eastAsia"/>
                <w:bCs w:val="0"/>
              </w:rPr>
              <w:t>通信故障</w:t>
            </w:r>
          </w:p>
        </w:tc>
        <w:tc>
          <w:tcPr>
            <w:tcW w:w="1954" w:type="pct"/>
            <w:tcBorders>
              <w:tl2br w:val="nil"/>
              <w:tr2bl w:val="nil"/>
            </w:tcBorders>
            <w:vAlign w:val="center"/>
          </w:tcPr>
          <w:p>
            <w:pPr>
              <w:pStyle w:val="83"/>
              <w:ind w:firstLine="422"/>
              <w:rPr>
                <w:bCs w:val="0"/>
              </w:rPr>
            </w:pPr>
            <w:r>
              <w:rPr>
                <w:rFonts w:hint="eastAsia"/>
                <w:bCs w:val="0"/>
              </w:rPr>
              <w:t>电信故障抢修</w:t>
            </w:r>
          </w:p>
        </w:tc>
        <w:tc>
          <w:tcPr>
            <w:tcW w:w="1483" w:type="pct"/>
            <w:tcBorders>
              <w:tl2br w:val="nil"/>
              <w:tr2bl w:val="nil"/>
            </w:tcBorders>
            <w:vAlign w:val="center"/>
          </w:tcPr>
          <w:p>
            <w:pPr>
              <w:pStyle w:val="83"/>
              <w:ind w:firstLine="422"/>
              <w:rPr>
                <w:bCs w:val="0"/>
              </w:rPr>
            </w:pPr>
            <w:r>
              <w:rPr>
                <w:rFonts w:hint="eastAsia"/>
                <w:bCs w:val="0"/>
              </w:rPr>
              <w:t>10000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3516" w:type="pct"/>
            <w:gridSpan w:val="2"/>
            <w:tcBorders>
              <w:tl2br w:val="nil"/>
              <w:tr2bl w:val="nil"/>
            </w:tcBorders>
            <w:vAlign w:val="center"/>
          </w:tcPr>
          <w:p>
            <w:pPr>
              <w:pStyle w:val="83"/>
              <w:ind w:firstLine="422"/>
              <w:rPr>
                <w:bCs w:val="0"/>
              </w:rPr>
            </w:pPr>
            <w:r>
              <w:rPr>
                <w:rFonts w:hint="eastAsia"/>
                <w:bCs w:val="0"/>
              </w:rPr>
              <w:t>派出所</w:t>
            </w:r>
          </w:p>
        </w:tc>
        <w:tc>
          <w:tcPr>
            <w:tcW w:w="1483" w:type="pct"/>
            <w:tcBorders>
              <w:tl2br w:val="nil"/>
              <w:tr2bl w:val="nil"/>
            </w:tcBorders>
            <w:vAlign w:val="center"/>
          </w:tcPr>
          <w:p>
            <w:pPr>
              <w:pStyle w:val="83"/>
              <w:ind w:firstLine="422"/>
              <w:rPr>
                <w:bCs w:val="0"/>
              </w:rPr>
            </w:pPr>
            <w:r>
              <w:rPr>
                <w:rFonts w:hint="eastAsia"/>
                <w:bCs w:val="0"/>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6118" w:type="dxa"/>
            <w:gridSpan w:val="2"/>
            <w:tcBorders>
              <w:tl2br w:val="nil"/>
              <w:tr2bl w:val="nil"/>
            </w:tcBorders>
            <w:vAlign w:val="center"/>
          </w:tcPr>
          <w:p>
            <w:pPr>
              <w:pStyle w:val="83"/>
              <w:ind w:firstLine="422"/>
              <w:rPr>
                <w:rFonts w:hint="eastAsia" w:eastAsia="宋体"/>
                <w:bCs w:val="0"/>
              </w:rPr>
            </w:pPr>
            <w:r>
              <w:rPr>
                <w:rFonts w:hint="eastAsia" w:eastAsia="宋体"/>
                <w:bCs w:val="0"/>
                <w:lang w:val="en-US" w:eastAsia="zh-CN"/>
              </w:rPr>
              <w:t>南昌经济开发区</w:t>
            </w:r>
            <w:r>
              <w:rPr>
                <w:rFonts w:hint="default" w:eastAsia="宋体"/>
                <w:bCs w:val="0"/>
                <w:lang w:val="en-US" w:eastAsia="zh-CN"/>
              </w:rPr>
              <w:t>管委会</w:t>
            </w:r>
          </w:p>
        </w:tc>
        <w:tc>
          <w:tcPr>
            <w:tcW w:w="2580" w:type="dxa"/>
            <w:tcBorders>
              <w:tl2br w:val="nil"/>
              <w:tr2bl w:val="nil"/>
            </w:tcBorders>
            <w:vAlign w:val="center"/>
          </w:tcPr>
          <w:p>
            <w:pPr>
              <w:pStyle w:val="83"/>
              <w:ind w:firstLine="422"/>
              <w:rPr>
                <w:rFonts w:hint="eastAsia" w:eastAsia="宋体"/>
                <w:bCs w:val="0"/>
              </w:rPr>
            </w:pPr>
            <w:r>
              <w:rPr>
                <w:rFonts w:hint="default" w:eastAsia="宋体"/>
                <w:bCs w:val="0"/>
                <w:lang w:val="en-US" w:eastAsia="zh-CN"/>
              </w:rPr>
              <w:t>079</w:t>
            </w:r>
            <w:r>
              <w:rPr>
                <w:rFonts w:hint="eastAsia" w:eastAsia="宋体"/>
                <w:bCs w:val="0"/>
                <w:lang w:val="en-US" w:eastAsia="zh-CN"/>
              </w:rPr>
              <w:t>1</w:t>
            </w:r>
            <w:r>
              <w:rPr>
                <w:rFonts w:hint="default" w:eastAsia="宋体"/>
                <w:bCs w:val="0"/>
                <w:lang w:val="en-US" w:eastAsia="zh-CN"/>
              </w:rPr>
              <w:t>-</w:t>
            </w:r>
            <w:r>
              <w:rPr>
                <w:rFonts w:hint="eastAsia" w:eastAsia="宋体"/>
                <w:bCs w:val="0"/>
                <w:lang w:val="en-US" w:eastAsia="zh-CN"/>
              </w:rPr>
              <w:t>83805600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51" w:hRule="atLeast"/>
          <w:jc w:val="center"/>
        </w:trPr>
        <w:tc>
          <w:tcPr>
            <w:tcW w:w="3516" w:type="pct"/>
            <w:gridSpan w:val="2"/>
            <w:tcBorders>
              <w:tl2br w:val="nil"/>
              <w:tr2bl w:val="nil"/>
            </w:tcBorders>
            <w:vAlign w:val="center"/>
          </w:tcPr>
          <w:p>
            <w:pPr>
              <w:pStyle w:val="83"/>
              <w:ind w:firstLine="422"/>
              <w:rPr>
                <w:bCs w:val="0"/>
              </w:rPr>
            </w:pPr>
            <w:r>
              <w:rPr>
                <w:rFonts w:hint="eastAsia"/>
                <w:bCs w:val="0"/>
              </w:rPr>
              <w:t>安监局</w:t>
            </w:r>
          </w:p>
        </w:tc>
        <w:tc>
          <w:tcPr>
            <w:tcW w:w="1483" w:type="pct"/>
            <w:tcBorders>
              <w:tl2br w:val="nil"/>
              <w:tr2bl w:val="nil"/>
            </w:tcBorders>
            <w:vAlign w:val="center"/>
          </w:tcPr>
          <w:p>
            <w:pPr>
              <w:pStyle w:val="83"/>
              <w:ind w:firstLine="422"/>
              <w:rPr>
                <w:bCs w:val="0"/>
              </w:rPr>
            </w:pPr>
            <w:r>
              <w:rPr>
                <w:rFonts w:hint="eastAsia"/>
                <w:bCs w:val="0"/>
              </w:rPr>
              <w:t>12350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3516" w:type="pct"/>
            <w:gridSpan w:val="2"/>
            <w:tcBorders>
              <w:tl2br w:val="nil"/>
              <w:tr2bl w:val="nil"/>
            </w:tcBorders>
            <w:vAlign w:val="center"/>
          </w:tcPr>
          <w:p>
            <w:pPr>
              <w:pStyle w:val="83"/>
              <w:ind w:firstLine="422"/>
              <w:rPr>
                <w:bCs w:val="0"/>
              </w:rPr>
            </w:pPr>
            <w:r>
              <w:rPr>
                <w:rFonts w:hint="eastAsia"/>
                <w:bCs w:val="0"/>
              </w:rPr>
              <w:t>消防大队</w:t>
            </w:r>
          </w:p>
        </w:tc>
        <w:tc>
          <w:tcPr>
            <w:tcW w:w="1483" w:type="pct"/>
            <w:tcBorders>
              <w:tl2br w:val="nil"/>
              <w:tr2bl w:val="nil"/>
            </w:tcBorders>
            <w:vAlign w:val="center"/>
          </w:tcPr>
          <w:p>
            <w:pPr>
              <w:pStyle w:val="83"/>
              <w:ind w:firstLine="422"/>
              <w:rPr>
                <w:bCs w:val="0"/>
              </w:rPr>
            </w:pPr>
            <w:r>
              <w:rPr>
                <w:rFonts w:hint="eastAsia"/>
                <w:bCs w:val="0"/>
              </w:rPr>
              <w:t>119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3516" w:type="pct"/>
            <w:gridSpan w:val="2"/>
            <w:tcBorders>
              <w:tl2br w:val="nil"/>
              <w:tr2bl w:val="nil"/>
            </w:tcBorders>
            <w:vAlign w:val="center"/>
          </w:tcPr>
          <w:p>
            <w:pPr>
              <w:pStyle w:val="83"/>
              <w:ind w:firstLine="422"/>
              <w:rPr>
                <w:bCs w:val="0"/>
              </w:rPr>
            </w:pPr>
            <w:r>
              <w:rPr>
                <w:rFonts w:hint="eastAsia"/>
                <w:bCs w:val="0"/>
              </w:rPr>
              <w:t>交警大队</w:t>
            </w:r>
          </w:p>
        </w:tc>
        <w:tc>
          <w:tcPr>
            <w:tcW w:w="1483" w:type="pct"/>
            <w:tcBorders>
              <w:tl2br w:val="nil"/>
              <w:tr2bl w:val="nil"/>
            </w:tcBorders>
            <w:vAlign w:val="center"/>
          </w:tcPr>
          <w:p>
            <w:pPr>
              <w:pStyle w:val="83"/>
              <w:ind w:firstLine="422"/>
              <w:rPr>
                <w:bCs w:val="0"/>
              </w:rPr>
            </w:pPr>
            <w:r>
              <w:rPr>
                <w:rFonts w:hint="eastAsia"/>
                <w:bCs w:val="0"/>
              </w:rPr>
              <w:t>122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6118" w:type="dxa"/>
            <w:gridSpan w:val="2"/>
            <w:tcBorders>
              <w:tl2br w:val="nil"/>
              <w:tr2bl w:val="nil"/>
            </w:tcBorders>
            <w:vAlign w:val="center"/>
          </w:tcPr>
          <w:p>
            <w:pPr>
              <w:pStyle w:val="83"/>
              <w:ind w:firstLine="422"/>
              <w:rPr>
                <w:rFonts w:hint="eastAsia" w:eastAsia="宋体"/>
                <w:bCs w:val="0"/>
                <w:lang w:val="en-US" w:eastAsia="zh-CN"/>
              </w:rPr>
            </w:pPr>
            <w:r>
              <w:rPr>
                <w:rFonts w:hint="eastAsia" w:eastAsia="宋体"/>
                <w:bCs w:val="0"/>
                <w:lang w:val="en-US" w:eastAsia="zh-CN"/>
              </w:rPr>
              <w:t>南昌市生态环境局昌北分局</w:t>
            </w:r>
          </w:p>
        </w:tc>
        <w:tc>
          <w:tcPr>
            <w:tcW w:w="2580" w:type="dxa"/>
            <w:tcBorders>
              <w:tl2br w:val="nil"/>
              <w:tr2bl w:val="nil"/>
            </w:tcBorders>
            <w:vAlign w:val="center"/>
          </w:tcPr>
          <w:p>
            <w:pPr>
              <w:pStyle w:val="83"/>
              <w:ind w:firstLine="422"/>
              <w:rPr>
                <w:rFonts w:hint="eastAsia" w:eastAsia="宋体"/>
                <w:bCs w:val="0"/>
                <w:lang w:val="en-US" w:eastAsia="zh-CN"/>
              </w:rPr>
            </w:pPr>
            <w:r>
              <w:rPr>
                <w:rFonts w:hint="default" w:eastAsia="宋体"/>
                <w:bCs w:val="0"/>
                <w:lang w:val="en-US" w:eastAsia="zh-CN"/>
              </w:rPr>
              <w:t>12369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3516" w:type="pct"/>
            <w:gridSpan w:val="2"/>
            <w:tcBorders>
              <w:tl2br w:val="nil"/>
              <w:tr2bl w:val="nil"/>
            </w:tcBorders>
            <w:vAlign w:val="center"/>
          </w:tcPr>
          <w:p>
            <w:pPr>
              <w:pStyle w:val="83"/>
              <w:ind w:firstLine="422"/>
              <w:rPr>
                <w:bCs w:val="0"/>
              </w:rPr>
            </w:pPr>
            <w:r>
              <w:rPr>
                <w:rFonts w:hint="eastAsia"/>
                <w:bCs w:val="0"/>
              </w:rPr>
              <w:t>质监局</w:t>
            </w:r>
          </w:p>
        </w:tc>
        <w:tc>
          <w:tcPr>
            <w:tcW w:w="1483" w:type="pct"/>
            <w:tcBorders>
              <w:tl2br w:val="nil"/>
              <w:tr2bl w:val="nil"/>
            </w:tcBorders>
            <w:vAlign w:val="center"/>
          </w:tcPr>
          <w:p>
            <w:pPr>
              <w:pStyle w:val="83"/>
              <w:ind w:firstLine="422"/>
              <w:rPr>
                <w:bCs w:val="0"/>
              </w:rPr>
            </w:pPr>
            <w:r>
              <w:rPr>
                <w:rFonts w:hint="eastAsia"/>
                <w:bCs w:val="0"/>
              </w:rPr>
              <w:t>12365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3516" w:type="pct"/>
            <w:gridSpan w:val="2"/>
            <w:tcBorders>
              <w:tl2br w:val="nil"/>
              <w:tr2bl w:val="nil"/>
            </w:tcBorders>
            <w:vAlign w:val="center"/>
          </w:tcPr>
          <w:p>
            <w:pPr>
              <w:pStyle w:val="83"/>
              <w:ind w:firstLine="422"/>
              <w:rPr>
                <w:bCs w:val="0"/>
              </w:rPr>
            </w:pPr>
            <w:r>
              <w:rPr>
                <w:rFonts w:hint="eastAsia"/>
                <w:bCs w:val="0"/>
              </w:rPr>
              <w:t>气象局</w:t>
            </w:r>
          </w:p>
        </w:tc>
        <w:tc>
          <w:tcPr>
            <w:tcW w:w="1483" w:type="pct"/>
            <w:tcBorders>
              <w:tl2br w:val="nil"/>
              <w:tr2bl w:val="nil"/>
            </w:tcBorders>
            <w:vAlign w:val="center"/>
          </w:tcPr>
          <w:p>
            <w:pPr>
              <w:pStyle w:val="83"/>
              <w:ind w:firstLine="422"/>
              <w:rPr>
                <w:bCs w:val="0"/>
              </w:rPr>
            </w:pPr>
            <w:r>
              <w:rPr>
                <w:rFonts w:hint="eastAsia"/>
                <w:bCs w:val="0"/>
              </w:rPr>
              <w:t>12121</w:t>
            </w:r>
          </w:p>
        </w:tc>
      </w:tr>
    </w:tbl>
    <w:p>
      <w:pPr>
        <w:pStyle w:val="82"/>
        <w:spacing w:before="163"/>
      </w:pPr>
      <w:r>
        <w:t>表4.1</w:t>
      </w:r>
      <w:r>
        <w:rPr>
          <w:rFonts w:hint="eastAsia"/>
          <w:lang w:val="en-US" w:eastAsia="zh-CN"/>
        </w:rPr>
        <w:t>.3</w:t>
      </w:r>
      <w:r>
        <w:t>-</w:t>
      </w:r>
      <w:r>
        <w:rPr>
          <w:rFonts w:hint="eastAsia"/>
          <w:lang w:val="en-US" w:eastAsia="zh-CN"/>
        </w:rPr>
        <w:t>1</w:t>
      </w:r>
      <w:r>
        <w:t xml:space="preserve"> 公司周边单位（环境受体）联系电话</w:t>
      </w:r>
    </w:p>
    <w:tbl>
      <w:tblPr>
        <w:tblStyle w:val="22"/>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031"/>
        <w:gridCol w:w="3683"/>
        <w:gridCol w:w="1126"/>
        <w:gridCol w:w="287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91" w:type="pct"/>
            <w:tcBorders>
              <w:bottom w:val="single" w:color="000000" w:sz="12" w:space="0"/>
            </w:tcBorders>
            <w:vAlign w:val="center"/>
          </w:tcPr>
          <w:p>
            <w:pPr>
              <w:pStyle w:val="83"/>
              <w:rPr>
                <w:b/>
              </w:rPr>
            </w:pPr>
            <w:r>
              <w:rPr>
                <w:b/>
              </w:rPr>
              <w:t>序号</w:t>
            </w:r>
          </w:p>
        </w:tc>
        <w:tc>
          <w:tcPr>
            <w:tcW w:w="2112" w:type="pct"/>
            <w:tcBorders>
              <w:bottom w:val="single" w:color="000000" w:sz="12" w:space="0"/>
            </w:tcBorders>
            <w:vAlign w:val="center"/>
          </w:tcPr>
          <w:p>
            <w:pPr>
              <w:pStyle w:val="83"/>
              <w:rPr>
                <w:b/>
              </w:rPr>
            </w:pPr>
            <w:r>
              <w:rPr>
                <w:b/>
              </w:rPr>
              <w:t>单位名称</w:t>
            </w:r>
          </w:p>
        </w:tc>
        <w:tc>
          <w:tcPr>
            <w:tcW w:w="646" w:type="pct"/>
            <w:tcBorders>
              <w:bottom w:val="single" w:color="000000" w:sz="12" w:space="0"/>
            </w:tcBorders>
            <w:vAlign w:val="center"/>
          </w:tcPr>
          <w:p>
            <w:pPr>
              <w:pStyle w:val="83"/>
              <w:rPr>
                <w:b/>
              </w:rPr>
            </w:pPr>
            <w:r>
              <w:rPr>
                <w:b/>
              </w:rPr>
              <w:t>负责人</w:t>
            </w:r>
          </w:p>
        </w:tc>
        <w:tc>
          <w:tcPr>
            <w:tcW w:w="1649" w:type="pct"/>
            <w:tcBorders>
              <w:bottom w:val="single" w:color="000000" w:sz="12" w:space="0"/>
            </w:tcBorders>
            <w:vAlign w:val="center"/>
          </w:tcPr>
          <w:p>
            <w:pPr>
              <w:pStyle w:val="83"/>
              <w:rPr>
                <w:b/>
              </w:rPr>
            </w:pPr>
            <w:r>
              <w:rPr>
                <w:b/>
              </w:rPr>
              <w:t>联系电话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91" w:type="pct"/>
            <w:tcBorders>
              <w:top w:val="single" w:color="000000" w:sz="12" w:space="0"/>
              <w:tl2br w:val="nil"/>
              <w:tr2bl w:val="nil"/>
            </w:tcBorders>
            <w:vAlign w:val="center"/>
          </w:tcPr>
          <w:p>
            <w:pPr>
              <w:pStyle w:val="83"/>
            </w:pPr>
            <w:r>
              <w:t>1</w:t>
            </w:r>
          </w:p>
        </w:tc>
        <w:tc>
          <w:tcPr>
            <w:tcW w:w="2112" w:type="pct"/>
            <w:tcBorders>
              <w:top w:val="single" w:color="000000" w:sz="12" w:space="0"/>
              <w:tl2br w:val="nil"/>
              <w:tr2bl w:val="nil"/>
            </w:tcBorders>
            <w:vAlign w:val="center"/>
          </w:tcPr>
          <w:p>
            <w:pPr>
              <w:pStyle w:val="83"/>
            </w:pPr>
            <w:r>
              <w:rPr>
                <w:rFonts w:hint="eastAsia"/>
              </w:rPr>
              <w:t>江西名匠智能系统有限公司</w:t>
            </w:r>
          </w:p>
        </w:tc>
        <w:tc>
          <w:tcPr>
            <w:tcW w:w="646" w:type="pct"/>
            <w:tcBorders>
              <w:top w:val="single" w:color="000000" w:sz="12" w:space="0"/>
              <w:tl2br w:val="nil"/>
              <w:tr2bl w:val="nil"/>
            </w:tcBorders>
            <w:vAlign w:val="center"/>
          </w:tcPr>
          <w:p>
            <w:pPr>
              <w:pStyle w:val="83"/>
            </w:pPr>
            <w:r>
              <w:rPr>
                <w:rFonts w:hint="eastAsia"/>
              </w:rPr>
              <w:t>陈俊</w:t>
            </w:r>
          </w:p>
        </w:tc>
        <w:tc>
          <w:tcPr>
            <w:tcW w:w="1649" w:type="pct"/>
            <w:tcBorders>
              <w:top w:val="single" w:color="000000" w:sz="12" w:space="0"/>
              <w:tl2br w:val="nil"/>
              <w:tr2bl w:val="nil"/>
            </w:tcBorders>
            <w:vAlign w:val="center"/>
          </w:tcPr>
          <w:p>
            <w:pPr>
              <w:pStyle w:val="83"/>
            </w:pPr>
            <w:r>
              <w:t>0791-83895696</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91" w:type="pct"/>
            <w:tcBorders>
              <w:tl2br w:val="nil"/>
              <w:tr2bl w:val="nil"/>
            </w:tcBorders>
            <w:vAlign w:val="center"/>
          </w:tcPr>
          <w:p>
            <w:pPr>
              <w:pStyle w:val="83"/>
            </w:pPr>
            <w:r>
              <w:t>2</w:t>
            </w:r>
          </w:p>
        </w:tc>
        <w:tc>
          <w:tcPr>
            <w:tcW w:w="2112" w:type="pct"/>
            <w:tcBorders>
              <w:tl2br w:val="nil"/>
              <w:tr2bl w:val="nil"/>
            </w:tcBorders>
            <w:vAlign w:val="center"/>
          </w:tcPr>
          <w:p>
            <w:pPr>
              <w:pStyle w:val="83"/>
            </w:pPr>
            <w:r>
              <w:rPr>
                <w:rFonts w:hint="eastAsia"/>
              </w:rPr>
              <w:t>南昌同兴达精密光电有限公司</w:t>
            </w:r>
          </w:p>
        </w:tc>
        <w:tc>
          <w:tcPr>
            <w:tcW w:w="646" w:type="pct"/>
            <w:tcBorders>
              <w:tl2br w:val="nil"/>
              <w:tr2bl w:val="nil"/>
            </w:tcBorders>
            <w:vAlign w:val="center"/>
          </w:tcPr>
          <w:p>
            <w:pPr>
              <w:pStyle w:val="83"/>
            </w:pPr>
            <w:r>
              <w:rPr>
                <w:rFonts w:hint="eastAsia"/>
              </w:rPr>
              <w:t>马宏军</w:t>
            </w:r>
          </w:p>
        </w:tc>
        <w:tc>
          <w:tcPr>
            <w:tcW w:w="1649" w:type="pct"/>
            <w:tcBorders>
              <w:tl2br w:val="nil"/>
              <w:tr2bl w:val="nil"/>
            </w:tcBorders>
            <w:vAlign w:val="center"/>
          </w:tcPr>
          <w:p>
            <w:pPr>
              <w:pStyle w:val="83"/>
            </w:pPr>
            <w:r>
              <w:t>18507916808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91" w:type="pct"/>
            <w:tcBorders>
              <w:tl2br w:val="nil"/>
              <w:tr2bl w:val="nil"/>
            </w:tcBorders>
            <w:vAlign w:val="center"/>
          </w:tcPr>
          <w:p>
            <w:pPr>
              <w:pStyle w:val="83"/>
              <w:rPr>
                <w:b/>
                <w:bCs/>
              </w:rPr>
            </w:pPr>
            <w:r>
              <w:rPr>
                <w:rFonts w:hint="eastAsia"/>
              </w:rPr>
              <w:t>3</w:t>
            </w:r>
          </w:p>
        </w:tc>
        <w:tc>
          <w:tcPr>
            <w:tcW w:w="2112" w:type="pct"/>
            <w:tcBorders>
              <w:tl2br w:val="nil"/>
              <w:tr2bl w:val="nil"/>
            </w:tcBorders>
            <w:vAlign w:val="center"/>
          </w:tcPr>
          <w:p>
            <w:pPr>
              <w:pStyle w:val="83"/>
            </w:pPr>
            <w:r>
              <w:rPr>
                <w:rFonts w:hint="eastAsia"/>
              </w:rPr>
              <w:t>江西领航检测有限公司</w:t>
            </w:r>
          </w:p>
        </w:tc>
        <w:tc>
          <w:tcPr>
            <w:tcW w:w="646" w:type="pct"/>
            <w:tcBorders>
              <w:tl2br w:val="nil"/>
              <w:tr2bl w:val="nil"/>
            </w:tcBorders>
            <w:vAlign w:val="center"/>
          </w:tcPr>
          <w:p>
            <w:pPr>
              <w:pStyle w:val="83"/>
            </w:pPr>
            <w:r>
              <w:rPr>
                <w:rFonts w:hint="eastAsia"/>
              </w:rPr>
              <w:t>闵道主</w:t>
            </w:r>
          </w:p>
        </w:tc>
        <w:tc>
          <w:tcPr>
            <w:tcW w:w="1649" w:type="pct"/>
            <w:tcBorders>
              <w:tl2br w:val="nil"/>
              <w:tr2bl w:val="nil"/>
            </w:tcBorders>
            <w:vAlign w:val="center"/>
          </w:tcPr>
          <w:p>
            <w:pPr>
              <w:pStyle w:val="83"/>
            </w:pPr>
            <w:r>
              <w:rPr>
                <w:rFonts w:hint="eastAsia"/>
              </w:rPr>
              <w:t>13970877178</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91" w:type="pct"/>
            <w:tcBorders>
              <w:tl2br w:val="nil"/>
              <w:tr2bl w:val="nil"/>
            </w:tcBorders>
            <w:vAlign w:val="center"/>
          </w:tcPr>
          <w:p>
            <w:pPr>
              <w:pStyle w:val="83"/>
            </w:pPr>
            <w:r>
              <w:rPr>
                <w:rFonts w:hint="eastAsia"/>
              </w:rPr>
              <w:t>4</w:t>
            </w:r>
          </w:p>
        </w:tc>
        <w:tc>
          <w:tcPr>
            <w:tcW w:w="2112" w:type="pct"/>
            <w:tcBorders>
              <w:tl2br w:val="nil"/>
              <w:tr2bl w:val="nil"/>
            </w:tcBorders>
            <w:vAlign w:val="center"/>
          </w:tcPr>
          <w:p>
            <w:pPr>
              <w:pStyle w:val="83"/>
            </w:pPr>
            <w:r>
              <w:rPr>
                <w:rFonts w:hint="eastAsia"/>
              </w:rPr>
              <w:t>南昌攀藤科技有限公司</w:t>
            </w:r>
          </w:p>
        </w:tc>
        <w:tc>
          <w:tcPr>
            <w:tcW w:w="646" w:type="pct"/>
            <w:tcBorders>
              <w:tl2br w:val="nil"/>
              <w:tr2bl w:val="nil"/>
            </w:tcBorders>
            <w:vAlign w:val="center"/>
          </w:tcPr>
          <w:p>
            <w:pPr>
              <w:pStyle w:val="83"/>
            </w:pPr>
            <w:r>
              <w:rPr>
                <w:rFonts w:hint="eastAsia"/>
              </w:rPr>
              <w:t>周志斌</w:t>
            </w:r>
          </w:p>
        </w:tc>
        <w:tc>
          <w:tcPr>
            <w:tcW w:w="1649" w:type="pct"/>
            <w:tcBorders>
              <w:tl2br w:val="nil"/>
              <w:tr2bl w:val="nil"/>
            </w:tcBorders>
            <w:vAlign w:val="center"/>
          </w:tcPr>
          <w:p>
            <w:pPr>
              <w:pStyle w:val="83"/>
            </w:pPr>
            <w:r>
              <w:rPr>
                <w:rFonts w:hint="eastAsia"/>
              </w:rPr>
              <w:t>18763000091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91" w:type="pct"/>
            <w:tcBorders>
              <w:tl2br w:val="nil"/>
              <w:tr2bl w:val="nil"/>
            </w:tcBorders>
            <w:vAlign w:val="center"/>
          </w:tcPr>
          <w:p>
            <w:pPr>
              <w:pStyle w:val="83"/>
            </w:pPr>
            <w:r>
              <w:rPr>
                <w:rFonts w:hint="eastAsia"/>
              </w:rPr>
              <w:t>5</w:t>
            </w:r>
          </w:p>
        </w:tc>
        <w:tc>
          <w:tcPr>
            <w:tcW w:w="2112" w:type="pct"/>
            <w:tcBorders>
              <w:tl2br w:val="nil"/>
              <w:tr2bl w:val="nil"/>
            </w:tcBorders>
            <w:vAlign w:val="center"/>
          </w:tcPr>
          <w:p>
            <w:pPr>
              <w:pStyle w:val="83"/>
            </w:pPr>
            <w:r>
              <w:rPr>
                <w:rFonts w:hint="eastAsia"/>
              </w:rPr>
              <w:t>经开园区服务中心</w:t>
            </w:r>
          </w:p>
        </w:tc>
        <w:tc>
          <w:tcPr>
            <w:tcW w:w="646" w:type="pct"/>
            <w:tcBorders>
              <w:tl2br w:val="nil"/>
              <w:tr2bl w:val="nil"/>
            </w:tcBorders>
            <w:vAlign w:val="center"/>
          </w:tcPr>
          <w:p>
            <w:pPr>
              <w:pStyle w:val="83"/>
            </w:pPr>
            <w:r>
              <w:rPr>
                <w:rFonts w:hint="eastAsia"/>
              </w:rPr>
              <w:t>殷海强</w:t>
            </w:r>
          </w:p>
        </w:tc>
        <w:tc>
          <w:tcPr>
            <w:tcW w:w="1649" w:type="pct"/>
            <w:tcBorders>
              <w:tl2br w:val="nil"/>
              <w:tr2bl w:val="nil"/>
            </w:tcBorders>
            <w:vAlign w:val="center"/>
          </w:tcPr>
          <w:p>
            <w:pPr>
              <w:pStyle w:val="83"/>
            </w:pPr>
            <w:r>
              <w:rPr>
                <w:rFonts w:hint="eastAsia"/>
              </w:rPr>
              <w:t>13807006721</w:t>
            </w:r>
          </w:p>
        </w:tc>
      </w:tr>
    </w:tbl>
    <w:p>
      <w:pPr>
        <w:pStyle w:val="5"/>
        <w:bidi w:val="0"/>
      </w:pPr>
      <w:bookmarkStart w:id="347" w:name="_Toc37600066"/>
      <w:bookmarkStart w:id="348" w:name="_Toc32159"/>
      <w:bookmarkStart w:id="349" w:name="_Toc21884"/>
      <w:bookmarkStart w:id="350" w:name="_Toc4930_WPSOffice_Level1"/>
      <w:bookmarkStart w:id="351" w:name="_Toc15009"/>
      <w:bookmarkStart w:id="352" w:name="_Toc13363"/>
      <w:bookmarkStart w:id="353" w:name="_Toc16269"/>
      <w:bookmarkStart w:id="354" w:name="_Toc15016"/>
      <w:r>
        <w:t xml:space="preserve">4.2 </w:t>
      </w:r>
      <w:r>
        <w:rPr>
          <w:rFonts w:hint="eastAsia"/>
        </w:rPr>
        <w:t>各部门职责</w:t>
      </w:r>
      <w:bookmarkEnd w:id="347"/>
      <w:bookmarkEnd w:id="348"/>
      <w:bookmarkEnd w:id="349"/>
      <w:bookmarkEnd w:id="350"/>
      <w:bookmarkEnd w:id="351"/>
      <w:bookmarkEnd w:id="352"/>
      <w:bookmarkEnd w:id="353"/>
      <w:bookmarkEnd w:id="354"/>
    </w:p>
    <w:p>
      <w:pPr>
        <w:pStyle w:val="6"/>
        <w:bidi w:val="0"/>
      </w:pPr>
      <w:bookmarkStart w:id="355" w:name="_Toc16401"/>
      <w:bookmarkStart w:id="356" w:name="_Toc12791"/>
      <w:bookmarkStart w:id="357" w:name="_Toc19326"/>
      <w:bookmarkStart w:id="358" w:name="_Toc37600067"/>
      <w:r>
        <w:t xml:space="preserve">4.2.1 </w:t>
      </w:r>
      <w:r>
        <w:rPr>
          <w:rFonts w:hint="eastAsia"/>
        </w:rPr>
        <w:t>应急救援指挥部</w:t>
      </w:r>
      <w:bookmarkEnd w:id="355"/>
      <w:bookmarkEnd w:id="356"/>
      <w:bookmarkEnd w:id="357"/>
      <w:bookmarkEnd w:id="358"/>
    </w:p>
    <w:p>
      <w:pPr>
        <w:pStyle w:val="90"/>
        <w:ind w:firstLine="480"/>
      </w:pPr>
      <w:r>
        <w:rPr>
          <w:rFonts w:hint="eastAsia"/>
        </w:rPr>
        <w:t>应急救援指挥部总指挥：秦俭13501660667，应急救援指挥部副总指挥：王永平18779151631。</w:t>
      </w:r>
    </w:p>
    <w:p>
      <w:pPr>
        <w:keepNext w:val="0"/>
        <w:keepLines w:val="0"/>
        <w:pageBreakBefore w:val="0"/>
        <w:widowControl w:val="0"/>
        <w:kinsoku/>
        <w:wordWrap/>
        <w:overflowPunct/>
        <w:topLinePunct w:val="0"/>
        <w:autoSpaceDE/>
        <w:autoSpaceDN/>
        <w:bidi w:val="0"/>
        <w:adjustRightInd/>
        <w:snapToGrid/>
        <w:spacing w:after="168" w:afterLines="50"/>
        <w:ind w:firstLine="482"/>
        <w:textAlignment w:val="auto"/>
        <w:rPr>
          <w:b/>
          <w:bCs/>
          <w:sz w:val="24"/>
        </w:rPr>
      </w:pPr>
      <w:r>
        <w:rPr>
          <w:b/>
          <w:bCs/>
          <w:sz w:val="24"/>
        </w:rPr>
        <w:t>1</w:t>
      </w:r>
      <w:r>
        <w:rPr>
          <w:rFonts w:hint="eastAsia" w:cs="宋体"/>
          <w:b/>
          <w:bCs/>
          <w:sz w:val="24"/>
        </w:rPr>
        <w:t>、应急组总指挥职责：</w:t>
      </w:r>
    </w:p>
    <w:p>
      <w:pPr>
        <w:pStyle w:val="90"/>
        <w:ind w:firstLine="480"/>
      </w:pPr>
      <w:r>
        <w:rPr>
          <w:rFonts w:hint="eastAsia"/>
        </w:rPr>
        <w:t>组织制定并实施环境风险事故应急预案；</w:t>
      </w:r>
    </w:p>
    <w:p>
      <w:pPr>
        <w:pStyle w:val="90"/>
        <w:ind w:firstLine="480"/>
      </w:pPr>
      <w:r>
        <w:rPr>
          <w:rFonts w:hint="eastAsia"/>
        </w:rPr>
        <w:t>负责现场急救的指挥工作；</w:t>
      </w:r>
    </w:p>
    <w:p>
      <w:pPr>
        <w:pStyle w:val="90"/>
        <w:ind w:firstLine="480"/>
      </w:pPr>
      <w:r>
        <w:rPr>
          <w:rFonts w:hint="eastAsia"/>
        </w:rPr>
        <w:t>及时、准确报告环境风险事故。</w:t>
      </w:r>
    </w:p>
    <w:p>
      <w:pPr>
        <w:pStyle w:val="90"/>
        <w:ind w:firstLine="480"/>
      </w:pPr>
      <w:r>
        <w:rPr>
          <w:rFonts w:hint="eastAsia"/>
        </w:rPr>
        <w:t>各种紧急事故响应中，总指挥不在时，依次由排列的副总指挥担任临时总指挥，行使总指挥在紧急救援过程中的权利和义务。</w:t>
      </w:r>
    </w:p>
    <w:p>
      <w:pPr>
        <w:keepNext w:val="0"/>
        <w:keepLines w:val="0"/>
        <w:pageBreakBefore w:val="0"/>
        <w:widowControl w:val="0"/>
        <w:kinsoku/>
        <w:wordWrap/>
        <w:overflowPunct/>
        <w:topLinePunct w:val="0"/>
        <w:autoSpaceDE/>
        <w:autoSpaceDN/>
        <w:bidi w:val="0"/>
        <w:adjustRightInd/>
        <w:snapToGrid/>
        <w:spacing w:after="168" w:afterLines="50"/>
        <w:ind w:firstLine="482"/>
        <w:textAlignment w:val="auto"/>
        <w:rPr>
          <w:b/>
          <w:bCs/>
          <w:sz w:val="24"/>
        </w:rPr>
      </w:pPr>
      <w:r>
        <w:rPr>
          <w:b/>
          <w:bCs/>
          <w:sz w:val="24"/>
        </w:rPr>
        <w:t>2</w:t>
      </w:r>
      <w:r>
        <w:rPr>
          <w:rFonts w:hint="eastAsia" w:cs="宋体"/>
          <w:b/>
          <w:bCs/>
          <w:sz w:val="24"/>
        </w:rPr>
        <w:t>、应急副总指挥职责</w:t>
      </w:r>
    </w:p>
    <w:p>
      <w:pPr>
        <w:pStyle w:val="90"/>
        <w:ind w:firstLine="480"/>
      </w:pPr>
      <w:r>
        <w:rPr>
          <w:rFonts w:hint="eastAsia"/>
        </w:rPr>
        <w:t>（</w:t>
      </w:r>
      <w:r>
        <w:t>1</w:t>
      </w:r>
      <w:r>
        <w:rPr>
          <w:rFonts w:hint="eastAsia"/>
        </w:rPr>
        <w:t>）负责协助总指挥</w:t>
      </w:r>
      <w:r>
        <w:rPr>
          <w:rFonts w:hint="eastAsia"/>
          <w:highlight w:val="none"/>
          <w:lang w:val="en-US" w:eastAsia="zh-CN"/>
        </w:rPr>
        <w:t>做</w:t>
      </w:r>
      <w:r>
        <w:rPr>
          <w:rFonts w:hint="eastAsia"/>
          <w:highlight w:val="none"/>
        </w:rPr>
        <w:t>好</w:t>
      </w:r>
      <w:r>
        <w:rPr>
          <w:rFonts w:hint="eastAsia"/>
        </w:rPr>
        <w:t>抢险现场救灾工作的紧急组织，具体负责抢险的指挥，向总指挥汇报情况，落实总指挥发布的抢险命令。</w:t>
      </w:r>
    </w:p>
    <w:p>
      <w:pPr>
        <w:pStyle w:val="90"/>
        <w:ind w:firstLine="480"/>
      </w:pPr>
      <w:r>
        <w:rPr>
          <w:rFonts w:hint="eastAsia"/>
        </w:rPr>
        <w:t>（</w:t>
      </w:r>
      <w:r>
        <w:t>2</w:t>
      </w:r>
      <w:r>
        <w:rPr>
          <w:rFonts w:hint="eastAsia"/>
        </w:rPr>
        <w:t>）负责指挥技术人员，对抢险、抢修作业根据技术规范和工艺情况，提供准确可行的抢险方案，并随时向总指挥汇报情况。负责义务消防人员的安排和现场保卫及周边警戒的工作，布置善后的现场保护，维护工作秩序，防止意外破坏情况发生。</w:t>
      </w:r>
    </w:p>
    <w:p>
      <w:pPr>
        <w:pStyle w:val="90"/>
        <w:ind w:firstLine="480"/>
      </w:pPr>
      <w:r>
        <w:rPr>
          <w:rFonts w:hint="eastAsia"/>
        </w:rPr>
        <w:t>（</w:t>
      </w:r>
      <w:r>
        <w:t>3</w:t>
      </w:r>
      <w:r>
        <w:rPr>
          <w:rFonts w:hint="eastAsia"/>
        </w:rPr>
        <w:t>）负责组织运输抢险，准备好人员和车辆，随时准备按指挥命令行动。负责预备组织及材料、膳食等后勤保障，随时准备补充抢险队伍。</w:t>
      </w:r>
    </w:p>
    <w:p>
      <w:pPr>
        <w:pStyle w:val="6"/>
        <w:bidi w:val="0"/>
      </w:pPr>
      <w:bookmarkStart w:id="359" w:name="_Toc29549"/>
      <w:bookmarkStart w:id="360" w:name="_Toc25645"/>
      <w:bookmarkStart w:id="361" w:name="_Toc1174"/>
      <w:bookmarkStart w:id="362" w:name="_Toc37600068"/>
      <w:r>
        <w:t xml:space="preserve">4.2.2 </w:t>
      </w:r>
      <w:r>
        <w:rPr>
          <w:rFonts w:hint="eastAsia"/>
        </w:rPr>
        <w:t>应急抢险组</w:t>
      </w:r>
      <w:bookmarkEnd w:id="359"/>
      <w:bookmarkEnd w:id="360"/>
      <w:bookmarkEnd w:id="361"/>
      <w:bookmarkEnd w:id="362"/>
    </w:p>
    <w:p>
      <w:pPr>
        <w:pStyle w:val="90"/>
        <w:ind w:firstLine="480"/>
        <w:rPr>
          <w:kern w:val="0"/>
        </w:rPr>
      </w:pPr>
      <w:r>
        <w:rPr>
          <w:rFonts w:hint="eastAsia"/>
          <w:kern w:val="0"/>
        </w:rPr>
        <w:t>（</w:t>
      </w:r>
      <w:r>
        <w:rPr>
          <w:kern w:val="0"/>
        </w:rPr>
        <w:t>1</w:t>
      </w:r>
      <w:r>
        <w:rPr>
          <w:rFonts w:hint="eastAsia"/>
          <w:kern w:val="0"/>
        </w:rPr>
        <w:t>）负责组织</w:t>
      </w:r>
      <w:r>
        <w:rPr>
          <w:rFonts w:hint="eastAsia"/>
        </w:rPr>
        <w:t>贵重的物资或危险的物资抢救、转运工作；</w:t>
      </w:r>
    </w:p>
    <w:p>
      <w:pPr>
        <w:pStyle w:val="90"/>
        <w:ind w:firstLine="480"/>
        <w:rPr>
          <w:kern w:val="0"/>
        </w:rPr>
      </w:pPr>
      <w:r>
        <w:rPr>
          <w:rFonts w:hint="eastAsia"/>
          <w:kern w:val="0"/>
        </w:rPr>
        <w:t>（</w:t>
      </w:r>
      <w:r>
        <w:rPr>
          <w:kern w:val="0"/>
        </w:rPr>
        <w:t>2</w:t>
      </w:r>
      <w:r>
        <w:rPr>
          <w:rFonts w:hint="eastAsia"/>
          <w:kern w:val="0"/>
        </w:rPr>
        <w:t>）负责协调、处理事故现场、周边灾区供电故障抢修作业及临时断、送电作业；</w:t>
      </w:r>
    </w:p>
    <w:p>
      <w:pPr>
        <w:pStyle w:val="90"/>
        <w:ind w:firstLine="480"/>
        <w:rPr>
          <w:kern w:val="0"/>
        </w:rPr>
      </w:pPr>
      <w:r>
        <w:rPr>
          <w:rFonts w:hint="eastAsia"/>
          <w:kern w:val="0"/>
        </w:rPr>
        <w:t>（</w:t>
      </w:r>
      <w:r>
        <w:rPr>
          <w:kern w:val="0"/>
        </w:rPr>
        <w:t>3</w:t>
      </w:r>
      <w:r>
        <w:rPr>
          <w:rFonts w:hint="eastAsia"/>
          <w:kern w:val="0"/>
        </w:rPr>
        <w:t>）负责事故设备的处理。向</w:t>
      </w:r>
      <w:r>
        <w:rPr>
          <w:rFonts w:hint="eastAsia"/>
        </w:rPr>
        <w:t>应急指挥部</w:t>
      </w:r>
      <w:r>
        <w:rPr>
          <w:rFonts w:hint="eastAsia"/>
          <w:kern w:val="0"/>
        </w:rPr>
        <w:t>报告事故设备损失情况及抢修进度（包括事故设备损伤程度，需要抢修时长、抢修后能否正常使用等）；</w:t>
      </w:r>
    </w:p>
    <w:p>
      <w:pPr>
        <w:pStyle w:val="90"/>
        <w:ind w:firstLine="480"/>
        <w:rPr>
          <w:kern w:val="0"/>
        </w:rPr>
      </w:pPr>
      <w:r>
        <w:rPr>
          <w:rFonts w:hint="eastAsia"/>
          <w:kern w:val="0"/>
        </w:rPr>
        <w:t>（</w:t>
      </w:r>
      <w:r>
        <w:rPr>
          <w:kern w:val="0"/>
        </w:rPr>
        <w:t>4</w:t>
      </w:r>
      <w:r>
        <w:rPr>
          <w:rFonts w:hint="eastAsia"/>
          <w:kern w:val="0"/>
        </w:rPr>
        <w:t>）负责协调、处理、抢修电信设施，保障事故现场、控制中心与相关部门的通讯联系和畅通。</w:t>
      </w:r>
    </w:p>
    <w:p>
      <w:pPr>
        <w:pStyle w:val="6"/>
        <w:bidi w:val="0"/>
      </w:pPr>
      <w:bookmarkStart w:id="363" w:name="_Toc37600069"/>
      <w:bookmarkStart w:id="364" w:name="_Toc13301"/>
      <w:bookmarkStart w:id="365" w:name="_Toc15226"/>
      <w:bookmarkStart w:id="366" w:name="_Toc21998"/>
      <w:r>
        <w:t xml:space="preserve">4.2.3 </w:t>
      </w:r>
      <w:r>
        <w:rPr>
          <w:rFonts w:hint="eastAsia"/>
        </w:rPr>
        <w:t>通讯联络组</w:t>
      </w:r>
      <w:bookmarkEnd w:id="363"/>
      <w:bookmarkEnd w:id="364"/>
      <w:bookmarkEnd w:id="365"/>
      <w:bookmarkEnd w:id="366"/>
    </w:p>
    <w:p>
      <w:pPr>
        <w:pStyle w:val="90"/>
        <w:ind w:firstLine="480"/>
        <w:rPr>
          <w:kern w:val="0"/>
        </w:rPr>
      </w:pPr>
      <w:r>
        <w:rPr>
          <w:rFonts w:hint="eastAsia"/>
        </w:rPr>
        <w:t>（</w:t>
      </w:r>
      <w:r>
        <w:t>1</w:t>
      </w:r>
      <w:r>
        <w:rPr>
          <w:rFonts w:hint="eastAsia"/>
        </w:rPr>
        <w:t>）负责事故现场指挥部与各小组、各组之间、内部救援组织与外部救援力量的协调、联络工作，要求信息传达及时、准确。</w:t>
      </w:r>
    </w:p>
    <w:p>
      <w:pPr>
        <w:pStyle w:val="90"/>
        <w:ind w:firstLine="480"/>
        <w:rPr>
          <w:kern w:val="0"/>
        </w:rPr>
      </w:pPr>
      <w:r>
        <w:rPr>
          <w:rFonts w:hint="eastAsia"/>
          <w:kern w:val="0"/>
        </w:rPr>
        <w:t>（</w:t>
      </w:r>
      <w:r>
        <w:rPr>
          <w:kern w:val="0"/>
        </w:rPr>
        <w:t>2</w:t>
      </w:r>
      <w:r>
        <w:rPr>
          <w:rFonts w:hint="eastAsia"/>
          <w:kern w:val="0"/>
        </w:rPr>
        <w:t>）保障指挥部随时向辖区行政部门及区安监局、应急救援中心等报告事故现场情况，必要时要建立通信专线。</w:t>
      </w:r>
    </w:p>
    <w:p>
      <w:pPr>
        <w:pStyle w:val="90"/>
        <w:ind w:firstLine="480"/>
        <w:rPr>
          <w:rFonts w:hint="eastAsia"/>
          <w:snapToGrid w:val="0"/>
        </w:rPr>
      </w:pPr>
      <w:r>
        <w:rPr>
          <w:rFonts w:hint="eastAsia"/>
          <w:kern w:val="0"/>
        </w:rPr>
        <w:t>（</w:t>
      </w:r>
      <w:r>
        <w:rPr>
          <w:kern w:val="0"/>
        </w:rPr>
        <w:t>3</w:t>
      </w:r>
      <w:r>
        <w:rPr>
          <w:rFonts w:hint="eastAsia"/>
          <w:kern w:val="0"/>
        </w:rPr>
        <w:t>）负责联系第三方检测单位进行事故后</w:t>
      </w:r>
      <w:r>
        <w:rPr>
          <w:rFonts w:hint="eastAsia"/>
          <w:snapToGrid w:val="0"/>
        </w:rPr>
        <w:t>现场监测。</w:t>
      </w:r>
    </w:p>
    <w:p>
      <w:pPr>
        <w:pStyle w:val="90"/>
        <w:ind w:firstLine="480"/>
      </w:pPr>
      <w:r>
        <w:rPr>
          <w:color w:val="FF0000"/>
        </w:rPr>
        <w:br w:type="page"/>
      </w:r>
    </w:p>
    <w:p>
      <w:pPr>
        <w:pStyle w:val="4"/>
        <w:bidi w:val="0"/>
      </w:pPr>
      <w:bookmarkStart w:id="367" w:name="_Toc12955"/>
      <w:bookmarkStart w:id="368" w:name="_Toc26180"/>
      <w:bookmarkStart w:id="369" w:name="_Toc37600070"/>
      <w:bookmarkStart w:id="370" w:name="_Toc20658"/>
      <w:bookmarkStart w:id="371" w:name="_Toc2036"/>
      <w:bookmarkStart w:id="372" w:name="_Toc20947"/>
      <w:bookmarkStart w:id="373" w:name="_Toc24551"/>
      <w:bookmarkStart w:id="374" w:name="_Toc18549_WPSOffice_Level1"/>
      <w:r>
        <w:t xml:space="preserve">5 </w:t>
      </w:r>
      <w:r>
        <w:rPr>
          <w:rFonts w:hint="eastAsia"/>
        </w:rPr>
        <w:t>预防与预警</w:t>
      </w:r>
      <w:bookmarkEnd w:id="367"/>
      <w:bookmarkEnd w:id="368"/>
      <w:bookmarkEnd w:id="369"/>
      <w:bookmarkEnd w:id="370"/>
      <w:bookmarkEnd w:id="371"/>
      <w:bookmarkEnd w:id="372"/>
      <w:bookmarkEnd w:id="373"/>
      <w:bookmarkEnd w:id="374"/>
    </w:p>
    <w:p>
      <w:pPr>
        <w:pStyle w:val="5"/>
        <w:bidi w:val="0"/>
      </w:pPr>
      <w:bookmarkStart w:id="375" w:name="_Toc37600071"/>
      <w:bookmarkStart w:id="376" w:name="_Toc20281"/>
      <w:bookmarkStart w:id="377" w:name="_Toc17339"/>
      <w:bookmarkStart w:id="378" w:name="_Toc1948"/>
      <w:bookmarkStart w:id="379" w:name="_Toc9757"/>
      <w:bookmarkStart w:id="380" w:name="_Toc25145"/>
      <w:bookmarkStart w:id="381" w:name="_Toc18455"/>
      <w:bookmarkStart w:id="382" w:name="_Toc8554_WPSOffice_Level1"/>
      <w:r>
        <w:t xml:space="preserve">5.1 </w:t>
      </w:r>
      <w:r>
        <w:rPr>
          <w:rFonts w:hint="eastAsia"/>
        </w:rPr>
        <w:t>预防工作</w:t>
      </w:r>
      <w:bookmarkEnd w:id="375"/>
      <w:bookmarkEnd w:id="376"/>
      <w:bookmarkEnd w:id="377"/>
      <w:bookmarkEnd w:id="378"/>
      <w:bookmarkEnd w:id="379"/>
      <w:bookmarkEnd w:id="380"/>
      <w:bookmarkEnd w:id="381"/>
      <w:bookmarkEnd w:id="382"/>
    </w:p>
    <w:p>
      <w:pPr>
        <w:pStyle w:val="90"/>
        <w:ind w:firstLine="480"/>
      </w:pPr>
      <w:r>
        <w:rPr>
          <w:rFonts w:hint="eastAsia"/>
          <w:snapToGrid w:val="0"/>
        </w:rPr>
        <w:t>本公司为加强环境保护的管理工作，建立完善的环境管理体系，编制操作运行管理制度及设备维护、检修管理制度，加强运营人员培训，确保规范化操作。</w:t>
      </w:r>
    </w:p>
    <w:p>
      <w:pPr>
        <w:pStyle w:val="6"/>
        <w:bidi w:val="0"/>
      </w:pPr>
      <w:bookmarkStart w:id="383" w:name="_Toc37600072"/>
      <w:bookmarkStart w:id="384" w:name="_Toc307"/>
      <w:bookmarkStart w:id="385" w:name="_Toc19427"/>
      <w:bookmarkStart w:id="386" w:name="_Toc234"/>
      <w:r>
        <w:t xml:space="preserve">5.1.1 </w:t>
      </w:r>
      <w:r>
        <w:rPr>
          <w:rFonts w:hint="eastAsia"/>
        </w:rPr>
        <w:t>环境风险源监控</w:t>
      </w:r>
      <w:bookmarkEnd w:id="383"/>
      <w:bookmarkEnd w:id="384"/>
      <w:bookmarkEnd w:id="385"/>
      <w:bookmarkEnd w:id="386"/>
    </w:p>
    <w:p>
      <w:pPr>
        <w:pStyle w:val="90"/>
        <w:ind w:firstLine="480"/>
      </w:pPr>
      <w:r>
        <w:rPr>
          <w:rFonts w:hint="eastAsia"/>
        </w:rPr>
        <w:t>公司对各环境风险源的监控预防措施主要有：</w:t>
      </w:r>
    </w:p>
    <w:p>
      <w:pPr>
        <w:pStyle w:val="90"/>
        <w:ind w:firstLine="480"/>
      </w:pPr>
      <w:r>
        <w:rPr>
          <w:rFonts w:hint="eastAsia"/>
        </w:rPr>
        <w:t>建立危险源监控制度，落实监控措施；</w:t>
      </w:r>
    </w:p>
    <w:p>
      <w:pPr>
        <w:pStyle w:val="90"/>
        <w:ind w:firstLine="480"/>
      </w:pPr>
      <w:r>
        <w:rPr>
          <w:rFonts w:hint="eastAsia"/>
        </w:rPr>
        <w:t>定期进行防雷防静电检测；</w:t>
      </w:r>
    </w:p>
    <w:p>
      <w:pPr>
        <w:pStyle w:val="90"/>
        <w:ind w:firstLine="480"/>
      </w:pPr>
      <w:r>
        <w:rPr>
          <w:rFonts w:hint="eastAsia"/>
        </w:rPr>
        <w:t>设备设施定期保养并保持完好；</w:t>
      </w:r>
    </w:p>
    <w:p>
      <w:pPr>
        <w:pStyle w:val="90"/>
        <w:ind w:firstLine="480"/>
      </w:pPr>
      <w:r>
        <w:rPr>
          <w:rFonts w:hint="eastAsia"/>
        </w:rPr>
        <w:t>建立安全检查制度，定期对现场进行安全检查，发现问题及时整改。</w:t>
      </w:r>
    </w:p>
    <w:p>
      <w:pPr>
        <w:pStyle w:val="6"/>
        <w:bidi w:val="0"/>
      </w:pPr>
      <w:bookmarkStart w:id="387" w:name="_Toc27888"/>
      <w:bookmarkStart w:id="388" w:name="_Toc2308"/>
      <w:bookmarkStart w:id="389" w:name="_Toc7992"/>
      <w:bookmarkStart w:id="390" w:name="_Toc37600073"/>
      <w:r>
        <w:t xml:space="preserve">5.1.2 </w:t>
      </w:r>
      <w:r>
        <w:rPr>
          <w:rFonts w:hint="eastAsia"/>
        </w:rPr>
        <w:t>防范措施</w:t>
      </w:r>
      <w:bookmarkEnd w:id="387"/>
      <w:bookmarkEnd w:id="388"/>
      <w:bookmarkEnd w:id="389"/>
      <w:bookmarkEnd w:id="390"/>
    </w:p>
    <w:p>
      <w:pPr>
        <w:pStyle w:val="90"/>
        <w:ind w:firstLine="480"/>
      </w:pPr>
      <w:r>
        <w:rPr>
          <w:rFonts w:hint="eastAsia"/>
        </w:rPr>
        <w:t>（</w:t>
      </w:r>
      <w:r>
        <w:t>1</w:t>
      </w:r>
      <w:r>
        <w:rPr>
          <w:rFonts w:hint="eastAsia"/>
        </w:rPr>
        <w:t>）安全管理措施</w:t>
      </w:r>
    </w:p>
    <w:p>
      <w:pPr>
        <w:pStyle w:val="90"/>
        <w:ind w:firstLine="480"/>
      </w:pPr>
      <w:r>
        <w:rPr>
          <w:rFonts w:hint="eastAsia"/>
        </w:rPr>
        <w:t>①公司设有专门的安全生产管理机构，任命了安全管理人员，能处理一般突发事故及排除安全隐患；</w:t>
      </w:r>
    </w:p>
    <w:p>
      <w:pPr>
        <w:pStyle w:val="90"/>
        <w:ind w:firstLine="480"/>
      </w:pPr>
      <w:r>
        <w:rPr>
          <w:rFonts w:hint="eastAsia"/>
        </w:rPr>
        <w:t>②安全管理员、特种作业人员、其他从业人员均经相关政府部门或本公司培训，考核合格取得上岗资格后方可上岗作业；</w:t>
      </w:r>
    </w:p>
    <w:p>
      <w:pPr>
        <w:pStyle w:val="90"/>
        <w:ind w:firstLine="480"/>
      </w:pPr>
      <w:r>
        <w:rPr>
          <w:rFonts w:hint="eastAsia"/>
        </w:rPr>
        <w:t>③制订了安全管理制度和安全操作规程，并对相关人员进行考核，消除了人的不安全行为；</w:t>
      </w:r>
    </w:p>
    <w:p>
      <w:pPr>
        <w:pStyle w:val="90"/>
        <w:ind w:firstLine="480"/>
      </w:pPr>
      <w:r>
        <w:rPr>
          <w:rFonts w:hint="eastAsia"/>
        </w:rPr>
        <w:t>④建立安全检查、二巡查和值班制度，及时发现事故隐患并将事故隐患消除在初期阶段；</w:t>
      </w:r>
    </w:p>
    <w:p>
      <w:pPr>
        <w:pStyle w:val="90"/>
        <w:ind w:firstLine="480"/>
      </w:pPr>
      <w:r>
        <w:rPr>
          <w:rFonts w:hint="eastAsia"/>
        </w:rPr>
        <w:t>⑤制订了相应的事故应急救援预案，对各类事故的防范作出了应急措施；</w:t>
      </w:r>
    </w:p>
    <w:p>
      <w:pPr>
        <w:pStyle w:val="90"/>
        <w:ind w:firstLine="480"/>
      </w:pPr>
      <w:r>
        <w:rPr>
          <w:rFonts w:hint="eastAsia"/>
        </w:rPr>
        <w:t>⑥员工均经安全教育培训，掌握了基本的逃生急救知识。</w:t>
      </w:r>
    </w:p>
    <w:p>
      <w:pPr>
        <w:pStyle w:val="90"/>
        <w:ind w:firstLine="480"/>
      </w:pPr>
      <w:r>
        <w:rPr>
          <w:rFonts w:hint="eastAsia"/>
        </w:rPr>
        <w:t>（</w:t>
      </w:r>
      <w:r>
        <w:t>2</w:t>
      </w:r>
      <w:r>
        <w:rPr>
          <w:rFonts w:hint="eastAsia"/>
        </w:rPr>
        <w:t>）安全技术措施</w:t>
      </w:r>
    </w:p>
    <w:p>
      <w:pPr>
        <w:pStyle w:val="90"/>
        <w:ind w:firstLine="480"/>
      </w:pPr>
      <w:r>
        <w:rPr>
          <w:rFonts w:hint="eastAsia"/>
        </w:rPr>
        <w:t>①公司作业场所配备了干粉灭火器；</w:t>
      </w:r>
    </w:p>
    <w:p>
      <w:pPr>
        <w:pStyle w:val="90"/>
        <w:ind w:firstLine="480"/>
      </w:pPr>
      <w:r>
        <w:rPr>
          <w:rFonts w:hint="eastAsia"/>
        </w:rPr>
        <w:t>②消防设施、器材有专人管理，消防器材摆放在明显和便于取用的地点，周围没有存放杂物；</w:t>
      </w:r>
    </w:p>
    <w:p>
      <w:pPr>
        <w:pStyle w:val="90"/>
        <w:ind w:firstLine="480"/>
      </w:pPr>
      <w:r>
        <w:rPr>
          <w:rFonts w:hint="eastAsia"/>
        </w:rPr>
        <w:t>③储存装备布置、建筑结构、</w:t>
      </w:r>
      <w:r>
        <w:rPr>
          <w:rFonts w:hint="eastAsia"/>
          <w:highlight w:val="none"/>
        </w:rPr>
        <w:t>电器设备</w:t>
      </w:r>
      <w:r>
        <w:rPr>
          <w:rFonts w:hint="eastAsia"/>
        </w:rPr>
        <w:t>的选用及安装符合国家有关规定和标准；</w:t>
      </w:r>
    </w:p>
    <w:p>
      <w:pPr>
        <w:pStyle w:val="90"/>
        <w:ind w:firstLine="480"/>
      </w:pPr>
      <w:r>
        <w:rPr>
          <w:rFonts w:hint="eastAsia"/>
        </w:rPr>
        <w:t>④厂房建筑之间的防火间距符合要求，厂房建筑物的耐火等级、占地面积符合规范要求；</w:t>
      </w:r>
    </w:p>
    <w:p>
      <w:pPr>
        <w:pStyle w:val="90"/>
        <w:ind w:firstLine="480"/>
      </w:pPr>
      <w:r>
        <w:rPr>
          <w:rFonts w:hint="eastAsia"/>
        </w:rPr>
        <w:t>⑤厂区均设有专门的安全通道并保持畅通无阻，利于人员疏散与救援；</w:t>
      </w:r>
    </w:p>
    <w:p>
      <w:pPr>
        <w:pStyle w:val="90"/>
        <w:ind w:firstLine="480"/>
      </w:pPr>
      <w:r>
        <w:rPr>
          <w:rFonts w:hint="eastAsia"/>
        </w:rPr>
        <w:t>⑥作业场所按国家有关规定设置了安全标志。</w:t>
      </w:r>
    </w:p>
    <w:p>
      <w:pPr>
        <w:pStyle w:val="6"/>
        <w:bidi w:val="0"/>
      </w:pPr>
      <w:bookmarkStart w:id="391" w:name="_Toc30769"/>
      <w:bookmarkStart w:id="392" w:name="_Toc20992"/>
      <w:bookmarkStart w:id="393" w:name="_Toc37600074"/>
      <w:bookmarkStart w:id="394" w:name="_Toc7886"/>
      <w:r>
        <w:t xml:space="preserve">5.1.3 </w:t>
      </w:r>
      <w:r>
        <w:rPr>
          <w:rFonts w:hint="eastAsia"/>
        </w:rPr>
        <w:t>环境风险隐患排查和整治措施</w:t>
      </w:r>
      <w:bookmarkEnd w:id="391"/>
      <w:bookmarkEnd w:id="392"/>
      <w:bookmarkEnd w:id="393"/>
      <w:bookmarkEnd w:id="394"/>
    </w:p>
    <w:p>
      <w:pPr>
        <w:pStyle w:val="90"/>
        <w:ind w:firstLine="482"/>
        <w:rPr>
          <w:b/>
        </w:rPr>
      </w:pPr>
      <w:r>
        <w:rPr>
          <w:rFonts w:hint="eastAsia"/>
          <w:b/>
        </w:rPr>
        <w:t>（</w:t>
      </w:r>
      <w:r>
        <w:rPr>
          <w:b/>
        </w:rPr>
        <w:t>1</w:t>
      </w:r>
      <w:r>
        <w:rPr>
          <w:rFonts w:hint="eastAsia"/>
          <w:b/>
        </w:rPr>
        <w:t>）风险排查的任务和要求</w:t>
      </w:r>
    </w:p>
    <w:p>
      <w:pPr>
        <w:pStyle w:val="90"/>
        <w:ind w:firstLine="480"/>
      </w:pPr>
      <w:r>
        <w:rPr>
          <w:rFonts w:hint="eastAsia"/>
        </w:rPr>
        <w:t>①风险排查是安全生产管理工作的重要手段，是各级领导的重要职责，在组织各项生产活动时，都要认真检查安全工作。</w:t>
      </w:r>
    </w:p>
    <w:p>
      <w:pPr>
        <w:pStyle w:val="90"/>
        <w:ind w:firstLine="480"/>
      </w:pPr>
      <w:r>
        <w:rPr>
          <w:rFonts w:hint="eastAsia"/>
        </w:rPr>
        <w:t>②风险排查的任务是查明和发现各种不安全因素和隐患督促整改、监督各项安全管理制度的落实，制止“三违”，做好防范和风险整治工作。</w:t>
      </w:r>
    </w:p>
    <w:p>
      <w:pPr>
        <w:pStyle w:val="90"/>
        <w:ind w:firstLine="480"/>
      </w:pPr>
      <w:r>
        <w:rPr>
          <w:rFonts w:hint="eastAsia"/>
        </w:rPr>
        <w:t>③风险排查工作要有明确的目的、要求和具体计划。</w:t>
      </w:r>
    </w:p>
    <w:p>
      <w:pPr>
        <w:pStyle w:val="90"/>
        <w:ind w:firstLine="480"/>
      </w:pPr>
      <w:r>
        <w:rPr>
          <w:rFonts w:hint="eastAsia"/>
        </w:rPr>
        <w:t>④风险排查组织由主管安全生产的各级领导负责和有关职能人员参加，做到边检查边整改，并及时总结和推广先进经验。</w:t>
      </w:r>
    </w:p>
    <w:p>
      <w:pPr>
        <w:pStyle w:val="90"/>
        <w:ind w:firstLine="482"/>
        <w:rPr>
          <w:b/>
        </w:rPr>
      </w:pPr>
      <w:r>
        <w:rPr>
          <w:rFonts w:hint="eastAsia"/>
          <w:b/>
        </w:rPr>
        <w:t>（</w:t>
      </w:r>
      <w:r>
        <w:rPr>
          <w:b/>
        </w:rPr>
        <w:t>2</w:t>
      </w:r>
      <w:r>
        <w:rPr>
          <w:rFonts w:hint="eastAsia"/>
          <w:b/>
        </w:rPr>
        <w:t>）风险排查内容</w:t>
      </w:r>
    </w:p>
    <w:p>
      <w:pPr>
        <w:pStyle w:val="90"/>
        <w:ind w:firstLine="480"/>
      </w:pPr>
      <w:r>
        <w:rPr>
          <w:rFonts w:hint="eastAsia"/>
        </w:rPr>
        <w:t>①查思想：查对环境风险的认识，是否牢固树立安全第一的思想和安全生产责任心。</w:t>
      </w:r>
    </w:p>
    <w:p>
      <w:pPr>
        <w:pStyle w:val="90"/>
        <w:ind w:firstLine="480"/>
      </w:pPr>
      <w:r>
        <w:rPr>
          <w:rFonts w:hint="eastAsia"/>
        </w:rPr>
        <w:t>②查制度：查安全生产规章制度是否建立健全和各项制度的执行情况。</w:t>
      </w:r>
    </w:p>
    <w:p>
      <w:pPr>
        <w:pStyle w:val="90"/>
        <w:ind w:firstLine="480"/>
      </w:pPr>
      <w:r>
        <w:rPr>
          <w:rFonts w:hint="eastAsia"/>
        </w:rPr>
        <w:t>③查纪律：查岗位上劳动纪律、工艺纪律和安全纪律遵守情况。</w:t>
      </w:r>
    </w:p>
    <w:p>
      <w:pPr>
        <w:pStyle w:val="90"/>
        <w:ind w:firstLine="480"/>
      </w:pPr>
      <w:r>
        <w:rPr>
          <w:rFonts w:hint="eastAsia"/>
        </w:rPr>
        <w:t>④查领导：查领导是否把环境风险防范摆到重要议事日程，生产与安全是否做到“三同时”。</w:t>
      </w:r>
    </w:p>
    <w:p>
      <w:pPr>
        <w:pStyle w:val="90"/>
        <w:ind w:firstLine="480"/>
      </w:pPr>
      <w:r>
        <w:rPr>
          <w:rFonts w:hint="eastAsia"/>
        </w:rPr>
        <w:t>⑤查隐患：查是否做到安全生产、文明生产。设备的安全防护装置是否安全可靠，厂房建筑、生产设施有无</w:t>
      </w:r>
      <w:r>
        <w:rPr>
          <w:rFonts w:hint="eastAsia"/>
          <w:highlight w:val="none"/>
        </w:rPr>
        <w:t>安全隐患</w:t>
      </w:r>
      <w:r>
        <w:rPr>
          <w:rFonts w:hint="eastAsia"/>
        </w:rPr>
        <w:t>，岗位有害物浓度是否达到安全卫生标准。</w:t>
      </w:r>
    </w:p>
    <w:p>
      <w:pPr>
        <w:pStyle w:val="90"/>
        <w:ind w:firstLine="482"/>
      </w:pPr>
      <w:r>
        <w:rPr>
          <w:rFonts w:hint="eastAsia"/>
          <w:b/>
        </w:rPr>
        <w:t>（</w:t>
      </w:r>
      <w:r>
        <w:rPr>
          <w:b/>
        </w:rPr>
        <w:t>3</w:t>
      </w:r>
      <w:r>
        <w:rPr>
          <w:rFonts w:hint="eastAsia"/>
          <w:b/>
        </w:rPr>
        <w:t>）风险排查形式</w:t>
      </w:r>
    </w:p>
    <w:p>
      <w:pPr>
        <w:pStyle w:val="90"/>
        <w:ind w:firstLine="480"/>
      </w:pPr>
      <w:r>
        <w:rPr>
          <w:rFonts w:hint="eastAsia"/>
        </w:rPr>
        <w:t>①综合性检查。坚持定期或不定期的安全生产检查制度，公司风险排查由主管生产的领导负责。召集有关部门和职能人员组成检查组。检查和整改情况由生产技术部汇总上报。公司安委会组织全公司的检查，每年不少于两次。各生产部门每月检查不少于两次。并将检查和整改情况由有关责任人（安全员）汇总抄送生产技术部。工段负责人每周进行二次检查，班组进行每日检查制度。</w:t>
      </w:r>
    </w:p>
    <w:p>
      <w:pPr>
        <w:pStyle w:val="90"/>
        <w:ind w:firstLine="480"/>
      </w:pPr>
      <w:r>
        <w:rPr>
          <w:rFonts w:hint="eastAsia"/>
        </w:rPr>
        <w:t>②季节性检查。对防雨防洪、防泄露、防火防爆及防污染等工作，进行预防性季节检查，由各生产单位负责组织进行，并将检查和整改情况上报公司分管领导，抄送生产技术部。</w:t>
      </w:r>
    </w:p>
    <w:p>
      <w:pPr>
        <w:pStyle w:val="90"/>
        <w:ind w:firstLine="480"/>
      </w:pPr>
      <w:r>
        <w:rPr>
          <w:rFonts w:hint="eastAsia"/>
        </w:rPr>
        <w:t>③日常检查分岗位工人检查和管理人员巡回检查。岗位工人应认真执行岗位安全生产责任制，进行交接班检查和班中巡回检查，各级管理人员应在各自的业务范围内进行经常性检查。</w:t>
      </w:r>
    </w:p>
    <w:p>
      <w:pPr>
        <w:pStyle w:val="90"/>
        <w:ind w:firstLine="480"/>
      </w:pPr>
      <w:r>
        <w:rPr>
          <w:rFonts w:hint="eastAsia"/>
        </w:rPr>
        <w:t>④各种检查均应</w:t>
      </w:r>
      <w:r>
        <w:rPr>
          <w:rFonts w:hint="eastAsia"/>
          <w:lang w:val="en-US" w:eastAsia="zh-CN"/>
        </w:rPr>
        <w:t>按需</w:t>
      </w:r>
      <w:r>
        <w:rPr>
          <w:rFonts w:hint="eastAsia"/>
        </w:rPr>
        <w:t>检内容逐一检查，并有文字记录备案。</w:t>
      </w:r>
    </w:p>
    <w:p>
      <w:pPr>
        <w:pStyle w:val="90"/>
        <w:ind w:firstLine="482"/>
        <w:rPr>
          <w:b/>
        </w:rPr>
      </w:pPr>
      <w:r>
        <w:rPr>
          <w:rFonts w:hint="eastAsia"/>
          <w:b/>
        </w:rPr>
        <w:t>（</w:t>
      </w:r>
      <w:r>
        <w:rPr>
          <w:b/>
        </w:rPr>
        <w:t>4</w:t>
      </w:r>
      <w:r>
        <w:rPr>
          <w:rFonts w:hint="eastAsia"/>
          <w:b/>
        </w:rPr>
        <w:t>）风险整治措施</w:t>
      </w:r>
    </w:p>
    <w:p>
      <w:pPr>
        <w:pStyle w:val="90"/>
        <w:ind w:firstLine="480"/>
      </w:pPr>
      <w:r>
        <w:rPr>
          <w:rFonts w:hint="eastAsia"/>
        </w:rPr>
        <w:t>①风险隐患是指公司的生产设备、设施、作业环境、生产组织和劳动组织等方面不符合环境安全规定的缺陷和问题。这些缺陷和问题危及公司环境安全和周边敏感点，可能引起环境事故。必须及时进行整改。如本单位不能进行整改的要立即报告主管部门统一安排整改。</w:t>
      </w:r>
    </w:p>
    <w:p>
      <w:pPr>
        <w:pStyle w:val="90"/>
        <w:ind w:firstLine="480"/>
      </w:pPr>
      <w:r>
        <w:rPr>
          <w:rFonts w:hint="eastAsia"/>
        </w:rPr>
        <w:t>②公司主管生产领导和生产部门负责人对本公司、部门风险整治工作负全面责任。应依照“安全第一、预防为主、综合治理”的方针，及时采取有效措施，消除隐患，使作业场所和各项设施符合有关环境安全规定。</w:t>
      </w:r>
    </w:p>
    <w:p>
      <w:pPr>
        <w:pStyle w:val="90"/>
        <w:ind w:firstLine="480"/>
      </w:pPr>
      <w:r>
        <w:rPr>
          <w:rFonts w:hint="eastAsia"/>
        </w:rPr>
        <w:t>③各生产部门及下属单位都要建立隐患检查、登记、整改、销案制度，凡属已经发现而又不能迅速消除的隐患，均要逐项登记，联系有关单位安排整改。</w:t>
      </w:r>
    </w:p>
    <w:p>
      <w:pPr>
        <w:pStyle w:val="90"/>
        <w:ind w:firstLine="480"/>
      </w:pPr>
      <w:r>
        <w:rPr>
          <w:rFonts w:hint="eastAsia"/>
        </w:rPr>
        <w:t>④重大隐患实行归口申报处理制度。发现重大隐患应首先采取临时性防护措施，并通知各专业单位进行整改，同时报环境管理部门备案。</w:t>
      </w:r>
    </w:p>
    <w:p>
      <w:pPr>
        <w:pStyle w:val="90"/>
        <w:ind w:firstLine="480"/>
      </w:pPr>
      <w:r>
        <w:rPr>
          <w:rFonts w:hint="eastAsia"/>
        </w:rPr>
        <w:t>⑤急需整治的重大风险隐患。为了不影响环境安全，可直接报送环境管理部门，由其安排有关单位立即实施风险整治工作。风险整治工作由使用单位检查、督促，环保主管负责协办、督办。</w:t>
      </w:r>
    </w:p>
    <w:p>
      <w:pPr>
        <w:pStyle w:val="90"/>
        <w:ind w:firstLine="480"/>
      </w:pPr>
      <w:r>
        <w:rPr>
          <w:rFonts w:hint="eastAsia"/>
        </w:rPr>
        <w:t>⑥凡重大隐患未及时向职能部门申报，或处理前未采取临时防护措施而发生事故，将追究事故单位领导责任，归口处理单位未按要求及时处理，责任由整改项目归口单位负责，未及时进行催办由使用单位负责，未及时进行协办，督办由环境管理部门负责，风险整治具体归口单位如下：</w:t>
      </w:r>
    </w:p>
    <w:p>
      <w:pPr>
        <w:pStyle w:val="90"/>
        <w:ind w:firstLine="480"/>
      </w:pPr>
      <w:r>
        <w:rPr>
          <w:highlight w:val="none"/>
        </w:rPr>
        <w:t>a</w:t>
      </w:r>
      <w:r>
        <w:rPr>
          <w:rFonts w:hint="eastAsia" w:ascii="MS Mincho" w:hAnsi="MS Mincho"/>
          <w:highlight w:val="none"/>
        </w:rPr>
        <w:t>、</w:t>
      </w:r>
      <w:r>
        <w:rPr>
          <w:rFonts w:hint="eastAsia"/>
        </w:rPr>
        <w:t>三废处置设施设备隐患由所属部门设备技术人员负责处理。</w:t>
      </w:r>
    </w:p>
    <w:p>
      <w:pPr>
        <w:pStyle w:val="90"/>
        <w:ind w:firstLine="480"/>
      </w:pPr>
      <w:r>
        <w:rPr>
          <w:highlight w:val="none"/>
        </w:rPr>
        <w:t>b</w:t>
      </w:r>
      <w:r>
        <w:rPr>
          <w:rFonts w:hint="eastAsia" w:ascii="MS Mincho" w:hAnsi="MS Mincho"/>
          <w:highlight w:val="none"/>
        </w:rPr>
        <w:t>、</w:t>
      </w:r>
      <w:r>
        <w:rPr>
          <w:rFonts w:hint="eastAsia"/>
        </w:rPr>
        <w:t>危险品、储存隐患由所属相应对口部门负责处理。</w:t>
      </w:r>
    </w:p>
    <w:p>
      <w:pPr>
        <w:pStyle w:val="90"/>
        <w:ind w:firstLine="480"/>
      </w:pPr>
      <w:r>
        <w:rPr>
          <w:rFonts w:hint="eastAsia"/>
        </w:rPr>
        <w:t>⑦风险整治管理实行工作联系通知单制度，《整改通知单》到达后，整改责任单位应合理安排整改计划。未及时认真落实整改的将按照《生产安全事故管理行政责任追究制度》规定严肃考核。</w:t>
      </w:r>
    </w:p>
    <w:p>
      <w:pPr>
        <w:pStyle w:val="90"/>
        <w:ind w:firstLine="480"/>
      </w:pPr>
      <w:r>
        <w:rPr>
          <w:rFonts w:hint="eastAsia"/>
        </w:rPr>
        <w:t>⑧发现隐患，填报《风险整治通知单》，提出本单位整改意见，并有专人配合该项整改工作。整改工作结束，由隐患所在单位验收，报环境管理部门销案。</w:t>
      </w:r>
    </w:p>
    <w:p>
      <w:pPr>
        <w:pStyle w:val="5"/>
        <w:bidi w:val="0"/>
      </w:pPr>
      <w:bookmarkStart w:id="395" w:name="_Toc15122"/>
      <w:bookmarkStart w:id="396" w:name="_Toc22798"/>
      <w:bookmarkStart w:id="397" w:name="_Toc29578"/>
      <w:bookmarkStart w:id="398" w:name="_Toc37600075"/>
      <w:bookmarkStart w:id="399" w:name="_Toc19794_WPSOffice_Level1"/>
      <w:bookmarkStart w:id="400" w:name="_Toc23961"/>
      <w:bookmarkStart w:id="401" w:name="_Toc14381"/>
      <w:bookmarkStart w:id="402" w:name="_Toc22137"/>
      <w:r>
        <w:t xml:space="preserve">5.2 </w:t>
      </w:r>
      <w:r>
        <w:rPr>
          <w:rFonts w:hint="eastAsia"/>
        </w:rPr>
        <w:t>应急准备</w:t>
      </w:r>
      <w:bookmarkEnd w:id="395"/>
      <w:bookmarkEnd w:id="396"/>
      <w:bookmarkEnd w:id="397"/>
      <w:bookmarkEnd w:id="398"/>
      <w:bookmarkEnd w:id="399"/>
      <w:bookmarkEnd w:id="400"/>
      <w:bookmarkEnd w:id="401"/>
      <w:bookmarkEnd w:id="402"/>
    </w:p>
    <w:p>
      <w:pPr>
        <w:pStyle w:val="6"/>
        <w:bidi w:val="0"/>
      </w:pPr>
      <w:bookmarkStart w:id="403" w:name="_Toc3100"/>
      <w:bookmarkStart w:id="404" w:name="_Toc21920"/>
      <w:bookmarkStart w:id="405" w:name="_Toc37600076"/>
      <w:bookmarkStart w:id="406" w:name="_Toc21476"/>
      <w:r>
        <w:t xml:space="preserve">5.2.1 </w:t>
      </w:r>
      <w:r>
        <w:rPr>
          <w:rFonts w:hint="eastAsia"/>
        </w:rPr>
        <w:t>建立应急指挥中心</w:t>
      </w:r>
      <w:bookmarkEnd w:id="403"/>
      <w:bookmarkEnd w:id="404"/>
      <w:bookmarkEnd w:id="405"/>
      <w:bookmarkEnd w:id="406"/>
    </w:p>
    <w:p>
      <w:pPr>
        <w:pStyle w:val="90"/>
        <w:ind w:firstLine="480"/>
        <w:rPr>
          <w:snapToGrid w:val="0"/>
        </w:rPr>
      </w:pPr>
      <w:r>
        <w:rPr>
          <w:rFonts w:hint="eastAsia"/>
          <w:snapToGrid w:val="0"/>
        </w:rPr>
        <w:t>建立应急指挥中心，实现多方语音同步群呼、短信群发，实现快速通知应急计划中指定的有关责任人员；电话会议。</w:t>
      </w:r>
    </w:p>
    <w:p>
      <w:pPr>
        <w:pStyle w:val="6"/>
        <w:bidi w:val="0"/>
      </w:pPr>
      <w:bookmarkStart w:id="407" w:name="_Toc37600077"/>
      <w:bookmarkStart w:id="408" w:name="_Toc24406"/>
      <w:bookmarkStart w:id="409" w:name="_Toc26902"/>
      <w:bookmarkStart w:id="410" w:name="_Toc10453"/>
      <w:r>
        <w:t xml:space="preserve">5.2.2 </w:t>
      </w:r>
      <w:r>
        <w:rPr>
          <w:rFonts w:hint="eastAsia"/>
        </w:rPr>
        <w:t>应急物资配备</w:t>
      </w:r>
      <w:bookmarkEnd w:id="407"/>
      <w:bookmarkEnd w:id="408"/>
      <w:bookmarkEnd w:id="409"/>
      <w:bookmarkEnd w:id="410"/>
    </w:p>
    <w:p>
      <w:pPr>
        <w:pStyle w:val="90"/>
        <w:ind w:firstLine="480"/>
        <w:rPr>
          <w:snapToGrid w:val="0"/>
        </w:rPr>
      </w:pPr>
      <w:r>
        <w:rPr>
          <w:rFonts w:hint="eastAsia"/>
          <w:snapToGrid w:val="0"/>
        </w:rPr>
        <w:t>依据现场可能发生的紧急突发事件，对应急物资、应急设备、</w:t>
      </w:r>
      <w:r>
        <w:rPr>
          <w:rFonts w:hint="eastAsia"/>
          <w:snapToGrid w:val="0"/>
          <w:highlight w:val="none"/>
        </w:rPr>
        <w:t>通讯设备</w:t>
      </w:r>
      <w:r>
        <w:rPr>
          <w:rFonts w:hint="eastAsia"/>
          <w:snapToGrid w:val="0"/>
        </w:rPr>
        <w:t>、交通设备、医疗急救设施等进行配备；加强应急设备设施的日常管理，建立</w:t>
      </w:r>
      <w:r>
        <w:rPr>
          <w:snapToGrid w:val="0"/>
        </w:rPr>
        <w:t>“</w:t>
      </w:r>
      <w:r>
        <w:rPr>
          <w:rFonts w:hint="eastAsia"/>
          <w:snapToGrid w:val="0"/>
        </w:rPr>
        <w:t>应急设备设施储备表</w:t>
      </w:r>
      <w:r>
        <w:rPr>
          <w:snapToGrid w:val="0"/>
        </w:rPr>
        <w:t>”</w:t>
      </w:r>
      <w:r>
        <w:rPr>
          <w:rFonts w:hint="eastAsia"/>
          <w:snapToGrid w:val="0"/>
        </w:rPr>
        <w:t>，确保应急设备设施完好。</w:t>
      </w:r>
    </w:p>
    <w:p>
      <w:pPr>
        <w:pStyle w:val="6"/>
        <w:bidi w:val="0"/>
      </w:pPr>
      <w:bookmarkStart w:id="411" w:name="_Toc12740"/>
      <w:bookmarkStart w:id="412" w:name="_Toc14679"/>
      <w:bookmarkStart w:id="413" w:name="_Toc6276"/>
      <w:bookmarkStart w:id="414" w:name="_Toc37600078"/>
      <w:r>
        <w:t xml:space="preserve">5.2.3 </w:t>
      </w:r>
      <w:r>
        <w:rPr>
          <w:rFonts w:hint="eastAsia"/>
        </w:rPr>
        <w:t>加强应急能力建设</w:t>
      </w:r>
      <w:bookmarkEnd w:id="411"/>
      <w:bookmarkEnd w:id="412"/>
      <w:bookmarkEnd w:id="413"/>
      <w:bookmarkEnd w:id="414"/>
    </w:p>
    <w:p>
      <w:pPr>
        <w:pStyle w:val="90"/>
        <w:ind w:firstLine="480"/>
        <w:rPr>
          <w:snapToGrid w:val="0"/>
        </w:rPr>
      </w:pPr>
      <w:r>
        <w:rPr>
          <w:rFonts w:hint="eastAsia"/>
          <w:snapToGrid w:val="0"/>
        </w:rPr>
        <w:t>制定应急培训与演练计划，加强全员应急知识及能力建设。本项目各应急防控均配置责任人，见表</w:t>
      </w:r>
      <w:r>
        <w:rPr>
          <w:snapToGrid w:val="0"/>
        </w:rPr>
        <w:t>5.2</w:t>
      </w:r>
      <w:r>
        <w:rPr>
          <w:rFonts w:hint="eastAsia"/>
          <w:snapToGrid w:val="0"/>
          <w:lang w:val="en-US" w:eastAsia="zh-CN"/>
        </w:rPr>
        <w:t>.3</w:t>
      </w:r>
      <w:r>
        <w:rPr>
          <w:snapToGrid w:val="0"/>
        </w:rPr>
        <w:t>-1</w:t>
      </w:r>
      <w:r>
        <w:rPr>
          <w:rFonts w:hint="eastAsia"/>
          <w:snapToGrid w:val="0"/>
        </w:rPr>
        <w:t>。</w:t>
      </w:r>
    </w:p>
    <w:p>
      <w:pPr>
        <w:pStyle w:val="82"/>
        <w:spacing w:before="163"/>
      </w:pPr>
      <w:r>
        <w:rPr>
          <w:rFonts w:hint="eastAsia"/>
        </w:rPr>
        <w:t>表</w:t>
      </w:r>
      <w:r>
        <w:t>5.2</w:t>
      </w:r>
      <w:r>
        <w:rPr>
          <w:rFonts w:hint="eastAsia"/>
          <w:lang w:val="en-US" w:eastAsia="zh-CN"/>
        </w:rPr>
        <w:t>.3</w:t>
      </w:r>
      <w:r>
        <w:t xml:space="preserve">-1 </w:t>
      </w:r>
      <w:r>
        <w:rPr>
          <w:rFonts w:hint="eastAsia"/>
        </w:rPr>
        <w:t>本公司应急防控相关责任人</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34"/>
        <w:gridCol w:w="4230"/>
        <w:gridCol w:w="355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36" w:type="pct"/>
            <w:tcBorders>
              <w:bottom w:val="single" w:color="auto" w:sz="12" w:space="0"/>
            </w:tcBorders>
            <w:vAlign w:val="center"/>
          </w:tcPr>
          <w:p>
            <w:pPr>
              <w:pStyle w:val="83"/>
              <w:rPr>
                <w:b/>
              </w:rPr>
            </w:pPr>
            <w:r>
              <w:rPr>
                <w:rFonts w:hint="eastAsia"/>
                <w:b/>
              </w:rPr>
              <w:t>序号</w:t>
            </w:r>
          </w:p>
        </w:tc>
        <w:tc>
          <w:tcPr>
            <w:tcW w:w="2426" w:type="pct"/>
            <w:tcBorders>
              <w:bottom w:val="single" w:color="auto" w:sz="12" w:space="0"/>
            </w:tcBorders>
            <w:vAlign w:val="center"/>
          </w:tcPr>
          <w:p>
            <w:pPr>
              <w:pStyle w:val="83"/>
              <w:rPr>
                <w:b/>
              </w:rPr>
            </w:pPr>
            <w:r>
              <w:rPr>
                <w:rFonts w:hint="eastAsia"/>
                <w:b/>
              </w:rPr>
              <w:t>应急防控措施</w:t>
            </w:r>
          </w:p>
        </w:tc>
        <w:tc>
          <w:tcPr>
            <w:tcW w:w="2037" w:type="pct"/>
            <w:tcBorders>
              <w:bottom w:val="single" w:color="auto" w:sz="12" w:space="0"/>
            </w:tcBorders>
            <w:vAlign w:val="center"/>
          </w:tcPr>
          <w:p>
            <w:pPr>
              <w:pStyle w:val="83"/>
              <w:rPr>
                <w:b/>
              </w:rPr>
            </w:pPr>
            <w:r>
              <w:rPr>
                <w:rFonts w:hint="eastAsia"/>
                <w:b/>
              </w:rPr>
              <w:t>责任人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6" w:type="pct"/>
            <w:tcBorders>
              <w:top w:val="single" w:color="auto" w:sz="12" w:space="0"/>
              <w:tl2br w:val="nil"/>
              <w:tr2bl w:val="nil"/>
            </w:tcBorders>
            <w:vAlign w:val="center"/>
          </w:tcPr>
          <w:p>
            <w:pPr>
              <w:pStyle w:val="83"/>
            </w:pPr>
            <w:r>
              <w:t>1</w:t>
            </w:r>
          </w:p>
        </w:tc>
        <w:tc>
          <w:tcPr>
            <w:tcW w:w="2426" w:type="pct"/>
            <w:tcBorders>
              <w:top w:val="single" w:color="auto" w:sz="12" w:space="0"/>
              <w:tl2br w:val="nil"/>
              <w:tr2bl w:val="nil"/>
            </w:tcBorders>
            <w:vAlign w:val="center"/>
          </w:tcPr>
          <w:p>
            <w:pPr>
              <w:pStyle w:val="83"/>
              <w:rPr>
                <w:kern w:val="0"/>
              </w:rPr>
            </w:pPr>
            <w:r>
              <w:rPr>
                <w:rFonts w:hint="eastAsia"/>
                <w:kern w:val="0"/>
              </w:rPr>
              <w:t>厂内对废水、废气的排放进行定期委外监测，同时市、区</w:t>
            </w:r>
            <w:r>
              <w:rPr>
                <w:rFonts w:hint="eastAsia"/>
                <w:kern w:val="0"/>
                <w:lang w:val="en-US" w:eastAsia="zh-CN"/>
              </w:rPr>
              <w:t>生态环境局</w:t>
            </w:r>
            <w:r>
              <w:rPr>
                <w:rFonts w:hint="eastAsia"/>
                <w:kern w:val="0"/>
              </w:rPr>
              <w:t>再另行安排每季度、年度的监督性监测</w:t>
            </w:r>
          </w:p>
        </w:tc>
        <w:tc>
          <w:tcPr>
            <w:tcW w:w="2037" w:type="pct"/>
            <w:tcBorders>
              <w:top w:val="single" w:color="auto" w:sz="12" w:space="0"/>
              <w:tl2br w:val="nil"/>
              <w:tr2bl w:val="nil"/>
            </w:tcBorders>
            <w:vAlign w:val="center"/>
          </w:tcPr>
          <w:p>
            <w:pPr>
              <w:pStyle w:val="83"/>
              <w:rPr>
                <w:kern w:val="0"/>
              </w:rPr>
            </w:pPr>
            <w:r>
              <w:rPr>
                <w:rFonts w:hint="eastAsia"/>
                <w:kern w:val="0"/>
              </w:rPr>
              <w:t>由</w:t>
            </w:r>
            <w:r>
              <w:rPr>
                <w:rFonts w:hint="eastAsia"/>
                <w:kern w:val="0"/>
                <w:highlight w:val="none"/>
              </w:rPr>
              <w:t>通讯</w:t>
            </w:r>
            <w:r>
              <w:rPr>
                <w:rFonts w:hint="eastAsia"/>
                <w:kern w:val="0"/>
              </w:rPr>
              <w:t>组安排厂区污染源的定期委外监测；</w:t>
            </w:r>
            <w:r>
              <w:rPr>
                <w:rFonts w:hint="eastAsia"/>
                <w:kern w:val="0"/>
                <w:lang w:val="en-US" w:eastAsia="zh-CN"/>
              </w:rPr>
              <w:t>南昌市生态环境局昌北分局</w:t>
            </w:r>
            <w:r>
              <w:rPr>
                <w:rFonts w:hint="eastAsia"/>
                <w:kern w:val="0"/>
              </w:rPr>
              <w:t>安排监督性监测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6" w:type="pct"/>
            <w:tcBorders>
              <w:tl2br w:val="nil"/>
              <w:tr2bl w:val="nil"/>
            </w:tcBorders>
            <w:vAlign w:val="center"/>
          </w:tcPr>
          <w:p>
            <w:pPr>
              <w:pStyle w:val="83"/>
            </w:pPr>
            <w:r>
              <w:t>2</w:t>
            </w:r>
          </w:p>
        </w:tc>
        <w:tc>
          <w:tcPr>
            <w:tcW w:w="2426" w:type="pct"/>
            <w:tcBorders>
              <w:tl2br w:val="nil"/>
              <w:tr2bl w:val="nil"/>
            </w:tcBorders>
            <w:vAlign w:val="center"/>
          </w:tcPr>
          <w:p>
            <w:pPr>
              <w:pStyle w:val="83"/>
              <w:rPr>
                <w:kern w:val="0"/>
              </w:rPr>
            </w:pPr>
            <w:r>
              <w:rPr>
                <w:rFonts w:hint="eastAsia"/>
                <w:kern w:val="0"/>
              </w:rPr>
              <w:t>厂区雨污分流，定期检查管道及收集装置</w:t>
            </w:r>
          </w:p>
        </w:tc>
        <w:tc>
          <w:tcPr>
            <w:tcW w:w="2037" w:type="pct"/>
            <w:tcBorders>
              <w:tl2br w:val="nil"/>
              <w:tr2bl w:val="nil"/>
            </w:tcBorders>
            <w:vAlign w:val="center"/>
          </w:tcPr>
          <w:p>
            <w:pPr>
              <w:pStyle w:val="83"/>
              <w:rPr>
                <w:kern w:val="0"/>
              </w:rPr>
            </w:pPr>
            <w:r>
              <w:rPr>
                <w:rFonts w:hint="eastAsia"/>
                <w:kern w:val="0"/>
              </w:rPr>
              <w:t>污水处理设施由王永平负责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6" w:type="pct"/>
            <w:tcBorders>
              <w:tl2br w:val="nil"/>
              <w:tr2bl w:val="nil"/>
            </w:tcBorders>
            <w:vAlign w:val="center"/>
          </w:tcPr>
          <w:p>
            <w:pPr>
              <w:pStyle w:val="83"/>
            </w:pPr>
            <w:r>
              <w:rPr>
                <w:rFonts w:hint="eastAsia"/>
              </w:rPr>
              <w:t>3</w:t>
            </w:r>
          </w:p>
        </w:tc>
        <w:tc>
          <w:tcPr>
            <w:tcW w:w="2426" w:type="pct"/>
            <w:tcBorders>
              <w:tl2br w:val="nil"/>
              <w:tr2bl w:val="nil"/>
            </w:tcBorders>
            <w:vAlign w:val="center"/>
          </w:tcPr>
          <w:p>
            <w:pPr>
              <w:pStyle w:val="83"/>
              <w:rPr>
                <w:kern w:val="0"/>
              </w:rPr>
            </w:pPr>
            <w:r>
              <w:rPr>
                <w:rFonts w:hint="eastAsia"/>
                <w:kern w:val="0"/>
              </w:rPr>
              <w:t>厂内对危废暂存间实施专人制管理</w:t>
            </w:r>
          </w:p>
        </w:tc>
        <w:tc>
          <w:tcPr>
            <w:tcW w:w="2037" w:type="pct"/>
            <w:tcBorders>
              <w:tl2br w:val="nil"/>
              <w:tr2bl w:val="nil"/>
            </w:tcBorders>
            <w:vAlign w:val="center"/>
          </w:tcPr>
          <w:p>
            <w:pPr>
              <w:pStyle w:val="83"/>
              <w:rPr>
                <w:kern w:val="0"/>
              </w:rPr>
            </w:pPr>
            <w:r>
              <w:rPr>
                <w:rFonts w:hint="eastAsia" w:ascii="宋体" w:hAnsi="宋体"/>
              </w:rPr>
              <w:t xml:space="preserve">王永平  </w:t>
            </w:r>
            <w:r>
              <w:rPr>
                <w:rFonts w:hint="eastAsia"/>
                <w:kern w:val="0"/>
              </w:rPr>
              <w:t>18779151631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36" w:type="pct"/>
            <w:tcBorders>
              <w:tl2br w:val="nil"/>
              <w:tr2bl w:val="nil"/>
            </w:tcBorders>
            <w:vAlign w:val="center"/>
          </w:tcPr>
          <w:p>
            <w:pPr>
              <w:pStyle w:val="83"/>
            </w:pPr>
            <w:r>
              <w:rPr>
                <w:rFonts w:hint="eastAsia"/>
              </w:rPr>
              <w:t>4</w:t>
            </w:r>
          </w:p>
        </w:tc>
        <w:tc>
          <w:tcPr>
            <w:tcW w:w="2426" w:type="pct"/>
            <w:tcBorders>
              <w:tl2br w:val="nil"/>
              <w:tr2bl w:val="nil"/>
            </w:tcBorders>
            <w:vAlign w:val="center"/>
          </w:tcPr>
          <w:p>
            <w:pPr>
              <w:pStyle w:val="83"/>
              <w:rPr>
                <w:kern w:val="0"/>
              </w:rPr>
            </w:pPr>
            <w:r>
              <w:rPr>
                <w:rFonts w:hint="eastAsia"/>
                <w:kern w:val="0"/>
              </w:rPr>
              <w:t>应急架构有对外联系功能的设置</w:t>
            </w:r>
          </w:p>
        </w:tc>
        <w:tc>
          <w:tcPr>
            <w:tcW w:w="2037" w:type="pct"/>
            <w:tcBorders>
              <w:tl2br w:val="nil"/>
              <w:tr2bl w:val="nil"/>
            </w:tcBorders>
            <w:vAlign w:val="center"/>
          </w:tcPr>
          <w:p>
            <w:pPr>
              <w:pStyle w:val="83"/>
              <w:rPr>
                <w:kern w:val="0"/>
              </w:rPr>
            </w:pPr>
            <w:r>
              <w:rPr>
                <w:rFonts w:hint="eastAsia"/>
                <w:kern w:val="0"/>
              </w:rPr>
              <w:t>由事故应急指挥部统一对外联络沟通</w:t>
            </w:r>
          </w:p>
        </w:tc>
      </w:tr>
    </w:tbl>
    <w:p>
      <w:pPr>
        <w:pStyle w:val="5"/>
        <w:bidi w:val="0"/>
      </w:pPr>
      <w:bookmarkStart w:id="415" w:name="_Toc31430"/>
      <w:bookmarkStart w:id="416" w:name="_Toc5228"/>
      <w:bookmarkStart w:id="417" w:name="_Toc19364"/>
      <w:bookmarkStart w:id="418" w:name="_Toc13467"/>
      <w:bookmarkStart w:id="419" w:name="_Toc2366"/>
      <w:bookmarkStart w:id="420" w:name="_Toc37600079"/>
      <w:bookmarkStart w:id="421" w:name="_Toc1010_WPSOffice_Level1"/>
      <w:bookmarkStart w:id="422" w:name="_Toc3548"/>
      <w:r>
        <w:t xml:space="preserve">5.3 </w:t>
      </w:r>
      <w:r>
        <w:rPr>
          <w:rFonts w:hint="eastAsia"/>
        </w:rPr>
        <w:t>预警分级</w:t>
      </w:r>
      <w:bookmarkEnd w:id="415"/>
      <w:bookmarkEnd w:id="416"/>
      <w:bookmarkEnd w:id="417"/>
      <w:bookmarkEnd w:id="418"/>
      <w:bookmarkEnd w:id="419"/>
      <w:bookmarkEnd w:id="420"/>
      <w:bookmarkEnd w:id="421"/>
      <w:bookmarkEnd w:id="422"/>
    </w:p>
    <w:p>
      <w:pPr>
        <w:pStyle w:val="90"/>
        <w:ind w:firstLine="480"/>
        <w:rPr>
          <w:rFonts w:eastAsia="仿宋_GB2312"/>
          <w:kern w:val="0"/>
        </w:rPr>
      </w:pPr>
      <w:r>
        <w:rPr>
          <w:rFonts w:hint="eastAsia"/>
          <w:kern w:val="0"/>
        </w:rPr>
        <w:t>按</w:t>
      </w:r>
      <w:r>
        <w:rPr>
          <w:rFonts w:hint="eastAsia"/>
        </w:rPr>
        <w:t>照事故灾难可控性、后果的严重性、影响范围和紧急程度，公司事故预警级别为三级预警，即车间级预警（三级），公司级预警（二级）、公司外部预警主要是当地政府相关部门及社会救援力量预警（一级）</w:t>
      </w:r>
      <w:r>
        <w:rPr>
          <w:rFonts w:hint="eastAsia"/>
          <w:kern w:val="0"/>
        </w:rPr>
        <w:t>。</w:t>
      </w:r>
    </w:p>
    <w:p>
      <w:pPr>
        <w:pStyle w:val="90"/>
        <w:ind w:firstLine="482"/>
        <w:rPr>
          <w:kern w:val="0"/>
        </w:rPr>
      </w:pPr>
      <w:r>
        <w:rPr>
          <w:rFonts w:hint="eastAsia"/>
          <w:b/>
          <w:kern w:val="0"/>
        </w:rPr>
        <w:t>（</w:t>
      </w:r>
      <w:r>
        <w:rPr>
          <w:b/>
          <w:kern w:val="0"/>
        </w:rPr>
        <w:t>1</w:t>
      </w:r>
      <w:r>
        <w:rPr>
          <w:rFonts w:hint="eastAsia"/>
          <w:b/>
          <w:kern w:val="0"/>
        </w:rPr>
        <w:t>）一级预警</w:t>
      </w:r>
    </w:p>
    <w:p>
      <w:pPr>
        <w:pStyle w:val="90"/>
        <w:ind w:firstLine="480"/>
        <w:rPr>
          <w:kern w:val="0"/>
        </w:rPr>
      </w:pPr>
      <w:r>
        <w:rPr>
          <w:rFonts w:hint="eastAsia"/>
          <w:kern w:val="0"/>
        </w:rPr>
        <w:t>发生重大及以上突发环境事故时，超过我司事故应急救援能力，事故有扩大、发展趋势，或者事故影响到周边企业时，启动一级预警，由本公司应急指挥部现场总指挥报请上级相关行政部门、应急救援指挥中心等请求技术支援。如整个厂区发生火灾、爆炸。</w:t>
      </w:r>
    </w:p>
    <w:p>
      <w:pPr>
        <w:pStyle w:val="90"/>
        <w:ind w:firstLine="482"/>
        <w:rPr>
          <w:b/>
          <w:kern w:val="0"/>
        </w:rPr>
      </w:pPr>
      <w:r>
        <w:rPr>
          <w:rFonts w:hint="eastAsia"/>
          <w:b/>
          <w:kern w:val="0"/>
        </w:rPr>
        <w:t>（</w:t>
      </w:r>
      <w:r>
        <w:rPr>
          <w:b/>
          <w:kern w:val="0"/>
        </w:rPr>
        <w:t>2</w:t>
      </w:r>
      <w:r>
        <w:rPr>
          <w:rFonts w:hint="eastAsia"/>
          <w:b/>
          <w:kern w:val="0"/>
        </w:rPr>
        <w:t>）二级预警</w:t>
      </w:r>
    </w:p>
    <w:p>
      <w:pPr>
        <w:pStyle w:val="90"/>
        <w:ind w:firstLine="480"/>
        <w:rPr>
          <w:kern w:val="0"/>
        </w:rPr>
      </w:pPr>
      <w:r>
        <w:rPr>
          <w:rFonts w:hint="eastAsia"/>
          <w:kern w:val="0"/>
        </w:rPr>
        <w:t>发生严重突发环境事故时，事故后果的严重性和影响范围，充分利用公司所有部门及企业可利用资源可实现控制处理的状态，启动二级预警，对事故进行控制处理。如生产装置、仓库起火燃烧等。</w:t>
      </w:r>
    </w:p>
    <w:p>
      <w:pPr>
        <w:pStyle w:val="90"/>
        <w:ind w:firstLine="482"/>
        <w:rPr>
          <w:b/>
          <w:kern w:val="0"/>
        </w:rPr>
      </w:pPr>
      <w:r>
        <w:rPr>
          <w:rFonts w:hint="eastAsia"/>
          <w:b/>
          <w:kern w:val="0"/>
        </w:rPr>
        <w:t>（</w:t>
      </w:r>
      <w:r>
        <w:rPr>
          <w:b/>
          <w:kern w:val="0"/>
        </w:rPr>
        <w:t>3</w:t>
      </w:r>
      <w:r>
        <w:rPr>
          <w:rFonts w:hint="eastAsia"/>
          <w:b/>
          <w:kern w:val="0"/>
        </w:rPr>
        <w:t>）三级预警</w:t>
      </w:r>
    </w:p>
    <w:p>
      <w:pPr>
        <w:pStyle w:val="90"/>
        <w:ind w:firstLine="480"/>
        <w:rPr>
          <w:kern w:val="0"/>
        </w:rPr>
      </w:pPr>
      <w:r>
        <w:rPr>
          <w:rFonts w:hint="eastAsia"/>
          <w:kern w:val="0"/>
        </w:rPr>
        <w:t>能被公司某个车间正常可</w:t>
      </w:r>
      <w:r>
        <w:rPr>
          <w:rFonts w:hint="eastAsia"/>
          <w:kern w:val="0"/>
          <w:highlight w:val="none"/>
        </w:rPr>
        <w:t>利用的资源</w:t>
      </w:r>
      <w:r>
        <w:rPr>
          <w:rFonts w:hint="eastAsia"/>
          <w:kern w:val="0"/>
        </w:rPr>
        <w:t>处理的紧急情况。正常可</w:t>
      </w:r>
      <w:r>
        <w:rPr>
          <w:rFonts w:hint="eastAsia"/>
          <w:kern w:val="0"/>
          <w:highlight w:val="none"/>
        </w:rPr>
        <w:t>利用的资源</w:t>
      </w:r>
      <w:r>
        <w:rPr>
          <w:rFonts w:hint="eastAsia"/>
          <w:kern w:val="0"/>
        </w:rPr>
        <w:t>指在某个车间权力范围内通常可以利用的应急资源，包括人力和物资等。如生产装置、仓库或车间小火星、危化品泄漏等。</w:t>
      </w:r>
    </w:p>
    <w:p>
      <w:pPr>
        <w:pStyle w:val="5"/>
        <w:bidi w:val="0"/>
      </w:pPr>
      <w:bookmarkStart w:id="423" w:name="_Toc32309"/>
      <w:bookmarkStart w:id="424" w:name="_Toc15049"/>
      <w:bookmarkStart w:id="425" w:name="_Toc10465"/>
      <w:bookmarkStart w:id="426" w:name="_Toc1470"/>
      <w:bookmarkStart w:id="427" w:name="_Toc21752_WPSOffice_Level1"/>
      <w:bookmarkStart w:id="428" w:name="_Toc37600080"/>
      <w:bookmarkStart w:id="429" w:name="_Toc20718"/>
      <w:bookmarkStart w:id="430" w:name="_Toc6727"/>
      <w:r>
        <w:t xml:space="preserve">5.4 </w:t>
      </w:r>
      <w:r>
        <w:rPr>
          <w:rFonts w:hint="eastAsia"/>
        </w:rPr>
        <w:t>预警行动</w:t>
      </w:r>
      <w:bookmarkEnd w:id="423"/>
      <w:bookmarkEnd w:id="424"/>
      <w:bookmarkEnd w:id="425"/>
      <w:bookmarkEnd w:id="426"/>
      <w:bookmarkEnd w:id="427"/>
      <w:bookmarkEnd w:id="428"/>
      <w:bookmarkEnd w:id="429"/>
      <w:bookmarkEnd w:id="430"/>
    </w:p>
    <w:p>
      <w:pPr>
        <w:pStyle w:val="6"/>
        <w:bidi w:val="0"/>
      </w:pPr>
      <w:bookmarkStart w:id="431" w:name="_Toc21529"/>
      <w:bookmarkStart w:id="432" w:name="_Toc5697"/>
      <w:bookmarkStart w:id="433" w:name="_Toc37600081"/>
      <w:bookmarkStart w:id="434" w:name="_Toc15691"/>
      <w:r>
        <w:t xml:space="preserve">5.4.1 </w:t>
      </w:r>
      <w:r>
        <w:rPr>
          <w:rFonts w:hint="eastAsia"/>
        </w:rPr>
        <w:t>事故预警的条件</w:t>
      </w:r>
      <w:bookmarkEnd w:id="431"/>
      <w:bookmarkEnd w:id="432"/>
      <w:bookmarkEnd w:id="433"/>
      <w:bookmarkEnd w:id="434"/>
    </w:p>
    <w:p>
      <w:pPr>
        <w:pStyle w:val="90"/>
        <w:ind w:firstLine="480"/>
      </w:pPr>
      <w:r>
        <w:rPr>
          <w:rFonts w:hint="eastAsia"/>
        </w:rPr>
        <w:t>公司出现环境风险事故，按照一级预警级别行动。</w:t>
      </w:r>
    </w:p>
    <w:p>
      <w:pPr>
        <w:pStyle w:val="82"/>
        <w:spacing w:before="163"/>
      </w:pPr>
      <w:r>
        <w:t>表</w:t>
      </w:r>
      <w:r>
        <w:rPr>
          <w:rFonts w:hint="eastAsia"/>
        </w:rPr>
        <w:t>5</w:t>
      </w:r>
      <w:r>
        <w:t>.</w:t>
      </w:r>
      <w:r>
        <w:rPr>
          <w:rFonts w:hint="eastAsia"/>
        </w:rPr>
        <w:t>4</w:t>
      </w:r>
      <w:r>
        <w:rPr>
          <w:rFonts w:hint="eastAsia"/>
          <w:lang w:val="en-US" w:eastAsia="zh-CN"/>
        </w:rPr>
        <w:t>.1</w:t>
      </w:r>
      <w:r>
        <w:t>-1 突发环境事件预警分级表</w:t>
      </w:r>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254"/>
        <w:gridCol w:w="3618"/>
        <w:gridCol w:w="384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719" w:type="pct"/>
            <w:tcBorders>
              <w:bottom w:val="single" w:color="auto" w:sz="12" w:space="0"/>
            </w:tcBorders>
            <w:vAlign w:val="center"/>
          </w:tcPr>
          <w:p>
            <w:pPr>
              <w:pStyle w:val="83"/>
              <w:rPr>
                <w:b/>
              </w:rPr>
            </w:pPr>
            <w:r>
              <w:rPr>
                <w:b/>
              </w:rPr>
              <w:t>预警等级</w:t>
            </w:r>
          </w:p>
        </w:tc>
        <w:tc>
          <w:tcPr>
            <w:tcW w:w="2075" w:type="pct"/>
            <w:tcBorders>
              <w:bottom w:val="single" w:color="auto" w:sz="12" w:space="0"/>
            </w:tcBorders>
            <w:vAlign w:val="center"/>
          </w:tcPr>
          <w:p>
            <w:pPr>
              <w:pStyle w:val="83"/>
              <w:rPr>
                <w:b/>
              </w:rPr>
            </w:pPr>
            <w:r>
              <w:rPr>
                <w:b/>
              </w:rPr>
              <w:t>等级确定方法</w:t>
            </w:r>
          </w:p>
        </w:tc>
        <w:tc>
          <w:tcPr>
            <w:tcW w:w="2205" w:type="pct"/>
            <w:tcBorders>
              <w:bottom w:val="single" w:color="auto" w:sz="12" w:space="0"/>
            </w:tcBorders>
            <w:vAlign w:val="center"/>
          </w:tcPr>
          <w:p>
            <w:pPr>
              <w:pStyle w:val="83"/>
              <w:rPr>
                <w:b/>
              </w:rPr>
            </w:pPr>
            <w:r>
              <w:rPr>
                <w:b/>
              </w:rPr>
              <w:t>与</w:t>
            </w:r>
            <w:r>
              <w:rPr>
                <w:rFonts w:hint="eastAsia"/>
                <w:b/>
              </w:rPr>
              <w:t>本</w:t>
            </w:r>
            <w:r>
              <w:rPr>
                <w:b/>
              </w:rPr>
              <w:t>项目相对应的环境事件</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019" w:hRule="atLeast"/>
          <w:jc w:val="center"/>
        </w:trPr>
        <w:tc>
          <w:tcPr>
            <w:tcW w:w="719" w:type="pct"/>
            <w:tcBorders>
              <w:top w:val="single" w:color="auto" w:sz="12" w:space="0"/>
              <w:tl2br w:val="nil"/>
              <w:tr2bl w:val="nil"/>
            </w:tcBorders>
            <w:vAlign w:val="center"/>
          </w:tcPr>
          <w:p>
            <w:pPr>
              <w:pStyle w:val="83"/>
            </w:pPr>
            <w:r>
              <w:t>Ⅰ级预警</w:t>
            </w:r>
          </w:p>
        </w:tc>
        <w:tc>
          <w:tcPr>
            <w:tcW w:w="2075" w:type="pct"/>
            <w:tcBorders>
              <w:top w:val="single" w:color="auto" w:sz="12" w:space="0"/>
              <w:tl2br w:val="nil"/>
              <w:tr2bl w:val="nil"/>
            </w:tcBorders>
            <w:vAlign w:val="center"/>
          </w:tcPr>
          <w:p>
            <w:pPr>
              <w:pStyle w:val="83"/>
            </w:pPr>
            <w:r>
              <w:t>突发事件已经进入场外，情况十分紧迫，需要一定时间才能得到处置控制，如果不采取措施，将会严重影响到</w:t>
            </w:r>
            <w:r>
              <w:rPr>
                <w:rFonts w:hint="eastAsia"/>
              </w:rPr>
              <w:t>南昌瀛宇金属制品有限公司</w:t>
            </w:r>
            <w:r>
              <w:t>的外部环境</w:t>
            </w:r>
          </w:p>
        </w:tc>
        <w:tc>
          <w:tcPr>
            <w:tcW w:w="2205" w:type="pct"/>
            <w:tcBorders>
              <w:top w:val="single" w:color="auto" w:sz="12" w:space="0"/>
              <w:tl2br w:val="nil"/>
              <w:tr2bl w:val="nil"/>
            </w:tcBorders>
            <w:vAlign w:val="center"/>
          </w:tcPr>
          <w:p>
            <w:pPr>
              <w:pStyle w:val="83"/>
              <w:jc w:val="left"/>
              <w:rPr>
                <w:kern w:val="0"/>
              </w:rPr>
            </w:pPr>
            <w:r>
              <w:rPr>
                <w:kern w:val="0"/>
              </w:rPr>
              <w:fldChar w:fldCharType="begin"/>
            </w:r>
            <w:r>
              <w:rPr>
                <w:kern w:val="0"/>
              </w:rPr>
              <w:instrText xml:space="preserve"> = 1 \* GB3 </w:instrText>
            </w:r>
            <w:r>
              <w:rPr>
                <w:kern w:val="0"/>
              </w:rPr>
              <w:fldChar w:fldCharType="separate"/>
            </w:r>
            <w:r>
              <w:rPr>
                <w:rFonts w:hint="eastAsia" w:ascii="宋体" w:hAnsi="宋体" w:cs="宋体"/>
                <w:kern w:val="0"/>
              </w:rPr>
              <w:t>①</w:t>
            </w:r>
            <w:r>
              <w:rPr>
                <w:kern w:val="0"/>
              </w:rPr>
              <w:fldChar w:fldCharType="end"/>
            </w:r>
            <w:r>
              <w:rPr>
                <w:rFonts w:hint="eastAsia"/>
                <w:kern w:val="0"/>
              </w:rPr>
              <w:t>厂内污水处理站</w:t>
            </w:r>
            <w:r>
              <w:rPr>
                <w:kern w:val="0"/>
              </w:rPr>
              <w:t>排放超过设计</w:t>
            </w:r>
            <w:r>
              <w:rPr>
                <w:kern w:val="0"/>
                <w:highlight w:val="none"/>
              </w:rPr>
              <w:t>出水</w:t>
            </w:r>
            <w:r>
              <w:rPr>
                <w:kern w:val="0"/>
              </w:rPr>
              <w:t>水质标准</w:t>
            </w:r>
            <w:r>
              <w:rPr>
                <w:rFonts w:hint="eastAsia"/>
                <w:kern w:val="0"/>
              </w:rPr>
              <w:t>；</w:t>
            </w:r>
          </w:p>
          <w:p>
            <w:pPr>
              <w:pStyle w:val="83"/>
              <w:jc w:val="left"/>
              <w:rPr>
                <w:kern w:val="0"/>
              </w:rPr>
            </w:pPr>
            <w:r>
              <w:rPr>
                <w:kern w:val="0"/>
              </w:rPr>
              <w:fldChar w:fldCharType="begin"/>
            </w:r>
            <w:r>
              <w:rPr>
                <w:kern w:val="0"/>
              </w:rPr>
              <w:instrText xml:space="preserve"> = 2 \* GB3 </w:instrText>
            </w:r>
            <w:r>
              <w:rPr>
                <w:kern w:val="0"/>
              </w:rPr>
              <w:fldChar w:fldCharType="separate"/>
            </w:r>
            <w:r>
              <w:rPr>
                <w:rFonts w:hint="eastAsia" w:ascii="宋体" w:hAnsi="宋体" w:cs="宋体"/>
                <w:kern w:val="0"/>
              </w:rPr>
              <w:t>②</w:t>
            </w:r>
            <w:r>
              <w:rPr>
                <w:kern w:val="0"/>
              </w:rPr>
              <w:fldChar w:fldCharType="end"/>
            </w:r>
            <w:r>
              <w:rPr>
                <w:rFonts w:hint="eastAsia"/>
                <w:kern w:val="0"/>
              </w:rPr>
              <w:t>因原辅料泄漏引发的中毒、火灾、爆炸重大事故；</w:t>
            </w:r>
          </w:p>
          <w:p>
            <w:pPr>
              <w:pStyle w:val="83"/>
              <w:jc w:val="left"/>
              <w:rPr>
                <w:kern w:val="0"/>
              </w:rPr>
            </w:pPr>
            <w:r>
              <w:rPr>
                <w:kern w:val="0"/>
              </w:rPr>
              <w:fldChar w:fldCharType="begin"/>
            </w:r>
            <w:r>
              <w:rPr>
                <w:kern w:val="0"/>
              </w:rPr>
              <w:instrText xml:space="preserve"> = 3 \* GB3 </w:instrText>
            </w:r>
            <w:r>
              <w:rPr>
                <w:kern w:val="0"/>
              </w:rPr>
              <w:fldChar w:fldCharType="separate"/>
            </w:r>
            <w:r>
              <w:rPr>
                <w:rFonts w:hint="eastAsia" w:ascii="宋体" w:hAnsi="宋体" w:cs="宋体"/>
                <w:kern w:val="0"/>
              </w:rPr>
              <w:t>③</w:t>
            </w:r>
            <w:r>
              <w:rPr>
                <w:kern w:val="0"/>
              </w:rPr>
              <w:fldChar w:fldCharType="end"/>
            </w:r>
            <w:r>
              <w:rPr>
                <w:rFonts w:hint="eastAsia"/>
                <w:kern w:val="0"/>
              </w:rPr>
              <w:t>因废机油泄漏引发的火灾事故；</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12" w:hRule="atLeast"/>
          <w:jc w:val="center"/>
        </w:trPr>
        <w:tc>
          <w:tcPr>
            <w:tcW w:w="719" w:type="pct"/>
            <w:tcBorders>
              <w:tl2br w:val="nil"/>
              <w:tr2bl w:val="nil"/>
            </w:tcBorders>
            <w:vAlign w:val="center"/>
          </w:tcPr>
          <w:p>
            <w:pPr>
              <w:pStyle w:val="83"/>
            </w:pPr>
            <w:r>
              <w:t>Ⅱ级预警</w:t>
            </w:r>
          </w:p>
        </w:tc>
        <w:tc>
          <w:tcPr>
            <w:tcW w:w="2075" w:type="pct"/>
            <w:tcBorders>
              <w:tl2br w:val="nil"/>
              <w:tr2bl w:val="nil"/>
            </w:tcBorders>
            <w:vAlign w:val="center"/>
          </w:tcPr>
          <w:p>
            <w:pPr>
              <w:pStyle w:val="83"/>
            </w:pPr>
            <w:r>
              <w:t>二级预警针对的突发事件有可能在场内，也有可能在场外但只有有限的扩散范围，可预料在极短时间内得到处置控制，或者消除污染源后影响很快就会消除，不会对外界环境产生长期或累积性影响以及造成人员伤亡</w:t>
            </w:r>
          </w:p>
        </w:tc>
        <w:tc>
          <w:tcPr>
            <w:tcW w:w="2205" w:type="pct"/>
            <w:tcBorders>
              <w:tl2br w:val="nil"/>
              <w:tr2bl w:val="nil"/>
            </w:tcBorders>
            <w:vAlign w:val="center"/>
          </w:tcPr>
          <w:p>
            <w:pPr>
              <w:pStyle w:val="83"/>
              <w:jc w:val="left"/>
              <w:rPr>
                <w:kern w:val="0"/>
              </w:rPr>
            </w:pPr>
            <w:r>
              <w:rPr>
                <w:kern w:val="0"/>
              </w:rPr>
              <w:fldChar w:fldCharType="begin"/>
            </w:r>
            <w:r>
              <w:rPr>
                <w:kern w:val="0"/>
              </w:rPr>
              <w:instrText xml:space="preserve"> = 1 \* GB3 </w:instrText>
            </w:r>
            <w:r>
              <w:rPr>
                <w:kern w:val="0"/>
              </w:rPr>
              <w:fldChar w:fldCharType="separate"/>
            </w:r>
            <w:r>
              <w:rPr>
                <w:rFonts w:hint="eastAsia" w:ascii="宋体" w:hAnsi="宋体" w:cs="宋体"/>
                <w:kern w:val="0"/>
              </w:rPr>
              <w:t>①</w:t>
            </w:r>
            <w:r>
              <w:rPr>
                <w:kern w:val="0"/>
              </w:rPr>
              <w:fldChar w:fldCharType="end"/>
            </w:r>
            <w:r>
              <w:rPr>
                <w:rFonts w:hint="eastAsia"/>
                <w:kern w:val="0"/>
              </w:rPr>
              <w:t>废气排放异常</w:t>
            </w:r>
            <w:r>
              <w:rPr>
                <w:kern w:val="0"/>
              </w:rPr>
              <w:t>；</w:t>
            </w:r>
          </w:p>
          <w:p>
            <w:pPr>
              <w:pStyle w:val="83"/>
              <w:jc w:val="left"/>
              <w:rPr>
                <w:kern w:val="0"/>
              </w:rPr>
            </w:pPr>
            <w:r>
              <w:rPr>
                <w:kern w:val="0"/>
              </w:rPr>
              <w:fldChar w:fldCharType="begin"/>
            </w:r>
            <w:r>
              <w:rPr>
                <w:kern w:val="0"/>
              </w:rPr>
              <w:instrText xml:space="preserve"> = 2 \* GB3 </w:instrText>
            </w:r>
            <w:r>
              <w:rPr>
                <w:kern w:val="0"/>
              </w:rPr>
              <w:fldChar w:fldCharType="separate"/>
            </w:r>
            <w:r>
              <w:rPr>
                <w:rFonts w:hint="eastAsia" w:ascii="宋体" w:hAnsi="宋体" w:cs="宋体"/>
                <w:kern w:val="0"/>
              </w:rPr>
              <w:t>②</w:t>
            </w:r>
            <w:r>
              <w:rPr>
                <w:kern w:val="0"/>
              </w:rPr>
              <w:fldChar w:fldCharType="end"/>
            </w:r>
            <w:r>
              <w:rPr>
                <w:kern w:val="0"/>
              </w:rPr>
              <w:t>污水</w:t>
            </w:r>
            <w:r>
              <w:rPr>
                <w:rFonts w:hint="eastAsia"/>
                <w:kern w:val="0"/>
              </w:rPr>
              <w:t>收集系统发生泄漏</w:t>
            </w:r>
            <w:r>
              <w:rPr>
                <w:kern w:val="0"/>
              </w:rPr>
              <w:t>；</w:t>
            </w:r>
          </w:p>
          <w:p>
            <w:pPr>
              <w:pStyle w:val="83"/>
              <w:jc w:val="left"/>
              <w:rPr>
                <w:kern w:val="0"/>
              </w:rPr>
            </w:pPr>
            <w:r>
              <w:rPr>
                <w:kern w:val="0"/>
              </w:rPr>
              <w:fldChar w:fldCharType="begin"/>
            </w:r>
            <w:r>
              <w:rPr>
                <w:kern w:val="0"/>
              </w:rPr>
              <w:instrText xml:space="preserve"> = 3 \* GB3 </w:instrText>
            </w:r>
            <w:r>
              <w:rPr>
                <w:kern w:val="0"/>
              </w:rPr>
              <w:fldChar w:fldCharType="separate"/>
            </w:r>
            <w:r>
              <w:rPr>
                <w:rFonts w:hint="eastAsia" w:ascii="宋体" w:hAnsi="宋体" w:cs="宋体"/>
                <w:kern w:val="0"/>
              </w:rPr>
              <w:t>③</w:t>
            </w:r>
            <w:r>
              <w:rPr>
                <w:kern w:val="0"/>
              </w:rPr>
              <w:fldChar w:fldCharType="end"/>
            </w:r>
            <w:r>
              <w:rPr>
                <w:kern w:val="0"/>
              </w:rPr>
              <w:t>火灾事故次生环境事件。</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98" w:hRule="atLeast"/>
          <w:jc w:val="center"/>
        </w:trPr>
        <w:tc>
          <w:tcPr>
            <w:tcW w:w="719" w:type="pct"/>
            <w:tcBorders>
              <w:tl2br w:val="nil"/>
              <w:tr2bl w:val="nil"/>
            </w:tcBorders>
            <w:vAlign w:val="center"/>
          </w:tcPr>
          <w:p>
            <w:pPr>
              <w:pStyle w:val="83"/>
            </w:pPr>
            <w:r>
              <w:t>Ⅲ级预警</w:t>
            </w:r>
          </w:p>
        </w:tc>
        <w:tc>
          <w:tcPr>
            <w:tcW w:w="2075" w:type="pct"/>
            <w:tcBorders>
              <w:tl2br w:val="nil"/>
              <w:tr2bl w:val="nil"/>
            </w:tcBorders>
            <w:vAlign w:val="center"/>
          </w:tcPr>
          <w:p>
            <w:pPr>
              <w:pStyle w:val="83"/>
            </w:pPr>
            <w:r>
              <w:t>三级预警主要是突发环境事件尚未发生，或有已经发生但险情在较短时间内可以得到控制，不会给外环境造成明显影响，有足够时间进行准备的情况</w:t>
            </w:r>
          </w:p>
        </w:tc>
        <w:tc>
          <w:tcPr>
            <w:tcW w:w="2205" w:type="pct"/>
            <w:tcBorders>
              <w:tl2br w:val="nil"/>
              <w:tr2bl w:val="nil"/>
            </w:tcBorders>
            <w:vAlign w:val="center"/>
          </w:tcPr>
          <w:p>
            <w:pPr>
              <w:pStyle w:val="83"/>
              <w:jc w:val="left"/>
              <w:rPr>
                <w:kern w:val="0"/>
              </w:rPr>
            </w:pPr>
            <w:r>
              <w:rPr>
                <w:rFonts w:hint="eastAsia"/>
                <w:kern w:val="0"/>
              </w:rPr>
              <w:t>原辅料、废机油泄漏。</w:t>
            </w:r>
          </w:p>
        </w:tc>
      </w:tr>
    </w:tbl>
    <w:p>
      <w:pPr>
        <w:pStyle w:val="90"/>
        <w:ind w:left="420" w:leftChars="200" w:firstLine="360"/>
        <w:rPr>
          <w:rFonts w:ascii="黑体" w:hAnsi="黑体" w:eastAsia="黑体"/>
          <w:sz w:val="18"/>
        </w:rPr>
      </w:pPr>
      <w:bookmarkStart w:id="435" w:name="_Toc14502"/>
      <w:bookmarkStart w:id="436" w:name="_Toc30723"/>
      <w:bookmarkStart w:id="437" w:name="_Toc29076"/>
      <w:r>
        <w:rPr>
          <w:rFonts w:ascii="黑体" w:hAnsi="黑体" w:eastAsia="黑体"/>
          <w:sz w:val="18"/>
        </w:rPr>
        <w:t>备注：可能发生不同等级突发环境事件时，取较高等级。</w:t>
      </w:r>
      <w:bookmarkEnd w:id="435"/>
      <w:bookmarkEnd w:id="436"/>
      <w:bookmarkEnd w:id="437"/>
    </w:p>
    <w:p>
      <w:pPr>
        <w:pStyle w:val="6"/>
        <w:bidi w:val="0"/>
      </w:pPr>
      <w:bookmarkStart w:id="438" w:name="_Toc21828"/>
      <w:bookmarkStart w:id="439" w:name="_Toc37600082"/>
      <w:bookmarkStart w:id="440" w:name="_Toc13699"/>
      <w:bookmarkStart w:id="441" w:name="_Toc25135"/>
      <w:r>
        <w:t xml:space="preserve">5.4.2 </w:t>
      </w:r>
      <w:r>
        <w:rPr>
          <w:rFonts w:hint="eastAsia"/>
        </w:rPr>
        <w:t>预警信息发布的方式、内容和流程</w:t>
      </w:r>
      <w:bookmarkEnd w:id="438"/>
      <w:bookmarkEnd w:id="439"/>
      <w:bookmarkEnd w:id="440"/>
      <w:bookmarkEnd w:id="441"/>
    </w:p>
    <w:p>
      <w:pPr>
        <w:pStyle w:val="90"/>
        <w:ind w:firstLine="480"/>
        <w:rPr>
          <w:rFonts w:cs="Times New Roman"/>
        </w:rPr>
      </w:pPr>
      <w:bookmarkStart w:id="442" w:name="_Toc390869080"/>
      <w:bookmarkStart w:id="443" w:name="_Toc391374703"/>
      <w:bookmarkStart w:id="444" w:name="_Toc390868927"/>
      <w:bookmarkStart w:id="445" w:name="_Toc387409142"/>
      <w:r>
        <w:rPr>
          <w:rFonts w:hint="eastAsia"/>
        </w:rPr>
        <w:t>（</w:t>
      </w:r>
      <w:r>
        <w:rPr>
          <w:rFonts w:cs="Times New Roman"/>
        </w:rPr>
        <w:t>1</w:t>
      </w:r>
      <w:r>
        <w:rPr>
          <w:rFonts w:hint="eastAsia"/>
        </w:rPr>
        <w:t>）信息发布方式</w:t>
      </w:r>
    </w:p>
    <w:p>
      <w:pPr>
        <w:pStyle w:val="90"/>
        <w:ind w:firstLine="480"/>
        <w:rPr>
          <w:color w:val="000000"/>
        </w:rPr>
      </w:pPr>
      <w:r>
        <w:rPr>
          <w:color w:val="000000"/>
        </w:rPr>
        <w:t>突发环境事件报警方式：电话、</w:t>
      </w:r>
      <w:r>
        <w:rPr>
          <w:color w:val="000000"/>
          <w:kern w:val="0"/>
          <w:lang w:val="zh-CN"/>
        </w:rPr>
        <w:t>自动报警装置、人工报警、</w:t>
      </w:r>
      <w:r>
        <w:rPr>
          <w:color w:val="000000"/>
        </w:rPr>
        <w:t>对讲机等</w:t>
      </w:r>
    </w:p>
    <w:p>
      <w:pPr>
        <w:pStyle w:val="90"/>
        <w:ind w:firstLine="480"/>
        <w:rPr>
          <w:color w:val="000000"/>
        </w:rPr>
      </w:pPr>
      <w:r>
        <w:rPr>
          <w:color w:val="000000"/>
        </w:rPr>
        <w:t>预警发布方式：可通过生产调度电话、内部QQ网络、对讲机、电信短信等形式，发布人员见下表。</w:t>
      </w:r>
    </w:p>
    <w:p>
      <w:pPr>
        <w:pStyle w:val="82"/>
        <w:spacing w:before="163"/>
      </w:pPr>
      <w:r>
        <w:t>表</w:t>
      </w:r>
      <w:r>
        <w:rPr>
          <w:rFonts w:hint="eastAsia"/>
        </w:rPr>
        <w:t>5</w:t>
      </w:r>
      <w:r>
        <w:t>.</w:t>
      </w:r>
      <w:r>
        <w:rPr>
          <w:rFonts w:hint="eastAsia"/>
        </w:rPr>
        <w:t>4</w:t>
      </w:r>
      <w:r>
        <w:rPr>
          <w:rFonts w:hint="eastAsia"/>
          <w:lang w:val="en-US" w:eastAsia="zh-CN"/>
        </w:rPr>
        <w:t>.2</w:t>
      </w:r>
      <w:r>
        <w:t>-</w:t>
      </w:r>
      <w:r>
        <w:rPr>
          <w:rFonts w:hint="eastAsia"/>
          <w:lang w:val="en-US" w:eastAsia="zh-CN"/>
        </w:rPr>
        <w:t>1</w:t>
      </w:r>
      <w:r>
        <w:t xml:space="preserve"> 预警发布人员一览表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233"/>
        <w:gridCol w:w="4312"/>
        <w:gridCol w:w="217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281" w:type="pct"/>
            <w:tcBorders>
              <w:bottom w:val="single" w:color="auto" w:sz="12" w:space="0"/>
              <w:right w:val="single" w:color="auto" w:sz="4" w:space="0"/>
            </w:tcBorders>
            <w:vAlign w:val="center"/>
          </w:tcPr>
          <w:p>
            <w:pPr>
              <w:pStyle w:val="83"/>
              <w:rPr>
                <w:b/>
              </w:rPr>
            </w:pPr>
            <w:r>
              <w:rPr>
                <w:b/>
              </w:rPr>
              <w:t>预警级别</w:t>
            </w:r>
          </w:p>
        </w:tc>
        <w:tc>
          <w:tcPr>
            <w:tcW w:w="2473" w:type="pct"/>
            <w:tcBorders>
              <w:left w:val="single" w:color="auto" w:sz="4" w:space="0"/>
              <w:bottom w:val="single" w:color="auto" w:sz="12" w:space="0"/>
              <w:right w:val="single" w:color="auto" w:sz="4" w:space="0"/>
            </w:tcBorders>
            <w:vAlign w:val="center"/>
          </w:tcPr>
          <w:p>
            <w:pPr>
              <w:pStyle w:val="83"/>
              <w:rPr>
                <w:b/>
              </w:rPr>
            </w:pPr>
            <w:r>
              <w:rPr>
                <w:b/>
              </w:rPr>
              <w:t>预警信息发布单位/人员</w:t>
            </w:r>
          </w:p>
        </w:tc>
        <w:tc>
          <w:tcPr>
            <w:tcW w:w="1245" w:type="pct"/>
            <w:tcBorders>
              <w:left w:val="single" w:color="auto" w:sz="4" w:space="0"/>
              <w:bottom w:val="single" w:color="auto" w:sz="12" w:space="0"/>
            </w:tcBorders>
            <w:vAlign w:val="center"/>
          </w:tcPr>
          <w:p>
            <w:pPr>
              <w:pStyle w:val="83"/>
              <w:rPr>
                <w:b/>
              </w:rPr>
            </w:pPr>
            <w:r>
              <w:rPr>
                <w:rFonts w:hint="eastAsia"/>
                <w:b/>
              </w:rPr>
              <w:t>联系电话</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281" w:type="pct"/>
            <w:tcBorders>
              <w:top w:val="single" w:color="auto" w:sz="12" w:space="0"/>
              <w:tl2br w:val="nil"/>
              <w:tr2bl w:val="nil"/>
            </w:tcBorders>
            <w:vAlign w:val="center"/>
          </w:tcPr>
          <w:p>
            <w:pPr>
              <w:pStyle w:val="83"/>
            </w:pPr>
            <w:r>
              <w:t>一级</w:t>
            </w:r>
          </w:p>
        </w:tc>
        <w:tc>
          <w:tcPr>
            <w:tcW w:w="2473" w:type="pct"/>
            <w:tcBorders>
              <w:top w:val="single" w:color="auto" w:sz="12" w:space="0"/>
              <w:right w:val="single" w:color="auto" w:sz="4" w:space="0"/>
              <w:tl2br w:val="nil"/>
              <w:tr2bl w:val="nil"/>
            </w:tcBorders>
            <w:vAlign w:val="center"/>
          </w:tcPr>
          <w:p>
            <w:pPr>
              <w:pStyle w:val="83"/>
            </w:pPr>
            <w:r>
              <w:t>应急指挥部/指挥长</w:t>
            </w:r>
            <w:r>
              <w:rPr>
                <w:rFonts w:hint="eastAsia"/>
              </w:rPr>
              <w:t>（秦俭）</w:t>
            </w:r>
          </w:p>
        </w:tc>
        <w:tc>
          <w:tcPr>
            <w:tcW w:w="1245" w:type="pct"/>
            <w:tcBorders>
              <w:top w:val="single" w:color="auto" w:sz="12" w:space="0"/>
              <w:left w:val="single" w:color="auto" w:sz="4" w:space="0"/>
              <w:tl2br w:val="nil"/>
              <w:tr2bl w:val="nil"/>
            </w:tcBorders>
            <w:vAlign w:val="center"/>
          </w:tcPr>
          <w:p>
            <w:pPr>
              <w:pStyle w:val="83"/>
            </w:pPr>
            <w:r>
              <w:rPr>
                <w:rFonts w:hint="eastAsia"/>
              </w:rPr>
              <w:t>13501660667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281" w:type="pct"/>
            <w:tcBorders>
              <w:tl2br w:val="nil"/>
              <w:tr2bl w:val="nil"/>
            </w:tcBorders>
            <w:vAlign w:val="center"/>
          </w:tcPr>
          <w:p>
            <w:pPr>
              <w:pStyle w:val="83"/>
            </w:pPr>
            <w:r>
              <w:t>二级</w:t>
            </w:r>
          </w:p>
        </w:tc>
        <w:tc>
          <w:tcPr>
            <w:tcW w:w="2473" w:type="pct"/>
            <w:tcBorders>
              <w:right w:val="single" w:color="auto" w:sz="4" w:space="0"/>
              <w:tl2br w:val="nil"/>
              <w:tr2bl w:val="nil"/>
            </w:tcBorders>
            <w:vAlign w:val="center"/>
          </w:tcPr>
          <w:p>
            <w:pPr>
              <w:pStyle w:val="83"/>
            </w:pPr>
            <w:r>
              <w:t>应急指挥部/现场指挥长</w:t>
            </w:r>
            <w:r>
              <w:rPr>
                <w:rFonts w:hint="eastAsia"/>
              </w:rPr>
              <w:t>（王永平）</w:t>
            </w:r>
          </w:p>
        </w:tc>
        <w:tc>
          <w:tcPr>
            <w:tcW w:w="1245" w:type="pct"/>
            <w:tcBorders>
              <w:left w:val="single" w:color="auto" w:sz="4" w:space="0"/>
              <w:tl2br w:val="nil"/>
              <w:tr2bl w:val="nil"/>
            </w:tcBorders>
            <w:vAlign w:val="center"/>
          </w:tcPr>
          <w:p>
            <w:pPr>
              <w:pStyle w:val="83"/>
            </w:pPr>
            <w:r>
              <w:rPr>
                <w:rFonts w:hint="eastAsia"/>
              </w:rPr>
              <w:t>18779151631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281" w:type="pct"/>
            <w:tcBorders>
              <w:tl2br w:val="nil"/>
              <w:tr2bl w:val="nil"/>
            </w:tcBorders>
            <w:vAlign w:val="center"/>
          </w:tcPr>
          <w:p>
            <w:pPr>
              <w:pStyle w:val="83"/>
            </w:pPr>
            <w:r>
              <w:t>三级</w:t>
            </w:r>
          </w:p>
        </w:tc>
        <w:tc>
          <w:tcPr>
            <w:tcW w:w="2473" w:type="pct"/>
            <w:tcBorders>
              <w:right w:val="single" w:color="auto" w:sz="4" w:space="0"/>
              <w:tl2br w:val="nil"/>
              <w:tr2bl w:val="nil"/>
            </w:tcBorders>
            <w:vAlign w:val="center"/>
          </w:tcPr>
          <w:p>
            <w:pPr>
              <w:pStyle w:val="83"/>
            </w:pPr>
            <w:r>
              <w:rPr>
                <w:rFonts w:hint="eastAsia"/>
              </w:rPr>
              <w:t>应急抢险组组长（孟凡伦）</w:t>
            </w:r>
          </w:p>
        </w:tc>
        <w:tc>
          <w:tcPr>
            <w:tcW w:w="1245" w:type="pct"/>
            <w:tcBorders>
              <w:left w:val="single" w:color="auto" w:sz="4" w:space="0"/>
              <w:tl2br w:val="nil"/>
              <w:tr2bl w:val="nil"/>
            </w:tcBorders>
            <w:vAlign w:val="center"/>
          </w:tcPr>
          <w:p>
            <w:pPr>
              <w:pStyle w:val="83"/>
            </w:pPr>
            <w:r>
              <w:rPr>
                <w:rFonts w:hint="eastAsia"/>
              </w:rPr>
              <w:t>17321026614</w:t>
            </w:r>
          </w:p>
        </w:tc>
      </w:tr>
    </w:tbl>
    <w:p>
      <w:pPr>
        <w:pStyle w:val="90"/>
        <w:ind w:firstLine="480"/>
      </w:pPr>
      <w:r>
        <w:t>进入预警状态后，采取以下措施：</w:t>
      </w:r>
    </w:p>
    <w:p>
      <w:pPr>
        <w:pStyle w:val="90"/>
        <w:ind w:firstLine="482"/>
        <w:rPr>
          <w:b/>
        </w:rPr>
      </w:pPr>
      <w:r>
        <w:rPr>
          <w:b/>
        </w:rPr>
        <w:t>（1）立即启动相关应急预案。</w:t>
      </w:r>
    </w:p>
    <w:p>
      <w:pPr>
        <w:pStyle w:val="90"/>
        <w:ind w:firstLine="480"/>
      </w:pPr>
      <w:r>
        <w:t>（2）发布预警公告，具体发布流程见图6.3</w:t>
      </w:r>
      <w:r>
        <w:rPr>
          <w:rFonts w:hint="eastAsia"/>
          <w:lang w:val="en-US" w:eastAsia="zh-CN"/>
        </w:rPr>
        <w:t>.3</w:t>
      </w:r>
      <w:r>
        <w:t>-1。</w:t>
      </w:r>
    </w:p>
    <w:p>
      <w:pPr>
        <w:pStyle w:val="90"/>
        <w:ind w:firstLine="480"/>
      </w:pPr>
      <w:r>
        <w:t>（3）转移、撤离或者疏散可能受到危害的人员，并妥善安置。</w:t>
      </w:r>
    </w:p>
    <w:p>
      <w:pPr>
        <w:pStyle w:val="90"/>
        <w:ind w:firstLine="480"/>
      </w:pPr>
      <w:r>
        <w:t>（4）针对突发事件可能造成的危害，封闭、隔离或者限制使用有关场所，中止可能导致危害扩大的行为和活动。</w:t>
      </w:r>
    </w:p>
    <w:p>
      <w:pPr>
        <w:pStyle w:val="90"/>
        <w:ind w:firstLine="480"/>
      </w:pPr>
      <w:r>
        <w:t>（5）调集环境应急所需物质和设备，确保应急保障工作。</w:t>
      </w:r>
    </w:p>
    <w:p>
      <w:pPr>
        <w:pStyle w:val="90"/>
        <w:ind w:firstLine="482"/>
        <w:rPr>
          <w:rFonts w:cs="Times New Roman"/>
          <w:b/>
          <w:bCs/>
        </w:rPr>
      </w:pPr>
      <w:r>
        <w:rPr>
          <w:rFonts w:hint="eastAsia"/>
          <w:b/>
          <w:bCs/>
        </w:rPr>
        <w:t>（</w:t>
      </w:r>
      <w:r>
        <w:rPr>
          <w:rFonts w:cs="Times New Roman"/>
          <w:b/>
          <w:bCs/>
        </w:rPr>
        <w:t>2</w:t>
      </w:r>
      <w:r>
        <w:rPr>
          <w:rFonts w:hint="eastAsia"/>
          <w:b/>
          <w:bCs/>
        </w:rPr>
        <w:t>）预警信息的内容</w:t>
      </w:r>
    </w:p>
    <w:p>
      <w:pPr>
        <w:pStyle w:val="90"/>
        <w:ind w:firstLine="480"/>
        <w:rPr>
          <w:rFonts w:cs="Times New Roman"/>
        </w:rPr>
      </w:pPr>
      <w:r>
        <w:rPr>
          <w:rFonts w:hint="eastAsia"/>
        </w:rPr>
        <w:t>发布预警信息时应说明清楚：事故类型、规模、影响范围、发生地点、介质、发展变化趋势、有无人员伤亡、报告人姓名和联系方式等。</w:t>
      </w:r>
    </w:p>
    <w:p>
      <w:pPr>
        <w:pStyle w:val="90"/>
        <w:ind w:firstLine="482"/>
        <w:rPr>
          <w:rFonts w:cs="Times New Roman"/>
          <w:b/>
          <w:bCs/>
        </w:rPr>
      </w:pPr>
      <w:r>
        <w:rPr>
          <w:rFonts w:hint="eastAsia"/>
          <w:b/>
          <w:bCs/>
        </w:rPr>
        <w:t>（</w:t>
      </w:r>
      <w:r>
        <w:rPr>
          <w:rFonts w:cs="Times New Roman"/>
          <w:b/>
          <w:bCs/>
        </w:rPr>
        <w:t>3</w:t>
      </w:r>
      <w:r>
        <w:rPr>
          <w:rFonts w:hint="eastAsia"/>
          <w:b/>
          <w:bCs/>
        </w:rPr>
        <w:t>）预警信息发布的流程</w:t>
      </w:r>
    </w:p>
    <w:p>
      <w:pPr>
        <w:pStyle w:val="90"/>
        <w:ind w:firstLine="480"/>
      </w:pPr>
      <w:bookmarkStart w:id="446" w:name="_Toc7591"/>
      <w:bookmarkStart w:id="447" w:name="_Toc26306"/>
      <w:bookmarkStart w:id="448" w:name="_Toc18470"/>
      <w:bookmarkStart w:id="449" w:name="_Toc455648409"/>
      <w:bookmarkStart w:id="450" w:name="_Toc428905512"/>
      <w:bookmarkStart w:id="451" w:name="_Toc15907"/>
      <w:bookmarkStart w:id="452" w:name="_Toc17653"/>
      <w:bookmarkStart w:id="453" w:name="_Toc14460"/>
      <w:bookmarkStart w:id="454" w:name="_Toc482002577"/>
      <w:bookmarkStart w:id="455" w:name="_Toc29062"/>
      <w:bookmarkStart w:id="456" w:name="_Toc4470"/>
      <w:bookmarkStart w:id="457" w:name="_Toc468894765"/>
      <w:r>
        <w:rPr>
          <w:rFonts w:hint="eastAsia"/>
        </w:rPr>
        <w:t>预警信息发布流程为：第一发现人→厂区值班人员→现场指挥→总指挥→政府部门。</w:t>
      </w:r>
      <w:bookmarkEnd w:id="446"/>
      <w:bookmarkEnd w:id="447"/>
      <w:bookmarkEnd w:id="448"/>
      <w:bookmarkEnd w:id="449"/>
      <w:bookmarkEnd w:id="450"/>
      <w:bookmarkEnd w:id="451"/>
      <w:bookmarkEnd w:id="452"/>
      <w:bookmarkEnd w:id="453"/>
      <w:bookmarkEnd w:id="454"/>
      <w:bookmarkEnd w:id="455"/>
      <w:bookmarkEnd w:id="456"/>
      <w:bookmarkEnd w:id="457"/>
    </w:p>
    <w:p>
      <w:pPr>
        <w:pStyle w:val="90"/>
        <w:ind w:firstLine="480"/>
      </w:pPr>
      <w:r>
        <w:rPr>
          <w:rFonts w:hint="eastAsia"/>
        </w:rPr>
        <w:t>第一发现人发现事故后，立即向厂区值班人员报告，接到报警后，根据事故发生地点、种类、强度和事故可能的危害方向通知本单位应急救援指挥部有关人员。接警人员在掌握事故基本情况后，立即通知单位应急指挥部，报告事故情况，以及可能的应急响应级别。</w:t>
      </w:r>
    </w:p>
    <w:p>
      <w:pPr>
        <w:pStyle w:val="5"/>
        <w:bidi w:val="0"/>
      </w:pPr>
      <w:bookmarkStart w:id="458" w:name="_Toc23392"/>
      <w:bookmarkStart w:id="459" w:name="_Toc22370_WPSOffice_Level1"/>
      <w:bookmarkStart w:id="460" w:name="_Toc8930"/>
      <w:bookmarkStart w:id="461" w:name="_Toc19735"/>
      <w:bookmarkStart w:id="462" w:name="_Toc13435"/>
      <w:bookmarkStart w:id="463" w:name="_Toc9563"/>
      <w:bookmarkStart w:id="464" w:name="_Toc2604"/>
      <w:bookmarkStart w:id="465" w:name="_Toc37600083"/>
      <w:r>
        <w:t xml:space="preserve">5.5 </w:t>
      </w:r>
      <w:r>
        <w:rPr>
          <w:rFonts w:hint="eastAsia"/>
        </w:rPr>
        <w:t>报警、通讯联络方式</w:t>
      </w:r>
      <w:bookmarkEnd w:id="442"/>
      <w:bookmarkEnd w:id="443"/>
      <w:bookmarkEnd w:id="444"/>
      <w:bookmarkEnd w:id="445"/>
      <w:bookmarkEnd w:id="458"/>
      <w:bookmarkEnd w:id="459"/>
      <w:bookmarkEnd w:id="460"/>
      <w:bookmarkEnd w:id="461"/>
      <w:bookmarkEnd w:id="462"/>
      <w:bookmarkEnd w:id="463"/>
      <w:bookmarkEnd w:id="464"/>
      <w:bookmarkEnd w:id="465"/>
    </w:p>
    <w:p>
      <w:pPr>
        <w:pStyle w:val="90"/>
        <w:ind w:firstLine="480"/>
      </w:pPr>
      <w:r>
        <w:rPr>
          <w:rFonts w:hint="eastAsia"/>
        </w:rPr>
        <w:t>（</w:t>
      </w:r>
      <w:r>
        <w:t>1</w:t>
      </w:r>
      <w:r>
        <w:rPr>
          <w:rFonts w:hint="eastAsia"/>
        </w:rPr>
        <w:t>）全厂火灾报警值班室员为</w:t>
      </w:r>
      <w:r>
        <w:t>24</w:t>
      </w:r>
      <w:r>
        <w:rPr>
          <w:rFonts w:hint="eastAsia"/>
        </w:rPr>
        <w:t>小时值班，一旦发生事故，通过内、外线电话与有关应急救援部门、人员联系；辖区现场人员发现火灾或泄漏时，可通过呼叫、内线电话报警；</w:t>
      </w:r>
    </w:p>
    <w:p>
      <w:pPr>
        <w:pStyle w:val="90"/>
        <w:ind w:firstLine="480"/>
      </w:pPr>
      <w:r>
        <w:rPr>
          <w:rFonts w:hint="eastAsia"/>
        </w:rPr>
        <w:t>（</w:t>
      </w:r>
      <w:r>
        <w:t>2</w:t>
      </w:r>
      <w:r>
        <w:rPr>
          <w:rFonts w:hint="eastAsia"/>
        </w:rPr>
        <w:t>）公司有关应急指挥成员的手机实行</w:t>
      </w:r>
      <w:r>
        <w:t>24</w:t>
      </w:r>
      <w:r>
        <w:rPr>
          <w:rFonts w:hint="eastAsia"/>
        </w:rPr>
        <w:t>小时开机，发生紧急情况时通过手机联系、传达有关应急信息和命令；</w:t>
      </w:r>
    </w:p>
    <w:p>
      <w:pPr>
        <w:pStyle w:val="90"/>
        <w:ind w:firstLine="480"/>
      </w:pPr>
      <w:r>
        <w:rPr>
          <w:rFonts w:hint="eastAsia"/>
        </w:rPr>
        <w:t>（</w:t>
      </w:r>
      <w:r>
        <w:t>3</w:t>
      </w:r>
      <w:r>
        <w:rPr>
          <w:rFonts w:hint="eastAsia"/>
        </w:rPr>
        <w:t>）事故信息通报：发现事故信息人员向相关负责人报告，接报人向总指挥或副总指挥报告、通知警戒组，指挥现场处置。</w:t>
      </w:r>
    </w:p>
    <w:p>
      <w:pPr>
        <w:pStyle w:val="5"/>
        <w:bidi w:val="0"/>
      </w:pPr>
      <w:bookmarkStart w:id="466" w:name="_Toc15664"/>
      <w:bookmarkStart w:id="467" w:name="_Toc32636"/>
      <w:bookmarkStart w:id="468" w:name="_Toc32126"/>
      <w:bookmarkStart w:id="469" w:name="_Toc13094_WPSOffice_Level1"/>
      <w:bookmarkStart w:id="470" w:name="_Toc37600084"/>
      <w:bookmarkStart w:id="471" w:name="_Toc20238"/>
      <w:bookmarkStart w:id="472" w:name="_Toc19077"/>
      <w:bookmarkStart w:id="473" w:name="_Toc16889"/>
      <w:r>
        <w:t xml:space="preserve">5.6 </w:t>
      </w:r>
      <w:r>
        <w:rPr>
          <w:rFonts w:hint="eastAsia"/>
        </w:rPr>
        <w:t>预警解除</w:t>
      </w:r>
      <w:bookmarkEnd w:id="466"/>
      <w:bookmarkEnd w:id="467"/>
      <w:bookmarkEnd w:id="468"/>
      <w:bookmarkEnd w:id="469"/>
      <w:bookmarkEnd w:id="470"/>
      <w:bookmarkEnd w:id="471"/>
      <w:bookmarkEnd w:id="472"/>
      <w:bookmarkEnd w:id="473"/>
    </w:p>
    <w:p>
      <w:pPr>
        <w:pStyle w:val="90"/>
        <w:ind w:firstLine="480"/>
      </w:pPr>
      <w:r>
        <w:rPr>
          <w:rFonts w:hint="eastAsia"/>
        </w:rPr>
        <w:t>现场指挥小组根据情况宣布预警解除，由公司现场指挥部成员通知相关单位。</w:t>
      </w:r>
    </w:p>
    <w:p>
      <w:pPr>
        <w:pStyle w:val="90"/>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20"/>
        <w:bidi w:val="0"/>
      </w:pPr>
      <w:bookmarkStart w:id="474" w:name="_Toc387409144"/>
      <w:bookmarkStart w:id="475" w:name="_Toc386210789"/>
      <w:bookmarkStart w:id="476" w:name="_Toc386980289"/>
      <w:bookmarkStart w:id="477" w:name="_Toc391374705"/>
      <w:bookmarkStart w:id="478" w:name="_Toc390869082"/>
      <w:bookmarkStart w:id="479" w:name="_Toc390868932"/>
      <w:bookmarkStart w:id="480" w:name="_Toc3091"/>
      <w:bookmarkStart w:id="481" w:name="_Toc26906"/>
      <w:bookmarkStart w:id="482" w:name="_Toc24492"/>
      <w:bookmarkStart w:id="483" w:name="_Toc11145"/>
      <w:bookmarkStart w:id="484" w:name="_Toc27779_WPSOffice_Level1"/>
      <w:bookmarkStart w:id="485" w:name="_Toc30621"/>
      <w:bookmarkStart w:id="486" w:name="_Toc27321"/>
      <w:bookmarkStart w:id="487" w:name="_Toc37600085"/>
      <w:r>
        <w:t>6</w:t>
      </w:r>
      <w:bookmarkEnd w:id="474"/>
      <w:bookmarkEnd w:id="475"/>
      <w:bookmarkEnd w:id="476"/>
      <w:r>
        <w:t xml:space="preserve"> </w:t>
      </w:r>
      <w:r>
        <w:rPr>
          <w:rFonts w:hint="eastAsia"/>
        </w:rPr>
        <w:t>应急</w:t>
      </w:r>
      <w:bookmarkEnd w:id="477"/>
      <w:bookmarkEnd w:id="478"/>
      <w:bookmarkEnd w:id="479"/>
      <w:r>
        <w:rPr>
          <w:rFonts w:hint="eastAsia"/>
        </w:rPr>
        <w:t>响应</w:t>
      </w:r>
      <w:bookmarkEnd w:id="480"/>
      <w:bookmarkEnd w:id="481"/>
      <w:bookmarkEnd w:id="482"/>
      <w:bookmarkEnd w:id="483"/>
      <w:bookmarkEnd w:id="484"/>
      <w:bookmarkEnd w:id="485"/>
      <w:bookmarkEnd w:id="486"/>
      <w:bookmarkEnd w:id="487"/>
    </w:p>
    <w:p>
      <w:pPr>
        <w:pStyle w:val="5"/>
        <w:bidi w:val="0"/>
      </w:pPr>
      <w:bookmarkStart w:id="488" w:name="_Toc390869083"/>
      <w:bookmarkStart w:id="489" w:name="_Toc390868933"/>
      <w:bookmarkStart w:id="490" w:name="_Toc391374706"/>
      <w:bookmarkStart w:id="491" w:name="_Toc16351"/>
      <w:bookmarkStart w:id="492" w:name="_Toc6712"/>
      <w:bookmarkStart w:id="493" w:name="_Toc20955"/>
      <w:bookmarkStart w:id="494" w:name="_Toc7914"/>
      <w:bookmarkStart w:id="495" w:name="_Toc30053"/>
      <w:bookmarkStart w:id="496" w:name="_Toc37600086"/>
      <w:bookmarkStart w:id="497" w:name="_Toc14685_WPSOffice_Level1"/>
      <w:bookmarkStart w:id="498" w:name="_Toc387409157"/>
      <w:bookmarkStart w:id="499" w:name="_Toc2169"/>
      <w:bookmarkStart w:id="500" w:name="_Toc390868937"/>
      <w:bookmarkStart w:id="501" w:name="_Toc387409158"/>
      <w:bookmarkStart w:id="502" w:name="_Toc391374707"/>
      <w:bookmarkStart w:id="503" w:name="_Toc390869084"/>
      <w:r>
        <w:t xml:space="preserve">6.1 </w:t>
      </w:r>
      <w:r>
        <w:rPr>
          <w:rFonts w:hint="eastAsia"/>
        </w:rPr>
        <w:t>应急预案启动条件</w:t>
      </w:r>
      <w:bookmarkEnd w:id="488"/>
      <w:bookmarkEnd w:id="489"/>
      <w:bookmarkEnd w:id="490"/>
      <w:bookmarkEnd w:id="491"/>
      <w:bookmarkEnd w:id="492"/>
      <w:bookmarkEnd w:id="493"/>
      <w:bookmarkEnd w:id="494"/>
      <w:bookmarkEnd w:id="495"/>
      <w:bookmarkEnd w:id="496"/>
      <w:bookmarkEnd w:id="497"/>
      <w:bookmarkEnd w:id="498"/>
      <w:bookmarkEnd w:id="499"/>
    </w:p>
    <w:p>
      <w:pPr>
        <w:pStyle w:val="90"/>
        <w:ind w:firstLine="480"/>
      </w:pPr>
      <w:r>
        <w:rPr>
          <w:rFonts w:hint="eastAsia"/>
        </w:rPr>
        <w:t>即将发生或已经发生以下事故时，应当立即启动应急预案：</w:t>
      </w:r>
      <w:bookmarkStart w:id="504" w:name="_Toc386210791"/>
    </w:p>
    <w:p>
      <w:pPr>
        <w:pStyle w:val="6"/>
        <w:bidi w:val="0"/>
      </w:pPr>
      <w:bookmarkStart w:id="505" w:name="_Toc390868934"/>
      <w:bookmarkStart w:id="506" w:name="_Toc12461"/>
      <w:bookmarkStart w:id="507" w:name="_Toc14348"/>
      <w:bookmarkStart w:id="508" w:name="_Toc1600"/>
      <w:bookmarkStart w:id="509" w:name="_Toc37600087"/>
      <w:r>
        <w:t>6.1.1</w:t>
      </w:r>
      <w:bookmarkEnd w:id="504"/>
      <w:bookmarkEnd w:id="505"/>
      <w:r>
        <w:t xml:space="preserve"> </w:t>
      </w:r>
      <w:r>
        <w:rPr>
          <w:rFonts w:hint="eastAsia"/>
        </w:rPr>
        <w:t>泄漏</w:t>
      </w:r>
      <w:bookmarkEnd w:id="506"/>
      <w:bookmarkEnd w:id="507"/>
      <w:bookmarkEnd w:id="508"/>
      <w:bookmarkEnd w:id="509"/>
    </w:p>
    <w:p>
      <w:pPr>
        <w:pStyle w:val="90"/>
        <w:ind w:firstLine="480"/>
      </w:pPr>
      <w:r>
        <w:rPr>
          <w:rFonts w:hint="eastAsia"/>
        </w:rPr>
        <w:t>（</w:t>
      </w:r>
      <w:r>
        <w:t>1</w:t>
      </w:r>
      <w:r>
        <w:rPr>
          <w:rFonts w:hint="eastAsia"/>
        </w:rPr>
        <w:t>）危险废物的溢出不能控制在厂区内，导致厂区外土壤或</w:t>
      </w:r>
      <w:r>
        <w:rPr>
          <w:rFonts w:hint="eastAsia"/>
          <w:highlight w:val="none"/>
        </w:rPr>
        <w:t>水体污染</w:t>
      </w:r>
      <w:r>
        <w:rPr>
          <w:rFonts w:hint="eastAsia"/>
        </w:rPr>
        <w:t>。</w:t>
      </w:r>
      <w:bookmarkStart w:id="510" w:name="_Toc386210792"/>
    </w:p>
    <w:p>
      <w:pPr>
        <w:pStyle w:val="90"/>
        <w:ind w:firstLine="480"/>
      </w:pPr>
      <w:r>
        <w:rPr>
          <w:rFonts w:hint="eastAsia"/>
        </w:rPr>
        <w:t>（</w:t>
      </w:r>
      <w:r>
        <w:t>2</w:t>
      </w:r>
      <w:r>
        <w:rPr>
          <w:rFonts w:hint="eastAsia"/>
        </w:rPr>
        <w:t>）废机油泄漏。</w:t>
      </w:r>
    </w:p>
    <w:p>
      <w:pPr>
        <w:pStyle w:val="90"/>
        <w:ind w:firstLine="480"/>
      </w:pPr>
      <w:r>
        <w:rPr>
          <w:rFonts w:hint="eastAsia"/>
        </w:rPr>
        <w:t>（3）废水处理系统发生泄漏。</w:t>
      </w:r>
    </w:p>
    <w:p>
      <w:pPr>
        <w:pStyle w:val="6"/>
        <w:bidi w:val="0"/>
      </w:pPr>
      <w:bookmarkStart w:id="511" w:name="_Toc37600088"/>
      <w:bookmarkStart w:id="512" w:name="_Toc14407"/>
      <w:bookmarkStart w:id="513" w:name="_Toc25595"/>
      <w:bookmarkStart w:id="514" w:name="_Toc12847"/>
      <w:bookmarkStart w:id="515" w:name="_Toc390868935"/>
      <w:r>
        <w:t xml:space="preserve">6.1.2 </w:t>
      </w:r>
      <w:r>
        <w:rPr>
          <w:rFonts w:hint="eastAsia"/>
        </w:rPr>
        <w:t>火灾</w:t>
      </w:r>
      <w:bookmarkEnd w:id="510"/>
      <w:bookmarkEnd w:id="511"/>
      <w:bookmarkEnd w:id="512"/>
      <w:bookmarkEnd w:id="513"/>
      <w:bookmarkEnd w:id="514"/>
      <w:bookmarkEnd w:id="515"/>
    </w:p>
    <w:p>
      <w:pPr>
        <w:pStyle w:val="90"/>
        <w:ind w:firstLine="480"/>
      </w:pPr>
      <w:r>
        <w:rPr>
          <w:rFonts w:hint="eastAsia"/>
        </w:rPr>
        <w:t>（</w:t>
      </w:r>
      <w:r>
        <w:t>1</w:t>
      </w:r>
      <w:r>
        <w:rPr>
          <w:rFonts w:hint="eastAsia"/>
        </w:rPr>
        <w:t>）火灾导致有毒烟气产生；</w:t>
      </w:r>
    </w:p>
    <w:p>
      <w:pPr>
        <w:pStyle w:val="90"/>
        <w:ind w:firstLine="480"/>
      </w:pPr>
      <w:r>
        <w:rPr>
          <w:rFonts w:hint="eastAsia"/>
        </w:rPr>
        <w:t>（</w:t>
      </w:r>
      <w:r>
        <w:t>2</w:t>
      </w:r>
      <w:r>
        <w:rPr>
          <w:rFonts w:hint="eastAsia"/>
        </w:rPr>
        <w:t>）火灾蔓延，可能导致其他区域材料起火或导致热引发的爆炸；</w:t>
      </w:r>
    </w:p>
    <w:p>
      <w:pPr>
        <w:pStyle w:val="90"/>
        <w:ind w:firstLine="480"/>
      </w:pPr>
      <w:r>
        <w:rPr>
          <w:rFonts w:hint="eastAsia"/>
        </w:rPr>
        <w:t>（</w:t>
      </w:r>
      <w:r>
        <w:t>3</w:t>
      </w:r>
      <w:r>
        <w:rPr>
          <w:rFonts w:hint="eastAsia"/>
        </w:rPr>
        <w:t>）火灾蔓延至厂区外。</w:t>
      </w:r>
      <w:bookmarkStart w:id="516" w:name="_Toc386210793"/>
    </w:p>
    <w:bookmarkEnd w:id="516"/>
    <w:p>
      <w:pPr>
        <w:pStyle w:val="5"/>
        <w:bidi w:val="0"/>
      </w:pPr>
      <w:bookmarkStart w:id="517" w:name="_Toc30197"/>
      <w:bookmarkStart w:id="518" w:name="_Toc30045"/>
      <w:bookmarkStart w:id="519" w:name="_Toc7721"/>
      <w:bookmarkStart w:id="520" w:name="_Toc37600089"/>
      <w:bookmarkStart w:id="521" w:name="_Toc6102"/>
      <w:bookmarkStart w:id="522" w:name="_Toc2866_WPSOffice_Level1"/>
      <w:bookmarkStart w:id="523" w:name="_Toc15153"/>
      <w:bookmarkStart w:id="524" w:name="_Toc984"/>
      <w:r>
        <w:t xml:space="preserve">6.2 </w:t>
      </w:r>
      <w:r>
        <w:rPr>
          <w:rFonts w:hint="eastAsia"/>
        </w:rPr>
        <w:t>信息报告与通报</w:t>
      </w:r>
      <w:bookmarkEnd w:id="500"/>
      <w:bookmarkEnd w:id="501"/>
      <w:bookmarkEnd w:id="502"/>
      <w:bookmarkEnd w:id="503"/>
      <w:bookmarkEnd w:id="517"/>
      <w:bookmarkEnd w:id="518"/>
      <w:bookmarkEnd w:id="519"/>
      <w:bookmarkEnd w:id="520"/>
      <w:bookmarkEnd w:id="521"/>
      <w:bookmarkEnd w:id="522"/>
      <w:bookmarkEnd w:id="523"/>
      <w:bookmarkEnd w:id="524"/>
      <w:bookmarkStart w:id="525" w:name="_Toc386210795"/>
    </w:p>
    <w:p>
      <w:pPr>
        <w:pStyle w:val="6"/>
        <w:bidi w:val="0"/>
      </w:pPr>
      <w:bookmarkStart w:id="526" w:name="_Toc37600090"/>
      <w:bookmarkStart w:id="527" w:name="_Toc22150"/>
      <w:bookmarkStart w:id="528" w:name="_Toc20822"/>
      <w:bookmarkStart w:id="529" w:name="_Toc6725"/>
      <w:bookmarkStart w:id="530" w:name="_Toc390868938"/>
      <w:r>
        <w:t xml:space="preserve">6.2.1 </w:t>
      </w:r>
      <w:r>
        <w:rPr>
          <w:rFonts w:hint="eastAsia"/>
        </w:rPr>
        <w:t>内部事故信息报警和通知</w:t>
      </w:r>
      <w:bookmarkEnd w:id="525"/>
      <w:bookmarkEnd w:id="526"/>
      <w:bookmarkEnd w:id="527"/>
      <w:bookmarkEnd w:id="528"/>
      <w:bookmarkEnd w:id="529"/>
      <w:bookmarkEnd w:id="530"/>
    </w:p>
    <w:p>
      <w:pPr>
        <w:pStyle w:val="90"/>
        <w:ind w:firstLine="480"/>
      </w:pPr>
      <w:r>
        <w:rPr>
          <w:rFonts w:hint="eastAsia"/>
        </w:rPr>
        <w:t>发现紧急状态即将发生或已经发生时，应当按照以下步骤操作：</w:t>
      </w:r>
    </w:p>
    <w:p>
      <w:pPr>
        <w:pStyle w:val="90"/>
        <w:ind w:firstLine="480"/>
      </w:pPr>
      <w:r>
        <w:rPr>
          <w:rFonts w:hint="eastAsia"/>
        </w:rPr>
        <w:t>突发事件现场发现者，应及时通知厂区值班人员，逐级上报；</w:t>
      </w:r>
    </w:p>
    <w:p>
      <w:pPr>
        <w:pStyle w:val="90"/>
        <w:ind w:firstLine="480"/>
      </w:pPr>
      <w:r>
        <w:rPr>
          <w:rFonts w:hint="eastAsia"/>
        </w:rPr>
        <w:t>相关联系人接到通知发现有突发火警时，应马上通知厂区值班人员到现场确认；</w:t>
      </w:r>
    </w:p>
    <w:p>
      <w:pPr>
        <w:pStyle w:val="90"/>
        <w:ind w:firstLine="480"/>
      </w:pPr>
      <w:r>
        <w:rPr>
          <w:rFonts w:hint="eastAsia"/>
        </w:rPr>
        <w:t>如果突发事件属实，厂区值班人员应第一时间报告现场指挥，确认是否需要疏散及疏散范围；现场应急指挥组收到报告后立即通知其他现场应急指挥部成员；</w:t>
      </w:r>
    </w:p>
    <w:p>
      <w:pPr>
        <w:pStyle w:val="90"/>
        <w:ind w:firstLine="480"/>
      </w:pPr>
      <w:r>
        <w:rPr>
          <w:rFonts w:hint="eastAsia"/>
        </w:rPr>
        <w:t>总指挥应及时到达现场，初步评估事件的严重性；如果此次突发事件将趋于严重，总指挥应及时通知现场应急指挥组成员待命，启动应急程序，进行紧急行动；</w:t>
      </w:r>
    </w:p>
    <w:p>
      <w:pPr>
        <w:pStyle w:val="6"/>
        <w:bidi w:val="0"/>
      </w:pPr>
      <w:bookmarkStart w:id="531" w:name="_Toc24061"/>
      <w:bookmarkStart w:id="532" w:name="_Toc37600091"/>
      <w:bookmarkStart w:id="533" w:name="_Toc26863"/>
      <w:bookmarkStart w:id="534" w:name="_Toc19524"/>
      <w:bookmarkStart w:id="535" w:name="_Toc390868939"/>
      <w:r>
        <w:t xml:space="preserve">6.2.2 </w:t>
      </w:r>
      <w:r>
        <w:rPr>
          <w:rFonts w:hint="eastAsia"/>
        </w:rPr>
        <w:t>向外部应急</w:t>
      </w:r>
      <w:r>
        <w:t>/</w:t>
      </w:r>
      <w:r>
        <w:rPr>
          <w:rFonts w:hint="eastAsia"/>
        </w:rPr>
        <w:t>救援力量报警和通知</w:t>
      </w:r>
      <w:bookmarkEnd w:id="531"/>
      <w:bookmarkEnd w:id="532"/>
      <w:bookmarkEnd w:id="533"/>
      <w:bookmarkEnd w:id="534"/>
      <w:bookmarkEnd w:id="535"/>
    </w:p>
    <w:p>
      <w:pPr>
        <w:pStyle w:val="90"/>
        <w:ind w:firstLine="480"/>
      </w:pPr>
      <w:r>
        <w:rPr>
          <w:rFonts w:hint="eastAsia"/>
        </w:rPr>
        <w:t>企业作为发生突发环境事件的责任单位，一旦发生突发环境污染事故，由应急指挥通过手机、座机等联络方式向当地</w:t>
      </w:r>
      <w:r>
        <w:rPr>
          <w:rFonts w:hint="eastAsia"/>
          <w:highlight w:val="none"/>
        </w:rPr>
        <w:t>政府报告</w:t>
      </w:r>
      <w:r>
        <w:rPr>
          <w:rFonts w:hint="eastAsia"/>
        </w:rPr>
        <w:t>，以及向周边单位发送警报消息，并组织人员撤离或疏散，随时保持电话联系。</w:t>
      </w:r>
    </w:p>
    <w:p>
      <w:pPr>
        <w:pStyle w:val="90"/>
        <w:ind w:firstLine="480"/>
      </w:pPr>
      <w:r>
        <w:rPr>
          <w:rFonts w:hint="eastAsia"/>
        </w:rPr>
        <w:t>当地政府应在接到报告</w:t>
      </w:r>
      <w:r>
        <w:t>1</w:t>
      </w:r>
      <w:r>
        <w:rPr>
          <w:rFonts w:hint="eastAsia"/>
        </w:rPr>
        <w:t>小时内向南昌市政府及以上</w:t>
      </w:r>
      <w:r>
        <w:rPr>
          <w:rFonts w:hint="eastAsia"/>
          <w:highlight w:val="none"/>
        </w:rPr>
        <w:t>政府报告</w:t>
      </w:r>
      <w:r>
        <w:rPr>
          <w:rFonts w:hint="eastAsia"/>
        </w:rPr>
        <w:t>，同时向上一级环境保护行政主管部门及相关专业主管部门报告，并立即组织进行现场调查和先期处置。</w:t>
      </w:r>
      <w:bookmarkStart w:id="536" w:name="_Toc386210797"/>
    </w:p>
    <w:bookmarkEnd w:id="536"/>
    <w:p>
      <w:pPr>
        <w:pStyle w:val="6"/>
        <w:bidi w:val="0"/>
      </w:pPr>
      <w:bookmarkStart w:id="537" w:name="_Toc29832"/>
      <w:bookmarkStart w:id="538" w:name="_Toc390868940"/>
      <w:bookmarkStart w:id="539" w:name="_Toc37600092"/>
      <w:bookmarkStart w:id="540" w:name="_Toc11784"/>
      <w:bookmarkStart w:id="541" w:name="_Toc9092"/>
      <w:r>
        <w:t xml:space="preserve">6.2.3 </w:t>
      </w:r>
      <w:r>
        <w:rPr>
          <w:rFonts w:hint="eastAsia"/>
        </w:rPr>
        <w:t>向邻近单位及人员报警和通知</w:t>
      </w:r>
      <w:bookmarkEnd w:id="537"/>
      <w:bookmarkEnd w:id="538"/>
      <w:bookmarkEnd w:id="539"/>
      <w:bookmarkEnd w:id="540"/>
      <w:bookmarkEnd w:id="541"/>
    </w:p>
    <w:p>
      <w:pPr>
        <w:pStyle w:val="90"/>
        <w:ind w:firstLine="480"/>
      </w:pPr>
      <w:r>
        <w:rPr>
          <w:rFonts w:hint="eastAsia"/>
        </w:rPr>
        <w:t>在事故可能影响到厂外的情况下，应急指挥部应立即通知周边邻近单位、社区、受影响区域人群。通知内容应当尽可能简明，告诉公众该如何采取行动；如果决定疏散，应当通知居民避难所位置和疏散路线。</w:t>
      </w:r>
    </w:p>
    <w:p>
      <w:pPr>
        <w:pStyle w:val="6"/>
        <w:bidi w:val="0"/>
      </w:pPr>
      <w:bookmarkStart w:id="542" w:name="_Toc26859"/>
      <w:bookmarkStart w:id="543" w:name="_Toc32040"/>
      <w:bookmarkStart w:id="544" w:name="_Toc37600093"/>
      <w:bookmarkStart w:id="545" w:name="_Toc22186"/>
      <w:r>
        <w:t xml:space="preserve">6.2.4 </w:t>
      </w:r>
      <w:r>
        <w:rPr>
          <w:rFonts w:hint="eastAsia"/>
        </w:rPr>
        <w:t>信息发布程序</w:t>
      </w:r>
      <w:bookmarkEnd w:id="542"/>
      <w:bookmarkEnd w:id="543"/>
      <w:bookmarkEnd w:id="544"/>
      <w:bookmarkEnd w:id="545"/>
    </w:p>
    <w:p>
      <w:pPr>
        <w:pStyle w:val="90"/>
        <w:ind w:firstLine="480"/>
        <w:rPr>
          <w:snapToGrid w:val="0"/>
        </w:rPr>
      </w:pPr>
      <w:r>
        <w:rPr>
          <w:rFonts w:hint="eastAsia"/>
        </w:rPr>
        <w:t>应急指挥部及时了解事故发展状态，同南昌市</w:t>
      </w:r>
      <w:r>
        <w:rPr>
          <w:rFonts w:hint="eastAsia"/>
          <w:lang w:val="en-US" w:eastAsia="zh-CN"/>
        </w:rPr>
        <w:t>生态环境局昌北分局</w:t>
      </w:r>
      <w:r>
        <w:rPr>
          <w:rFonts w:hint="eastAsia"/>
        </w:rPr>
        <w:t>及南昌市经济开发区管理委员会保持联系，及时沟通事态发展情况，由南昌市经济开发区管理委员会发布事故信息，发布的信息必须经过管委会应急办总指挥确认，力求做到及时、准确。当没有进一步信息时，应该让公众、媒体知道事态正在调查，</w:t>
      </w:r>
      <w:r>
        <w:rPr>
          <w:rFonts w:hint="eastAsia"/>
          <w:snapToGrid w:val="0"/>
        </w:rPr>
        <w:t>将下次信息发布时间通知媒体。</w:t>
      </w:r>
    </w:p>
    <w:p>
      <w:pPr>
        <w:ind w:firstLine="880"/>
        <w:rPr>
          <w:rFonts w:ascii="黑体" w:eastAsia="黑体"/>
          <w:sz w:val="44"/>
          <w:szCs w:val="44"/>
        </w:rPr>
      </w:pPr>
      <w:r>
        <w:rPr>
          <w:rFonts w:ascii="黑体" w:eastAsia="黑体"/>
          <w:sz w:val="44"/>
          <w:szCs w:val="44"/>
        </w:rPr>
        <mc:AlternateContent>
          <mc:Choice Requires="wpc">
            <w:drawing>
              <wp:inline distT="0" distB="0" distL="114300" distR="114300">
                <wp:extent cx="4655820" cy="3843655"/>
                <wp:effectExtent l="4445" t="0" r="0" b="22860"/>
                <wp:docPr id="21" name="画布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9" name="直接连接符 46"/>
                        <wps:cNvCnPr/>
                        <wps:spPr>
                          <a:xfrm>
                            <a:off x="2518410" y="531495"/>
                            <a:ext cx="635" cy="462915"/>
                          </a:xfrm>
                          <a:prstGeom prst="line">
                            <a:avLst/>
                          </a:prstGeom>
                          <a:ln w="9525" cap="flat" cmpd="sng">
                            <a:solidFill>
                              <a:srgbClr val="000000"/>
                            </a:solidFill>
                            <a:prstDash val="solid"/>
                            <a:headEnd type="none" w="med" len="med"/>
                            <a:tailEnd type="triangle" w="med" len="med"/>
                          </a:ln>
                          <a:effectLst/>
                        </wps:spPr>
                        <wps:bodyPr/>
                      </wps:wsp>
                      <wps:wsp>
                        <wps:cNvPr id="80" name="文本框 47"/>
                        <wps:cNvSpPr txBox="1"/>
                        <wps:spPr>
                          <a:xfrm>
                            <a:off x="552450" y="198120"/>
                            <a:ext cx="3167380" cy="330835"/>
                          </a:xfrm>
                          <a:prstGeom prst="rect">
                            <a:avLst/>
                          </a:prstGeom>
                          <a:noFill/>
                          <a:ln w="9525" cap="flat" cmpd="sng">
                            <a:solidFill>
                              <a:srgbClr val="000000"/>
                            </a:solidFill>
                            <a:prstDash val="solid"/>
                            <a:miter/>
                            <a:headEnd type="none" w="med" len="med"/>
                            <a:tailEnd type="none" w="med" len="med"/>
                          </a:ln>
                          <a:effectLst/>
                        </wps:spPr>
                        <wps:txbx>
                          <w:txbxContent>
                            <w:p>
                              <w:pPr>
                                <w:jc w:val="center"/>
                              </w:pPr>
                              <w:r>
                                <w:rPr>
                                  <w:rFonts w:hint="eastAsia" w:cs="宋体"/>
                                </w:rPr>
                                <w:t>通讯组提交相关材料及提出书面申请</w:t>
                              </w:r>
                            </w:p>
                          </w:txbxContent>
                        </wps:txbx>
                        <wps:bodyPr upright="1"/>
                      </wps:wsp>
                      <wps:wsp>
                        <wps:cNvPr id="81" name="文本框 48"/>
                        <wps:cNvSpPr txBox="1"/>
                        <wps:spPr>
                          <a:xfrm>
                            <a:off x="0" y="2786380"/>
                            <a:ext cx="2179320" cy="3302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r>
                                <w:rPr>
                                  <w:rFonts w:hint="eastAsia" w:cs="宋体"/>
                                </w:rPr>
                                <w:t>确认信息合法、真实、完整</w:t>
                              </w:r>
                            </w:p>
                          </w:txbxContent>
                        </wps:txbx>
                        <wps:bodyPr upright="1"/>
                      </wps:wsp>
                      <wps:wsp>
                        <wps:cNvPr id="82" name="直接连接符 49"/>
                        <wps:cNvCnPr/>
                        <wps:spPr>
                          <a:xfrm>
                            <a:off x="3568700" y="1402080"/>
                            <a:ext cx="635" cy="516890"/>
                          </a:xfrm>
                          <a:prstGeom prst="line">
                            <a:avLst/>
                          </a:prstGeom>
                          <a:ln w="9525" cap="flat" cmpd="sng">
                            <a:solidFill>
                              <a:srgbClr val="000000"/>
                            </a:solidFill>
                            <a:prstDash val="solid"/>
                            <a:headEnd type="none" w="med" len="med"/>
                            <a:tailEnd type="triangle" w="med" len="med"/>
                          </a:ln>
                          <a:effectLst/>
                        </wps:spPr>
                        <wps:bodyPr/>
                      </wps:wsp>
                      <wps:wsp>
                        <wps:cNvPr id="83" name="文本框 50"/>
                        <wps:cNvSpPr txBox="1"/>
                        <wps:spPr>
                          <a:xfrm>
                            <a:off x="2343150" y="1936115"/>
                            <a:ext cx="2009140" cy="361950"/>
                          </a:xfrm>
                          <a:prstGeom prst="rect">
                            <a:avLst/>
                          </a:prstGeom>
                          <a:noFill/>
                          <a:ln w="9525" cap="flat" cmpd="sng">
                            <a:solidFill>
                              <a:srgbClr val="000000"/>
                            </a:solidFill>
                            <a:prstDash val="solid"/>
                            <a:miter/>
                            <a:headEnd type="none" w="med" len="med"/>
                            <a:tailEnd type="none" w="med" len="med"/>
                          </a:ln>
                          <a:effectLst/>
                        </wps:spPr>
                        <wps:txbx>
                          <w:txbxContent>
                            <w:p>
                              <w:pPr>
                                <w:rPr>
                                  <w:sz w:val="30"/>
                                  <w:szCs w:val="30"/>
                                </w:rPr>
                              </w:pPr>
                              <w:r>
                                <w:rPr>
                                  <w:rFonts w:hint="eastAsia" w:cs="宋体"/>
                                </w:rPr>
                                <w:t>信息经核对，不符合发布要求</w:t>
                              </w:r>
                            </w:p>
                          </w:txbxContent>
                        </wps:txbx>
                        <wps:bodyPr upright="1"/>
                      </wps:wsp>
                      <wps:wsp>
                        <wps:cNvPr id="84" name="直接连接符 51"/>
                        <wps:cNvCnPr/>
                        <wps:spPr>
                          <a:xfrm>
                            <a:off x="899160" y="1421130"/>
                            <a:ext cx="635" cy="1338580"/>
                          </a:xfrm>
                          <a:prstGeom prst="line">
                            <a:avLst/>
                          </a:prstGeom>
                          <a:ln w="9525" cap="flat" cmpd="sng">
                            <a:solidFill>
                              <a:srgbClr val="000000"/>
                            </a:solidFill>
                            <a:prstDash val="solid"/>
                            <a:headEnd type="none" w="med" len="med"/>
                            <a:tailEnd type="triangle" w="med" len="med"/>
                          </a:ln>
                          <a:effectLst/>
                        </wps:spPr>
                        <wps:bodyPr/>
                      </wps:wsp>
                      <wps:wsp>
                        <wps:cNvPr id="85" name="直接连接符 52"/>
                        <wps:cNvCnPr/>
                        <wps:spPr>
                          <a:xfrm flipH="1">
                            <a:off x="3787775" y="2326005"/>
                            <a:ext cx="1905" cy="365125"/>
                          </a:xfrm>
                          <a:prstGeom prst="line">
                            <a:avLst/>
                          </a:prstGeom>
                          <a:ln w="9525" cap="flat" cmpd="sng">
                            <a:solidFill>
                              <a:srgbClr val="000000"/>
                            </a:solidFill>
                            <a:prstDash val="solid"/>
                            <a:headEnd type="none" w="med" len="med"/>
                            <a:tailEnd type="triangle" w="med" len="med"/>
                          </a:ln>
                          <a:effectLst/>
                        </wps:spPr>
                        <wps:bodyPr/>
                      </wps:wsp>
                      <wps:wsp>
                        <wps:cNvPr id="86" name="文本框 53"/>
                        <wps:cNvSpPr txBox="1"/>
                        <wps:spPr>
                          <a:xfrm>
                            <a:off x="2857500" y="2708275"/>
                            <a:ext cx="1666240" cy="561340"/>
                          </a:xfrm>
                          <a:prstGeom prst="rect">
                            <a:avLst/>
                          </a:prstGeom>
                          <a:noFill/>
                          <a:ln w="9525" cap="flat" cmpd="sng">
                            <a:solidFill>
                              <a:srgbClr val="000000"/>
                            </a:solidFill>
                            <a:prstDash val="solid"/>
                            <a:miter/>
                            <a:headEnd type="none" w="med" len="med"/>
                            <a:tailEnd type="none" w="med" len="med"/>
                          </a:ln>
                          <a:effectLst/>
                        </wps:spPr>
                        <wps:txbx>
                          <w:txbxContent>
                            <w:p>
                              <w:pPr>
                                <w:jc w:val="center"/>
                              </w:pPr>
                              <w:r>
                                <w:rPr>
                                  <w:rFonts w:hint="eastAsia" w:cs="宋体"/>
                                </w:rPr>
                                <w:t>进行甄别复核，补充完善信息内容</w:t>
                              </w:r>
                            </w:p>
                          </w:txbxContent>
                        </wps:txbx>
                        <wps:bodyPr upright="1"/>
                      </wps:wsp>
                      <wps:wsp>
                        <wps:cNvPr id="87" name="直接连接符 54"/>
                        <wps:cNvCnPr/>
                        <wps:spPr>
                          <a:xfrm flipH="1">
                            <a:off x="2219960" y="2964180"/>
                            <a:ext cx="593725" cy="3175"/>
                          </a:xfrm>
                          <a:prstGeom prst="line">
                            <a:avLst/>
                          </a:prstGeom>
                          <a:ln w="9525" cap="flat" cmpd="sng">
                            <a:solidFill>
                              <a:srgbClr val="000000"/>
                            </a:solidFill>
                            <a:prstDash val="solid"/>
                            <a:headEnd type="none" w="med" len="med"/>
                            <a:tailEnd type="triangle" w="med" len="med"/>
                          </a:ln>
                          <a:effectLst/>
                        </wps:spPr>
                        <wps:bodyPr/>
                      </wps:wsp>
                      <wps:wsp>
                        <wps:cNvPr id="88" name="文本框 55"/>
                        <wps:cNvSpPr txBox="1"/>
                        <wps:spPr>
                          <a:xfrm>
                            <a:off x="333375" y="3537585"/>
                            <a:ext cx="1864995" cy="318135"/>
                          </a:xfrm>
                          <a:prstGeom prst="rect">
                            <a:avLst/>
                          </a:prstGeom>
                          <a:noFill/>
                          <a:ln w="9525" cap="flat" cmpd="sng">
                            <a:solidFill>
                              <a:srgbClr val="000000"/>
                            </a:solidFill>
                            <a:prstDash val="solid"/>
                            <a:miter/>
                            <a:headEnd type="none" w="med" len="med"/>
                            <a:tailEnd type="none" w="med" len="med"/>
                          </a:ln>
                          <a:effectLst/>
                        </wps:spPr>
                        <wps:txbx>
                          <w:txbxContent>
                            <w:p>
                              <w:pPr>
                                <w:jc w:val="center"/>
                              </w:pPr>
                              <w:r>
                                <w:rPr>
                                  <w:rFonts w:hint="eastAsia" w:cs="宋体"/>
                                </w:rPr>
                                <w:t>发布信息</w:t>
                              </w:r>
                            </w:p>
                          </w:txbxContent>
                        </wps:txbx>
                        <wps:bodyPr upright="1"/>
                      </wps:wsp>
                      <wps:wsp>
                        <wps:cNvPr id="89" name="直接连接符 56"/>
                        <wps:cNvCnPr/>
                        <wps:spPr>
                          <a:xfrm>
                            <a:off x="1268730" y="3118485"/>
                            <a:ext cx="635" cy="421005"/>
                          </a:xfrm>
                          <a:prstGeom prst="line">
                            <a:avLst/>
                          </a:prstGeom>
                          <a:ln w="9525" cap="flat" cmpd="sng">
                            <a:solidFill>
                              <a:srgbClr val="000000"/>
                            </a:solidFill>
                            <a:prstDash val="solid"/>
                            <a:headEnd type="none" w="med" len="med"/>
                            <a:tailEnd type="triangle" w="med" len="med"/>
                          </a:ln>
                          <a:effectLst/>
                        </wps:spPr>
                        <wps:bodyPr/>
                      </wps:wsp>
                      <wps:wsp>
                        <wps:cNvPr id="90" name="文本框 57"/>
                        <wps:cNvSpPr txBox="1"/>
                        <wps:spPr>
                          <a:xfrm>
                            <a:off x="533400" y="1002030"/>
                            <a:ext cx="3168015" cy="329565"/>
                          </a:xfrm>
                          <a:prstGeom prst="rect">
                            <a:avLst/>
                          </a:prstGeom>
                          <a:noFill/>
                          <a:ln w="9525" cap="flat" cmpd="sng">
                            <a:solidFill>
                              <a:srgbClr val="000000"/>
                            </a:solidFill>
                            <a:prstDash val="solid"/>
                            <a:miter/>
                            <a:headEnd type="none" w="med" len="med"/>
                            <a:tailEnd type="none" w="med" len="med"/>
                          </a:ln>
                          <a:effectLst/>
                        </wps:spPr>
                        <wps:txbx>
                          <w:txbxContent>
                            <w:p>
                              <w:pPr>
                                <w:jc w:val="center"/>
                              </w:pPr>
                              <w:r>
                                <w:rPr>
                                  <w:rFonts w:hint="eastAsia" w:cs="宋体"/>
                                </w:rPr>
                                <w:t>总指挥核对相关书面材料审核</w:t>
                              </w:r>
                            </w:p>
                            <w:p>
                              <w:pPr>
                                <w:ind w:firstLine="480"/>
                              </w:pPr>
                            </w:p>
                          </w:txbxContent>
                        </wps:txbx>
                        <wps:bodyPr upright="1"/>
                      </wps:wsp>
                    </wpc:wpc>
                  </a:graphicData>
                </a:graphic>
              </wp:inline>
            </w:drawing>
          </mc:Choice>
          <mc:Fallback>
            <w:pict>
              <v:group id="_x0000_s1026" o:spid="_x0000_s1026" o:spt="203" style="height:302.65pt;width:366.6pt;" coordsize="4655820,3843655" editas="canvas" o:gfxdata="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">
                <o:lock v:ext="edit" aspectratio="f"/>
                <v:shape id="_x0000_s1026" o:spid="_x0000_s1026" style="position:absolute;left:0;top:0;height:3843655;width:4655820;" filled="f" stroked="f" coordsize="21600,21600" o:gfxdata="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">
                  <v:fill on="f" focussize="0,0"/>
                  <v:stroke on="f"/>
                  <v:imagedata o:title=""/>
                  <o:lock v:ext="edit" aspectratio="t"/>
                </v:shape>
                <v:line id="直接连接符 46" o:spid="_x0000_s1026" o:spt="20" style="position:absolute;left:2518410;top:531495;height:462915;width:635;" filled="f" stroked="t" coordsize="21600,21600" o:gfxdata="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4gWNtgAAAAFAQAADwAAAAAAAAABACAAAAAiAAAAZHJzL2Rvd25yZXYueG1sUEsBAhQAFAAA&#10;AAgAh07iQL/SPoPvAQAAqgMAAA4AAAAAAAAAAQAgAAAAJwEAAGRycy9lMm9Eb2MueG1sUEsFBgAA&#10;AAAGAAYAWQEAAIgFAAAAAA==&#10;">
                  <v:fill on="f" focussize="0,0"/>
                  <v:stroke color="#000000" joinstyle="round" endarrow="block"/>
                  <v:imagedata o:title=""/>
                  <o:lock v:ext="edit" aspectratio="f"/>
                </v:line>
                <v:shape id="文本框 47" o:spid="_x0000_s1026" o:spt="202" type="#_x0000_t202" style="position:absolute;left:552450;top:198120;height:330835;width:3167380;" filled="f" stroked="t" coordsize="21600,21600" o:gfxdata="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tFZpjTAAAABQEAAA8AAAAAAAAAAQAgAAAAIgAAAGRycy9kb3ducmV2LnhtbFBL&#10;AQIUABQAAAAIAIdO4kD3x4xm+wEAANkDAAAOAAAAAAAAAAEAIAAAACIBAABkcnMvZTJvRG9jLnht&#10;bFBLBQYAAAAABgAGAFkBAACPBQAAAAA=&#10;">
                  <v:fill on="f" focussize="0,0"/>
                  <v:stroke color="#000000" joinstyle="miter"/>
                  <v:imagedata o:title=""/>
                  <o:lock v:ext="edit" aspectratio="f"/>
                  <v:textbox>
                    <w:txbxContent>
                      <w:p>
                        <w:pPr>
                          <w:jc w:val="center"/>
                        </w:pPr>
                        <w:r>
                          <w:rPr>
                            <w:rFonts w:hint="eastAsia" w:cs="宋体"/>
                          </w:rPr>
                          <w:t>通讯组提交相关材料及提出书面申请</w:t>
                        </w:r>
                      </w:p>
                    </w:txbxContent>
                  </v:textbox>
                </v:shape>
                <v:shape id="文本框 48" o:spid="_x0000_s1026" o:spt="202" type="#_x0000_t202" style="position:absolute;left:0;top:2786380;height:330200;width:2179320;" fillcolor="#FFFFFF" filled="t" stroked="t" coordsize="21600,21600" o:gfxdata="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NFK5W1wAAAAUBAAAPAAAAAAAAAAEAIAAAACIAAABkcnMvZG93bnJl&#10;di54bWxQSwECFAAUAAAACACHTuJAvAS5w/4BAAD+AwAADgAAAAAAAAABACAAAAAmAQAAZHJzL2Uy&#10;b0RvYy54bWxQSwUGAAAAAAYABgBZAQAAlgUAAAAA&#10;">
                  <v:fill on="t" focussize="0,0"/>
                  <v:stroke color="#000000" joinstyle="miter"/>
                  <v:imagedata o:title=""/>
                  <o:lock v:ext="edit" aspectratio="f"/>
                  <v:textbox>
                    <w:txbxContent>
                      <w:p>
                        <w:r>
                          <w:rPr>
                            <w:rFonts w:hint="eastAsia" w:cs="宋体"/>
                          </w:rPr>
                          <w:t>确认信息合法、真实、完整</w:t>
                        </w:r>
                      </w:p>
                    </w:txbxContent>
                  </v:textbox>
                </v:shape>
                <v:line id="直接连接符 49" o:spid="_x0000_s1026" o:spt="20" style="position:absolute;left:3568700;top:1402080;height:516890;width:635;" filled="f" stroked="t" coordsize="21600,21600" o:gfxdata="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4gWNtgAAAAFAQAADwAAAAAAAAABACAAAAAiAAAAZHJzL2Rvd25yZXYueG1sUEsBAhQAFAAA&#10;AAgAh07iQH8ELezvAQAAqwMAAA4AAAAAAAAAAQAgAAAAJwEAAGRycy9lMm9Eb2MueG1sUEsFBgAA&#10;AAAGAAYAWQEAAIgFAAAAAA==&#10;">
                  <v:fill on="f" focussize="0,0"/>
                  <v:stroke color="#000000" joinstyle="round" endarrow="block"/>
                  <v:imagedata o:title=""/>
                  <o:lock v:ext="edit" aspectratio="f"/>
                </v:line>
                <v:shape id="文本框 50" o:spid="_x0000_s1026" o:spt="202" type="#_x0000_t202" style="position:absolute;left:2343150;top:1936115;height:361950;width:2009140;" filled="f" stroked="t" coordsize="21600,21600" o:gfxdata="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tFZpjTAAAABQEAAA8AAAAAAAAAAQAgAAAAIgAAAGRycy9kb3ducmV2LnhtbFBL&#10;AQIUABQAAAAIAIdO4kCsalMA+wEAANsDAAAOAAAAAAAAAAEAIAAAACIBAABkcnMvZTJvRG9jLnht&#10;bFBLBQYAAAAABgAGAFkBAACPBQAAAAA=&#10;">
                  <v:fill on="f" focussize="0,0"/>
                  <v:stroke color="#000000" joinstyle="miter"/>
                  <v:imagedata o:title=""/>
                  <o:lock v:ext="edit" aspectratio="f"/>
                  <v:textbox>
                    <w:txbxContent>
                      <w:p>
                        <w:pPr>
                          <w:rPr>
                            <w:sz w:val="30"/>
                            <w:szCs w:val="30"/>
                          </w:rPr>
                        </w:pPr>
                        <w:r>
                          <w:rPr>
                            <w:rFonts w:hint="eastAsia" w:cs="宋体"/>
                          </w:rPr>
                          <w:t>信息经核对，不符合发布要求</w:t>
                        </w:r>
                      </w:p>
                    </w:txbxContent>
                  </v:textbox>
                </v:shape>
                <v:line id="直接连接符 51" o:spid="_x0000_s1026" o:spt="20" style="position:absolute;left:899160;top:1421130;height:1338580;width:635;" filled="f" stroked="t" coordsize="21600,21600" o:gfxdata="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f&#10;iBY22AAAAAUBAAAPAAAAAAAAAAEAIAAAACIAAABkcnMvZG93bnJldi54bWxQSwECFAAUAAAACACH&#10;TuJAIjb2e+sBAACrAwAADgAAAAAAAAABACAAAAAnAQAAZHJzL2Uyb0RvYy54bWxQSwUGAAAAAAYA&#10;BgBZAQAAhAUAAAAA&#10;">
                  <v:fill on="f" focussize="0,0"/>
                  <v:stroke color="#000000" joinstyle="round" endarrow="block"/>
                  <v:imagedata o:title=""/>
                  <o:lock v:ext="edit" aspectratio="f"/>
                </v:line>
                <v:line id="直接连接符 52" o:spid="_x0000_s1026" o:spt="20" style="position:absolute;left:3787775;top:2326005;flip:x;height:365125;width:1905;" filled="f" stroked="t" coordsize="21600,21600" o:gfxdata="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X4INl1wAAAAUBAAAPAAAAAAAAAAEAIAAAACIAAABkcnMvZG93bnJldi54bWxQ&#10;SwECFAAUAAAACACHTuJAqyfItvgBAAC2AwAADgAAAAAAAAABACAAAAAmAQAAZHJzL2Uyb0RvYy54&#10;bWxQSwUGAAAAAAYABgBZAQAAkAUAAAAA&#10;">
                  <v:fill on="f" focussize="0,0"/>
                  <v:stroke color="#000000" joinstyle="round" endarrow="block"/>
                  <v:imagedata o:title=""/>
                  <o:lock v:ext="edit" aspectratio="f"/>
                </v:line>
                <v:shape id="文本框 53" o:spid="_x0000_s1026" o:spt="202" type="#_x0000_t202" style="position:absolute;left:2857500;top:2708275;height:561340;width:1666240;" filled="f" stroked="t" coordsize="21600,21600" o:gfxdata="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tFZpjTAAAABQEAAA8AAAAAAAAAAQAgAAAAIgAAAGRycy9kb3ducmV2LnhtbFBL&#10;AQIUABQAAAAIAIdO4kBR02NF+wEAANsDAAAOAAAAAAAAAAEAIAAAACIBAABkcnMvZTJvRG9jLnht&#10;bFBLBQYAAAAABgAGAFkBAACPBQAAAAA=&#10;">
                  <v:fill on="f" focussize="0,0"/>
                  <v:stroke color="#000000" joinstyle="miter"/>
                  <v:imagedata o:title=""/>
                  <o:lock v:ext="edit" aspectratio="f"/>
                  <v:textbox>
                    <w:txbxContent>
                      <w:p>
                        <w:pPr>
                          <w:jc w:val="center"/>
                        </w:pPr>
                        <w:r>
                          <w:rPr>
                            <w:rFonts w:hint="eastAsia" w:cs="宋体"/>
                          </w:rPr>
                          <w:t>进行甄别复核，补充完善信息内容</w:t>
                        </w:r>
                      </w:p>
                    </w:txbxContent>
                  </v:textbox>
                </v:shape>
                <v:line id="直接连接符 54" o:spid="_x0000_s1026" o:spt="20" style="position:absolute;left:2219960;top:2964180;flip:x;height:3175;width:593725;" filled="f" stroked="t" coordsize="21600,21600" o:gfxdata="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CDZdcAAAAFAQAADwAAAAAAAAABACAAAAAiAAAAZHJzL2Rvd25yZXYueG1sUEsBAhQA&#10;FAAAAAgAh07iQH8Kea3zAQAAtgMAAA4AAAAAAAAAAQAgAAAAJgEAAGRycy9lMm9Eb2MueG1sUEsF&#10;BgAAAAAGAAYAWQEAAIsFAAAAAA==&#10;">
                  <v:fill on="f" focussize="0,0"/>
                  <v:stroke color="#000000" joinstyle="round" endarrow="block"/>
                  <v:imagedata o:title=""/>
                  <o:lock v:ext="edit" aspectratio="f"/>
                </v:line>
                <v:shape id="文本框 55" o:spid="_x0000_s1026" o:spt="202" type="#_x0000_t202" style="position:absolute;left:333375;top:3537585;height:318135;width:1864995;" filled="f" stroked="t" coordsize="21600,21600" o:gfxdata="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VmmNMAAAAFAQAADwAAAAAAAAABACAAAAAiAAAAZHJzL2Rvd25yZXYueG1sUEsB&#10;AhQAFAAAAAgAh07iQH+1Rsj6AQAA2gMAAA4AAAAAAAAAAQAgAAAAIgEAAGRycy9lMm9Eb2MueG1s&#10;UEsFBgAAAAAGAAYAWQEAAI4FAAAAAA==&#10;">
                  <v:fill on="f" focussize="0,0"/>
                  <v:stroke color="#000000" joinstyle="miter"/>
                  <v:imagedata o:title=""/>
                  <o:lock v:ext="edit" aspectratio="f"/>
                  <v:textbox>
                    <w:txbxContent>
                      <w:p>
                        <w:pPr>
                          <w:jc w:val="center"/>
                        </w:pPr>
                        <w:r>
                          <w:rPr>
                            <w:rFonts w:hint="eastAsia" w:cs="宋体"/>
                          </w:rPr>
                          <w:t>发布信息</w:t>
                        </w:r>
                      </w:p>
                    </w:txbxContent>
                  </v:textbox>
                </v:shape>
                <v:line id="直接连接符 56" o:spid="_x0000_s1026" o:spt="20" style="position:absolute;left:1268730;top:3118485;height:421005;width:635;" filled="f" stroked="t" coordsize="21600,21600" o:gfxdata="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4gWNtgAAAAFAQAADwAAAAAAAAABACAAAAAiAAAAZHJzL2Rvd25yZXYueG1sUEsBAhQAFAAA&#10;AAgAh07iQOfzjXLvAQAAqwMAAA4AAAAAAAAAAQAgAAAAJwEAAGRycy9lMm9Eb2MueG1sUEsFBgAA&#10;AAAGAAYAWQEAAIgFAAAAAA==&#10;">
                  <v:fill on="f" focussize="0,0"/>
                  <v:stroke color="#000000" joinstyle="round" endarrow="block"/>
                  <v:imagedata o:title=""/>
                  <o:lock v:ext="edit" aspectratio="f"/>
                </v:line>
                <v:shape id="文本框 57" o:spid="_x0000_s1026" o:spt="202" type="#_x0000_t202" style="position:absolute;left:533400;top:1002030;height:329565;width:3168015;" filled="f" stroked="t" coordsize="21600,21600" o:gfxdata="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VmmNMAAAAFAQAADwAAAAAAAAABACAAAAAiAAAAZHJzL2Rvd25yZXYueG1sUEsB&#10;AhQAFAAAAAgAh07iQMf7J9T6AQAA2gMAAA4AAAAAAAAAAQAgAAAAIgEAAGRycy9lMm9Eb2MueG1s&#10;UEsFBgAAAAAGAAYAWQEAAI4FAAAAAA==&#10;">
                  <v:fill on="f" focussize="0,0"/>
                  <v:stroke color="#000000" joinstyle="miter"/>
                  <v:imagedata o:title=""/>
                  <o:lock v:ext="edit" aspectratio="f"/>
                  <v:textbox>
                    <w:txbxContent>
                      <w:p>
                        <w:pPr>
                          <w:jc w:val="center"/>
                        </w:pPr>
                        <w:r>
                          <w:rPr>
                            <w:rFonts w:hint="eastAsia" w:cs="宋体"/>
                          </w:rPr>
                          <w:t>总指挥核对相关书面材料审核</w:t>
                        </w:r>
                      </w:p>
                      <w:p>
                        <w:pPr>
                          <w:ind w:firstLine="480"/>
                        </w:pPr>
                      </w:p>
                    </w:txbxContent>
                  </v:textbox>
                </v:shape>
                <w10:wrap type="none"/>
                <w10:anchorlock/>
              </v:group>
            </w:pict>
          </mc:Fallback>
        </mc:AlternateContent>
      </w:r>
    </w:p>
    <w:p>
      <w:pPr>
        <w:bidi w:val="0"/>
        <w:jc w:val="center"/>
        <w:rPr>
          <w:rFonts w:hint="eastAsia" w:ascii="黑体" w:hAnsi="黑体" w:eastAsia="黑体" w:cs="黑体"/>
          <w:sz w:val="24"/>
          <w:szCs w:val="24"/>
        </w:rPr>
      </w:pPr>
      <w:bookmarkStart w:id="546" w:name="_Toc16669"/>
      <w:r>
        <w:rPr>
          <w:rFonts w:hint="eastAsia" w:ascii="黑体" w:hAnsi="黑体" w:eastAsia="黑体" w:cs="黑体"/>
          <w:sz w:val="24"/>
          <w:szCs w:val="24"/>
        </w:rPr>
        <w:t>表6.2</w:t>
      </w:r>
      <w:r>
        <w:rPr>
          <w:rFonts w:hint="eastAsia" w:ascii="黑体" w:hAnsi="黑体" w:eastAsia="黑体" w:cs="黑体"/>
          <w:sz w:val="24"/>
          <w:szCs w:val="24"/>
          <w:lang w:val="en-US" w:eastAsia="zh-CN"/>
        </w:rPr>
        <w:t>.4</w:t>
      </w:r>
      <w:r>
        <w:rPr>
          <w:rFonts w:hint="eastAsia" w:ascii="黑体" w:hAnsi="黑体" w:eastAsia="黑体" w:cs="黑体"/>
          <w:sz w:val="24"/>
          <w:szCs w:val="24"/>
        </w:rPr>
        <w:t>-1 信息发布程序</w:t>
      </w:r>
      <w:bookmarkEnd w:id="546"/>
    </w:p>
    <w:p>
      <w:pPr>
        <w:pStyle w:val="5"/>
        <w:bidi w:val="0"/>
      </w:pPr>
      <w:bookmarkStart w:id="547" w:name="_Toc17144_WPSOffice_Level1"/>
      <w:bookmarkStart w:id="548" w:name="_Toc37600094"/>
      <w:bookmarkStart w:id="549" w:name="_Toc390869085"/>
      <w:bookmarkStart w:id="550" w:name="_Toc3437"/>
      <w:bookmarkStart w:id="551" w:name="_Toc390868941"/>
      <w:bookmarkStart w:id="552" w:name="_Toc28208"/>
      <w:bookmarkStart w:id="553" w:name="_Toc27250"/>
      <w:bookmarkStart w:id="554" w:name="_Toc5800"/>
      <w:bookmarkStart w:id="555" w:name="_Toc2417"/>
      <w:bookmarkStart w:id="556" w:name="_Toc23303"/>
      <w:bookmarkStart w:id="557" w:name="_Toc391374708"/>
      <w:r>
        <w:t xml:space="preserve">6.3 </w:t>
      </w:r>
      <w:r>
        <w:rPr>
          <w:rFonts w:hint="eastAsia"/>
        </w:rPr>
        <w:t>应急响应</w:t>
      </w:r>
      <w:bookmarkEnd w:id="547"/>
      <w:bookmarkEnd w:id="548"/>
      <w:bookmarkEnd w:id="549"/>
      <w:bookmarkEnd w:id="550"/>
      <w:bookmarkEnd w:id="551"/>
      <w:bookmarkEnd w:id="552"/>
      <w:bookmarkEnd w:id="553"/>
      <w:bookmarkEnd w:id="554"/>
      <w:bookmarkEnd w:id="555"/>
      <w:bookmarkEnd w:id="556"/>
      <w:bookmarkEnd w:id="557"/>
    </w:p>
    <w:p>
      <w:pPr>
        <w:pStyle w:val="6"/>
        <w:bidi w:val="0"/>
      </w:pPr>
      <w:bookmarkStart w:id="558" w:name="_Toc37600095"/>
      <w:bookmarkStart w:id="559" w:name="_Toc24168"/>
      <w:bookmarkStart w:id="560" w:name="_Toc341962892"/>
      <w:bookmarkStart w:id="561" w:name="_Toc280803823"/>
      <w:bookmarkStart w:id="562" w:name="_Toc23989"/>
      <w:bookmarkStart w:id="563" w:name="_Toc18381"/>
      <w:bookmarkStart w:id="564" w:name="_Toc10946"/>
      <w:r>
        <w:t xml:space="preserve">6.3.1 </w:t>
      </w:r>
      <w:r>
        <w:rPr>
          <w:rFonts w:hint="eastAsia"/>
        </w:rPr>
        <w:t>响应分级</w:t>
      </w:r>
      <w:bookmarkEnd w:id="558"/>
      <w:bookmarkEnd w:id="559"/>
      <w:bookmarkEnd w:id="560"/>
      <w:bookmarkEnd w:id="561"/>
      <w:bookmarkEnd w:id="562"/>
      <w:bookmarkEnd w:id="563"/>
      <w:bookmarkEnd w:id="564"/>
    </w:p>
    <w:p>
      <w:pPr>
        <w:pStyle w:val="90"/>
        <w:ind w:firstLine="480"/>
      </w:pPr>
      <w:bookmarkStart w:id="565" w:name="_Toc341962893"/>
      <w:bookmarkStart w:id="566" w:name="_Toc280803824"/>
      <w:r>
        <w:rPr>
          <w:rFonts w:hint="eastAsia"/>
        </w:rPr>
        <w:t>依据我公司事故的类别、危害程度、应急能力的评估，可能发生的事故现场情况分析结果，将我司可能发生的环境事故分为二级应急响应。</w:t>
      </w:r>
    </w:p>
    <w:p>
      <w:pPr>
        <w:pStyle w:val="90"/>
        <w:ind w:firstLine="482"/>
        <w:rPr>
          <w:b/>
        </w:rPr>
      </w:pPr>
      <w:r>
        <w:rPr>
          <w:rFonts w:hint="eastAsia"/>
          <w:b/>
        </w:rPr>
        <w:t>（</w:t>
      </w:r>
      <w:r>
        <w:rPr>
          <w:b/>
        </w:rPr>
        <w:t>1</w:t>
      </w:r>
      <w:r>
        <w:rPr>
          <w:rFonts w:hint="eastAsia"/>
          <w:b/>
        </w:rPr>
        <w:t>）三级响应</w:t>
      </w:r>
    </w:p>
    <w:p>
      <w:pPr>
        <w:pStyle w:val="90"/>
        <w:ind w:firstLine="480"/>
      </w:pPr>
      <w:r>
        <w:rPr>
          <w:rFonts w:hint="eastAsia"/>
        </w:rPr>
        <w:t>部门可利用人力、物力、财力等各种资源可处理的紧急情况。</w:t>
      </w:r>
    </w:p>
    <w:p>
      <w:pPr>
        <w:pStyle w:val="90"/>
        <w:ind w:firstLine="482"/>
        <w:rPr>
          <w:b/>
        </w:rPr>
      </w:pPr>
      <w:r>
        <w:rPr>
          <w:rFonts w:hint="eastAsia"/>
          <w:b/>
        </w:rPr>
        <w:t>（</w:t>
      </w:r>
      <w:r>
        <w:rPr>
          <w:b/>
        </w:rPr>
        <w:t>2</w:t>
      </w:r>
      <w:r>
        <w:rPr>
          <w:rFonts w:hint="eastAsia"/>
          <w:b/>
        </w:rPr>
        <w:t>）二级响应</w:t>
      </w:r>
    </w:p>
    <w:p>
      <w:pPr>
        <w:pStyle w:val="90"/>
        <w:ind w:firstLine="480"/>
      </w:pPr>
      <w:r>
        <w:rPr>
          <w:rFonts w:hint="eastAsia"/>
        </w:rPr>
        <w:t>我公司可利用人力、物力、财力等各种资源可处理的紧急情况。</w:t>
      </w:r>
    </w:p>
    <w:p>
      <w:pPr>
        <w:pStyle w:val="90"/>
        <w:ind w:firstLine="482"/>
        <w:rPr>
          <w:b/>
        </w:rPr>
      </w:pPr>
      <w:r>
        <w:rPr>
          <w:rFonts w:hint="eastAsia"/>
          <w:b/>
        </w:rPr>
        <w:t>（</w:t>
      </w:r>
      <w:r>
        <w:rPr>
          <w:b/>
        </w:rPr>
        <w:t>3</w:t>
      </w:r>
      <w:r>
        <w:rPr>
          <w:rFonts w:hint="eastAsia"/>
          <w:b/>
        </w:rPr>
        <w:t>）</w:t>
      </w:r>
      <w:r>
        <w:rPr>
          <w:rFonts w:hint="eastAsia"/>
          <w:b/>
          <w:highlight w:val="none"/>
        </w:rPr>
        <w:t>一级响应</w:t>
      </w:r>
      <w:r>
        <w:rPr>
          <w:rFonts w:hint="eastAsia"/>
          <w:b/>
        </w:rPr>
        <w:t>（由指挥部向南昌市经济开发区上报）</w:t>
      </w:r>
    </w:p>
    <w:p>
      <w:pPr>
        <w:pStyle w:val="90"/>
        <w:ind w:firstLine="480"/>
      </w:pPr>
      <w:r>
        <w:rPr>
          <w:rFonts w:hint="eastAsia"/>
        </w:rPr>
        <w:t>超过我公司事故应急救援能力，事故有扩大、发展趋势，或者事故影响到公司周边社区时，需要报请辖区内行政部门及其他有关部门支援的紧急情况并由上级主管部门启动上一级应急预案。</w:t>
      </w:r>
    </w:p>
    <w:p>
      <w:pPr>
        <w:pStyle w:val="6"/>
        <w:bidi w:val="0"/>
      </w:pPr>
      <w:bookmarkStart w:id="567" w:name="_Toc8100"/>
      <w:bookmarkStart w:id="568" w:name="_Toc6819"/>
      <w:bookmarkStart w:id="569" w:name="_Toc7443"/>
      <w:bookmarkStart w:id="570" w:name="_Toc14396"/>
      <w:bookmarkStart w:id="571" w:name="_Toc37600096"/>
      <w:r>
        <w:t xml:space="preserve">6.3.2 </w:t>
      </w:r>
      <w:r>
        <w:rPr>
          <w:rFonts w:hint="eastAsia"/>
        </w:rPr>
        <w:t>响应程序</w:t>
      </w:r>
      <w:bookmarkEnd w:id="565"/>
      <w:bookmarkEnd w:id="566"/>
      <w:bookmarkEnd w:id="567"/>
      <w:bookmarkEnd w:id="568"/>
      <w:bookmarkEnd w:id="569"/>
      <w:bookmarkEnd w:id="570"/>
      <w:bookmarkEnd w:id="571"/>
    </w:p>
    <w:p>
      <w:pPr>
        <w:pStyle w:val="7"/>
        <w:bidi w:val="0"/>
      </w:pPr>
      <w:r>
        <w:t xml:space="preserve">6.3.2.1 </w:t>
      </w:r>
      <w:r>
        <w:rPr>
          <w:rFonts w:hint="eastAsia"/>
        </w:rPr>
        <w:t>应急指挥及行动</w:t>
      </w:r>
    </w:p>
    <w:p>
      <w:pPr>
        <w:pStyle w:val="90"/>
        <w:ind w:firstLine="480"/>
      </w:pPr>
      <w:r>
        <w:t>1.</w:t>
      </w:r>
      <w:r>
        <w:rPr>
          <w:rFonts w:hint="eastAsia"/>
        </w:rPr>
        <w:t>发生环境风险事故时，指挥部接警后总指挥或副总指挥应立即发出预警信号，启动相应应急响应，并实施本预案，做好现场指挥、领导工作。</w:t>
      </w:r>
    </w:p>
    <w:p>
      <w:pPr>
        <w:pStyle w:val="90"/>
        <w:ind w:firstLine="480"/>
      </w:pPr>
      <w:r>
        <w:t>2.</w:t>
      </w:r>
      <w:r>
        <w:rPr>
          <w:rFonts w:hint="eastAsia"/>
        </w:rPr>
        <w:t>应急指挥部应根据事故类型、严重程度等调集相应的应急小组成员，立即进入应急抢险战斗状态。</w:t>
      </w:r>
    </w:p>
    <w:p>
      <w:pPr>
        <w:pStyle w:val="90"/>
        <w:ind w:firstLine="480"/>
      </w:pPr>
      <w:r>
        <w:t>3.</w:t>
      </w:r>
      <w:r>
        <w:rPr>
          <w:rFonts w:hint="eastAsia"/>
        </w:rPr>
        <w:t>现场人员在抢险组责任人的领导下及时采取有效措施，阻止事故扩大。</w:t>
      </w:r>
    </w:p>
    <w:p>
      <w:pPr>
        <w:pStyle w:val="7"/>
        <w:bidi w:val="0"/>
      </w:pPr>
      <w:r>
        <w:t xml:space="preserve">6.3.2.2 </w:t>
      </w:r>
      <w:r>
        <w:rPr>
          <w:rFonts w:hint="eastAsia"/>
        </w:rPr>
        <w:t>资源调配</w:t>
      </w:r>
    </w:p>
    <w:p>
      <w:pPr>
        <w:pStyle w:val="90"/>
        <w:ind w:firstLine="480"/>
      </w:pPr>
      <w:r>
        <w:rPr>
          <w:rFonts w:hint="eastAsia"/>
        </w:rPr>
        <w:t>后勤组在应急指挥部的领导指挥下，根据现场抢险救援的要求有序</w:t>
      </w:r>
      <w:r>
        <w:rPr>
          <w:rFonts w:hint="eastAsia"/>
          <w:highlight w:val="none"/>
        </w:rPr>
        <w:t>的提供</w:t>
      </w:r>
      <w:r>
        <w:rPr>
          <w:rFonts w:hint="eastAsia"/>
        </w:rPr>
        <w:t>所需物资装备，若本车间或公司无法提供的物资装备，应向外界专业救援机构请求技术、物资装备的支援。</w:t>
      </w:r>
    </w:p>
    <w:p>
      <w:pPr>
        <w:pStyle w:val="7"/>
        <w:bidi w:val="0"/>
      </w:pPr>
      <w:r>
        <w:t xml:space="preserve">6.3.2.3 </w:t>
      </w:r>
      <w:r>
        <w:rPr>
          <w:rFonts w:hint="eastAsia"/>
        </w:rPr>
        <w:t>应急避险</w:t>
      </w:r>
    </w:p>
    <w:p>
      <w:pPr>
        <w:pStyle w:val="90"/>
        <w:ind w:firstLine="480"/>
      </w:pPr>
      <w:r>
        <w:rPr>
          <w:rFonts w:hint="eastAsia"/>
        </w:rPr>
        <w:t>抢险组在事故发生后应立即赶赴现场，根据事故实际情况设置警戒区域，按预先设定的疏散路线、安置点，有序的疏散事故现场无关人员，防止事态扩大造成其他人员伤害。</w:t>
      </w:r>
    </w:p>
    <w:p>
      <w:pPr>
        <w:pStyle w:val="7"/>
        <w:bidi w:val="0"/>
      </w:pPr>
      <w:r>
        <w:t xml:space="preserve">6.3.2.4 </w:t>
      </w:r>
      <w:r>
        <w:rPr>
          <w:rFonts w:hint="eastAsia"/>
        </w:rPr>
        <w:t>扩大应急响应程序</w:t>
      </w:r>
    </w:p>
    <w:p>
      <w:pPr>
        <w:pStyle w:val="90"/>
        <w:ind w:firstLine="480"/>
      </w:pPr>
      <w:r>
        <w:rPr>
          <w:rFonts w:hint="eastAsia"/>
        </w:rPr>
        <w:t>一旦发生环境风险事故后，公司应急指挥部根据事故发生地点、事故类型及事故严重程度启动本应急救援预案相应响应级别后，如事故不能有效处置，或者有扩大、发展的趋势，或者影响到公司周边单位时，由公司应急总指挥将响应级别提高至一级，及报请辖区相关行政部门、消防、环保等部门以及医疗机构技术支援。</w:t>
      </w:r>
    </w:p>
    <w:p>
      <w:pPr>
        <w:pStyle w:val="6"/>
        <w:bidi w:val="0"/>
      </w:pPr>
      <w:bookmarkStart w:id="572" w:name="_Toc37600097"/>
      <w:bookmarkStart w:id="573" w:name="_Toc28378"/>
      <w:bookmarkStart w:id="574" w:name="_Toc15600"/>
      <w:bookmarkStart w:id="575" w:name="_Toc12226"/>
      <w:r>
        <w:t xml:space="preserve">6.3.3 </w:t>
      </w:r>
      <w:r>
        <w:rPr>
          <w:rFonts w:hint="eastAsia"/>
        </w:rPr>
        <w:t>应急响应流程</w:t>
      </w:r>
      <w:bookmarkEnd w:id="572"/>
      <w:bookmarkEnd w:id="573"/>
      <w:bookmarkEnd w:id="574"/>
      <w:bookmarkEnd w:id="575"/>
    </w:p>
    <w:p>
      <w:pPr>
        <w:pStyle w:val="90"/>
        <w:ind w:firstLine="480"/>
        <w:rPr>
          <w:kern w:val="0"/>
        </w:rPr>
      </w:pPr>
      <w:r>
        <w:rPr>
          <w:rFonts w:hint="eastAsia"/>
        </w:rPr>
        <w:t>一旦发生突发环境事件，应急指挥中心接到报警后，立即评估突发环境事件的危害程度，按预定的等级条件初步判断事件等级，并启动或报告上级单位建议启动应急响应程序，响应流程如下图</w:t>
      </w:r>
      <w:r>
        <w:t>6.3</w:t>
      </w:r>
      <w:r>
        <w:rPr>
          <w:rFonts w:hint="eastAsia"/>
          <w:lang w:val="en-US" w:eastAsia="zh-CN"/>
        </w:rPr>
        <w:t>.3</w:t>
      </w:r>
      <w:r>
        <w:t>-1</w:t>
      </w:r>
      <w:r>
        <w:rPr>
          <w:rFonts w:hint="eastAsia"/>
        </w:rPr>
        <w:t>。</w:t>
      </w:r>
    </w:p>
    <w:p>
      <w:pPr>
        <w:ind w:firstLine="480"/>
        <w:rPr>
          <w:kern w:val="0"/>
        </w:rPr>
      </w:pPr>
      <w:r>
        <mc:AlternateContent>
          <mc:Choice Requires="wps">
            <w:drawing>
              <wp:anchor distT="0" distB="0" distL="114300" distR="114300" simplePos="0" relativeHeight="251650048" behindDoc="0" locked="1" layoutInCell="1" allowOverlap="1">
                <wp:simplePos x="0" y="0"/>
                <wp:positionH relativeFrom="column">
                  <wp:posOffset>673735</wp:posOffset>
                </wp:positionH>
                <wp:positionV relativeFrom="paragraph">
                  <wp:posOffset>1003300</wp:posOffset>
                </wp:positionV>
                <wp:extent cx="1009650" cy="533400"/>
                <wp:effectExtent l="6350" t="6350" r="12700" b="12700"/>
                <wp:wrapNone/>
                <wp:docPr id="61" name="矩形 61"/>
                <wp:cNvGraphicFramePr/>
                <a:graphic xmlns:a="http://schemas.openxmlformats.org/drawingml/2006/main">
                  <a:graphicData uri="http://schemas.microsoft.com/office/word/2010/wordprocessingShape">
                    <wps:wsp>
                      <wps:cNvSpPr/>
                      <wps:spPr>
                        <a:xfrm>
                          <a:off x="0" y="0"/>
                          <a:ext cx="1009650" cy="533400"/>
                        </a:xfrm>
                        <a:prstGeom prst="rect">
                          <a:avLst/>
                        </a:prstGeom>
                        <a:solidFill>
                          <a:srgbClr val="FFFFFF"/>
                        </a:solidFill>
                        <a:ln w="12700" cap="flat" cmpd="sng">
                          <a:solidFill>
                            <a:srgbClr val="FFFFFF"/>
                          </a:solidFill>
                          <a:prstDash val="solid"/>
                          <a:miter/>
                          <a:headEnd type="none" w="med" len="med"/>
                          <a:tailEnd type="none" w="med" len="med"/>
                        </a:ln>
                        <a:effectLst/>
                      </wps:spPr>
                      <wps:txbx>
                        <w:txbxContent>
                          <w:p>
                            <w:pPr>
                              <w:ind w:firstLine="480"/>
                            </w:pPr>
                          </w:p>
                        </w:txbxContent>
                      </wps:txbx>
                      <wps:bodyPr upright="1"/>
                    </wps:wsp>
                  </a:graphicData>
                </a:graphic>
              </wp:anchor>
            </w:drawing>
          </mc:Choice>
          <mc:Fallback>
            <w:pict>
              <v:rect id="_x0000_s1026" o:spid="_x0000_s1026" o:spt="1" style="position:absolute;left:0pt;margin-left:53.05pt;margin-top:79pt;height:42pt;width:79.5pt;z-index:251650048;mso-width-relative:page;mso-height-relative:page;" fillcolor="#FFFFFF" filled="t" stroked="t" coordsize="21600,21600" o:gfxdata="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Gtc15&#10;1QAAAAsBAAAPAAAAAAAAAAEAIAAAACIAAABkcnMvZG93bnJldi54bWxQSwECFAAUAAAACACHTuJA&#10;IKaoFusBAADsAwAADgAAAAAAAAABACAAAAAkAQAAZHJzL2Uyb0RvYy54bWxQSwUGAAAAAAYABgBZ&#10;AQAAgQUAAAAA&#10;">
                <v:fill on="t" focussize="0,0"/>
                <v:stroke weight="1pt" color="#FFFFFF" joinstyle="miter"/>
                <v:imagedata o:title=""/>
                <o:lock v:ext="edit" aspectratio="f"/>
                <v:textbox>
                  <w:txbxContent>
                    <w:p>
                      <w:pPr>
                        <w:ind w:firstLine="480"/>
                      </w:pPr>
                    </w:p>
                  </w:txbxContent>
                </v:textbox>
                <w10:anchorlock/>
              </v:rect>
            </w:pict>
          </mc:Fallback>
        </mc:AlternateContent>
      </w:r>
      <w:r>
        <mc:AlternateContent>
          <mc:Choice Requires="wps">
            <w:drawing>
              <wp:anchor distT="0" distB="0" distL="114300" distR="114300" simplePos="0" relativeHeight="251649024" behindDoc="0" locked="1" layoutInCell="1" allowOverlap="1">
                <wp:simplePos x="0" y="0"/>
                <wp:positionH relativeFrom="column">
                  <wp:posOffset>740410</wp:posOffset>
                </wp:positionH>
                <wp:positionV relativeFrom="paragraph">
                  <wp:posOffset>1546860</wp:posOffset>
                </wp:positionV>
                <wp:extent cx="809625" cy="303530"/>
                <wp:effectExtent l="6350" t="6350" r="22225" b="13970"/>
                <wp:wrapNone/>
                <wp:docPr id="62" name="矩形 62"/>
                <wp:cNvGraphicFramePr/>
                <a:graphic xmlns:a="http://schemas.openxmlformats.org/drawingml/2006/main">
                  <a:graphicData uri="http://schemas.microsoft.com/office/word/2010/wordprocessingShape">
                    <wps:wsp>
                      <wps:cNvSpPr/>
                      <wps:spPr>
                        <a:xfrm>
                          <a:off x="0" y="0"/>
                          <a:ext cx="809625" cy="30353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r>
                              <w:rPr>
                                <w:rFonts w:hint="eastAsia" w:cs="宋体"/>
                                <w:sz w:val="18"/>
                                <w:szCs w:val="18"/>
                              </w:rPr>
                              <w:t>消防抢险组</w:t>
                            </w:r>
                          </w:p>
                        </w:txbxContent>
                      </wps:txbx>
                      <wps:bodyPr upright="1"/>
                    </wps:wsp>
                  </a:graphicData>
                </a:graphic>
              </wp:anchor>
            </w:drawing>
          </mc:Choice>
          <mc:Fallback>
            <w:pict>
              <v:rect id="_x0000_s1026" o:spid="_x0000_s1026" o:spt="1" style="position:absolute;left:0pt;margin-left:58.3pt;margin-top:121.8pt;height:23.9pt;width:63.75pt;z-index:251649024;mso-width-relative:page;mso-height-relative:page;" fillcolor="#FFFFFF" filled="t" stroked="t" coordsize="21600,21600" o:gfxdata="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DHsgU9sAAAALAQAADwAAAAAAAAABACAAAAAiAAAAZHJzL2Rvd25yZXYueG1sUEsBAhQA&#10;FAAAAAgAh07iQCgwZBfvAQAA6wMAAA4AAAAAAAAAAQAgAAAAKgEAAGRycy9lMm9Eb2MueG1sUEsF&#10;BgAAAAAGAAYAWQEAAIsFAAAAAA==&#10;">
                <v:fill on="t" focussize="0,0"/>
                <v:stroke weight="1pt" color="#000000" joinstyle="miter"/>
                <v:imagedata o:title=""/>
                <o:lock v:ext="edit" aspectratio="f"/>
                <v:textbox>
                  <w:txbxContent>
                    <w:p>
                      <w:r>
                        <w:rPr>
                          <w:rFonts w:hint="eastAsia" w:cs="宋体"/>
                          <w:sz w:val="18"/>
                          <w:szCs w:val="18"/>
                        </w:rPr>
                        <w:t>消防抢险组</w:t>
                      </w:r>
                    </w:p>
                  </w:txbxContent>
                </v:textbox>
                <w10:anchorlock/>
              </v:rect>
            </w:pict>
          </mc:Fallback>
        </mc:AlternateContent>
      </w:r>
      <w:r>
        <mc:AlternateContent>
          <mc:Choice Requires="wps">
            <w:drawing>
              <wp:anchor distT="0" distB="0" distL="114300" distR="114300" simplePos="0" relativeHeight="251648000" behindDoc="0" locked="1" layoutInCell="1" allowOverlap="1">
                <wp:simplePos x="0" y="0"/>
                <wp:positionH relativeFrom="column">
                  <wp:posOffset>721360</wp:posOffset>
                </wp:positionH>
                <wp:positionV relativeFrom="paragraph">
                  <wp:posOffset>1842135</wp:posOffset>
                </wp:positionV>
                <wp:extent cx="809625" cy="313690"/>
                <wp:effectExtent l="6350" t="6350" r="22225" b="22860"/>
                <wp:wrapNone/>
                <wp:docPr id="63" name="矩形 63"/>
                <wp:cNvGraphicFramePr/>
                <a:graphic xmlns:a="http://schemas.openxmlformats.org/drawingml/2006/main">
                  <a:graphicData uri="http://schemas.microsoft.com/office/word/2010/wordprocessingShape">
                    <wps:wsp>
                      <wps:cNvSpPr/>
                      <wps:spPr>
                        <a:xfrm>
                          <a:off x="0" y="0"/>
                          <a:ext cx="809625" cy="31369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r>
                              <w:rPr>
                                <w:rFonts w:hint="eastAsia" w:cs="宋体"/>
                                <w:sz w:val="18"/>
                                <w:szCs w:val="18"/>
                              </w:rPr>
                              <w:t>警戒疏散组</w:t>
                            </w:r>
                          </w:p>
                        </w:txbxContent>
                      </wps:txbx>
                      <wps:bodyPr upright="1"/>
                    </wps:wsp>
                  </a:graphicData>
                </a:graphic>
              </wp:anchor>
            </w:drawing>
          </mc:Choice>
          <mc:Fallback>
            <w:pict>
              <v:rect id="_x0000_s1026" o:spid="_x0000_s1026" o:spt="1" style="position:absolute;left:0pt;margin-left:56.8pt;margin-top:145.05pt;height:24.7pt;width:63.75pt;z-index:251648000;mso-width-relative:page;mso-height-relative:page;" fillcolor="#FFFFFF" filled="t" stroked="t" coordsize="21600,21600" o:gfxdata="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Xx18j3QAAAAsBAAAPAAAAAAAAAAEAIAAAACIAAABkcnMvZG93bnJldi54bWxQSwEC&#10;FAAUAAAACACHTuJAIQ4HTO8BAADrAwAADgAAAAAAAAABACAAAAAsAQAAZHJzL2Uyb0RvYy54bWxQ&#10;SwUGAAAAAAYABgBZAQAAjQUAAAAA&#10;">
                <v:fill on="t" focussize="0,0"/>
                <v:stroke weight="1pt" color="#000000" joinstyle="miter"/>
                <v:imagedata o:title=""/>
                <o:lock v:ext="edit" aspectratio="f"/>
                <v:textbox>
                  <w:txbxContent>
                    <w:p>
                      <w:r>
                        <w:rPr>
                          <w:rFonts w:hint="eastAsia" w:cs="宋体"/>
                          <w:sz w:val="18"/>
                          <w:szCs w:val="18"/>
                        </w:rPr>
                        <w:t>警戒疏散组</w:t>
                      </w:r>
                    </w:p>
                  </w:txbxContent>
                </v:textbox>
                <w10:anchorlock/>
              </v:rect>
            </w:pict>
          </mc:Fallback>
        </mc:AlternateContent>
      </w:r>
      <w:r>
        <mc:AlternateContent>
          <mc:Choice Requires="wps">
            <w:drawing>
              <wp:anchor distT="0" distB="0" distL="114300" distR="114300" simplePos="0" relativeHeight="251644928" behindDoc="0" locked="1" layoutInCell="1" allowOverlap="1">
                <wp:simplePos x="0" y="0"/>
                <wp:positionH relativeFrom="column">
                  <wp:posOffset>721360</wp:posOffset>
                </wp:positionH>
                <wp:positionV relativeFrom="paragraph">
                  <wp:posOffset>2508250</wp:posOffset>
                </wp:positionV>
                <wp:extent cx="809625" cy="295275"/>
                <wp:effectExtent l="6350" t="6350" r="22225" b="22225"/>
                <wp:wrapNone/>
                <wp:docPr id="64" name="矩形 64"/>
                <wp:cNvGraphicFramePr/>
                <a:graphic xmlns:a="http://schemas.openxmlformats.org/drawingml/2006/main">
                  <a:graphicData uri="http://schemas.microsoft.com/office/word/2010/wordprocessingShape">
                    <wps:wsp>
                      <wps:cNvSpPr/>
                      <wps:spPr>
                        <a:xfrm>
                          <a:off x="0" y="0"/>
                          <a:ext cx="809625" cy="295275"/>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pPr>
                              <w:rPr>
                                <w:sz w:val="18"/>
                                <w:szCs w:val="18"/>
                              </w:rPr>
                            </w:pPr>
                            <w:r>
                              <w:rPr>
                                <w:rFonts w:hint="eastAsia" w:cs="宋体"/>
                                <w:sz w:val="18"/>
                                <w:szCs w:val="18"/>
                              </w:rPr>
                              <w:t>后勤保障组</w:t>
                            </w:r>
                          </w:p>
                        </w:txbxContent>
                      </wps:txbx>
                      <wps:bodyPr upright="1"/>
                    </wps:wsp>
                  </a:graphicData>
                </a:graphic>
              </wp:anchor>
            </w:drawing>
          </mc:Choice>
          <mc:Fallback>
            <w:pict>
              <v:rect id="_x0000_s1026" o:spid="_x0000_s1026" o:spt="1" style="position:absolute;left:0pt;margin-left:56.8pt;margin-top:197.5pt;height:23.25pt;width:63.75pt;z-index:251644928;mso-width-relative:page;mso-height-relative:page;" fillcolor="#FFFFFF" filled="t" stroked="t" coordsize="21600,21600" o:gfxdata="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wsNkvcAAAACwEAAA8AAAAAAAAAAQAgAAAAIgAAAGRycy9kb3ducmV2LnhtbFBLAQIUABQA&#10;AAAIAIdO4kBbiSHp7AEAAOsDAAAOAAAAAAAAAAEAIAAAACsBAABkcnMvZTJvRG9jLnhtbFBLBQYA&#10;AAAABgAGAFkBAACJBQAAAAA=&#10;">
                <v:fill on="t" focussize="0,0"/>
                <v:stroke weight="1pt" color="#000000" joinstyle="miter"/>
                <v:imagedata o:title=""/>
                <o:lock v:ext="edit" aspectratio="f"/>
                <v:textbox>
                  <w:txbxContent>
                    <w:p>
                      <w:pPr>
                        <w:rPr>
                          <w:sz w:val="18"/>
                          <w:szCs w:val="18"/>
                        </w:rPr>
                      </w:pPr>
                      <w:r>
                        <w:rPr>
                          <w:rFonts w:hint="eastAsia" w:cs="宋体"/>
                          <w:sz w:val="18"/>
                          <w:szCs w:val="18"/>
                        </w:rPr>
                        <w:t>后勤保障组</w:t>
                      </w:r>
                    </w:p>
                  </w:txbxContent>
                </v:textbox>
                <w10:anchorlock/>
              </v:rect>
            </w:pict>
          </mc:Fallback>
        </mc:AlternateContent>
      </w:r>
      <w:r>
        <mc:AlternateContent>
          <mc:Choice Requires="wps">
            <w:drawing>
              <wp:anchor distT="0" distB="0" distL="114300" distR="114300" simplePos="0" relativeHeight="251646976" behindDoc="0" locked="1" layoutInCell="1" allowOverlap="1">
                <wp:simplePos x="0" y="0"/>
                <wp:positionH relativeFrom="column">
                  <wp:posOffset>730885</wp:posOffset>
                </wp:positionH>
                <wp:positionV relativeFrom="paragraph">
                  <wp:posOffset>2185035</wp:posOffset>
                </wp:positionV>
                <wp:extent cx="809625" cy="294640"/>
                <wp:effectExtent l="6350" t="6350" r="22225" b="22860"/>
                <wp:wrapNone/>
                <wp:docPr id="65" name="矩形 65"/>
                <wp:cNvGraphicFramePr/>
                <a:graphic xmlns:a="http://schemas.openxmlformats.org/drawingml/2006/main">
                  <a:graphicData uri="http://schemas.microsoft.com/office/word/2010/wordprocessingShape">
                    <wps:wsp>
                      <wps:cNvSpPr/>
                      <wps:spPr>
                        <a:xfrm>
                          <a:off x="0" y="0"/>
                          <a:ext cx="809625" cy="294640"/>
                        </a:xfrm>
                        <a:prstGeom prst="rect">
                          <a:avLst/>
                        </a:prstGeom>
                        <a:solidFill>
                          <a:srgbClr val="FFFFFF"/>
                        </a:solidFill>
                        <a:ln w="12700" cap="flat" cmpd="sng">
                          <a:solidFill>
                            <a:srgbClr val="000000"/>
                          </a:solidFill>
                          <a:prstDash val="solid"/>
                          <a:miter/>
                          <a:headEnd type="none" w="med" len="med"/>
                          <a:tailEnd type="none" w="med" len="med"/>
                        </a:ln>
                        <a:effectLst/>
                      </wps:spPr>
                      <wps:txbx>
                        <w:txbxContent>
                          <w:p>
                            <w:r>
                              <w:rPr>
                                <w:rFonts w:hint="eastAsia" w:cs="宋体"/>
                                <w:sz w:val="18"/>
                                <w:szCs w:val="18"/>
                              </w:rPr>
                              <w:t>工程抢修组</w:t>
                            </w:r>
                          </w:p>
                        </w:txbxContent>
                      </wps:txbx>
                      <wps:bodyPr upright="1"/>
                    </wps:wsp>
                  </a:graphicData>
                </a:graphic>
              </wp:anchor>
            </w:drawing>
          </mc:Choice>
          <mc:Fallback>
            <w:pict>
              <v:rect id="_x0000_s1026" o:spid="_x0000_s1026" o:spt="1" style="position:absolute;left:0pt;margin-left:57.55pt;margin-top:172.05pt;height:23.2pt;width:63.75pt;z-index:251646976;mso-width-relative:page;mso-height-relative:page;" fillcolor="#FFFFFF" filled="t" stroked="t" coordsize="21600,21600" o:gfxdata="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LtYTfHcAAAACwEAAA8AAAAAAAAAAQAgAAAAIgAAAGRycy9kb3ducmV2LnhtbFBLAQIU&#10;ABQAAAAIAIdO4kCwa0uH7wEAAOsDAAAOAAAAAAAAAAEAIAAAACsBAABkcnMvZTJvRG9jLnhtbFBL&#10;BQYAAAAABgAGAFkBAACMBQAAAAA=&#10;">
                <v:fill on="t" focussize="0,0"/>
                <v:stroke weight="1pt" color="#000000" joinstyle="miter"/>
                <v:imagedata o:title=""/>
                <o:lock v:ext="edit" aspectratio="f"/>
                <v:textbox>
                  <w:txbxContent>
                    <w:p>
                      <w:r>
                        <w:rPr>
                          <w:rFonts w:hint="eastAsia" w:cs="宋体"/>
                          <w:sz w:val="18"/>
                          <w:szCs w:val="18"/>
                        </w:rPr>
                        <w:t>工程抢修组</w:t>
                      </w:r>
                    </w:p>
                  </w:txbxContent>
                </v:textbox>
                <w10:anchorlock/>
              </v:rect>
            </w:pict>
          </mc:Fallback>
        </mc:AlternateContent>
      </w:r>
      <w:r>
        <w:rPr>
          <w:kern w:val="0"/>
        </w:rPr>
        <w:drawing>
          <wp:inline distT="0" distB="0" distL="114300" distR="114300">
            <wp:extent cx="4391025" cy="4906010"/>
            <wp:effectExtent l="0" t="0" r="9525" b="889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19"/>
                    <a:stretch>
                      <a:fillRect/>
                    </a:stretch>
                  </pic:blipFill>
                  <pic:spPr>
                    <a:xfrm>
                      <a:off x="0" y="0"/>
                      <a:ext cx="4391025" cy="4906010"/>
                    </a:xfrm>
                    <a:prstGeom prst="rect">
                      <a:avLst/>
                    </a:prstGeom>
                    <a:noFill/>
                    <a:ln>
                      <a:noFill/>
                    </a:ln>
                  </pic:spPr>
                </pic:pic>
              </a:graphicData>
            </a:graphic>
          </wp:inline>
        </w:drawing>
      </w:r>
      <w:r>
        <mc:AlternateContent>
          <mc:Choice Requires="wps">
            <w:drawing>
              <wp:anchor distT="0" distB="0" distL="114300" distR="114300" simplePos="0" relativeHeight="251645952" behindDoc="0" locked="1" layoutInCell="1" allowOverlap="1">
                <wp:simplePos x="0" y="0"/>
                <wp:positionH relativeFrom="column">
                  <wp:posOffset>1578610</wp:posOffset>
                </wp:positionH>
                <wp:positionV relativeFrom="paragraph">
                  <wp:posOffset>1591945</wp:posOffset>
                </wp:positionV>
                <wp:extent cx="180340" cy="152400"/>
                <wp:effectExtent l="6350" t="6350" r="22860" b="12700"/>
                <wp:wrapNone/>
                <wp:docPr id="67" name="矩形 67"/>
                <wp:cNvGraphicFramePr/>
                <a:graphic xmlns:a="http://schemas.openxmlformats.org/drawingml/2006/main">
                  <a:graphicData uri="http://schemas.microsoft.com/office/word/2010/wordprocessingShape">
                    <wps:wsp>
                      <wps:cNvSpPr/>
                      <wps:spPr>
                        <a:xfrm>
                          <a:off x="0" y="0"/>
                          <a:ext cx="180340" cy="152400"/>
                        </a:xfrm>
                        <a:prstGeom prst="rect">
                          <a:avLst/>
                        </a:prstGeom>
                        <a:solidFill>
                          <a:srgbClr val="FFFFFF"/>
                        </a:solidFill>
                        <a:ln w="12700" cap="flat" cmpd="sng">
                          <a:solidFill>
                            <a:srgbClr val="FFFFFF"/>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124.3pt;margin-top:125.35pt;height:12pt;width:14.2pt;z-index:251645952;mso-width-relative:page;mso-height-relative:page;" fillcolor="#FFFFFF" filled="t" stroked="t" coordsize="21600,21600" o:gfxdata="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rsTl19gAAAAL&#10;AQAADwAAAAAAAAABACAAAAAiAAAAZHJzL2Rvd25yZXYueG1sUEsBAhQAFAAAAAgAh07iQKY27Srj&#10;AQAA4AMAAA4AAAAAAAAAAQAgAAAAJwEAAGRycy9lMm9Eb2MueG1sUEsFBgAAAAAGAAYAWQEAAHwF&#10;AAAAAA==&#10;">
                <v:fill on="t" focussize="0,0"/>
                <v:stroke weight="1pt" color="#FFFFFF" joinstyle="miter"/>
                <v:imagedata o:title=""/>
                <o:lock v:ext="edit" aspectratio="f"/>
                <w10:anchorlock/>
              </v:rect>
            </w:pict>
          </mc:Fallback>
        </mc:AlternateContent>
      </w:r>
    </w:p>
    <w:p>
      <w:pPr>
        <w:bidi w:val="0"/>
        <w:jc w:val="center"/>
        <w:rPr>
          <w:rFonts w:hint="eastAsia" w:ascii="黑体" w:hAnsi="黑体" w:eastAsia="黑体" w:cs="黑体"/>
          <w:b w:val="0"/>
          <w:bCs w:val="0"/>
          <w:sz w:val="24"/>
          <w:szCs w:val="24"/>
        </w:rPr>
      </w:pPr>
      <w:r>
        <w:rPr>
          <w:rFonts w:hint="eastAsia" w:ascii="黑体" w:hAnsi="黑体" w:eastAsia="黑体" w:cs="黑体"/>
          <w:b w:val="0"/>
          <w:bCs w:val="0"/>
          <w:sz w:val="24"/>
          <w:szCs w:val="24"/>
        </w:rPr>
        <w:t>图6.3</w:t>
      </w:r>
      <w:r>
        <w:rPr>
          <w:rFonts w:hint="eastAsia" w:ascii="黑体" w:hAnsi="黑体" w:eastAsia="黑体" w:cs="黑体"/>
          <w:b w:val="0"/>
          <w:bCs w:val="0"/>
          <w:sz w:val="24"/>
          <w:szCs w:val="24"/>
          <w:lang w:val="en-US" w:eastAsia="zh-CN"/>
        </w:rPr>
        <w:t>.3</w:t>
      </w:r>
      <w:r>
        <w:rPr>
          <w:rFonts w:hint="eastAsia" w:ascii="黑体" w:hAnsi="黑体" w:eastAsia="黑体" w:cs="黑体"/>
          <w:b w:val="0"/>
          <w:bCs w:val="0"/>
          <w:sz w:val="24"/>
          <w:szCs w:val="24"/>
        </w:rPr>
        <w:t>-1 应急响应流程图</w:t>
      </w:r>
    </w:p>
    <w:p>
      <w:pPr>
        <w:pStyle w:val="90"/>
        <w:ind w:firstLine="480"/>
      </w:pPr>
      <w:r>
        <w:rPr>
          <w:rFonts w:hint="eastAsia"/>
        </w:rPr>
        <w:t>本预案的响应程序内容如下：</w:t>
      </w:r>
    </w:p>
    <w:p>
      <w:pPr>
        <w:pStyle w:val="90"/>
        <w:ind w:firstLine="480"/>
      </w:pPr>
      <w:r>
        <w:rPr>
          <w:rFonts w:hint="eastAsia"/>
        </w:rPr>
        <w:t>事故发生后，现场应急小组应根据事故类别，立即启动二级响应同时启动现场处置方案，根据现场事故发生情况，判定事故发展趋势是否可班组内解决；</w:t>
      </w:r>
    </w:p>
    <w:p>
      <w:pPr>
        <w:pStyle w:val="90"/>
        <w:ind w:firstLine="480"/>
      </w:pPr>
      <w:r>
        <w:rPr>
          <w:rFonts w:hint="eastAsia"/>
        </w:rPr>
        <w:t>若超过二级预警，则上报应急指挥部，并请求启动</w:t>
      </w:r>
      <w:r>
        <w:rPr>
          <w:rFonts w:hint="eastAsia"/>
          <w:highlight w:val="none"/>
        </w:rPr>
        <w:t>一级响应</w:t>
      </w:r>
      <w:r>
        <w:rPr>
          <w:rFonts w:hint="eastAsia"/>
        </w:rPr>
        <w:t>，应急指挥部立即启动综合应急预案，并报告上级环保部门；</w:t>
      </w:r>
    </w:p>
    <w:p>
      <w:pPr>
        <w:pStyle w:val="90"/>
        <w:ind w:firstLine="480"/>
      </w:pPr>
      <w:r>
        <w:rPr>
          <w:rFonts w:hint="eastAsia"/>
        </w:rPr>
        <w:t>若预警级别超过一级时，则扩大应急响应程序，由应急总指挥请求上级主管部门或地方政府启动区域或地方应急响应并给予支援。上级应急救援队伍未到达前，总指挥负责指挥应急救援行动，上级应急救援队伍到达后，总指挥负责向上级应急救援队伍负责人交代现场情况，服从上级应急救援队伍的指挥。</w:t>
      </w:r>
    </w:p>
    <w:p>
      <w:pPr>
        <w:pStyle w:val="5"/>
        <w:bidi w:val="0"/>
      </w:pPr>
      <w:bookmarkStart w:id="576" w:name="_Toc37600098"/>
      <w:bookmarkStart w:id="577" w:name="_Toc3481"/>
      <w:bookmarkStart w:id="578" w:name="_Toc24592"/>
      <w:bookmarkStart w:id="579" w:name="_Toc30003"/>
      <w:bookmarkStart w:id="580" w:name="_Toc1986"/>
      <w:bookmarkStart w:id="581" w:name="_Toc20609_WPSOffice_Level1"/>
      <w:bookmarkStart w:id="582" w:name="_Toc23790"/>
      <w:bookmarkStart w:id="583" w:name="_Toc638"/>
      <w:r>
        <w:t xml:space="preserve">6.4 </w:t>
      </w:r>
      <w:r>
        <w:rPr>
          <w:rFonts w:hint="eastAsia"/>
        </w:rPr>
        <w:t>应急处理</w:t>
      </w:r>
      <w:bookmarkEnd w:id="576"/>
      <w:bookmarkEnd w:id="577"/>
      <w:bookmarkEnd w:id="578"/>
      <w:bookmarkEnd w:id="579"/>
      <w:bookmarkEnd w:id="580"/>
      <w:bookmarkEnd w:id="581"/>
      <w:bookmarkEnd w:id="582"/>
      <w:bookmarkEnd w:id="583"/>
    </w:p>
    <w:p>
      <w:pPr>
        <w:pStyle w:val="6"/>
        <w:bidi w:val="0"/>
      </w:pPr>
      <w:bookmarkStart w:id="584" w:name="_Toc8171"/>
      <w:bookmarkStart w:id="585" w:name="_Toc32576"/>
      <w:bookmarkStart w:id="586" w:name="_Toc37600099"/>
      <w:bookmarkStart w:id="587" w:name="_Toc10429"/>
      <w:r>
        <w:t xml:space="preserve">6.4.1 </w:t>
      </w:r>
      <w:r>
        <w:rPr>
          <w:rFonts w:hint="eastAsia"/>
        </w:rPr>
        <w:t>应急指挥与协调</w:t>
      </w:r>
      <w:bookmarkEnd w:id="584"/>
      <w:bookmarkEnd w:id="585"/>
      <w:bookmarkEnd w:id="586"/>
      <w:bookmarkEnd w:id="587"/>
    </w:p>
    <w:p>
      <w:pPr>
        <w:pStyle w:val="90"/>
        <w:ind w:firstLine="480"/>
      </w:pPr>
      <w:r>
        <w:t>1</w:t>
      </w:r>
      <w:r>
        <w:rPr>
          <w:rFonts w:hint="eastAsia"/>
        </w:rPr>
        <w:t>、发生突发环境事故时，指挥部接警后总指挥或副总指挥应立即发出预警信号，启动响应应急响应，并实施本预案，做好现场指挥、领导工作。</w:t>
      </w:r>
    </w:p>
    <w:p>
      <w:pPr>
        <w:pStyle w:val="90"/>
        <w:ind w:firstLine="480"/>
      </w:pPr>
      <w:r>
        <w:t>2</w:t>
      </w:r>
      <w:r>
        <w:rPr>
          <w:rFonts w:hint="eastAsia"/>
        </w:rPr>
        <w:t>、现场应急救援指挥部应根据事故类型、严重程度等调集响应的应急小组成员，立即进入应急抢险战斗状态。</w:t>
      </w:r>
    </w:p>
    <w:p>
      <w:pPr>
        <w:pStyle w:val="90"/>
        <w:ind w:firstLine="480"/>
      </w:pPr>
      <w:r>
        <w:t>3</w:t>
      </w:r>
      <w:r>
        <w:rPr>
          <w:rFonts w:hint="eastAsia"/>
        </w:rPr>
        <w:t>、现场人员在消防抢险组组长的领导下及时采取有效措施，阻止事态扩大。</w:t>
      </w:r>
    </w:p>
    <w:p>
      <w:pPr>
        <w:pStyle w:val="6"/>
        <w:bidi w:val="0"/>
      </w:pPr>
      <w:bookmarkStart w:id="588" w:name="_Toc18678"/>
      <w:bookmarkStart w:id="589" w:name="_Toc23752"/>
      <w:bookmarkStart w:id="590" w:name="_Toc16008"/>
      <w:bookmarkStart w:id="591" w:name="_Toc37600100"/>
      <w:r>
        <w:t xml:space="preserve">6.4.2 </w:t>
      </w:r>
      <w:r>
        <w:rPr>
          <w:rFonts w:hint="eastAsia"/>
        </w:rPr>
        <w:t>应急处理措施</w:t>
      </w:r>
      <w:bookmarkEnd w:id="588"/>
      <w:bookmarkEnd w:id="589"/>
      <w:bookmarkEnd w:id="590"/>
      <w:bookmarkEnd w:id="591"/>
    </w:p>
    <w:p>
      <w:pPr>
        <w:pStyle w:val="90"/>
        <w:ind w:firstLine="480"/>
      </w:pPr>
      <w:r>
        <w:rPr>
          <w:rFonts w:hint="eastAsia"/>
        </w:rPr>
        <w:t>根据公司的实际情况，可能导致环境污染的事件可大体上归为：危险废物泄漏事件、</w:t>
      </w:r>
      <w:r>
        <w:rPr>
          <w:rFonts w:hint="eastAsia"/>
          <w:kern w:val="0"/>
        </w:rPr>
        <w:t>生产装置沼气泄漏事故及</w:t>
      </w:r>
      <w:r>
        <w:rPr>
          <w:rFonts w:hint="eastAsia"/>
        </w:rPr>
        <w:t>火灾、爆炸事故。关于这</w:t>
      </w:r>
      <w:r>
        <w:t>3</w:t>
      </w:r>
      <w:r>
        <w:rPr>
          <w:rFonts w:hint="eastAsia"/>
        </w:rPr>
        <w:t>类事件的应急处置措施情况见表</w:t>
      </w:r>
      <w:r>
        <w:t>6.4</w:t>
      </w:r>
      <w:r>
        <w:rPr>
          <w:rFonts w:hint="eastAsia"/>
          <w:lang w:val="en-US" w:eastAsia="zh-CN"/>
        </w:rPr>
        <w:t>.2</w:t>
      </w:r>
      <w:r>
        <w:t>-1</w:t>
      </w:r>
      <w:r>
        <w:rPr>
          <w:rFonts w:hint="eastAsia"/>
        </w:rPr>
        <w:t>。</w:t>
      </w:r>
    </w:p>
    <w:p>
      <w:pPr>
        <w:pStyle w:val="82"/>
        <w:spacing w:before="163"/>
      </w:pPr>
      <w:r>
        <w:rPr>
          <w:rFonts w:hint="eastAsia"/>
        </w:rPr>
        <w:t>表</w:t>
      </w:r>
      <w:r>
        <w:t>6.4</w:t>
      </w:r>
      <w:r>
        <w:rPr>
          <w:rFonts w:hint="eastAsia"/>
          <w:lang w:val="en-US" w:eastAsia="zh-CN"/>
        </w:rPr>
        <w:t>.2</w:t>
      </w:r>
      <w:r>
        <w:t xml:space="preserve">-1 </w:t>
      </w:r>
      <w:r>
        <w:rPr>
          <w:rFonts w:hint="eastAsia"/>
          <w:highlight w:val="none"/>
        </w:rPr>
        <w:t>不同事件</w:t>
      </w:r>
      <w:r>
        <w:rPr>
          <w:rFonts w:hint="eastAsia"/>
        </w:rPr>
        <w:t>类型的应急处置措施</w:t>
      </w:r>
    </w:p>
    <w:tbl>
      <w:tblPr>
        <w:tblStyle w:val="22"/>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08"/>
        <w:gridCol w:w="1571"/>
        <w:gridCol w:w="65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49" w:type="pct"/>
            <w:tcBorders>
              <w:bottom w:val="single" w:color="auto" w:sz="12" w:space="0"/>
            </w:tcBorders>
          </w:tcPr>
          <w:p>
            <w:pPr>
              <w:pStyle w:val="83"/>
              <w:rPr>
                <w:b/>
              </w:rPr>
            </w:pPr>
            <w:r>
              <w:rPr>
                <w:rFonts w:hint="eastAsia"/>
                <w:b/>
              </w:rPr>
              <w:t>序号</w:t>
            </w:r>
          </w:p>
        </w:tc>
        <w:tc>
          <w:tcPr>
            <w:tcW w:w="901" w:type="pct"/>
            <w:tcBorders>
              <w:bottom w:val="single" w:color="auto" w:sz="12" w:space="0"/>
            </w:tcBorders>
          </w:tcPr>
          <w:p>
            <w:pPr>
              <w:pStyle w:val="83"/>
              <w:rPr>
                <w:b/>
              </w:rPr>
            </w:pPr>
            <w:r>
              <w:rPr>
                <w:rFonts w:hint="eastAsia"/>
                <w:b/>
              </w:rPr>
              <w:t>事件类型</w:t>
            </w:r>
          </w:p>
        </w:tc>
        <w:tc>
          <w:tcPr>
            <w:tcW w:w="3749" w:type="pct"/>
            <w:tcBorders>
              <w:bottom w:val="single" w:color="auto" w:sz="12" w:space="0"/>
            </w:tcBorders>
          </w:tcPr>
          <w:p>
            <w:pPr>
              <w:pStyle w:val="83"/>
              <w:rPr>
                <w:b/>
              </w:rPr>
            </w:pPr>
            <w:r>
              <w:rPr>
                <w:rFonts w:hint="eastAsia"/>
                <w:b/>
              </w:rPr>
              <w:t>处置措施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49" w:type="pct"/>
            <w:tcBorders>
              <w:top w:val="single" w:color="auto" w:sz="12" w:space="0"/>
              <w:tl2br w:val="nil"/>
              <w:tr2bl w:val="nil"/>
            </w:tcBorders>
            <w:vAlign w:val="center"/>
          </w:tcPr>
          <w:p>
            <w:pPr>
              <w:pStyle w:val="83"/>
            </w:pPr>
            <w:r>
              <w:t>1</w:t>
            </w:r>
          </w:p>
        </w:tc>
        <w:tc>
          <w:tcPr>
            <w:tcW w:w="901" w:type="pct"/>
            <w:tcBorders>
              <w:top w:val="single" w:color="auto" w:sz="12" w:space="0"/>
              <w:tl2br w:val="nil"/>
              <w:tr2bl w:val="nil"/>
            </w:tcBorders>
            <w:vAlign w:val="center"/>
          </w:tcPr>
          <w:p>
            <w:pPr>
              <w:pStyle w:val="83"/>
            </w:pPr>
            <w:r>
              <w:rPr>
                <w:rFonts w:hint="eastAsia"/>
              </w:rPr>
              <w:t>危险废物泄漏事故</w:t>
            </w:r>
          </w:p>
        </w:tc>
        <w:tc>
          <w:tcPr>
            <w:tcW w:w="3749" w:type="pct"/>
            <w:tcBorders>
              <w:top w:val="single" w:color="auto" w:sz="12" w:space="0"/>
              <w:tl2br w:val="nil"/>
              <w:tr2bl w:val="nil"/>
            </w:tcBorders>
          </w:tcPr>
          <w:p>
            <w:pPr>
              <w:pStyle w:val="83"/>
              <w:jc w:val="left"/>
            </w:pPr>
            <w:r>
              <w:t>1.</w:t>
            </w:r>
            <w:r>
              <w:rPr>
                <w:rFonts w:hint="eastAsia"/>
              </w:rPr>
              <w:t>泄漏容器内的废机油转移至带盖空桶或同类矿物油空桶内；</w:t>
            </w:r>
          </w:p>
          <w:p>
            <w:pPr>
              <w:pStyle w:val="83"/>
              <w:jc w:val="left"/>
            </w:pPr>
            <w:r>
              <w:t>2.</w:t>
            </w:r>
            <w:r>
              <w:rPr>
                <w:rFonts w:hint="eastAsia"/>
              </w:rPr>
              <w:t>用</w:t>
            </w:r>
            <w:r>
              <w:rPr>
                <w:rFonts w:hint="eastAsia"/>
                <w:highlight w:val="none"/>
                <w:lang w:val="en-US" w:eastAsia="zh-CN"/>
              </w:rPr>
              <w:t>沙</w:t>
            </w:r>
            <w:r>
              <w:rPr>
                <w:rFonts w:hint="eastAsia"/>
                <w:highlight w:val="none"/>
              </w:rPr>
              <w:t>土</w:t>
            </w:r>
            <w:r>
              <w:rPr>
                <w:rFonts w:hint="eastAsia"/>
              </w:rPr>
              <w:t>对泄漏的废机油进行覆盖吸收，防治泄漏在仓库内漫流；</w:t>
            </w:r>
          </w:p>
          <w:p>
            <w:pPr>
              <w:pStyle w:val="83"/>
              <w:jc w:val="left"/>
            </w:pPr>
            <w:r>
              <w:t>3.</w:t>
            </w:r>
            <w:r>
              <w:rPr>
                <w:rFonts w:hint="eastAsia"/>
              </w:rPr>
              <w:t>用沙袋制成临时围堰堵住仓库门，将泄漏的废机油收集至带盖空桶内作为危废处理；</w:t>
            </w:r>
          </w:p>
          <w:p>
            <w:pPr>
              <w:pStyle w:val="83"/>
              <w:jc w:val="left"/>
            </w:pPr>
            <w:r>
              <w:t>4.</w:t>
            </w:r>
            <w:r>
              <w:rPr>
                <w:rFonts w:hint="eastAsia"/>
              </w:rPr>
              <w:t>按照现场实际情况，用吸油毡对雨水明沟内泄漏的废机油进行吸附，在管道入口用沙袋设置拦截坝进行拦截；</w:t>
            </w:r>
          </w:p>
          <w:p>
            <w:pPr>
              <w:pStyle w:val="83"/>
              <w:jc w:val="left"/>
            </w:pPr>
            <w:r>
              <w:rPr>
                <w:rFonts w:hint="eastAsia"/>
              </w:rPr>
              <w:t>5.经应急指挥部对事故现场进行检查合格后，恢复正常生产秩序。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49" w:type="pct"/>
            <w:tcBorders>
              <w:tl2br w:val="nil"/>
              <w:tr2bl w:val="nil"/>
            </w:tcBorders>
            <w:vAlign w:val="center"/>
          </w:tcPr>
          <w:p>
            <w:pPr>
              <w:pStyle w:val="83"/>
            </w:pPr>
            <w:r>
              <w:rPr>
                <w:rFonts w:hint="eastAsia"/>
              </w:rPr>
              <w:t>2</w:t>
            </w:r>
          </w:p>
        </w:tc>
        <w:tc>
          <w:tcPr>
            <w:tcW w:w="901" w:type="pct"/>
            <w:tcBorders>
              <w:tl2br w:val="nil"/>
              <w:tr2bl w:val="nil"/>
            </w:tcBorders>
            <w:vAlign w:val="center"/>
          </w:tcPr>
          <w:p>
            <w:pPr>
              <w:pStyle w:val="83"/>
            </w:pPr>
            <w:r>
              <w:rPr>
                <w:rFonts w:hint="eastAsia"/>
              </w:rPr>
              <w:t>火灾、爆炸事故</w:t>
            </w:r>
          </w:p>
        </w:tc>
        <w:tc>
          <w:tcPr>
            <w:tcW w:w="3749" w:type="pct"/>
            <w:tcBorders>
              <w:tl2br w:val="nil"/>
              <w:tr2bl w:val="nil"/>
            </w:tcBorders>
          </w:tcPr>
          <w:p>
            <w:pPr>
              <w:pStyle w:val="83"/>
              <w:jc w:val="left"/>
            </w:pPr>
            <w:r>
              <w:rPr>
                <w:rFonts w:hint="eastAsia"/>
              </w:rPr>
              <w:t>废机油：</w:t>
            </w:r>
          </w:p>
          <w:p>
            <w:pPr>
              <w:pStyle w:val="83"/>
              <w:jc w:val="left"/>
            </w:pPr>
            <w:r>
              <w:rPr>
                <w:rFonts w:hint="eastAsia"/>
              </w:rPr>
              <w:t>1.立即停止作业并通知应急指挥部；</w:t>
            </w:r>
          </w:p>
          <w:p>
            <w:pPr>
              <w:pStyle w:val="83"/>
              <w:jc w:val="left"/>
            </w:pPr>
            <w:r>
              <w:rPr>
                <w:rFonts w:hint="eastAsia"/>
              </w:rPr>
              <w:t>2.设置警戒区，禁止无关人员进入，疏散无关人员；</w:t>
            </w:r>
          </w:p>
          <w:p>
            <w:pPr>
              <w:pStyle w:val="83"/>
              <w:jc w:val="left"/>
            </w:pPr>
            <w:r>
              <w:rPr>
                <w:rFonts w:hint="eastAsia"/>
              </w:rPr>
              <w:t>3.若为小火用干粉灭火器或二氧化碳灭火器灭火，如其有迅速扩大之势，待指挥部成员赶到后现场指挥救援，展开救援工作，并研究下一步处置方案或升级事件请求外援，控制火势，避免爆炸。</w:t>
            </w:r>
          </w:p>
          <w:p>
            <w:pPr>
              <w:pStyle w:val="83"/>
              <w:jc w:val="left"/>
            </w:pPr>
            <w:r>
              <w:rPr>
                <w:rFonts w:hint="eastAsia"/>
              </w:rPr>
              <w:t>火灾或爆炸现场处置后，需派人监护现场，防止复燃等此生事故，同时，保护好现场，配合有关部门的调查处理工作，燃烧产生的废渣、吸附的废油、被侵蚀沙土等废物统一集中，并委托有资质的备案处置单位进行处置转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49" w:type="pct"/>
            <w:tcBorders>
              <w:tl2br w:val="nil"/>
              <w:tr2bl w:val="nil"/>
            </w:tcBorders>
            <w:vAlign w:val="center"/>
          </w:tcPr>
          <w:p>
            <w:pPr>
              <w:pStyle w:val="83"/>
            </w:pPr>
            <w:r>
              <w:rPr>
                <w:rFonts w:hint="eastAsia"/>
              </w:rPr>
              <w:t>3</w:t>
            </w:r>
          </w:p>
        </w:tc>
        <w:tc>
          <w:tcPr>
            <w:tcW w:w="901" w:type="pct"/>
            <w:tcBorders>
              <w:tl2br w:val="nil"/>
              <w:tr2bl w:val="nil"/>
            </w:tcBorders>
            <w:vAlign w:val="center"/>
          </w:tcPr>
          <w:p>
            <w:pPr>
              <w:pStyle w:val="83"/>
            </w:pPr>
            <w:r>
              <w:rPr>
                <w:rFonts w:hint="eastAsia"/>
              </w:rPr>
              <w:t>废水泄漏事故</w:t>
            </w:r>
          </w:p>
        </w:tc>
        <w:tc>
          <w:tcPr>
            <w:tcW w:w="3749" w:type="pct"/>
            <w:tcBorders>
              <w:tl2br w:val="nil"/>
              <w:tr2bl w:val="nil"/>
            </w:tcBorders>
          </w:tcPr>
          <w:p>
            <w:pPr>
              <w:pStyle w:val="83"/>
              <w:jc w:val="left"/>
            </w:pPr>
            <w:r>
              <w:rPr>
                <w:rFonts w:hint="eastAsia"/>
              </w:rPr>
              <w:t>生产污水：</w:t>
            </w:r>
          </w:p>
          <w:p>
            <w:pPr>
              <w:pStyle w:val="83"/>
              <w:jc w:val="left"/>
            </w:pPr>
            <w:r>
              <w:rPr>
                <w:rFonts w:hint="eastAsia"/>
              </w:rPr>
              <w:t>对泄漏废水进行</w:t>
            </w:r>
            <w:r>
              <w:rPr>
                <w:rFonts w:hint="eastAsia"/>
                <w:highlight w:val="none"/>
              </w:rPr>
              <w:t>收集</w:t>
            </w:r>
            <w:r>
              <w:rPr>
                <w:rFonts w:hint="eastAsia"/>
                <w:highlight w:val="none"/>
                <w:lang w:val="en-US" w:eastAsia="zh-CN"/>
              </w:rPr>
              <w:t>到</w:t>
            </w:r>
            <w:r>
              <w:rPr>
                <w:rFonts w:hint="eastAsia"/>
              </w:rPr>
              <w:t>厂内污水站处理；</w:t>
            </w:r>
          </w:p>
          <w:p>
            <w:pPr>
              <w:pStyle w:val="83"/>
              <w:jc w:val="left"/>
            </w:pPr>
            <w:r>
              <w:rPr>
                <w:rFonts w:hint="eastAsia"/>
              </w:rPr>
              <w:t>生活污水：</w:t>
            </w:r>
          </w:p>
          <w:p>
            <w:pPr>
              <w:pStyle w:val="83"/>
              <w:jc w:val="left"/>
            </w:pPr>
            <w:r>
              <w:rPr>
                <w:rFonts w:hint="eastAsia"/>
              </w:rPr>
              <w:t>已设置管道沟渠；</w:t>
            </w:r>
          </w:p>
          <w:p>
            <w:pPr>
              <w:pStyle w:val="83"/>
              <w:jc w:val="left"/>
            </w:pPr>
            <w:r>
              <w:rPr>
                <w:rFonts w:hint="eastAsia"/>
              </w:rPr>
              <w:t>对废水进行拦截收集，安排对泄漏水质进行检测，确保不会污染水环境。</w:t>
            </w:r>
          </w:p>
        </w:tc>
      </w:tr>
    </w:tbl>
    <w:p>
      <w:pPr>
        <w:pStyle w:val="6"/>
        <w:bidi w:val="0"/>
      </w:pPr>
      <w:bookmarkStart w:id="592" w:name="_Toc27332"/>
      <w:bookmarkStart w:id="593" w:name="_Toc37600101"/>
      <w:bookmarkStart w:id="594" w:name="_Toc22696"/>
      <w:bookmarkStart w:id="595" w:name="_Toc1504"/>
      <w:r>
        <w:t xml:space="preserve">6.4.3 </w:t>
      </w:r>
      <w:r>
        <w:rPr>
          <w:rFonts w:hint="eastAsia"/>
        </w:rPr>
        <w:t>应急疏散</w:t>
      </w:r>
      <w:bookmarkEnd w:id="592"/>
      <w:bookmarkEnd w:id="593"/>
      <w:bookmarkEnd w:id="594"/>
      <w:bookmarkEnd w:id="595"/>
    </w:p>
    <w:p>
      <w:pPr>
        <w:pStyle w:val="7"/>
        <w:bidi w:val="0"/>
      </w:pPr>
      <w:r>
        <w:t xml:space="preserve">6.4.3.1 </w:t>
      </w:r>
      <w:r>
        <w:rPr>
          <w:rFonts w:hint="eastAsia"/>
        </w:rPr>
        <w:t>厂内应急疏散</w:t>
      </w:r>
    </w:p>
    <w:p>
      <w:pPr>
        <w:pStyle w:val="90"/>
        <w:ind w:firstLine="480"/>
      </w:pPr>
      <w:r>
        <w:rPr>
          <w:rFonts w:hint="eastAsia"/>
        </w:rPr>
        <w:t>（</w:t>
      </w:r>
      <w:r>
        <w:t>1</w:t>
      </w:r>
      <w:r>
        <w:rPr>
          <w:rFonts w:hint="eastAsia"/>
        </w:rPr>
        <w:t>）撤离前尽可能携带一些个人防护装备如安全帽、湿毛巾、湿手套、逃生用过滤式面罩、口罩（打湿）；撤离过程中用佩戴逃生用过滤式面罩或以湿物堵住口鼻防止中毒；</w:t>
      </w:r>
    </w:p>
    <w:p>
      <w:pPr>
        <w:pStyle w:val="90"/>
        <w:ind w:firstLine="480"/>
      </w:pPr>
      <w:r>
        <w:rPr>
          <w:rFonts w:hint="eastAsia"/>
        </w:rPr>
        <w:t>（</w:t>
      </w:r>
      <w:r>
        <w:t>2</w:t>
      </w:r>
      <w:r>
        <w:rPr>
          <w:rFonts w:hint="eastAsia"/>
        </w:rPr>
        <w:t>）撤离前镇定</w:t>
      </w:r>
      <w:r>
        <w:t>3</w:t>
      </w:r>
      <w:r>
        <w:rPr>
          <w:rFonts w:hint="eastAsia"/>
        </w:rPr>
        <w:t>秒钟，注意观察周围灾害扩散形势及大致风向，选择高点、逆风向作为逃生路线；</w:t>
      </w:r>
    </w:p>
    <w:p>
      <w:pPr>
        <w:pStyle w:val="90"/>
        <w:ind w:firstLine="480"/>
      </w:pPr>
      <w:r>
        <w:rPr>
          <w:rFonts w:hint="eastAsia"/>
        </w:rPr>
        <w:t>（</w:t>
      </w:r>
      <w:r>
        <w:t>3</w:t>
      </w:r>
      <w:r>
        <w:rPr>
          <w:rFonts w:hint="eastAsia"/>
        </w:rPr>
        <w:t>）如果有爆炸发生，应目测选择结实的建构筑物躲避，防止飞散物和冲击波伤害，没有这类物体可以找地表凹陷或略低点，暂时躲避，或就地卧倒，护住头部，待爆炸停止立即撤离，不可长时间在低洼处躲避；</w:t>
      </w:r>
    </w:p>
    <w:p>
      <w:pPr>
        <w:pStyle w:val="90"/>
        <w:ind w:firstLine="480"/>
      </w:pPr>
      <w:r>
        <w:rPr>
          <w:rFonts w:hint="eastAsia"/>
        </w:rPr>
        <w:t>（</w:t>
      </w:r>
      <w:r>
        <w:t>4</w:t>
      </w:r>
      <w:r>
        <w:rPr>
          <w:rFonts w:hint="eastAsia"/>
        </w:rPr>
        <w:t>）人员相对集中的生产班组应指定不少于</w:t>
      </w:r>
      <w:r>
        <w:t>2</w:t>
      </w:r>
      <w:r>
        <w:rPr>
          <w:rFonts w:hint="eastAsia"/>
        </w:rPr>
        <w:t>人的撤离引导员，平时按预案熟悉撤离路线，自觉训练，撤离时担任引导任务；</w:t>
      </w:r>
    </w:p>
    <w:p>
      <w:pPr>
        <w:pStyle w:val="90"/>
        <w:ind w:firstLine="480"/>
      </w:pPr>
      <w:r>
        <w:rPr>
          <w:rFonts w:hint="eastAsia"/>
        </w:rPr>
        <w:t>（</w:t>
      </w:r>
      <w:r>
        <w:t>5</w:t>
      </w:r>
      <w:r>
        <w:rPr>
          <w:rFonts w:hint="eastAsia"/>
        </w:rPr>
        <w:t>）岗位及人员分散的单位必须人人训练撤离技能，熟练掌握正确撤离路线；</w:t>
      </w:r>
    </w:p>
    <w:p>
      <w:pPr>
        <w:pStyle w:val="90"/>
        <w:ind w:firstLine="480"/>
      </w:pPr>
      <w:r>
        <w:rPr>
          <w:rFonts w:hint="eastAsia"/>
        </w:rPr>
        <w:t>（</w:t>
      </w:r>
      <w:r>
        <w:t>6</w:t>
      </w:r>
      <w:r>
        <w:rPr>
          <w:rFonts w:hint="eastAsia"/>
        </w:rPr>
        <w:t>）负责应急疏导的应急小组在撤离过程中负责指挥引导人群的疏散与撤离。</w:t>
      </w:r>
    </w:p>
    <w:p>
      <w:pPr>
        <w:pStyle w:val="90"/>
        <w:ind w:firstLine="480"/>
      </w:pPr>
      <w:r>
        <w:rPr>
          <w:rFonts w:hint="eastAsia"/>
        </w:rPr>
        <w:t>根据厂内的地理环境及风向情况，公司紧急疏散路线详见附图五。</w:t>
      </w:r>
    </w:p>
    <w:p>
      <w:pPr>
        <w:pStyle w:val="7"/>
        <w:bidi w:val="0"/>
      </w:pPr>
      <w:r>
        <w:t xml:space="preserve">6.4.3.2 </w:t>
      </w:r>
      <w:r>
        <w:rPr>
          <w:rFonts w:hint="eastAsia"/>
        </w:rPr>
        <w:t>厂外应急疏散</w:t>
      </w:r>
    </w:p>
    <w:p>
      <w:pPr>
        <w:pStyle w:val="90"/>
        <w:ind w:firstLine="480"/>
      </w:pPr>
      <w:r>
        <w:rPr>
          <w:rFonts w:hint="eastAsia"/>
        </w:rPr>
        <w:t>当事件危及厂外时，企业应向可能受到影响范围内的敏感受体发布通报，明确事件的危害性，提出疏散的建议。并在政府相应应急人员未抵达前，派工作人员协助相关的人员组织应急疏散。并在政府力量抵达后，统一听从政府人员的安排，由政府应急人员指挥应急疏散工作。</w:t>
      </w:r>
    </w:p>
    <w:p>
      <w:pPr>
        <w:pStyle w:val="6"/>
        <w:bidi w:val="0"/>
      </w:pPr>
      <w:bookmarkStart w:id="596" w:name="_Toc23645"/>
      <w:bookmarkStart w:id="597" w:name="_Toc1104"/>
      <w:bookmarkStart w:id="598" w:name="_Toc5563"/>
      <w:bookmarkStart w:id="599" w:name="_Toc37600102"/>
      <w:r>
        <w:t xml:space="preserve">6.4.4 </w:t>
      </w:r>
      <w:r>
        <w:rPr>
          <w:rFonts w:hint="eastAsia"/>
        </w:rPr>
        <w:t>受伤人员救治</w:t>
      </w:r>
      <w:bookmarkEnd w:id="596"/>
      <w:bookmarkEnd w:id="597"/>
      <w:bookmarkEnd w:id="598"/>
      <w:bookmarkEnd w:id="599"/>
    </w:p>
    <w:p>
      <w:pPr>
        <w:pStyle w:val="90"/>
        <w:ind w:firstLine="480"/>
      </w:pPr>
      <w:r>
        <w:rPr>
          <w:rFonts w:hint="eastAsia"/>
        </w:rPr>
        <w:t>本措施由后勤保障组负责实施。一旦发生人员受伤时，后勤保障组的成员按分工立即以最快的速度进行抢救、救护，并立即求助</w:t>
      </w:r>
      <w:r>
        <w:t>120</w:t>
      </w:r>
      <w:r>
        <w:rPr>
          <w:rFonts w:hint="eastAsia"/>
        </w:rPr>
        <w:t>急救中心或快速送往最近的医院。后勤保障组现场的救护处理措施、方法：</w:t>
      </w:r>
    </w:p>
    <w:p>
      <w:pPr>
        <w:pStyle w:val="90"/>
        <w:ind w:firstLine="480"/>
      </w:pPr>
      <w:r>
        <w:rPr>
          <w:rFonts w:hint="eastAsia"/>
        </w:rPr>
        <w:t>（</w:t>
      </w:r>
      <w:r>
        <w:t>1</w:t>
      </w:r>
      <w:r>
        <w:rPr>
          <w:rFonts w:hint="eastAsia"/>
        </w:rPr>
        <w:t>）使受伤者尽快脱离事故现场转移至空气新鲜处，按照先重伤，后轻伤的原则，按不同受伤情况进行处理。</w:t>
      </w:r>
    </w:p>
    <w:p>
      <w:pPr>
        <w:pStyle w:val="90"/>
        <w:ind w:firstLine="480"/>
      </w:pPr>
      <w:r>
        <w:rPr>
          <w:rFonts w:hint="eastAsia"/>
        </w:rPr>
        <w:t>（</w:t>
      </w:r>
      <w:r>
        <w:t>2</w:t>
      </w:r>
      <w:r>
        <w:rPr>
          <w:rFonts w:hint="eastAsia"/>
        </w:rPr>
        <w:t>）对中毒人员救护：应先松开衣领、紧身衣物、腰带</w:t>
      </w:r>
      <w:r>
        <w:rPr>
          <w:rFonts w:hint="eastAsia"/>
          <w:highlight w:val="none"/>
        </w:rPr>
        <w:t>及其它</w:t>
      </w:r>
      <w:r>
        <w:rPr>
          <w:rFonts w:hint="eastAsia"/>
        </w:rPr>
        <w:t>可能妨碍呼吸的一切物品，保持患者呼吸道畅通，必要时给氧。注意保暖、静卧，若有呕吐则应侧卧，以防止呕吐物吸入气管，同时，注意中毒者的病情变化。</w:t>
      </w:r>
    </w:p>
    <w:p>
      <w:pPr>
        <w:pStyle w:val="90"/>
        <w:ind w:firstLine="480"/>
      </w:pPr>
      <w:r>
        <w:rPr>
          <w:rFonts w:hint="eastAsia"/>
        </w:rPr>
        <w:t>（</w:t>
      </w:r>
      <w:r>
        <w:t>3</w:t>
      </w:r>
      <w:r>
        <w:rPr>
          <w:rFonts w:hint="eastAsia"/>
        </w:rPr>
        <w:t>）燃烧熔滴灼伤和烧伤：用清洁的冷水冲洗</w:t>
      </w:r>
      <w:r>
        <w:t>30</w:t>
      </w:r>
      <w:r>
        <w:rPr>
          <w:rFonts w:hint="eastAsia"/>
        </w:rPr>
        <w:t>分钟以上，然后简单包扎。对明显红肿的轻度烫伤要立即用冷水冲洗几分钟，用干净的纱布包好即可。如果局部皮肤</w:t>
      </w:r>
      <w:r>
        <w:rPr>
          <w:rFonts w:hint="eastAsia"/>
          <w:lang w:val="en-US" w:eastAsia="zh-CN"/>
        </w:rPr>
        <w:t>起水疱</w:t>
      </w:r>
      <w:r>
        <w:rPr>
          <w:rFonts w:hint="eastAsia"/>
        </w:rPr>
        <w:t>，要立即冷却</w:t>
      </w:r>
      <w:r>
        <w:t>30</w:t>
      </w:r>
      <w:r>
        <w:rPr>
          <w:rFonts w:hint="eastAsia"/>
        </w:rPr>
        <w:t>分钟以上。</w:t>
      </w:r>
    </w:p>
    <w:p>
      <w:pPr>
        <w:pStyle w:val="90"/>
        <w:ind w:firstLine="480"/>
      </w:pPr>
      <w:r>
        <w:rPr>
          <w:rFonts w:hint="eastAsia"/>
        </w:rPr>
        <w:t>（</w:t>
      </w:r>
      <w:r>
        <w:t>4</w:t>
      </w:r>
      <w:r>
        <w:rPr>
          <w:rFonts w:hint="eastAsia"/>
        </w:rPr>
        <w:t>）呼吸心跳停止须现场进行人工呼吸（剧毒中毒者除外）、</w:t>
      </w:r>
      <w:r>
        <w:rPr>
          <w:rFonts w:hint="eastAsia"/>
          <w:highlight w:val="none"/>
        </w:rPr>
        <w:t>心脏</w:t>
      </w:r>
      <w:r>
        <w:rPr>
          <w:rFonts w:hint="eastAsia"/>
          <w:highlight w:val="none"/>
          <w:lang w:val="en-US" w:eastAsia="zh-CN"/>
        </w:rPr>
        <w:t>按</w:t>
      </w:r>
      <w:r>
        <w:rPr>
          <w:rFonts w:hint="eastAsia"/>
          <w:highlight w:val="none"/>
        </w:rPr>
        <w:t>压</w:t>
      </w:r>
      <w:r>
        <w:rPr>
          <w:rFonts w:hint="eastAsia"/>
        </w:rPr>
        <w:t>术。</w:t>
      </w:r>
    </w:p>
    <w:p>
      <w:pPr>
        <w:pStyle w:val="90"/>
        <w:ind w:firstLine="480"/>
      </w:pPr>
      <w:r>
        <w:rPr>
          <w:rFonts w:hint="eastAsia"/>
        </w:rPr>
        <w:t>（</w:t>
      </w:r>
      <w:r>
        <w:t>5</w:t>
      </w:r>
      <w:r>
        <w:rPr>
          <w:rFonts w:hint="eastAsia"/>
        </w:rPr>
        <w:t>）待救护车到场或动用最快的交通工具，及时护送伤员到医院。运送途中应尽量减少颠簸，同时密切注意伤者的呼吸、脉搏、血压及伤口情况。</w:t>
      </w:r>
    </w:p>
    <w:p>
      <w:pPr>
        <w:pStyle w:val="5"/>
        <w:bidi w:val="0"/>
      </w:pPr>
      <w:bookmarkStart w:id="600" w:name="_Toc4155"/>
      <w:bookmarkStart w:id="601" w:name="_Toc15800"/>
      <w:bookmarkStart w:id="602" w:name="_Toc19823"/>
      <w:bookmarkStart w:id="603" w:name="_Toc24637"/>
      <w:bookmarkStart w:id="604" w:name="_Toc28197"/>
      <w:bookmarkStart w:id="605" w:name="_Toc4438"/>
      <w:bookmarkStart w:id="606" w:name="_Toc37600103"/>
      <w:bookmarkStart w:id="607" w:name="_Toc4937_WPSOffice_Level1"/>
      <w:bookmarkStart w:id="608" w:name="_Toc29420"/>
      <w:r>
        <w:t xml:space="preserve">6.5 </w:t>
      </w:r>
      <w:r>
        <w:rPr>
          <w:rFonts w:hint="eastAsia"/>
        </w:rPr>
        <w:t>污染监测和治理</w:t>
      </w:r>
      <w:bookmarkEnd w:id="600"/>
      <w:bookmarkEnd w:id="601"/>
      <w:bookmarkEnd w:id="602"/>
      <w:bookmarkEnd w:id="603"/>
      <w:bookmarkEnd w:id="604"/>
      <w:bookmarkEnd w:id="605"/>
      <w:bookmarkEnd w:id="606"/>
      <w:bookmarkEnd w:id="607"/>
      <w:bookmarkEnd w:id="608"/>
    </w:p>
    <w:p>
      <w:pPr>
        <w:pStyle w:val="90"/>
        <w:ind w:firstLine="480"/>
      </w:pPr>
      <w:r>
        <w:rPr>
          <w:rFonts w:hint="eastAsia"/>
        </w:rPr>
        <w:t>事故发生后，由</w:t>
      </w:r>
      <w:r>
        <w:rPr>
          <w:rFonts w:hint="eastAsia"/>
          <w:highlight w:val="none"/>
        </w:rPr>
        <w:t>通讯</w:t>
      </w:r>
      <w:r>
        <w:rPr>
          <w:rFonts w:hint="eastAsia"/>
        </w:rPr>
        <w:t>组委托第三方检测单位组织对事故现场及周边进行污染监测，监测对周围环境的影响并确定现场有无污染物遗留。事故发生部门组织工人处理、分类或处置所收集的废物、被污染的土壤或地表水或其他材料，并确保不在被影响的区域进行任何与泄漏材料性质不相容的废物处理贮存或处置活动。</w:t>
      </w:r>
    </w:p>
    <w:p>
      <w:pPr>
        <w:pStyle w:val="6"/>
        <w:bidi w:val="0"/>
      </w:pPr>
      <w:bookmarkStart w:id="609" w:name="_Toc26985"/>
      <w:bookmarkStart w:id="610" w:name="_Toc8000"/>
      <w:bookmarkStart w:id="611" w:name="_Toc31141"/>
      <w:bookmarkStart w:id="612" w:name="_Toc37600104"/>
      <w:r>
        <w:t xml:space="preserve">6.5.1 </w:t>
      </w:r>
      <w:r>
        <w:rPr>
          <w:rFonts w:hint="eastAsia"/>
        </w:rPr>
        <w:t>环境监测方案</w:t>
      </w:r>
      <w:bookmarkEnd w:id="609"/>
      <w:bookmarkEnd w:id="610"/>
      <w:bookmarkEnd w:id="611"/>
      <w:bookmarkEnd w:id="612"/>
    </w:p>
    <w:p>
      <w:pPr>
        <w:pStyle w:val="90"/>
        <w:ind w:firstLine="480"/>
      </w:pPr>
      <w:r>
        <w:rPr>
          <w:rFonts w:hint="eastAsia"/>
        </w:rPr>
        <w:t>本公司环境监测委托</w:t>
      </w:r>
      <w:r>
        <w:rPr>
          <w:rFonts w:hint="eastAsia"/>
          <w:lang w:val="en-US" w:eastAsia="zh-CN"/>
        </w:rPr>
        <w:t>暂定（江西贯通检测有限公司）</w:t>
      </w:r>
      <w:r>
        <w:rPr>
          <w:rFonts w:hint="eastAsia"/>
        </w:rPr>
        <w:t>第三方专业检测单位进行，由后勤保障组负责联系，具体流程：</w:t>
      </w:r>
    </w:p>
    <w:p>
      <w:pPr>
        <w:pStyle w:val="90"/>
        <w:ind w:firstLine="480"/>
      </w:pPr>
      <w:r>
        <w:t>1</w:t>
      </w:r>
      <w:r>
        <w:rPr>
          <w:rFonts w:hint="eastAsia"/>
        </w:rPr>
        <w:t>、任务接收（分析、传达等全部要同步上岗）</w:t>
      </w:r>
    </w:p>
    <w:p>
      <w:pPr>
        <w:pStyle w:val="90"/>
        <w:ind w:firstLine="480"/>
      </w:pPr>
      <w:r>
        <w:rPr>
          <w:rFonts w:hint="eastAsia"/>
        </w:rPr>
        <w:t>接公司现场指挥部下达的应急监测任务后，由后勤保障组委托第三方专业检测单位按本预案启动应急监测工作程序，下达应急监测指令，现在采样人员、分析人员和报告传达人员均做好准备工作。环境影响监测方案如下：</w:t>
      </w:r>
    </w:p>
    <w:p>
      <w:pPr>
        <w:pStyle w:val="90"/>
        <w:ind w:firstLine="482"/>
        <w:rPr>
          <w:b/>
        </w:rPr>
      </w:pPr>
      <w:r>
        <w:rPr>
          <w:rFonts w:hint="eastAsia"/>
          <w:b/>
        </w:rPr>
        <w:t>（</w:t>
      </w:r>
      <w:r>
        <w:rPr>
          <w:b/>
        </w:rPr>
        <w:t>1</w:t>
      </w:r>
      <w:r>
        <w:rPr>
          <w:rFonts w:hint="eastAsia"/>
          <w:b/>
        </w:rPr>
        <w:t>）大气污染物监测</w:t>
      </w:r>
    </w:p>
    <w:p>
      <w:pPr>
        <w:pStyle w:val="90"/>
        <w:ind w:firstLine="480"/>
      </w:pPr>
      <w:r>
        <w:t>监测点布设：厂区、事故时主导风向的下风向</w:t>
      </w:r>
    </w:p>
    <w:p>
      <w:pPr>
        <w:pStyle w:val="90"/>
        <w:ind w:firstLine="480"/>
      </w:pPr>
      <w:r>
        <w:t>监测项目：</w:t>
      </w:r>
      <w:r>
        <w:rPr>
          <w:rFonts w:hint="eastAsia"/>
          <w:szCs w:val="21"/>
        </w:rPr>
        <w:t>颗粒物</w:t>
      </w:r>
    </w:p>
    <w:p>
      <w:pPr>
        <w:pStyle w:val="90"/>
        <w:ind w:firstLine="480"/>
      </w:pPr>
      <w:r>
        <w:t>监测频次：事故初始加密监测，2-3次/天，随着污染物浓度的下降逐渐降低频次</w:t>
      </w:r>
    </w:p>
    <w:tbl>
      <w:tblPr>
        <w:tblStyle w:val="22"/>
        <w:tblW w:w="4999" w:type="pct"/>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autofit"/>
        <w:tblCellMar>
          <w:top w:w="0" w:type="dxa"/>
          <w:left w:w="108" w:type="dxa"/>
          <w:bottom w:w="0" w:type="dxa"/>
          <w:right w:w="108" w:type="dxa"/>
        </w:tblCellMar>
      </w:tblPr>
      <w:tblGrid>
        <w:gridCol w:w="3287"/>
        <w:gridCol w:w="5430"/>
      </w:tblGrid>
      <w:tr>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369" w:hRule="atLeast"/>
          <w:jc w:val="center"/>
        </w:trPr>
        <w:tc>
          <w:tcPr>
            <w:tcW w:w="1885" w:type="pct"/>
            <w:tcBorders>
              <w:tl2br w:val="nil"/>
              <w:tr2bl w:val="nil"/>
            </w:tcBorders>
            <w:vAlign w:val="center"/>
          </w:tcPr>
          <w:p>
            <w:pPr>
              <w:pStyle w:val="83"/>
              <w:rPr>
                <w:b/>
                <w:bCs/>
              </w:rPr>
            </w:pPr>
            <w:r>
              <w:rPr>
                <w:b/>
                <w:bCs/>
              </w:rPr>
              <w:t>监测项目</w:t>
            </w:r>
          </w:p>
        </w:tc>
        <w:tc>
          <w:tcPr>
            <w:tcW w:w="3114" w:type="pct"/>
            <w:tcBorders>
              <w:tl2br w:val="nil"/>
              <w:tr2bl w:val="nil"/>
            </w:tcBorders>
            <w:vAlign w:val="center"/>
          </w:tcPr>
          <w:p>
            <w:pPr>
              <w:pStyle w:val="83"/>
              <w:rPr>
                <w:b/>
                <w:bCs/>
              </w:rPr>
            </w:pPr>
            <w:r>
              <w:rPr>
                <w:b/>
                <w:bCs/>
              </w:rPr>
              <w:t>执行标准</w:t>
            </w:r>
          </w:p>
        </w:tc>
      </w:tr>
      <w:tr>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369" w:hRule="atLeast"/>
          <w:jc w:val="center"/>
        </w:trPr>
        <w:tc>
          <w:tcPr>
            <w:tcW w:w="1885" w:type="pct"/>
            <w:tcBorders>
              <w:tl2br w:val="nil"/>
              <w:tr2bl w:val="nil"/>
            </w:tcBorders>
            <w:vAlign w:val="center"/>
          </w:tcPr>
          <w:p>
            <w:pPr>
              <w:pStyle w:val="83"/>
              <w:rPr>
                <w:color w:val="000000" w:themeColor="text1"/>
                <w14:textFill>
                  <w14:solidFill>
                    <w14:schemeClr w14:val="tx1"/>
                  </w14:solidFill>
                </w14:textFill>
              </w:rPr>
            </w:pPr>
            <w:r>
              <w:rPr>
                <w:rFonts w:hint="eastAsia"/>
                <w:color w:val="000000" w:themeColor="text1"/>
                <w14:textFill>
                  <w14:solidFill>
                    <w14:schemeClr w14:val="tx1"/>
                  </w14:solidFill>
                </w14:textFill>
              </w:rPr>
              <w:t>颗粒物</w:t>
            </w:r>
          </w:p>
        </w:tc>
        <w:tc>
          <w:tcPr>
            <w:tcW w:w="3114" w:type="pct"/>
            <w:tcBorders>
              <w:tl2br w:val="nil"/>
              <w:tr2bl w:val="nil"/>
            </w:tcBorders>
            <w:vAlign w:val="center"/>
          </w:tcPr>
          <w:p>
            <w:pPr>
              <w:pStyle w:val="83"/>
              <w:rPr>
                <w:color w:val="000000" w:themeColor="text1"/>
                <w14:textFill>
                  <w14:solidFill>
                    <w14:schemeClr w14:val="tx1"/>
                  </w14:solidFill>
                </w14:textFill>
              </w:rPr>
            </w:pPr>
            <w:r>
              <w:rPr>
                <w:rFonts w:hint="eastAsia"/>
                <w:color w:val="000000" w:themeColor="text1"/>
                <w:kern w:val="0"/>
                <w:lang w:bidi="ar"/>
                <w14:textFill>
                  <w14:solidFill>
                    <w14:schemeClr w14:val="tx1"/>
                  </w14:solidFill>
                </w14:textFill>
              </w:rPr>
              <w:t xml:space="preserve">《大气污染物综合排 放标准》 （GB16297-1996）表 2 中要求 </w:t>
            </w:r>
          </w:p>
        </w:tc>
      </w:tr>
    </w:tbl>
    <w:p>
      <w:pPr>
        <w:pStyle w:val="90"/>
        <w:ind w:firstLine="482"/>
        <w:rPr>
          <w:rFonts w:hint="eastAsia"/>
          <w:b/>
        </w:rPr>
      </w:pPr>
    </w:p>
    <w:p>
      <w:pPr>
        <w:pStyle w:val="90"/>
        <w:ind w:firstLine="482"/>
        <w:rPr>
          <w:b/>
        </w:rPr>
      </w:pPr>
      <w:r>
        <w:rPr>
          <w:rFonts w:hint="eastAsia"/>
          <w:b/>
        </w:rPr>
        <w:t>（2）水污染物监测</w:t>
      </w:r>
    </w:p>
    <w:p>
      <w:pPr>
        <w:pStyle w:val="90"/>
        <w:ind w:firstLine="480"/>
      </w:pPr>
      <w:r>
        <w:rPr>
          <w:rFonts w:hint="eastAsia"/>
        </w:rPr>
        <w:t>监测点布设：生活污水管道排口、污水站污水排放口</w:t>
      </w:r>
    </w:p>
    <w:p>
      <w:pPr>
        <w:pStyle w:val="90"/>
        <w:ind w:firstLine="480"/>
        <w:rPr>
          <w:rFonts w:hint="default" w:eastAsia="宋体"/>
          <w:kern w:val="0"/>
          <w:szCs w:val="21"/>
          <w:lang w:val="en-US" w:eastAsia="zh-CN"/>
        </w:rPr>
      </w:pPr>
      <w:r>
        <w:rPr>
          <w:rFonts w:hint="eastAsia"/>
        </w:rPr>
        <w:t>监测项目：</w:t>
      </w:r>
      <w:r>
        <w:rPr>
          <w:rFonts w:hint="eastAsia"/>
          <w:highlight w:val="none"/>
        </w:rPr>
        <w:t>PH值</w:t>
      </w:r>
      <w:r>
        <w:rPr>
          <w:rFonts w:hint="eastAsia"/>
        </w:rPr>
        <w:t>、COD、</w:t>
      </w:r>
      <w:r>
        <w:rPr>
          <w:kern w:val="0"/>
          <w:szCs w:val="21"/>
        </w:rPr>
        <w:t>BOD</w:t>
      </w:r>
      <w:r>
        <w:rPr>
          <w:kern w:val="0"/>
          <w:szCs w:val="21"/>
          <w:vertAlign w:val="subscript"/>
        </w:rPr>
        <w:t>5</w:t>
      </w:r>
      <w:r>
        <w:rPr>
          <w:rFonts w:hint="eastAsia"/>
          <w:kern w:val="0"/>
          <w:szCs w:val="21"/>
        </w:rPr>
        <w:t>、NH</w:t>
      </w:r>
      <w:r>
        <w:rPr>
          <w:rFonts w:hint="eastAsia"/>
          <w:kern w:val="0"/>
          <w:szCs w:val="21"/>
          <w:vertAlign w:val="subscript"/>
        </w:rPr>
        <w:t>3</w:t>
      </w:r>
      <w:r>
        <w:rPr>
          <w:rFonts w:hint="eastAsia"/>
          <w:kern w:val="0"/>
          <w:szCs w:val="21"/>
        </w:rPr>
        <w:t>-N、SS</w:t>
      </w:r>
      <w:r>
        <w:rPr>
          <w:rFonts w:hint="eastAsia"/>
          <w:kern w:val="0"/>
          <w:szCs w:val="21"/>
          <w:lang w:eastAsia="zh-CN"/>
        </w:rPr>
        <w:t>、</w:t>
      </w:r>
      <w:r>
        <w:rPr>
          <w:rFonts w:hint="eastAsia"/>
          <w:kern w:val="0"/>
          <w:szCs w:val="21"/>
          <w:lang w:val="en-US" w:eastAsia="zh-CN"/>
        </w:rPr>
        <w:t>石油类、LAS</w:t>
      </w:r>
    </w:p>
    <w:p>
      <w:pPr>
        <w:pStyle w:val="90"/>
        <w:ind w:firstLine="480"/>
      </w:pPr>
      <w:r>
        <w:rPr>
          <w:rFonts w:hint="eastAsia"/>
        </w:rPr>
        <w:t>监测频次：事故初始加密监测，</w:t>
      </w:r>
      <w:r>
        <w:t>2-3</w:t>
      </w:r>
      <w:r>
        <w:rPr>
          <w:rFonts w:hint="eastAsia"/>
        </w:rPr>
        <w:t>次</w:t>
      </w:r>
      <w:r>
        <w:t>/</w:t>
      </w:r>
      <w:r>
        <w:rPr>
          <w:rFonts w:hint="eastAsia"/>
        </w:rPr>
        <w:t>天，随着污染物浓度的下降逐渐降低频次</w:t>
      </w:r>
    </w:p>
    <w:tbl>
      <w:tblPr>
        <w:tblStyle w:val="22"/>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15" w:type="dxa"/>
          <w:left w:w="15" w:type="dxa"/>
          <w:bottom w:w="15" w:type="dxa"/>
          <w:right w:w="15" w:type="dxa"/>
        </w:tblCellMar>
      </w:tblPr>
      <w:tblGrid>
        <w:gridCol w:w="1582"/>
        <w:gridCol w:w="2348"/>
        <w:gridCol w:w="2304"/>
        <w:gridCol w:w="229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927" w:type="pct"/>
            <w:tcBorders>
              <w:bottom w:val="single" w:color="auto" w:sz="12" w:space="0"/>
            </w:tcBorders>
            <w:vAlign w:val="center"/>
          </w:tcPr>
          <w:p>
            <w:pPr>
              <w:pStyle w:val="83"/>
              <w:rPr>
                <w:b/>
              </w:rPr>
            </w:pPr>
            <w:r>
              <w:rPr>
                <w:b/>
                <w:lang w:bidi="ar"/>
              </w:rPr>
              <w:t>监测项目</w:t>
            </w:r>
          </w:p>
        </w:tc>
        <w:tc>
          <w:tcPr>
            <w:tcW w:w="1376" w:type="pct"/>
            <w:tcBorders>
              <w:bottom w:val="single" w:color="auto" w:sz="12" w:space="0"/>
            </w:tcBorders>
            <w:vAlign w:val="center"/>
          </w:tcPr>
          <w:p>
            <w:pPr>
              <w:pStyle w:val="83"/>
              <w:rPr>
                <w:b/>
              </w:rPr>
            </w:pPr>
            <w:r>
              <w:rPr>
                <w:b/>
                <w:lang w:bidi="ar"/>
              </w:rPr>
              <w:t>执行标准</w:t>
            </w:r>
          </w:p>
        </w:tc>
        <w:tc>
          <w:tcPr>
            <w:tcW w:w="1350" w:type="pct"/>
            <w:tcBorders>
              <w:bottom w:val="single" w:color="auto" w:sz="12" w:space="0"/>
            </w:tcBorders>
            <w:vAlign w:val="center"/>
          </w:tcPr>
          <w:p>
            <w:pPr>
              <w:pStyle w:val="83"/>
              <w:rPr>
                <w:b/>
              </w:rPr>
            </w:pPr>
            <w:r>
              <w:rPr>
                <w:b/>
                <w:lang w:bidi="ar"/>
              </w:rPr>
              <w:t>监测方法</w:t>
            </w:r>
          </w:p>
        </w:tc>
        <w:tc>
          <w:tcPr>
            <w:tcW w:w="1345" w:type="pct"/>
            <w:tcBorders>
              <w:bottom w:val="single" w:color="auto" w:sz="12" w:space="0"/>
            </w:tcBorders>
            <w:vAlign w:val="center"/>
          </w:tcPr>
          <w:p>
            <w:pPr>
              <w:pStyle w:val="83"/>
              <w:rPr>
                <w:b/>
              </w:rPr>
            </w:pPr>
            <w:r>
              <w:rPr>
                <w:b/>
                <w:lang w:bidi="ar"/>
              </w:rPr>
              <w:t>方法来源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480" w:hRule="atLeast"/>
        </w:trPr>
        <w:tc>
          <w:tcPr>
            <w:tcW w:w="927" w:type="pct"/>
            <w:tcBorders>
              <w:top w:val="single" w:color="auto" w:sz="12" w:space="0"/>
              <w:tl2br w:val="nil"/>
              <w:tr2bl w:val="nil"/>
            </w:tcBorders>
            <w:vAlign w:val="center"/>
          </w:tcPr>
          <w:p>
            <w:pPr>
              <w:pStyle w:val="83"/>
            </w:pPr>
            <w:r>
              <w:rPr>
                <w:lang w:bidi="ar"/>
              </w:rPr>
              <w:t>COD</w:t>
            </w:r>
          </w:p>
        </w:tc>
        <w:tc>
          <w:tcPr>
            <w:tcW w:w="1376" w:type="pct"/>
            <w:vMerge w:val="restart"/>
            <w:tcBorders>
              <w:top w:val="single" w:color="auto" w:sz="12" w:space="0"/>
              <w:tl2br w:val="nil"/>
              <w:tr2bl w:val="nil"/>
            </w:tcBorders>
            <w:vAlign w:val="center"/>
          </w:tcPr>
          <w:p>
            <w:pPr>
              <w:pStyle w:val="83"/>
            </w:pPr>
            <w:r>
              <w:rPr>
                <w:rFonts w:hint="eastAsia"/>
              </w:rPr>
              <w:t>白水湖污水处理厂纳管标准</w:t>
            </w:r>
          </w:p>
        </w:tc>
        <w:tc>
          <w:tcPr>
            <w:tcW w:w="1350" w:type="pct"/>
            <w:tcBorders>
              <w:top w:val="single" w:color="auto" w:sz="12" w:space="0"/>
              <w:tl2br w:val="nil"/>
              <w:tr2bl w:val="nil"/>
            </w:tcBorders>
            <w:vAlign w:val="center"/>
          </w:tcPr>
          <w:p>
            <w:pPr>
              <w:pStyle w:val="83"/>
            </w:pPr>
            <w:r>
              <w:rPr>
                <w:lang w:bidi="ar"/>
              </w:rPr>
              <w:t>重铬酸盐法</w:t>
            </w:r>
          </w:p>
        </w:tc>
        <w:tc>
          <w:tcPr>
            <w:tcW w:w="1345" w:type="pct"/>
            <w:tcBorders>
              <w:top w:val="single" w:color="auto" w:sz="12" w:space="0"/>
              <w:tl2br w:val="nil"/>
              <w:tr2bl w:val="nil"/>
            </w:tcBorders>
            <w:vAlign w:val="center"/>
          </w:tcPr>
          <w:p>
            <w:pPr>
              <w:pStyle w:val="83"/>
            </w:pPr>
            <w:r>
              <w:rPr>
                <w:lang w:bidi="ar"/>
              </w:rPr>
              <w:t>HJ 828-2017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927" w:type="pct"/>
            <w:tcBorders>
              <w:tl2br w:val="nil"/>
              <w:tr2bl w:val="nil"/>
            </w:tcBorders>
            <w:vAlign w:val="center"/>
          </w:tcPr>
          <w:p>
            <w:pPr>
              <w:pStyle w:val="83"/>
            </w:pPr>
            <w:r>
              <w:t>BOD</w:t>
            </w:r>
            <w:r>
              <w:rPr>
                <w:vertAlign w:val="subscript"/>
              </w:rPr>
              <w:t>5</w:t>
            </w:r>
          </w:p>
        </w:tc>
        <w:tc>
          <w:tcPr>
            <w:tcW w:w="1376" w:type="pct"/>
            <w:vMerge w:val="continue"/>
            <w:tcBorders>
              <w:tl2br w:val="nil"/>
              <w:tr2bl w:val="nil"/>
            </w:tcBorders>
            <w:vAlign w:val="center"/>
          </w:tcPr>
          <w:p>
            <w:pPr>
              <w:pStyle w:val="83"/>
            </w:pPr>
          </w:p>
        </w:tc>
        <w:tc>
          <w:tcPr>
            <w:tcW w:w="1350" w:type="pct"/>
            <w:tcBorders>
              <w:tl2br w:val="nil"/>
              <w:tr2bl w:val="nil"/>
            </w:tcBorders>
            <w:vAlign w:val="center"/>
          </w:tcPr>
          <w:p>
            <w:pPr>
              <w:pStyle w:val="83"/>
            </w:pPr>
            <w:r>
              <w:rPr>
                <w:rFonts w:hint="eastAsia"/>
              </w:rPr>
              <w:t>稀释与接种法</w:t>
            </w:r>
          </w:p>
        </w:tc>
        <w:tc>
          <w:tcPr>
            <w:tcW w:w="1345" w:type="pct"/>
            <w:tcBorders>
              <w:tl2br w:val="nil"/>
              <w:tr2bl w:val="nil"/>
            </w:tcBorders>
            <w:vAlign w:val="center"/>
          </w:tcPr>
          <w:p>
            <w:pPr>
              <w:pStyle w:val="83"/>
            </w:pPr>
            <w:r>
              <w:rPr>
                <w:rFonts w:hint="eastAsia"/>
              </w:rPr>
              <w:t>HJ 505-2009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927" w:type="pct"/>
            <w:tcBorders>
              <w:tl2br w:val="nil"/>
              <w:tr2bl w:val="nil"/>
            </w:tcBorders>
            <w:vAlign w:val="center"/>
          </w:tcPr>
          <w:p>
            <w:pPr>
              <w:pStyle w:val="83"/>
            </w:pPr>
            <w:r>
              <w:rPr>
                <w:lang w:bidi="ar"/>
              </w:rPr>
              <w:t>SS</w:t>
            </w:r>
          </w:p>
        </w:tc>
        <w:tc>
          <w:tcPr>
            <w:tcW w:w="1376" w:type="pct"/>
            <w:vMerge w:val="continue"/>
            <w:tcBorders>
              <w:tl2br w:val="nil"/>
              <w:tr2bl w:val="nil"/>
            </w:tcBorders>
            <w:vAlign w:val="center"/>
          </w:tcPr>
          <w:p>
            <w:pPr>
              <w:pStyle w:val="83"/>
            </w:pPr>
          </w:p>
        </w:tc>
        <w:tc>
          <w:tcPr>
            <w:tcW w:w="1350" w:type="pct"/>
            <w:tcBorders>
              <w:tl2br w:val="nil"/>
              <w:tr2bl w:val="nil"/>
            </w:tcBorders>
            <w:vAlign w:val="center"/>
          </w:tcPr>
          <w:p>
            <w:pPr>
              <w:pStyle w:val="83"/>
            </w:pPr>
            <w:r>
              <w:rPr>
                <w:rFonts w:hint="eastAsia"/>
              </w:rPr>
              <w:t>重量法</w:t>
            </w:r>
          </w:p>
        </w:tc>
        <w:tc>
          <w:tcPr>
            <w:tcW w:w="1345" w:type="pct"/>
            <w:tcBorders>
              <w:tl2br w:val="nil"/>
              <w:tr2bl w:val="nil"/>
            </w:tcBorders>
            <w:vAlign w:val="center"/>
          </w:tcPr>
          <w:p>
            <w:pPr>
              <w:pStyle w:val="83"/>
            </w:pPr>
            <w:r>
              <w:rPr>
                <w:rFonts w:hint="eastAsia"/>
              </w:rPr>
              <w:t>GB/T11901-1989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927" w:type="pct"/>
            <w:tcBorders>
              <w:tl2br w:val="nil"/>
              <w:tr2bl w:val="nil"/>
            </w:tcBorders>
            <w:vAlign w:val="center"/>
          </w:tcPr>
          <w:p>
            <w:pPr>
              <w:pStyle w:val="83"/>
            </w:pPr>
            <w:r>
              <w:rPr>
                <w:lang w:bidi="ar"/>
              </w:rPr>
              <w:t>NH</w:t>
            </w:r>
            <w:r>
              <w:rPr>
                <w:vertAlign w:val="subscript"/>
                <w:lang w:bidi="ar"/>
              </w:rPr>
              <w:t>3</w:t>
            </w:r>
            <w:r>
              <w:rPr>
                <w:lang w:bidi="ar"/>
              </w:rPr>
              <w:t>-N</w:t>
            </w:r>
          </w:p>
        </w:tc>
        <w:tc>
          <w:tcPr>
            <w:tcW w:w="1376" w:type="pct"/>
            <w:vMerge w:val="continue"/>
            <w:tcBorders>
              <w:tl2br w:val="nil"/>
              <w:tr2bl w:val="nil"/>
            </w:tcBorders>
            <w:vAlign w:val="center"/>
          </w:tcPr>
          <w:p>
            <w:pPr>
              <w:pStyle w:val="83"/>
            </w:pPr>
          </w:p>
        </w:tc>
        <w:tc>
          <w:tcPr>
            <w:tcW w:w="1350" w:type="pct"/>
            <w:tcBorders>
              <w:tl2br w:val="nil"/>
              <w:tr2bl w:val="nil"/>
            </w:tcBorders>
            <w:vAlign w:val="center"/>
          </w:tcPr>
          <w:p>
            <w:pPr>
              <w:pStyle w:val="83"/>
            </w:pPr>
            <w:r>
              <w:rPr>
                <w:lang w:bidi="ar"/>
              </w:rPr>
              <w:t>纳氏试剂分光光度</w:t>
            </w:r>
          </w:p>
        </w:tc>
        <w:tc>
          <w:tcPr>
            <w:tcW w:w="1345" w:type="pct"/>
            <w:tcBorders>
              <w:tl2br w:val="nil"/>
              <w:tr2bl w:val="nil"/>
            </w:tcBorders>
            <w:vAlign w:val="center"/>
          </w:tcPr>
          <w:p>
            <w:pPr>
              <w:pStyle w:val="83"/>
            </w:pPr>
            <w:r>
              <w:rPr>
                <w:lang w:bidi="ar"/>
              </w:rPr>
              <w:t>HJ 535-2009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927" w:type="pct"/>
            <w:tcBorders>
              <w:tl2br w:val="nil"/>
              <w:tr2bl w:val="nil"/>
            </w:tcBorders>
            <w:vAlign w:val="center"/>
          </w:tcPr>
          <w:p>
            <w:pPr>
              <w:pStyle w:val="83"/>
              <w:rPr>
                <w:lang w:bidi="ar"/>
              </w:rPr>
            </w:pPr>
            <w:r>
              <w:rPr>
                <w:rFonts w:hint="eastAsia"/>
                <w:kern w:val="0"/>
                <w:szCs w:val="21"/>
                <w:lang w:val="en-US" w:eastAsia="zh-CN"/>
              </w:rPr>
              <w:t>石油类</w:t>
            </w:r>
          </w:p>
        </w:tc>
        <w:tc>
          <w:tcPr>
            <w:tcW w:w="1376" w:type="pct"/>
            <w:vMerge w:val="restart"/>
            <w:tcBorders>
              <w:tl2br w:val="nil"/>
              <w:tr2bl w:val="nil"/>
            </w:tcBorders>
            <w:vAlign w:val="center"/>
          </w:tcPr>
          <w:p>
            <w:pPr>
              <w:pStyle w:val="83"/>
              <w:rPr>
                <w:rFonts w:hint="default" w:eastAsia="宋体"/>
                <w:lang w:val="en-US" w:eastAsia="zh-CN"/>
              </w:rPr>
            </w:pPr>
            <w:r>
              <w:t>《</w:t>
            </w:r>
            <w:r>
              <w:rPr>
                <w:rFonts w:hint="eastAsia"/>
                <w:lang w:val="en-US" w:eastAsia="zh-CN"/>
              </w:rPr>
              <w:t>污水综合排放标准</w:t>
            </w:r>
            <w:r>
              <w:t>》</w:t>
            </w:r>
            <w:r>
              <w:rPr>
                <w:rFonts w:hint="eastAsia"/>
                <w:lang w:eastAsia="zh-CN"/>
              </w:rPr>
              <w:t>（</w:t>
            </w:r>
            <w:r>
              <w:rPr>
                <w:rFonts w:hint="eastAsia"/>
                <w:lang w:val="en-US" w:eastAsia="zh-CN"/>
              </w:rPr>
              <w:t>GB8978-1996</w:t>
            </w:r>
            <w:r>
              <w:rPr>
                <w:rFonts w:hint="eastAsia"/>
                <w:lang w:eastAsia="zh-CN"/>
              </w:rPr>
              <w:t>）</w:t>
            </w:r>
            <w:r>
              <w:rPr>
                <w:rFonts w:hint="eastAsia"/>
                <w:lang w:val="en-US" w:eastAsia="zh-CN"/>
              </w:rPr>
              <w:t>中一级标准</w:t>
            </w:r>
          </w:p>
        </w:tc>
        <w:tc>
          <w:tcPr>
            <w:tcW w:w="1350" w:type="pct"/>
            <w:tcBorders>
              <w:tl2br w:val="nil"/>
              <w:tr2bl w:val="nil"/>
            </w:tcBorders>
            <w:vAlign w:val="center"/>
          </w:tcPr>
          <w:p>
            <w:pPr>
              <w:pStyle w:val="83"/>
              <w:rPr>
                <w:rFonts w:hint="default" w:eastAsia="宋体"/>
                <w:lang w:val="en-US" w:eastAsia="zh-CN" w:bidi="ar"/>
              </w:rPr>
            </w:pPr>
            <w:r>
              <w:rPr>
                <w:rFonts w:hint="eastAsia"/>
                <w:lang w:val="en-US" w:eastAsia="zh-CN" w:bidi="ar"/>
              </w:rPr>
              <w:t>红外分光光度法</w:t>
            </w:r>
          </w:p>
        </w:tc>
        <w:tc>
          <w:tcPr>
            <w:tcW w:w="1345" w:type="pct"/>
            <w:tcBorders>
              <w:tl2br w:val="nil"/>
              <w:tr2bl w:val="nil"/>
            </w:tcBorders>
            <w:vAlign w:val="center"/>
          </w:tcPr>
          <w:p>
            <w:pPr>
              <w:pStyle w:val="83"/>
              <w:rPr>
                <w:rFonts w:hint="eastAsia" w:eastAsia="宋体"/>
                <w:lang w:eastAsia="zh-CN" w:bidi="ar"/>
              </w:rPr>
            </w:pPr>
            <w:r>
              <w:rPr>
                <w:lang w:bidi="ar"/>
              </w:rPr>
              <w:t xml:space="preserve">HJ </w:t>
            </w:r>
            <w:r>
              <w:rPr>
                <w:rFonts w:hint="eastAsia"/>
                <w:lang w:val="en-US" w:eastAsia="zh-CN" w:bidi="ar"/>
              </w:rPr>
              <w:t>637</w:t>
            </w:r>
            <w:r>
              <w:rPr>
                <w:lang w:bidi="ar"/>
              </w:rPr>
              <w:t>-201</w:t>
            </w:r>
            <w:r>
              <w:rPr>
                <w:rFonts w:hint="eastAsia"/>
                <w:lang w:val="en-US" w:eastAsia="zh-CN"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927" w:type="pct"/>
            <w:tcBorders>
              <w:tl2br w:val="nil"/>
              <w:tr2bl w:val="nil"/>
            </w:tcBorders>
            <w:vAlign w:val="center"/>
          </w:tcPr>
          <w:p>
            <w:pPr>
              <w:pStyle w:val="83"/>
              <w:rPr>
                <w:lang w:bidi="ar"/>
              </w:rPr>
            </w:pPr>
            <w:r>
              <w:rPr>
                <w:rFonts w:hint="eastAsia"/>
                <w:kern w:val="0"/>
                <w:szCs w:val="21"/>
                <w:lang w:val="en-US" w:eastAsia="zh-CN"/>
              </w:rPr>
              <w:t>LAS</w:t>
            </w:r>
          </w:p>
        </w:tc>
        <w:tc>
          <w:tcPr>
            <w:tcW w:w="1376" w:type="pct"/>
            <w:vMerge w:val="continue"/>
            <w:tcBorders>
              <w:tl2br w:val="nil"/>
              <w:tr2bl w:val="nil"/>
            </w:tcBorders>
            <w:vAlign w:val="center"/>
          </w:tcPr>
          <w:p>
            <w:pPr>
              <w:pStyle w:val="83"/>
            </w:pPr>
          </w:p>
        </w:tc>
        <w:tc>
          <w:tcPr>
            <w:tcW w:w="1350" w:type="pct"/>
            <w:tcBorders>
              <w:tl2br w:val="nil"/>
              <w:tr2bl w:val="nil"/>
            </w:tcBorders>
            <w:vAlign w:val="center"/>
          </w:tcPr>
          <w:p>
            <w:pPr>
              <w:pStyle w:val="83"/>
              <w:rPr>
                <w:rFonts w:hint="default" w:eastAsia="宋体"/>
                <w:lang w:val="en-US" w:eastAsia="zh-CN" w:bidi="ar"/>
              </w:rPr>
            </w:pPr>
            <w:r>
              <w:rPr>
                <w:rFonts w:hint="eastAsia"/>
                <w:lang w:val="en-US" w:eastAsia="zh-CN" w:bidi="ar"/>
              </w:rPr>
              <w:t>亚甲蓝分光光度法</w:t>
            </w:r>
          </w:p>
        </w:tc>
        <w:tc>
          <w:tcPr>
            <w:tcW w:w="1345" w:type="pct"/>
            <w:tcBorders>
              <w:tl2br w:val="nil"/>
              <w:tr2bl w:val="nil"/>
            </w:tcBorders>
            <w:vAlign w:val="center"/>
          </w:tcPr>
          <w:p>
            <w:pPr>
              <w:pStyle w:val="83"/>
              <w:rPr>
                <w:rFonts w:hint="default" w:eastAsia="宋体"/>
                <w:lang w:val="en-US" w:eastAsia="zh-CN" w:bidi="ar"/>
              </w:rPr>
            </w:pPr>
            <w:r>
              <w:rPr>
                <w:rFonts w:hint="eastAsia"/>
              </w:rPr>
              <w:t>GB</w:t>
            </w:r>
            <w:r>
              <w:rPr>
                <w:rFonts w:hint="eastAsia"/>
                <w:lang w:val="en-US" w:eastAsia="zh-CN"/>
              </w:rPr>
              <w:t>7494</w:t>
            </w:r>
            <w:r>
              <w:rPr>
                <w:rFonts w:hint="eastAsia"/>
              </w:rPr>
              <w:t>-</w:t>
            </w:r>
            <w:r>
              <w:rPr>
                <w:rFonts w:hint="eastAsia"/>
                <w:lang w:val="en-US" w:eastAsia="zh-CN"/>
              </w:rPr>
              <w:t>87</w:t>
            </w:r>
          </w:p>
        </w:tc>
      </w:tr>
    </w:tbl>
    <w:p>
      <w:pPr>
        <w:pStyle w:val="90"/>
        <w:ind w:firstLine="480"/>
      </w:pPr>
      <w:r>
        <w:t>2</w:t>
      </w:r>
      <w:r>
        <w:rPr>
          <w:rFonts w:hint="eastAsia"/>
        </w:rPr>
        <w:t>、任务下达、人员安排及准备工作</w:t>
      </w:r>
    </w:p>
    <w:p>
      <w:pPr>
        <w:pStyle w:val="90"/>
        <w:ind w:firstLine="480"/>
      </w:pPr>
      <w:r>
        <w:rPr>
          <w:rFonts w:hint="eastAsia"/>
        </w:rPr>
        <w:t>应急监测人员接到指令后，应立即做好应急监测各项准备工作，携仪器设备、采样器具、防护设备赶赴事故现场进行调查、监测和采样。实验室分析人员</w:t>
      </w:r>
      <w:r>
        <w:rPr>
          <w:rFonts w:hint="eastAsia"/>
          <w:highlight w:val="none"/>
          <w:lang w:val="en-US" w:eastAsia="zh-CN"/>
        </w:rPr>
        <w:t>做</w:t>
      </w:r>
      <w:r>
        <w:rPr>
          <w:rFonts w:hint="eastAsia"/>
          <w:highlight w:val="none"/>
        </w:rPr>
        <w:t>好</w:t>
      </w:r>
      <w:r>
        <w:rPr>
          <w:rFonts w:hint="eastAsia"/>
        </w:rPr>
        <w:t>分析准备，报告传达人员</w:t>
      </w:r>
      <w:r>
        <w:rPr>
          <w:rFonts w:hint="eastAsia"/>
          <w:highlight w:val="none"/>
          <w:lang w:val="en-US" w:eastAsia="zh-CN"/>
        </w:rPr>
        <w:t>做</w:t>
      </w:r>
      <w:r>
        <w:rPr>
          <w:rFonts w:hint="eastAsia"/>
          <w:highlight w:val="none"/>
        </w:rPr>
        <w:t>好</w:t>
      </w:r>
      <w:r>
        <w:rPr>
          <w:rFonts w:hint="eastAsia"/>
        </w:rPr>
        <w:t>资料收集。</w:t>
      </w:r>
    </w:p>
    <w:p>
      <w:pPr>
        <w:pStyle w:val="90"/>
        <w:ind w:firstLine="480"/>
      </w:pPr>
      <w:r>
        <w:t>3</w:t>
      </w:r>
      <w:r>
        <w:rPr>
          <w:rFonts w:hint="eastAsia"/>
        </w:rPr>
        <w:t>、现场采样及监测</w:t>
      </w:r>
    </w:p>
    <w:p>
      <w:pPr>
        <w:pStyle w:val="90"/>
        <w:ind w:firstLine="480"/>
      </w:pPr>
      <w:r>
        <w:rPr>
          <w:rFonts w:hint="eastAsia"/>
        </w:rPr>
        <w:t>现场监测人员接到应急监测任务通知后立即携带所需的仪器设备、采样器具、试剂、药剂、防护装备和所需的监测预案、标准、方法、规范等资料，赶赴事故现场进行调查、监测和采样。采样时服从现在指挥人员指挥，所采样品必须具有代表性。必要时穿戴防护用品。</w:t>
      </w:r>
    </w:p>
    <w:p>
      <w:pPr>
        <w:pStyle w:val="90"/>
        <w:ind w:firstLine="480"/>
      </w:pPr>
      <w:r>
        <w:t>4</w:t>
      </w:r>
      <w:r>
        <w:rPr>
          <w:rFonts w:hint="eastAsia"/>
        </w:rPr>
        <w:t>、现场情况报告制度</w:t>
      </w:r>
    </w:p>
    <w:p>
      <w:pPr>
        <w:pStyle w:val="90"/>
        <w:ind w:firstLine="464"/>
        <w:rPr>
          <w:spacing w:val="-4"/>
        </w:rPr>
      </w:pPr>
      <w:r>
        <w:rPr>
          <w:rFonts w:hint="eastAsia"/>
          <w:spacing w:val="-4"/>
        </w:rPr>
        <w:t>现场监测人员到达现场进行污染状况调查后，及时了解污染状况，听从现场指挥人员确定采样点，并建议是否增加监测点位、项目和频次，是否增加现场监测人员和仪器。对无法监测或不具备监测条件和能力的项目时，应向上一级部门报告，提请上级环境监测机构协调解决。</w:t>
      </w:r>
    </w:p>
    <w:p>
      <w:pPr>
        <w:pStyle w:val="90"/>
        <w:ind w:firstLine="480"/>
      </w:pPr>
      <w:r>
        <w:rPr>
          <w:rFonts w:hint="eastAsia"/>
        </w:rPr>
        <w:t>现场监测和分析数据需现场报告时，数据直接报告现场指挥人员。</w:t>
      </w:r>
    </w:p>
    <w:p>
      <w:pPr>
        <w:pStyle w:val="90"/>
        <w:ind w:firstLine="480"/>
      </w:pPr>
      <w:r>
        <w:t>5</w:t>
      </w:r>
      <w:r>
        <w:rPr>
          <w:rFonts w:hint="eastAsia"/>
        </w:rPr>
        <w:t>、样品的保存与运输</w:t>
      </w:r>
    </w:p>
    <w:p>
      <w:pPr>
        <w:pStyle w:val="90"/>
        <w:ind w:firstLine="480"/>
      </w:pPr>
      <w:r>
        <w:rPr>
          <w:rFonts w:hint="eastAsia"/>
        </w:rPr>
        <w:t>（</w:t>
      </w:r>
      <w:r>
        <w:t>1</w:t>
      </w:r>
      <w:r>
        <w:rPr>
          <w:rFonts w:hint="eastAsia"/>
        </w:rPr>
        <w:t>）在采样前根据样品性质、</w:t>
      </w:r>
      <w:r>
        <w:rPr>
          <w:rFonts w:hint="eastAsia"/>
          <w:lang w:val="en-US" w:eastAsia="zh-CN"/>
        </w:rPr>
        <w:t>成分</w:t>
      </w:r>
      <w:r>
        <w:rPr>
          <w:rFonts w:hint="eastAsia"/>
        </w:rPr>
        <w:t>和环境条件，根据水环境监测技术规范要求加入保存剂。</w:t>
      </w:r>
    </w:p>
    <w:p>
      <w:pPr>
        <w:pStyle w:val="90"/>
        <w:ind w:firstLine="480"/>
      </w:pPr>
      <w:r>
        <w:rPr>
          <w:rFonts w:hint="eastAsia"/>
        </w:rPr>
        <w:t>（</w:t>
      </w:r>
      <w:r>
        <w:t>2</w:t>
      </w:r>
      <w:r>
        <w:rPr>
          <w:rFonts w:hint="eastAsia"/>
        </w:rPr>
        <w:t>）在现场工作开始前确定好样品的运输方式以防延误分析时机。</w:t>
      </w:r>
    </w:p>
    <w:p>
      <w:pPr>
        <w:pStyle w:val="90"/>
        <w:ind w:firstLine="480"/>
      </w:pPr>
      <w:r>
        <w:rPr>
          <w:rFonts w:hint="eastAsia"/>
        </w:rPr>
        <w:t>（</w:t>
      </w:r>
      <w:r>
        <w:t>3</w:t>
      </w:r>
      <w:r>
        <w:rPr>
          <w:rFonts w:hint="eastAsia"/>
        </w:rPr>
        <w:t>）在运输前核实样品标签是否完整，所有样品是否全部装车，做好现场采样记录。</w:t>
      </w:r>
    </w:p>
    <w:p>
      <w:pPr>
        <w:pStyle w:val="90"/>
        <w:ind w:firstLine="480"/>
      </w:pPr>
      <w:r>
        <w:rPr>
          <w:rFonts w:hint="eastAsia"/>
        </w:rPr>
        <w:t>（</w:t>
      </w:r>
      <w:r>
        <w:t>4</w:t>
      </w:r>
      <w:r>
        <w:rPr>
          <w:rFonts w:hint="eastAsia"/>
        </w:rPr>
        <w:t>）样品运输必须由专人送达分析室，防止样品损坏或致污。移交样品时，应进行核对并办妥交接手续。</w:t>
      </w:r>
    </w:p>
    <w:p>
      <w:pPr>
        <w:pStyle w:val="90"/>
        <w:ind w:firstLine="480"/>
      </w:pPr>
      <w:r>
        <w:t>6</w:t>
      </w:r>
      <w:r>
        <w:rPr>
          <w:rFonts w:hint="eastAsia"/>
        </w:rPr>
        <w:t>、实验室分析</w:t>
      </w:r>
    </w:p>
    <w:p>
      <w:pPr>
        <w:pStyle w:val="90"/>
        <w:ind w:firstLine="480"/>
      </w:pPr>
      <w:r>
        <w:rPr>
          <w:rFonts w:hint="eastAsia"/>
        </w:rPr>
        <w:t>实验室分析人员接到分析样品后，及时、准确、快捷地完成样品分析，做好原始记录，提交分析报告。</w:t>
      </w:r>
    </w:p>
    <w:p>
      <w:pPr>
        <w:pStyle w:val="90"/>
        <w:ind w:firstLine="480"/>
      </w:pPr>
      <w:r>
        <w:t>7</w:t>
      </w:r>
      <w:r>
        <w:rPr>
          <w:rFonts w:hint="eastAsia"/>
        </w:rPr>
        <w:t>、报告编制与提交</w:t>
      </w:r>
    </w:p>
    <w:p>
      <w:pPr>
        <w:pStyle w:val="90"/>
        <w:ind w:firstLine="480"/>
      </w:pPr>
      <w:r>
        <w:rPr>
          <w:rFonts w:hint="eastAsia"/>
        </w:rPr>
        <w:t>分析人员要以最快的速度提交报告，审核后迅速交报告传达人员送至现在指挥部，同时按规定报上级有关部门。</w:t>
      </w:r>
    </w:p>
    <w:p>
      <w:pPr>
        <w:pStyle w:val="6"/>
        <w:bidi w:val="0"/>
      </w:pPr>
      <w:bookmarkStart w:id="613" w:name="_Toc3679"/>
      <w:bookmarkStart w:id="614" w:name="_Toc37600105"/>
      <w:bookmarkStart w:id="615" w:name="_Toc30425"/>
      <w:bookmarkStart w:id="616" w:name="_Toc11759"/>
      <w:r>
        <w:t xml:space="preserve">6.5.2 </w:t>
      </w:r>
      <w:r>
        <w:rPr>
          <w:rFonts w:hint="eastAsia"/>
        </w:rPr>
        <w:t>监测人员的防护措施</w:t>
      </w:r>
      <w:bookmarkEnd w:id="613"/>
      <w:bookmarkEnd w:id="614"/>
      <w:bookmarkEnd w:id="615"/>
      <w:bookmarkEnd w:id="616"/>
    </w:p>
    <w:p>
      <w:pPr>
        <w:pStyle w:val="90"/>
        <w:ind w:firstLine="480"/>
      </w:pPr>
      <w:r>
        <w:rPr>
          <w:rFonts w:hint="eastAsia"/>
        </w:rPr>
        <w:t>根据使用环境和防护对象的不同，个体防护措施分三级：</w:t>
      </w:r>
    </w:p>
    <w:p>
      <w:pPr>
        <w:pStyle w:val="90"/>
        <w:ind w:firstLine="482"/>
        <w:rPr>
          <w:b/>
        </w:rPr>
      </w:pPr>
      <w:r>
        <w:rPr>
          <w:rFonts w:hint="eastAsia"/>
          <w:b/>
        </w:rPr>
        <w:t>（</w:t>
      </w:r>
      <w:r>
        <w:rPr>
          <w:b/>
        </w:rPr>
        <w:t>1</w:t>
      </w:r>
      <w:r>
        <w:rPr>
          <w:rFonts w:hint="eastAsia"/>
          <w:b/>
        </w:rPr>
        <w:t>）一级防护。</w:t>
      </w:r>
    </w:p>
    <w:p>
      <w:pPr>
        <w:pStyle w:val="90"/>
        <w:ind w:firstLine="480"/>
      </w:pPr>
      <w:r>
        <w:rPr>
          <w:rFonts w:hint="eastAsia" w:ascii="宋体"/>
        </w:rPr>
        <w:t>①</w:t>
      </w:r>
      <w:r>
        <w:rPr>
          <w:rFonts w:hint="eastAsia"/>
        </w:rPr>
        <w:t>适用于进入有毒化学物品泄漏区内进行调查、采样的工作人员；对不明毒源的时间现场救援者。</w:t>
      </w:r>
    </w:p>
    <w:p>
      <w:pPr>
        <w:pStyle w:val="90"/>
        <w:ind w:firstLine="480"/>
      </w:pPr>
      <w:r>
        <w:rPr>
          <w:rFonts w:hint="eastAsia" w:ascii="宋体"/>
        </w:rPr>
        <w:t>②</w:t>
      </w:r>
      <w:r>
        <w:rPr>
          <w:rFonts w:hint="eastAsia"/>
        </w:rPr>
        <w:t>采用</w:t>
      </w:r>
      <w:r>
        <w:t>A</w:t>
      </w:r>
      <w:r>
        <w:rPr>
          <w:rFonts w:hint="eastAsia"/>
        </w:rPr>
        <w:t>级防护。工作人员须穿着全面罩正压式呼吸器或全封闭化学防护服，佩戴防护手套、防护靴和安全帽。</w:t>
      </w:r>
    </w:p>
    <w:p>
      <w:pPr>
        <w:pStyle w:val="90"/>
        <w:ind w:firstLine="482"/>
        <w:rPr>
          <w:b/>
        </w:rPr>
      </w:pPr>
      <w:r>
        <w:rPr>
          <w:rFonts w:hint="eastAsia"/>
          <w:b/>
        </w:rPr>
        <w:t>（</w:t>
      </w:r>
      <w:r>
        <w:rPr>
          <w:b/>
        </w:rPr>
        <w:t>2</w:t>
      </w:r>
      <w:r>
        <w:rPr>
          <w:rFonts w:hint="eastAsia"/>
          <w:b/>
        </w:rPr>
        <w:t>）二级防护。</w:t>
      </w:r>
    </w:p>
    <w:p>
      <w:pPr>
        <w:pStyle w:val="90"/>
        <w:ind w:firstLine="464"/>
        <w:rPr>
          <w:spacing w:val="-4"/>
        </w:rPr>
      </w:pPr>
      <w:r>
        <w:rPr>
          <w:rFonts w:hint="eastAsia" w:ascii="宋体"/>
          <w:spacing w:val="-4"/>
        </w:rPr>
        <w:t>①</w:t>
      </w:r>
      <w:r>
        <w:rPr>
          <w:rFonts w:hint="eastAsia"/>
          <w:spacing w:val="-4"/>
        </w:rPr>
        <w:t>适用于在有毒化学物品泄漏区域内或附近应急车辆中进行样品检测的工作人员和司机。</w:t>
      </w:r>
    </w:p>
    <w:p>
      <w:pPr>
        <w:pStyle w:val="90"/>
        <w:ind w:firstLine="480"/>
      </w:pPr>
      <w:r>
        <w:rPr>
          <w:rFonts w:hint="eastAsia" w:ascii="宋体"/>
        </w:rPr>
        <w:t>②</w:t>
      </w:r>
      <w:r>
        <w:rPr>
          <w:rFonts w:hint="eastAsia"/>
        </w:rPr>
        <w:t>采用</w:t>
      </w:r>
      <w:r>
        <w:t>B</w:t>
      </w:r>
      <w:r>
        <w:rPr>
          <w:rFonts w:hint="eastAsia"/>
        </w:rPr>
        <w:t>级防护。工作人员须穿着全面罩正压式呼吸器或头罩式化学防护服，佩戴防护手套，穿防护靴。</w:t>
      </w:r>
    </w:p>
    <w:p>
      <w:pPr>
        <w:pStyle w:val="90"/>
        <w:ind w:firstLine="482"/>
        <w:rPr>
          <w:b/>
        </w:rPr>
      </w:pPr>
      <w:r>
        <w:rPr>
          <w:rFonts w:hint="eastAsia"/>
          <w:b/>
        </w:rPr>
        <w:t>（</w:t>
      </w:r>
      <w:r>
        <w:rPr>
          <w:b/>
        </w:rPr>
        <w:t>3</w:t>
      </w:r>
      <w:r>
        <w:rPr>
          <w:rFonts w:hint="eastAsia"/>
          <w:b/>
        </w:rPr>
        <w:t>）三级防护。</w:t>
      </w:r>
    </w:p>
    <w:p>
      <w:pPr>
        <w:pStyle w:val="90"/>
        <w:ind w:firstLine="480"/>
      </w:pPr>
      <w:r>
        <w:rPr>
          <w:rFonts w:hint="eastAsia" w:ascii="宋体"/>
        </w:rPr>
        <w:t>①</w:t>
      </w:r>
      <w:r>
        <w:rPr>
          <w:rFonts w:hint="eastAsia"/>
        </w:rPr>
        <w:t>适用于在有毒化学物品泄漏区域外的指挥员和保障工作人员。</w:t>
      </w:r>
    </w:p>
    <w:p>
      <w:pPr>
        <w:pStyle w:val="90"/>
        <w:ind w:firstLine="480"/>
      </w:pPr>
      <w:r>
        <w:rPr>
          <w:rFonts w:hint="eastAsia" w:ascii="宋体"/>
        </w:rPr>
        <w:t>②</w:t>
      </w:r>
      <w:r>
        <w:rPr>
          <w:rFonts w:hint="eastAsia"/>
        </w:rPr>
        <w:t>采用</w:t>
      </w:r>
      <w:r>
        <w:t>C</w:t>
      </w:r>
      <w:r>
        <w:rPr>
          <w:rFonts w:hint="eastAsia"/>
        </w:rPr>
        <w:t>级防护。工作人员须佩戴空气过滤式呼吸防护用品，佩戴防护手套、穿防护靴。</w:t>
      </w:r>
    </w:p>
    <w:p>
      <w:pPr>
        <w:pStyle w:val="90"/>
        <w:ind w:firstLine="480"/>
        <w:rPr>
          <w:kern w:val="0"/>
        </w:rPr>
      </w:pPr>
      <w:r>
        <w:rPr>
          <w:rFonts w:hint="eastAsia"/>
        </w:rPr>
        <w:t>依据执行任务的不同，有的环境事故可能要求检测人员使用呼吸道防护器材或必须进行全身防护；有的则可能仅要求监测人员局部保护身体（如手、脚等）或全身防护。当应急监测人员对化学事故可能产生的危害程度有了明确的估计后，既可确定所采取的防护等级。</w:t>
      </w:r>
    </w:p>
    <w:p>
      <w:pPr>
        <w:pStyle w:val="5"/>
        <w:bidi w:val="0"/>
      </w:pPr>
      <w:bookmarkStart w:id="617" w:name="_Toc4716"/>
      <w:bookmarkStart w:id="618" w:name="_Toc18001"/>
      <w:bookmarkStart w:id="619" w:name="_Toc4267"/>
      <w:bookmarkStart w:id="620" w:name="_Toc22994"/>
      <w:bookmarkStart w:id="621" w:name="_Toc16229"/>
      <w:bookmarkStart w:id="622" w:name="_Toc11001_WPSOffice_Level1"/>
      <w:bookmarkStart w:id="623" w:name="_Toc37600106"/>
      <w:bookmarkStart w:id="624" w:name="_Toc8848"/>
      <w:r>
        <w:t xml:space="preserve">6.6 </w:t>
      </w:r>
      <w:r>
        <w:rPr>
          <w:rFonts w:hint="eastAsia"/>
        </w:rPr>
        <w:t>应急结束</w:t>
      </w:r>
      <w:bookmarkEnd w:id="617"/>
      <w:bookmarkEnd w:id="618"/>
      <w:bookmarkEnd w:id="619"/>
      <w:bookmarkEnd w:id="620"/>
      <w:bookmarkEnd w:id="621"/>
      <w:bookmarkEnd w:id="622"/>
      <w:bookmarkEnd w:id="623"/>
      <w:bookmarkEnd w:id="624"/>
    </w:p>
    <w:p>
      <w:pPr>
        <w:pStyle w:val="6"/>
        <w:bidi w:val="0"/>
      </w:pPr>
      <w:bookmarkStart w:id="625" w:name="_Toc37600107"/>
      <w:bookmarkStart w:id="626" w:name="_Toc7308"/>
      <w:bookmarkStart w:id="627" w:name="_Toc28206"/>
      <w:bookmarkStart w:id="628" w:name="_Toc20507"/>
      <w:r>
        <w:t xml:space="preserve">6.6.1 </w:t>
      </w:r>
      <w:r>
        <w:rPr>
          <w:rFonts w:hint="eastAsia"/>
        </w:rPr>
        <w:t>应急终止条件</w:t>
      </w:r>
      <w:bookmarkEnd w:id="625"/>
      <w:bookmarkEnd w:id="626"/>
      <w:bookmarkEnd w:id="627"/>
      <w:bookmarkEnd w:id="628"/>
    </w:p>
    <w:p>
      <w:pPr>
        <w:pStyle w:val="90"/>
        <w:ind w:firstLine="480"/>
      </w:pPr>
      <w:r>
        <w:rPr>
          <w:rFonts w:hint="eastAsia"/>
        </w:rPr>
        <w:t>符合下列条件之一的，即满足应急终止条件：</w:t>
      </w:r>
    </w:p>
    <w:p>
      <w:pPr>
        <w:pStyle w:val="90"/>
        <w:ind w:firstLine="480"/>
      </w:pPr>
      <w:r>
        <w:rPr>
          <w:rFonts w:hint="eastAsia"/>
        </w:rPr>
        <w:t>（</w:t>
      </w:r>
      <w:r>
        <w:t>1</w:t>
      </w:r>
      <w:r>
        <w:rPr>
          <w:rFonts w:hint="eastAsia"/>
        </w:rPr>
        <w:t>）火源已得到控制、扑灭，现场检查确认无残余火种、热源，无物料泄漏；</w:t>
      </w:r>
    </w:p>
    <w:p>
      <w:pPr>
        <w:pStyle w:val="90"/>
        <w:ind w:firstLine="480"/>
      </w:pPr>
      <w:r>
        <w:rPr>
          <w:rFonts w:hint="eastAsia"/>
        </w:rPr>
        <w:t>（</w:t>
      </w:r>
      <w:r>
        <w:t>2</w:t>
      </w:r>
      <w:r>
        <w:rPr>
          <w:rFonts w:hint="eastAsia"/>
        </w:rPr>
        <w:t>）受伤人员已得到有效的救治，失踪人员已确认查实；</w:t>
      </w:r>
    </w:p>
    <w:p>
      <w:pPr>
        <w:pStyle w:val="90"/>
        <w:ind w:firstLine="480"/>
      </w:pPr>
      <w:r>
        <w:rPr>
          <w:rFonts w:hint="eastAsia"/>
        </w:rPr>
        <w:t>（</w:t>
      </w:r>
      <w:r>
        <w:t>3</w:t>
      </w:r>
      <w:r>
        <w:rPr>
          <w:rFonts w:hint="eastAsia"/>
        </w:rPr>
        <w:t>）现场事故设备、设施、建筑已检查确认无危险隐患或可能发生次生危害；</w:t>
      </w:r>
    </w:p>
    <w:p>
      <w:pPr>
        <w:pStyle w:val="90"/>
        <w:ind w:firstLine="480"/>
      </w:pPr>
      <w:r>
        <w:rPr>
          <w:rFonts w:hint="eastAsia"/>
        </w:rPr>
        <w:t>（</w:t>
      </w:r>
      <w:r>
        <w:t>4</w:t>
      </w:r>
      <w:r>
        <w:rPr>
          <w:rFonts w:hint="eastAsia"/>
        </w:rPr>
        <w:t>）现场经检测无有毒有害气体。</w:t>
      </w:r>
    </w:p>
    <w:p>
      <w:pPr>
        <w:pStyle w:val="6"/>
        <w:bidi w:val="0"/>
      </w:pPr>
      <w:bookmarkStart w:id="629" w:name="_Toc23513"/>
      <w:bookmarkStart w:id="630" w:name="_Toc37600108"/>
      <w:bookmarkStart w:id="631" w:name="_Toc8664"/>
      <w:bookmarkStart w:id="632" w:name="_Toc16541"/>
      <w:r>
        <w:t xml:space="preserve">6.6.2 </w:t>
      </w:r>
      <w:r>
        <w:rPr>
          <w:rFonts w:hint="eastAsia"/>
        </w:rPr>
        <w:t>终止程序</w:t>
      </w:r>
      <w:bookmarkEnd w:id="629"/>
      <w:bookmarkEnd w:id="630"/>
      <w:bookmarkEnd w:id="631"/>
      <w:bookmarkEnd w:id="632"/>
    </w:p>
    <w:p>
      <w:pPr>
        <w:pStyle w:val="90"/>
        <w:ind w:firstLine="480"/>
      </w:pPr>
      <w:r>
        <w:rPr>
          <w:rFonts w:hint="eastAsia"/>
        </w:rPr>
        <w:t>事故现场班组负责人根据应急终止条件，做出解除三级预警后，报告应急指挥部；</w:t>
      </w:r>
    </w:p>
    <w:p>
      <w:pPr>
        <w:pStyle w:val="90"/>
        <w:ind w:firstLine="480"/>
      </w:pPr>
      <w:r>
        <w:rPr>
          <w:rFonts w:hint="eastAsia"/>
        </w:rPr>
        <w:t>应急指挥部在接到事故现场负责人关于解除应急预警后，派人到现场确认，根据应急终止条件，做出解除二级事故预警；</w:t>
      </w:r>
    </w:p>
    <w:p>
      <w:pPr>
        <w:pStyle w:val="90"/>
        <w:ind w:firstLine="480"/>
      </w:pPr>
      <w:r>
        <w:rPr>
          <w:rFonts w:hint="eastAsia"/>
        </w:rPr>
        <w:t>若</w:t>
      </w:r>
      <w:r>
        <w:rPr>
          <w:rFonts w:hint="eastAsia"/>
          <w:highlight w:val="none"/>
        </w:rPr>
        <w:t>涉及到</w:t>
      </w:r>
      <w:r>
        <w:rPr>
          <w:rFonts w:hint="eastAsia"/>
        </w:rPr>
        <w:t>周边社区和单位的疏散时，根据应急终止条件，由上级主管部门或地方政府部门做出解除一级事故预警，由总指挥通知周边单位负责人或社区负责人解除预警。</w:t>
      </w:r>
    </w:p>
    <w:p>
      <w:pPr>
        <w:pStyle w:val="6"/>
        <w:bidi w:val="0"/>
      </w:pPr>
      <w:bookmarkStart w:id="633" w:name="_Toc14234"/>
      <w:bookmarkStart w:id="634" w:name="_Toc6213"/>
      <w:bookmarkStart w:id="635" w:name="_Toc32731"/>
      <w:bookmarkStart w:id="636" w:name="_Toc37600109"/>
      <w:r>
        <w:t xml:space="preserve">6.6.3 </w:t>
      </w:r>
      <w:r>
        <w:rPr>
          <w:rFonts w:hint="eastAsia"/>
        </w:rPr>
        <w:t>应急终止后的行动</w:t>
      </w:r>
      <w:bookmarkEnd w:id="633"/>
      <w:bookmarkEnd w:id="634"/>
      <w:bookmarkEnd w:id="635"/>
      <w:bookmarkEnd w:id="636"/>
    </w:p>
    <w:p>
      <w:pPr>
        <w:pStyle w:val="90"/>
        <w:ind w:firstLine="480"/>
      </w:pPr>
      <w:r>
        <w:t>1</w:t>
      </w:r>
      <w:r>
        <w:rPr>
          <w:rFonts w:hint="eastAsia"/>
        </w:rPr>
        <w:t>．通知本单位相关部门、周边企业（或事业）单位、社区、社会关注区及人员事件危险已解除。</w:t>
      </w:r>
    </w:p>
    <w:p>
      <w:pPr>
        <w:pStyle w:val="90"/>
        <w:ind w:firstLine="480"/>
      </w:pPr>
      <w:r>
        <w:t>2.</w:t>
      </w:r>
      <w:r>
        <w:rPr>
          <w:rFonts w:hint="eastAsia"/>
        </w:rPr>
        <w:t>对现场暴露的工作人员、应急行动人员和受污染设备进行清洁净化。</w:t>
      </w:r>
    </w:p>
    <w:p>
      <w:pPr>
        <w:pStyle w:val="90"/>
        <w:ind w:firstLine="480"/>
      </w:pPr>
      <w:r>
        <w:t>3.</w:t>
      </w:r>
      <w:r>
        <w:rPr>
          <w:rFonts w:hint="eastAsia"/>
        </w:rPr>
        <w:t>应急指挥组配合有关部门查找事件原因，防止类似问题重复出现。</w:t>
      </w:r>
    </w:p>
    <w:p>
      <w:pPr>
        <w:pStyle w:val="90"/>
        <w:ind w:firstLine="480"/>
      </w:pPr>
      <w:r>
        <w:t>4.</w:t>
      </w:r>
      <w:r>
        <w:rPr>
          <w:rFonts w:hint="eastAsia"/>
        </w:rPr>
        <w:t>编制突发环境事件总结报告，于应急终止后上报。</w:t>
      </w:r>
    </w:p>
    <w:p>
      <w:pPr>
        <w:pStyle w:val="90"/>
        <w:ind w:firstLine="464"/>
        <w:rPr>
          <w:spacing w:val="-4"/>
        </w:rPr>
      </w:pPr>
      <w:r>
        <w:rPr>
          <w:spacing w:val="-4"/>
        </w:rPr>
        <w:t>5.</w:t>
      </w:r>
      <w:r>
        <w:rPr>
          <w:rFonts w:hint="eastAsia"/>
          <w:spacing w:val="-4"/>
        </w:rPr>
        <w:t>根据环境事件的类别，由相关专业主管部门组织对环境应急预案进行评估，并及时修订。</w:t>
      </w:r>
    </w:p>
    <w:p>
      <w:pPr>
        <w:pStyle w:val="90"/>
        <w:ind w:firstLine="480"/>
      </w:pPr>
      <w:r>
        <w:t>6.</w:t>
      </w:r>
      <w:r>
        <w:rPr>
          <w:rFonts w:hint="eastAsia"/>
        </w:rPr>
        <w:t>参加应急行动的部门分别组织、指导环境应急救援队伍维护、保养应急仪器设备，使之始终保持良好的技术状态。</w:t>
      </w:r>
    </w:p>
    <w:p>
      <w:pPr>
        <w:pStyle w:val="90"/>
        <w:ind w:firstLine="480"/>
      </w:pPr>
      <w:r>
        <w:t>7.</w:t>
      </w:r>
      <w:r>
        <w:rPr>
          <w:rFonts w:hint="eastAsia"/>
        </w:rPr>
        <w:t>对于由于本公司的环境事件而造成周边人员伤害的，统计伤害程度及范围，对其进行适当经济补偿。</w:t>
      </w:r>
    </w:p>
    <w:p>
      <w:pPr>
        <w:pStyle w:val="90"/>
        <w:ind w:firstLine="480"/>
      </w:pPr>
      <w:r>
        <w:t>8.</w:t>
      </w:r>
      <w:r>
        <w:rPr>
          <w:rFonts w:hint="eastAsia"/>
        </w:rPr>
        <w:t>根据事件调查结果，对公司现有的防范措施与应急预案做出评价，指出其有效性和不足之处，提出整改意见。</w:t>
      </w:r>
    </w:p>
    <w:p>
      <w:pPr>
        <w:pStyle w:val="90"/>
        <w:ind w:firstLine="480"/>
      </w:pPr>
      <w:r>
        <w:t>9.</w:t>
      </w:r>
      <w:r>
        <w:rPr>
          <w:rFonts w:hint="eastAsia"/>
          <w:highlight w:val="none"/>
          <w:lang w:val="en-US" w:eastAsia="zh-CN"/>
        </w:rPr>
        <w:t>作</w:t>
      </w:r>
      <w:r>
        <w:rPr>
          <w:rFonts w:hint="eastAsia"/>
          <w:highlight w:val="none"/>
        </w:rPr>
        <w:t>出</w:t>
      </w:r>
      <w:r>
        <w:rPr>
          <w:rFonts w:hint="eastAsia"/>
        </w:rPr>
        <w:t>污染危害评估报告，设置应急事件专门记录人员，建立档案和专门报告制度，设专门部门负责管理，并上报当地政府。</w:t>
      </w:r>
    </w:p>
    <w:p>
      <w:pPr>
        <w:pStyle w:val="71"/>
        <w:spacing w:beforeLines="0" w:afterLines="0"/>
        <w:outlineLvl w:val="9"/>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4"/>
        <w:bidi w:val="0"/>
      </w:pPr>
      <w:bookmarkStart w:id="637" w:name="_Toc16108"/>
      <w:bookmarkStart w:id="638" w:name="_Toc7489_WPSOffice_Level1"/>
      <w:bookmarkStart w:id="639" w:name="_Toc37600110"/>
      <w:bookmarkStart w:id="640" w:name="_Toc8175"/>
      <w:bookmarkStart w:id="641" w:name="_Toc32588"/>
      <w:bookmarkStart w:id="642" w:name="_Toc1951"/>
      <w:bookmarkStart w:id="643" w:name="_Toc23493"/>
      <w:bookmarkStart w:id="644" w:name="_Toc1858"/>
      <w:r>
        <w:t xml:space="preserve">7 </w:t>
      </w:r>
      <w:r>
        <w:rPr>
          <w:rFonts w:hint="eastAsia"/>
        </w:rPr>
        <w:t>后期处理</w:t>
      </w:r>
      <w:bookmarkEnd w:id="637"/>
      <w:bookmarkEnd w:id="638"/>
      <w:bookmarkEnd w:id="639"/>
      <w:bookmarkEnd w:id="640"/>
      <w:bookmarkEnd w:id="641"/>
      <w:bookmarkEnd w:id="642"/>
      <w:bookmarkEnd w:id="643"/>
      <w:bookmarkEnd w:id="644"/>
    </w:p>
    <w:p>
      <w:pPr>
        <w:pStyle w:val="5"/>
        <w:bidi w:val="0"/>
      </w:pPr>
      <w:bookmarkStart w:id="645" w:name="_Toc21611"/>
      <w:bookmarkStart w:id="646" w:name="_Toc7590"/>
      <w:bookmarkStart w:id="647" w:name="_Toc17389"/>
      <w:bookmarkStart w:id="648" w:name="_Toc23499"/>
      <w:bookmarkStart w:id="649" w:name="_Toc19981_WPSOffice_Level1"/>
      <w:bookmarkStart w:id="650" w:name="_Toc12193"/>
      <w:bookmarkStart w:id="651" w:name="_Toc24457"/>
      <w:bookmarkStart w:id="652" w:name="_Toc37600111"/>
      <w:r>
        <w:t xml:space="preserve">7.1 </w:t>
      </w:r>
      <w:r>
        <w:rPr>
          <w:rFonts w:hint="eastAsia"/>
        </w:rPr>
        <w:t>善后处置</w:t>
      </w:r>
      <w:bookmarkEnd w:id="645"/>
      <w:bookmarkEnd w:id="646"/>
      <w:bookmarkEnd w:id="647"/>
      <w:bookmarkEnd w:id="648"/>
      <w:bookmarkEnd w:id="649"/>
      <w:bookmarkEnd w:id="650"/>
      <w:bookmarkEnd w:id="651"/>
      <w:bookmarkEnd w:id="652"/>
    </w:p>
    <w:p>
      <w:pPr>
        <w:pStyle w:val="90"/>
        <w:ind w:firstLine="480"/>
      </w:pPr>
      <w:r>
        <w:rPr>
          <w:rFonts w:hint="eastAsia"/>
        </w:rPr>
        <w:t>财产损失由财务部进行统计，事故发生部门做好配合工作。发生人员伤亡的，由公司组织人员对受伤人员及家属进行安抚，商谈救治期间的费用问题。</w:t>
      </w:r>
    </w:p>
    <w:p>
      <w:pPr>
        <w:pStyle w:val="90"/>
        <w:ind w:firstLine="480"/>
      </w:pPr>
      <w:r>
        <w:rPr>
          <w:rFonts w:hint="eastAsia"/>
        </w:rPr>
        <w:t>后勤组负责灾后保险理赔工作。安全管理人员准备工伤认定材料，按照工伤上报程序进行上报。</w:t>
      </w:r>
    </w:p>
    <w:p>
      <w:pPr>
        <w:pStyle w:val="90"/>
        <w:ind w:firstLine="480"/>
      </w:pPr>
      <w:r>
        <w:rPr>
          <w:rFonts w:hint="eastAsia"/>
        </w:rPr>
        <w:t>上级主管部门或地方政府指导公司做好善后处置工作，包括伤亡救援人员、遇难人员补偿、亲属安置；受灾人员的安置；征用物资补偿，救援费用支付，灾后重建等事项。</w:t>
      </w:r>
    </w:p>
    <w:p>
      <w:pPr>
        <w:pStyle w:val="90"/>
        <w:ind w:firstLine="480"/>
        <w:rPr>
          <w:rFonts w:eastAsia="仿宋_GB2312"/>
        </w:rPr>
      </w:pPr>
      <w:r>
        <w:rPr>
          <w:rFonts w:hint="eastAsia"/>
        </w:rPr>
        <w:t>组织专家对突发环境事件中长期环境影响进行评估，对于事故造成的环境影响，公司跟踪监测，持续积极采取相应处理措施尽量减少事故对环境造成的影响</w:t>
      </w:r>
      <w:r>
        <w:rPr>
          <w:rFonts w:hint="eastAsia" w:eastAsia="仿宋_GB2312" w:cs="仿宋_GB2312"/>
        </w:rPr>
        <w:t>。</w:t>
      </w:r>
    </w:p>
    <w:p>
      <w:pPr>
        <w:pStyle w:val="5"/>
        <w:bidi w:val="0"/>
      </w:pPr>
      <w:bookmarkStart w:id="653" w:name="_Toc7053"/>
      <w:bookmarkStart w:id="654" w:name="_Toc12219"/>
      <w:bookmarkStart w:id="655" w:name="_Toc18350"/>
      <w:bookmarkStart w:id="656" w:name="_Toc18861_WPSOffice_Level1"/>
      <w:bookmarkStart w:id="657" w:name="_Toc37600112"/>
      <w:bookmarkStart w:id="658" w:name="_Toc15415"/>
      <w:bookmarkStart w:id="659" w:name="_Toc4128"/>
      <w:bookmarkStart w:id="660" w:name="_Toc73"/>
      <w:r>
        <w:t xml:space="preserve">7.2 </w:t>
      </w:r>
      <w:r>
        <w:rPr>
          <w:rFonts w:hint="eastAsia"/>
        </w:rPr>
        <w:t>现场保护</w:t>
      </w:r>
      <w:bookmarkEnd w:id="653"/>
      <w:bookmarkEnd w:id="654"/>
      <w:bookmarkEnd w:id="655"/>
      <w:bookmarkEnd w:id="656"/>
      <w:bookmarkEnd w:id="657"/>
      <w:bookmarkEnd w:id="658"/>
      <w:bookmarkEnd w:id="659"/>
      <w:bookmarkEnd w:id="660"/>
    </w:p>
    <w:p>
      <w:pPr>
        <w:pStyle w:val="90"/>
        <w:ind w:firstLine="480"/>
      </w:pPr>
      <w:r>
        <w:rPr>
          <w:rFonts w:hint="eastAsia"/>
        </w:rPr>
        <w:t>突发事件发生后，现场救援的同时必须保护好事故现场保护工作，迅速采取必要措施，抢救人员和财产。因抢救伤员、防止事故扩大以及疏通交通等原因需要移动现场物件时，应当尽可能做出标志、拍照、详细记录和绘制事故现场图，妥善保存现场重要痕迹、物证等。</w:t>
      </w:r>
    </w:p>
    <w:p>
      <w:pPr>
        <w:pStyle w:val="90"/>
        <w:ind w:firstLine="480"/>
      </w:pPr>
      <w:r>
        <w:rPr>
          <w:rFonts w:hint="eastAsia"/>
        </w:rPr>
        <w:t>抢险组人员到达现场后，采取的措施也不同。一般情况下，抢险组人员了解现场事故情况后要立即与应急指挥部取得联系，并根据事故的情节和现场态势，采取相应措施：</w:t>
      </w:r>
    </w:p>
    <w:p>
      <w:pPr>
        <w:pStyle w:val="90"/>
        <w:ind w:firstLine="480"/>
        <w:rPr>
          <w:shd w:val="clear" w:color="auto" w:fill="FFFFFF"/>
        </w:rPr>
      </w:pPr>
      <w:r>
        <w:rPr>
          <w:shd w:val="clear" w:color="auto" w:fill="FFFFFF"/>
        </w:rPr>
        <w:t>1</w:t>
      </w:r>
      <w:r>
        <w:rPr>
          <w:rFonts w:hint="eastAsia"/>
          <w:shd w:val="clear" w:color="auto" w:fill="FFFFFF"/>
        </w:rPr>
        <w:t>、划定好火场的保护范围，禁止无关人员进入火场，防止有关痕迹被破坏。</w:t>
      </w:r>
    </w:p>
    <w:p>
      <w:pPr>
        <w:pStyle w:val="90"/>
        <w:ind w:firstLine="480"/>
        <w:rPr>
          <w:shd w:val="clear" w:color="auto" w:fill="FFFFFF"/>
        </w:rPr>
      </w:pPr>
      <w:r>
        <w:rPr>
          <w:shd w:val="clear" w:color="auto" w:fill="FFFFFF"/>
        </w:rPr>
        <w:t>2</w:t>
      </w:r>
      <w:r>
        <w:rPr>
          <w:rFonts w:hint="eastAsia"/>
          <w:shd w:val="clear" w:color="auto" w:fill="FFFFFF"/>
        </w:rPr>
        <w:t>、在抢救人员、物资，灭火排险等救险工作中，应力求做到使原始现场少受破坏，变动的范围越小越好，若有必要变动物品位置时，要记清变更前后的准确特征，并如实及时向事故调查人员反映。</w:t>
      </w:r>
    </w:p>
    <w:p>
      <w:pPr>
        <w:pStyle w:val="90"/>
        <w:ind w:firstLine="480"/>
        <w:rPr>
          <w:shd w:val="clear" w:color="auto" w:fill="FFFFFF"/>
        </w:rPr>
      </w:pPr>
      <w:r>
        <w:rPr>
          <w:shd w:val="clear" w:color="auto" w:fill="FFFFFF"/>
        </w:rPr>
        <w:t>3</w:t>
      </w:r>
      <w:r>
        <w:rPr>
          <w:rFonts w:hint="eastAsia"/>
          <w:shd w:val="clear" w:color="auto" w:fill="FFFFFF"/>
        </w:rPr>
        <w:t>、</w:t>
      </w:r>
      <w:r>
        <w:rPr>
          <w:rFonts w:hint="eastAsia"/>
          <w:shd w:val="clear" w:color="auto" w:fill="FFFFFF"/>
          <w:lang w:val="en-US" w:eastAsia="zh-CN"/>
        </w:rPr>
        <w:t>撤销</w:t>
      </w:r>
      <w:r>
        <w:rPr>
          <w:rFonts w:hint="eastAsia"/>
          <w:shd w:val="clear" w:color="auto" w:fill="FFFFFF"/>
        </w:rPr>
        <w:t>现场保护、清扫火灾现场，必须征得总指挥的同意。</w:t>
      </w:r>
    </w:p>
    <w:p>
      <w:pPr>
        <w:pStyle w:val="90"/>
        <w:ind w:firstLine="480"/>
        <w:rPr>
          <w:shd w:val="clear" w:color="auto" w:fill="FFFFFF"/>
        </w:rPr>
      </w:pPr>
      <w:r>
        <w:rPr>
          <w:rFonts w:hint="eastAsia"/>
        </w:rPr>
        <w:t>在现场救援的同时尽可能保护好生产设备和贵重物品，维护现场秩序，做好事故现场保护工作，上报公司应急救援中心事故有关材料，做好善后处理工作。</w:t>
      </w:r>
    </w:p>
    <w:p>
      <w:pPr>
        <w:pStyle w:val="5"/>
        <w:bidi w:val="0"/>
      </w:pPr>
      <w:bookmarkStart w:id="661" w:name="_Toc3127"/>
      <w:bookmarkStart w:id="662" w:name="_Toc25427"/>
      <w:bookmarkStart w:id="663" w:name="_Toc32246_WPSOffice_Level1"/>
      <w:bookmarkStart w:id="664" w:name="_Toc13463"/>
      <w:bookmarkStart w:id="665" w:name="_Toc37600113"/>
      <w:bookmarkStart w:id="666" w:name="_Toc2768"/>
      <w:bookmarkStart w:id="667" w:name="_Toc22146"/>
      <w:bookmarkStart w:id="668" w:name="_Toc23829"/>
      <w:r>
        <w:t xml:space="preserve">7.3 </w:t>
      </w:r>
      <w:r>
        <w:rPr>
          <w:rFonts w:hint="eastAsia"/>
        </w:rPr>
        <w:t>现场净化方法</w:t>
      </w:r>
      <w:bookmarkEnd w:id="661"/>
      <w:bookmarkEnd w:id="662"/>
      <w:bookmarkEnd w:id="663"/>
      <w:bookmarkEnd w:id="664"/>
      <w:bookmarkEnd w:id="665"/>
      <w:bookmarkEnd w:id="666"/>
      <w:bookmarkEnd w:id="667"/>
      <w:bookmarkEnd w:id="668"/>
    </w:p>
    <w:p>
      <w:pPr>
        <w:pStyle w:val="90"/>
        <w:ind w:firstLine="480"/>
      </w:pPr>
      <w:r>
        <w:rPr>
          <w:rFonts w:hint="eastAsia"/>
        </w:rPr>
        <w:t>根据污染物质的类型与事件造成的影响程度提出相应的清洁净化和恢复方法。</w:t>
      </w:r>
    </w:p>
    <w:p>
      <w:pPr>
        <w:pStyle w:val="90"/>
        <w:ind w:firstLine="480"/>
      </w:pPr>
      <w:r>
        <w:rPr>
          <w:rFonts w:hint="eastAsia"/>
        </w:rPr>
        <w:t>清洁净化和恢复的方法通常有以下几种：</w:t>
      </w:r>
    </w:p>
    <w:p>
      <w:pPr>
        <w:pStyle w:val="90"/>
        <w:ind w:firstLine="480"/>
      </w:pPr>
      <w:r>
        <w:rPr>
          <w:rFonts w:hint="eastAsia"/>
        </w:rPr>
        <w:t>（</w:t>
      </w:r>
      <w:r>
        <w:t>1</w:t>
      </w:r>
      <w:r>
        <w:rPr>
          <w:rFonts w:hint="eastAsia"/>
        </w:rPr>
        <w:t>）稀释：用水、清洁剂、清洗液和稀释现场和环境中</w:t>
      </w:r>
      <w:r>
        <w:rPr>
          <w:rFonts w:hint="eastAsia"/>
          <w:highlight w:val="none"/>
        </w:rPr>
        <w:t>的污染</w:t>
      </w:r>
      <w:r>
        <w:rPr>
          <w:rFonts w:hint="eastAsia"/>
        </w:rPr>
        <w:t>物料。</w:t>
      </w:r>
    </w:p>
    <w:p>
      <w:pPr>
        <w:pStyle w:val="90"/>
        <w:ind w:firstLine="480"/>
      </w:pPr>
      <w:r>
        <w:rPr>
          <w:rFonts w:hint="eastAsia"/>
        </w:rPr>
        <w:t>（</w:t>
      </w:r>
      <w:r>
        <w:t>2</w:t>
      </w:r>
      <w:r>
        <w:rPr>
          <w:rFonts w:hint="eastAsia"/>
        </w:rPr>
        <w:t>）处理：对应急行动工作人员使用过的衣服、工具、设备进行处理。当应急人员从受污染区撤出时，他们的衣物或其他物品应集中储藏，作为危险废物处理。</w:t>
      </w:r>
    </w:p>
    <w:p>
      <w:pPr>
        <w:pStyle w:val="90"/>
        <w:ind w:firstLine="480"/>
      </w:pPr>
      <w:r>
        <w:rPr>
          <w:rFonts w:hint="eastAsia"/>
        </w:rPr>
        <w:t>（</w:t>
      </w:r>
      <w:r>
        <w:t>3</w:t>
      </w:r>
      <w:r>
        <w:rPr>
          <w:rFonts w:hint="eastAsia"/>
        </w:rPr>
        <w:t>）物理的去除：使用刷子或吸尘器除去一些颗粒性污染物。</w:t>
      </w:r>
    </w:p>
    <w:p>
      <w:pPr>
        <w:pStyle w:val="90"/>
        <w:ind w:firstLine="480"/>
      </w:pPr>
      <w:r>
        <w:rPr>
          <w:rFonts w:hint="eastAsia"/>
        </w:rPr>
        <w:t>（</w:t>
      </w:r>
      <w:r>
        <w:t>4</w:t>
      </w:r>
      <w:r>
        <w:rPr>
          <w:rFonts w:hint="eastAsia"/>
        </w:rPr>
        <w:t>）中和：中和一般不直接用于人体，一般可用苏打粉、碳酸氢钠、醋、漂白剂等用于衣服、设备和受污染环境的清洗。</w:t>
      </w:r>
    </w:p>
    <w:p>
      <w:pPr>
        <w:pStyle w:val="90"/>
        <w:ind w:firstLine="480"/>
      </w:pPr>
      <w:r>
        <w:rPr>
          <w:rFonts w:hint="eastAsia"/>
        </w:rPr>
        <w:t>（</w:t>
      </w:r>
      <w:r>
        <w:t>5</w:t>
      </w:r>
      <w:r>
        <w:rPr>
          <w:rFonts w:hint="eastAsia"/>
        </w:rPr>
        <w:t>）吸附：可用吸附剂吸收污染物，但吸附剂使用后要回收，处理。</w:t>
      </w:r>
    </w:p>
    <w:p>
      <w:pPr>
        <w:pStyle w:val="90"/>
        <w:ind w:firstLine="480"/>
      </w:pPr>
      <w:r>
        <w:rPr>
          <w:rFonts w:hint="eastAsia"/>
        </w:rPr>
        <w:t>（</w:t>
      </w:r>
      <w:r>
        <w:t>6</w:t>
      </w:r>
      <w:r>
        <w:rPr>
          <w:rFonts w:hint="eastAsia"/>
        </w:rPr>
        <w:t>）隔离：隔离需要全部隔离或把现场和受污染环境全部围起来以免污染扩散，污染物质要待以后处理。</w:t>
      </w:r>
    </w:p>
    <w:p>
      <w:pPr>
        <w:pStyle w:val="5"/>
        <w:bidi w:val="0"/>
      </w:pPr>
      <w:bookmarkStart w:id="669" w:name="_Toc470"/>
      <w:bookmarkStart w:id="670" w:name="_Toc37600114"/>
      <w:bookmarkStart w:id="671" w:name="_Toc14352_WPSOffice_Level1"/>
      <w:bookmarkStart w:id="672" w:name="_Toc2624"/>
      <w:bookmarkStart w:id="673" w:name="_Toc11586"/>
      <w:bookmarkStart w:id="674" w:name="_Toc18398"/>
      <w:bookmarkStart w:id="675" w:name="_Toc21059"/>
      <w:bookmarkStart w:id="676" w:name="_Toc3392"/>
      <w:r>
        <w:t xml:space="preserve">7.4 </w:t>
      </w:r>
      <w:r>
        <w:rPr>
          <w:rFonts w:hint="eastAsia"/>
        </w:rPr>
        <w:t>事故后生态恢复措施</w:t>
      </w:r>
      <w:bookmarkEnd w:id="669"/>
      <w:bookmarkEnd w:id="670"/>
      <w:bookmarkEnd w:id="671"/>
      <w:bookmarkEnd w:id="672"/>
      <w:bookmarkEnd w:id="673"/>
      <w:bookmarkEnd w:id="674"/>
      <w:bookmarkEnd w:id="675"/>
      <w:bookmarkEnd w:id="676"/>
    </w:p>
    <w:p>
      <w:pPr>
        <w:pStyle w:val="90"/>
        <w:ind w:firstLine="480"/>
      </w:pPr>
      <w:r>
        <w:rPr>
          <w:rFonts w:hint="eastAsia"/>
        </w:rPr>
        <w:t>对泄漏或水污染事故造成的地表植被破坏，组织进行植被恢复或采取绿化措施进行生态恢复。</w:t>
      </w:r>
    </w:p>
    <w:p>
      <w:pPr>
        <w:pStyle w:val="90"/>
        <w:ind w:firstLine="480"/>
      </w:pPr>
      <w:r>
        <w:rPr>
          <w:rFonts w:hint="eastAsia"/>
        </w:rPr>
        <w:t>对于水污染事故造成的</w:t>
      </w:r>
      <w:r>
        <w:t>柳津河</w:t>
      </w:r>
      <w:r>
        <w:rPr>
          <w:rFonts w:hint="eastAsia"/>
        </w:rPr>
        <w:t>生态破坏，应进行跟踪监测，监视水生生态恢复情况，并降低污染强度，促进生态恢复。</w:t>
      </w:r>
    </w:p>
    <w:p>
      <w:pPr>
        <w:pStyle w:val="5"/>
        <w:bidi w:val="0"/>
      </w:pPr>
      <w:bookmarkStart w:id="677" w:name="_Toc24461_WPSOffice_Level1"/>
      <w:bookmarkStart w:id="678" w:name="_Toc10573"/>
      <w:bookmarkStart w:id="679" w:name="_Toc387409164"/>
      <w:bookmarkStart w:id="680" w:name="_Toc5443"/>
      <w:bookmarkStart w:id="681" w:name="_Toc3184"/>
      <w:bookmarkStart w:id="682" w:name="_Toc4330"/>
      <w:bookmarkStart w:id="683" w:name="_Toc15543"/>
      <w:bookmarkStart w:id="684" w:name="_Toc390869095"/>
      <w:bookmarkStart w:id="685" w:name="_Toc391374718"/>
      <w:bookmarkStart w:id="686" w:name="_Toc28037"/>
      <w:bookmarkStart w:id="687" w:name="_Toc37600115"/>
      <w:bookmarkStart w:id="688" w:name="_Toc390868962"/>
      <w:r>
        <w:t xml:space="preserve">7.5 </w:t>
      </w:r>
      <w:r>
        <w:rPr>
          <w:rFonts w:hint="eastAsia"/>
        </w:rPr>
        <w:t>生产恢复</w:t>
      </w:r>
      <w:bookmarkEnd w:id="677"/>
      <w:bookmarkEnd w:id="678"/>
      <w:bookmarkEnd w:id="679"/>
      <w:bookmarkEnd w:id="680"/>
      <w:bookmarkEnd w:id="681"/>
      <w:bookmarkEnd w:id="682"/>
      <w:bookmarkEnd w:id="683"/>
      <w:bookmarkEnd w:id="684"/>
      <w:bookmarkEnd w:id="685"/>
      <w:bookmarkEnd w:id="686"/>
      <w:bookmarkEnd w:id="687"/>
      <w:bookmarkEnd w:id="688"/>
    </w:p>
    <w:p>
      <w:pPr>
        <w:pStyle w:val="90"/>
        <w:ind w:firstLine="480"/>
      </w:pPr>
      <w:r>
        <w:rPr>
          <w:rFonts w:hint="eastAsia" w:ascii="宋体"/>
        </w:rPr>
        <w:t>三</w:t>
      </w:r>
      <w:r>
        <w:rPr>
          <w:rFonts w:hint="eastAsia"/>
        </w:rPr>
        <w:t>级响应后的生产恢复工作由事故发生部门主导完成，</w:t>
      </w:r>
      <w:r>
        <w:rPr>
          <w:rFonts w:hint="eastAsia" w:ascii="宋体"/>
        </w:rPr>
        <w:t>一</w:t>
      </w:r>
      <w:r>
        <w:rPr>
          <w:rFonts w:hint="eastAsia"/>
        </w:rPr>
        <w:t>级和</w:t>
      </w:r>
      <w:r>
        <w:rPr>
          <w:rFonts w:hint="eastAsia" w:ascii="宋体"/>
        </w:rPr>
        <w:t>二</w:t>
      </w:r>
      <w:r>
        <w:rPr>
          <w:rFonts w:hint="eastAsia"/>
        </w:rPr>
        <w:t>级响应后的事故现场清理工作由公司总指挥主导完成。主要完成以下工作，方可恢复生产。</w:t>
      </w:r>
    </w:p>
    <w:p>
      <w:pPr>
        <w:pStyle w:val="90"/>
        <w:ind w:firstLine="480"/>
      </w:pPr>
      <w:r>
        <w:rPr>
          <w:rFonts w:hint="eastAsia"/>
        </w:rPr>
        <w:t>（</w:t>
      </w:r>
      <w:r>
        <w:t>1</w:t>
      </w:r>
      <w:r>
        <w:rPr>
          <w:rFonts w:hint="eastAsia"/>
        </w:rPr>
        <w:t>）转移、处理、贮存或以合适方式处置废弃材料。</w:t>
      </w:r>
    </w:p>
    <w:p>
      <w:pPr>
        <w:pStyle w:val="90"/>
        <w:ind w:firstLine="480"/>
      </w:pPr>
      <w:r>
        <w:rPr>
          <w:rFonts w:hint="eastAsia"/>
        </w:rPr>
        <w:t>（</w:t>
      </w:r>
      <w:r>
        <w:t>2</w:t>
      </w:r>
      <w:r>
        <w:rPr>
          <w:rFonts w:hint="eastAsia"/>
        </w:rPr>
        <w:t>）应急设备设施器材的消除污染、维护、更新等工作，足以应对下次紧急状态。</w:t>
      </w:r>
    </w:p>
    <w:p>
      <w:pPr>
        <w:pStyle w:val="90"/>
        <w:ind w:firstLine="480"/>
      </w:pPr>
      <w:r>
        <w:rPr>
          <w:rFonts w:hint="eastAsia"/>
        </w:rPr>
        <w:t>（</w:t>
      </w:r>
      <w:r>
        <w:t>3</w:t>
      </w:r>
      <w:r>
        <w:rPr>
          <w:rFonts w:hint="eastAsia"/>
        </w:rPr>
        <w:t>）维修或更换有关生产设备。</w:t>
      </w:r>
    </w:p>
    <w:p>
      <w:pPr>
        <w:pStyle w:val="90"/>
        <w:ind w:firstLine="480"/>
      </w:pPr>
      <w:r>
        <w:rPr>
          <w:rFonts w:hint="eastAsia"/>
        </w:rPr>
        <w:t>（</w:t>
      </w:r>
      <w:r>
        <w:t>4</w:t>
      </w:r>
      <w:r>
        <w:rPr>
          <w:rFonts w:hint="eastAsia"/>
        </w:rPr>
        <w:t>）清理或修复污染场地。</w:t>
      </w:r>
    </w:p>
    <w:p>
      <w:pPr>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4"/>
        <w:bidi w:val="0"/>
      </w:pPr>
      <w:bookmarkStart w:id="689" w:name="_Toc18564"/>
      <w:bookmarkStart w:id="690" w:name="_Toc27907"/>
      <w:bookmarkStart w:id="691" w:name="_Toc37600116"/>
      <w:bookmarkStart w:id="692" w:name="_Toc21991"/>
      <w:bookmarkStart w:id="693" w:name="_Toc6053_WPSOffice_Level1"/>
      <w:bookmarkStart w:id="694" w:name="_Toc570"/>
      <w:bookmarkStart w:id="695" w:name="_Toc26653"/>
      <w:bookmarkStart w:id="696" w:name="_Toc8377"/>
      <w:r>
        <w:t xml:space="preserve">8 </w:t>
      </w:r>
      <w:r>
        <w:rPr>
          <w:rFonts w:hint="eastAsia"/>
        </w:rPr>
        <w:t>应急保障措施</w:t>
      </w:r>
      <w:bookmarkEnd w:id="689"/>
      <w:bookmarkEnd w:id="690"/>
      <w:bookmarkEnd w:id="691"/>
      <w:bookmarkEnd w:id="692"/>
      <w:bookmarkEnd w:id="693"/>
      <w:bookmarkEnd w:id="694"/>
      <w:bookmarkEnd w:id="695"/>
      <w:bookmarkEnd w:id="696"/>
    </w:p>
    <w:p>
      <w:pPr>
        <w:pStyle w:val="5"/>
        <w:bidi w:val="0"/>
      </w:pPr>
      <w:bookmarkStart w:id="697" w:name="_Toc24255"/>
      <w:bookmarkStart w:id="698" w:name="_Toc8157"/>
      <w:bookmarkStart w:id="699" w:name="_Toc7765"/>
      <w:bookmarkStart w:id="700" w:name="_Toc37600117"/>
      <w:bookmarkStart w:id="701" w:name="_Toc28166"/>
      <w:bookmarkStart w:id="702" w:name="_Toc192"/>
      <w:bookmarkStart w:id="703" w:name="_Toc5091_WPSOffice_Level1"/>
      <w:bookmarkStart w:id="704" w:name="_Toc13826"/>
      <w:r>
        <w:t xml:space="preserve">8.1 </w:t>
      </w:r>
      <w:r>
        <w:rPr>
          <w:rFonts w:hint="eastAsia"/>
        </w:rPr>
        <w:t>通信与信息保障</w:t>
      </w:r>
      <w:bookmarkEnd w:id="697"/>
      <w:bookmarkEnd w:id="698"/>
      <w:bookmarkEnd w:id="699"/>
      <w:bookmarkEnd w:id="700"/>
      <w:bookmarkEnd w:id="701"/>
      <w:bookmarkEnd w:id="702"/>
      <w:bookmarkEnd w:id="703"/>
      <w:bookmarkEnd w:id="704"/>
    </w:p>
    <w:p>
      <w:pPr>
        <w:pStyle w:val="90"/>
        <w:ind w:firstLine="480"/>
        <w:rPr>
          <w:kern w:val="0"/>
        </w:rPr>
      </w:pPr>
      <w:r>
        <w:rPr>
          <w:rFonts w:hint="eastAsia"/>
        </w:rPr>
        <w:t>负有救援保证任务的部门、单位和个人，必须随时保证通信和信息的畅通，各种联络方式必须建立备用方案，建立应急救援机构和人员通讯录。通讯方式如有变更要及时通知预案维护和修订部门</w:t>
      </w:r>
      <w:r>
        <w:rPr>
          <w:rFonts w:hint="eastAsia"/>
          <w:kern w:val="0"/>
        </w:rPr>
        <w:t>。</w:t>
      </w:r>
    </w:p>
    <w:p>
      <w:pPr>
        <w:pStyle w:val="5"/>
        <w:bidi w:val="0"/>
      </w:pPr>
      <w:bookmarkStart w:id="705" w:name="_Toc13003"/>
      <w:bookmarkStart w:id="706" w:name="_Toc24842_WPSOffice_Level1"/>
      <w:bookmarkStart w:id="707" w:name="_Toc37600118"/>
      <w:bookmarkStart w:id="708" w:name="_Toc2287"/>
      <w:bookmarkStart w:id="709" w:name="_Toc15382"/>
      <w:bookmarkStart w:id="710" w:name="_Toc968"/>
      <w:bookmarkStart w:id="711" w:name="_Toc17152"/>
      <w:bookmarkStart w:id="712" w:name="_Toc21079"/>
      <w:r>
        <w:t xml:space="preserve">8.2 </w:t>
      </w:r>
      <w:r>
        <w:rPr>
          <w:rFonts w:hint="eastAsia"/>
        </w:rPr>
        <w:t>应急队伍保障</w:t>
      </w:r>
      <w:bookmarkEnd w:id="705"/>
      <w:bookmarkEnd w:id="706"/>
      <w:bookmarkEnd w:id="707"/>
      <w:bookmarkEnd w:id="708"/>
      <w:bookmarkEnd w:id="709"/>
      <w:bookmarkEnd w:id="710"/>
      <w:bookmarkEnd w:id="711"/>
      <w:bookmarkEnd w:id="712"/>
    </w:p>
    <w:p>
      <w:pPr>
        <w:pStyle w:val="90"/>
        <w:ind w:firstLine="480"/>
      </w:pPr>
      <w:r>
        <w:rPr>
          <w:rFonts w:hint="eastAsia"/>
        </w:rPr>
        <w:t>按照本预案规定成立应急组织体系，加强应急体系的日常管理、建设。对各专业应急人员定期开展培训、演练，全面提高应急队伍应急能力。</w:t>
      </w:r>
    </w:p>
    <w:p>
      <w:pPr>
        <w:pStyle w:val="90"/>
        <w:ind w:firstLine="480"/>
      </w:pPr>
      <w:r>
        <w:rPr>
          <w:rFonts w:hint="eastAsia"/>
          <w:kern w:val="0"/>
        </w:rPr>
        <w:t>充分掌握可利用的社会应急资源，建立联动协调机制，借用附近单位等各种社会救援力量参与应急救援工作。</w:t>
      </w:r>
      <w:r>
        <w:rPr>
          <w:rFonts w:hint="eastAsia"/>
        </w:rPr>
        <w:t>在事故时，周边单位能够给予公司运输、人员、救治以及救援部分物资等方面的帮助。同时也能够依据救援需要，提供其他相应支持。</w:t>
      </w:r>
    </w:p>
    <w:p>
      <w:pPr>
        <w:pStyle w:val="5"/>
        <w:bidi w:val="0"/>
      </w:pPr>
      <w:bookmarkStart w:id="713" w:name="_Toc29371"/>
      <w:bookmarkStart w:id="714" w:name="_Toc37600119"/>
      <w:bookmarkStart w:id="715" w:name="_Toc11509"/>
      <w:bookmarkStart w:id="716" w:name="_Toc25505"/>
      <w:bookmarkStart w:id="717" w:name="_Toc7057"/>
      <w:bookmarkStart w:id="718" w:name="_Toc22958"/>
      <w:bookmarkStart w:id="719" w:name="_Toc26018_WPSOffice_Level1"/>
      <w:bookmarkStart w:id="720" w:name="_Toc1823"/>
      <w:r>
        <w:t xml:space="preserve">8.3 </w:t>
      </w:r>
      <w:r>
        <w:rPr>
          <w:rFonts w:hint="eastAsia"/>
        </w:rPr>
        <w:t>应急设施与物资保障</w:t>
      </w:r>
      <w:bookmarkEnd w:id="713"/>
      <w:bookmarkEnd w:id="714"/>
      <w:bookmarkEnd w:id="715"/>
      <w:bookmarkEnd w:id="716"/>
      <w:bookmarkEnd w:id="717"/>
      <w:bookmarkEnd w:id="718"/>
      <w:bookmarkEnd w:id="719"/>
      <w:bookmarkEnd w:id="720"/>
    </w:p>
    <w:p>
      <w:pPr>
        <w:pStyle w:val="6"/>
        <w:bidi w:val="0"/>
      </w:pPr>
      <w:bookmarkStart w:id="721" w:name="_Toc11452"/>
      <w:bookmarkStart w:id="722" w:name="_Toc24721"/>
      <w:bookmarkStart w:id="723" w:name="_Toc376"/>
      <w:bookmarkStart w:id="724" w:name="_Toc37600120"/>
      <w:r>
        <w:t xml:space="preserve">8.3.1 </w:t>
      </w:r>
      <w:r>
        <w:rPr>
          <w:rFonts w:hint="eastAsia"/>
        </w:rPr>
        <w:t>环保设施</w:t>
      </w:r>
      <w:bookmarkEnd w:id="721"/>
      <w:bookmarkEnd w:id="722"/>
      <w:bookmarkEnd w:id="723"/>
      <w:bookmarkEnd w:id="724"/>
    </w:p>
    <w:p>
      <w:pPr>
        <w:pStyle w:val="90"/>
        <w:ind w:firstLine="480"/>
        <w:rPr>
          <w:rFonts w:hint="eastAsia"/>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bookmarkStart w:id="725" w:name="_Toc32139"/>
      <w:bookmarkStart w:id="726" w:name="_Toc9878"/>
      <w:bookmarkStart w:id="727" w:name="_Toc14553"/>
      <w:r>
        <w:rPr>
          <w:rFonts w:hint="eastAsia"/>
        </w:rPr>
        <w:t>危险废物统一收集至危险废物储存间，交由有危险废物经营许可证的单位处理。公司危险废物储存间已设置防雨、防渗等设施。</w:t>
      </w:r>
      <w:bookmarkEnd w:id="725"/>
      <w:bookmarkEnd w:id="726"/>
      <w:bookmarkEnd w:id="727"/>
    </w:p>
    <w:p>
      <w:pPr>
        <w:pStyle w:val="6"/>
        <w:bidi w:val="0"/>
      </w:pPr>
      <w:bookmarkStart w:id="728" w:name="_Toc37600121"/>
      <w:bookmarkStart w:id="729" w:name="_Toc25498"/>
      <w:bookmarkStart w:id="730" w:name="_Toc25821"/>
      <w:bookmarkStart w:id="731" w:name="_Toc26073"/>
      <w:r>
        <w:t xml:space="preserve">8.3.2 </w:t>
      </w:r>
      <w:r>
        <w:rPr>
          <w:rFonts w:hint="eastAsia"/>
        </w:rPr>
        <w:t>应急设施</w:t>
      </w:r>
      <w:bookmarkEnd w:id="728"/>
      <w:bookmarkEnd w:id="729"/>
      <w:bookmarkEnd w:id="730"/>
      <w:bookmarkEnd w:id="731"/>
    </w:p>
    <w:p>
      <w:pPr>
        <w:pStyle w:val="90"/>
        <w:ind w:firstLine="480"/>
      </w:pPr>
      <w:bookmarkStart w:id="732" w:name="_Toc13715"/>
      <w:bookmarkStart w:id="733" w:name="_Toc12319"/>
      <w:bookmarkStart w:id="734" w:name="_Toc11673"/>
      <w:bookmarkStart w:id="735" w:name="_Toc26614"/>
      <w:bookmarkStart w:id="736" w:name="_Toc21584"/>
      <w:r>
        <w:rPr>
          <w:rFonts w:hint="eastAsia"/>
        </w:rPr>
        <w:t>本公司应急物资装备见表</w:t>
      </w:r>
      <w:r>
        <w:t>8.3</w:t>
      </w:r>
      <w:r>
        <w:rPr>
          <w:rFonts w:hint="eastAsia"/>
          <w:lang w:val="en-US" w:eastAsia="zh-CN"/>
        </w:rPr>
        <w:t>.2</w:t>
      </w:r>
      <w:r>
        <w:t>-1</w:t>
      </w:r>
      <w:r>
        <w:rPr>
          <w:rFonts w:hint="eastAsia"/>
        </w:rPr>
        <w:t>。</w:t>
      </w:r>
      <w:bookmarkEnd w:id="732"/>
      <w:bookmarkEnd w:id="733"/>
      <w:bookmarkEnd w:id="734"/>
      <w:bookmarkEnd w:id="735"/>
      <w:bookmarkEnd w:id="736"/>
    </w:p>
    <w:p>
      <w:pPr>
        <w:pStyle w:val="82"/>
        <w:spacing w:before="163"/>
      </w:pPr>
      <w:r>
        <w:t>表</w:t>
      </w:r>
      <w:r>
        <w:rPr>
          <w:rFonts w:hint="eastAsia"/>
        </w:rPr>
        <w:t>8</w:t>
      </w:r>
      <w:r>
        <w:t>.3</w:t>
      </w:r>
      <w:r>
        <w:rPr>
          <w:rFonts w:hint="eastAsia"/>
          <w:lang w:val="en-US" w:eastAsia="zh-CN"/>
        </w:rPr>
        <w:t>.2</w:t>
      </w:r>
      <w:r>
        <w:t>-1 应急物资及待补充物资一览表</w:t>
      </w:r>
    </w:p>
    <w:tbl>
      <w:tblPr>
        <w:tblStyle w:val="22"/>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0" w:type="dxa"/>
          <w:bottom w:w="0" w:type="dxa"/>
          <w:right w:w="0" w:type="dxa"/>
        </w:tblCellMar>
      </w:tblPr>
      <w:tblGrid>
        <w:gridCol w:w="1131"/>
        <w:gridCol w:w="2301"/>
        <w:gridCol w:w="2136"/>
        <w:gridCol w:w="1820"/>
        <w:gridCol w:w="111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tcBorders>
              <w:bottom w:val="single" w:color="auto" w:sz="12" w:space="0"/>
            </w:tcBorders>
            <w:vAlign w:val="center"/>
          </w:tcPr>
          <w:p>
            <w:pPr>
              <w:pStyle w:val="83"/>
              <w:rPr>
                <w:b/>
              </w:rPr>
            </w:pPr>
            <w:r>
              <w:rPr>
                <w:b/>
              </w:rPr>
              <w:t>类型</w:t>
            </w:r>
          </w:p>
        </w:tc>
        <w:tc>
          <w:tcPr>
            <w:tcW w:w="1353" w:type="pct"/>
            <w:tcBorders>
              <w:bottom w:val="single" w:color="auto" w:sz="12" w:space="0"/>
            </w:tcBorders>
            <w:vAlign w:val="center"/>
          </w:tcPr>
          <w:p>
            <w:pPr>
              <w:pStyle w:val="83"/>
              <w:rPr>
                <w:b/>
              </w:rPr>
            </w:pPr>
            <w:r>
              <w:rPr>
                <w:b/>
              </w:rPr>
              <w:t>名称（参考）</w:t>
            </w:r>
          </w:p>
        </w:tc>
        <w:tc>
          <w:tcPr>
            <w:tcW w:w="1256" w:type="pct"/>
            <w:tcBorders>
              <w:bottom w:val="single" w:color="auto" w:sz="12" w:space="0"/>
            </w:tcBorders>
            <w:vAlign w:val="center"/>
          </w:tcPr>
          <w:p>
            <w:pPr>
              <w:pStyle w:val="83"/>
              <w:rPr>
                <w:b/>
              </w:rPr>
            </w:pPr>
            <w:r>
              <w:rPr>
                <w:b/>
              </w:rPr>
              <w:t>数量</w:t>
            </w:r>
          </w:p>
        </w:tc>
        <w:tc>
          <w:tcPr>
            <w:tcW w:w="1070" w:type="pct"/>
            <w:tcBorders>
              <w:bottom w:val="single" w:color="auto" w:sz="12" w:space="0"/>
            </w:tcBorders>
            <w:vAlign w:val="center"/>
          </w:tcPr>
          <w:p>
            <w:pPr>
              <w:pStyle w:val="83"/>
              <w:rPr>
                <w:b/>
              </w:rPr>
            </w:pPr>
            <w:r>
              <w:rPr>
                <w:b/>
              </w:rPr>
              <w:t>位置</w:t>
            </w:r>
          </w:p>
        </w:tc>
        <w:tc>
          <w:tcPr>
            <w:tcW w:w="654" w:type="pct"/>
            <w:tcBorders>
              <w:bottom w:val="single" w:color="auto" w:sz="12" w:space="0"/>
            </w:tcBorders>
            <w:vAlign w:val="center"/>
          </w:tcPr>
          <w:p>
            <w:pPr>
              <w:pStyle w:val="83"/>
              <w:rPr>
                <w:b/>
              </w:rPr>
            </w:pPr>
            <w:r>
              <w:rPr>
                <w:b/>
              </w:rPr>
              <w:t>配置情况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tcBorders>
              <w:top w:val="single" w:color="auto" w:sz="12" w:space="0"/>
              <w:tl2br w:val="nil"/>
              <w:tr2bl w:val="nil"/>
            </w:tcBorders>
            <w:vAlign w:val="center"/>
          </w:tcPr>
          <w:p>
            <w:pPr>
              <w:pStyle w:val="83"/>
              <w:rPr>
                <w:bCs/>
              </w:rPr>
            </w:pPr>
            <w:r>
              <w:rPr>
                <w:bCs/>
              </w:rPr>
              <w:t>消防设施</w:t>
            </w:r>
          </w:p>
        </w:tc>
        <w:tc>
          <w:tcPr>
            <w:tcW w:w="1353" w:type="pct"/>
            <w:tcBorders>
              <w:top w:val="single" w:color="auto" w:sz="12" w:space="0"/>
              <w:tl2br w:val="nil"/>
              <w:tr2bl w:val="nil"/>
            </w:tcBorders>
            <w:vAlign w:val="center"/>
          </w:tcPr>
          <w:p>
            <w:pPr>
              <w:pStyle w:val="83"/>
              <w:rPr>
                <w:bCs/>
              </w:rPr>
            </w:pPr>
            <w:r>
              <w:rPr>
                <w:rFonts w:hint="eastAsia"/>
                <w:bCs/>
              </w:rPr>
              <w:t>消火栓</w:t>
            </w:r>
          </w:p>
        </w:tc>
        <w:tc>
          <w:tcPr>
            <w:tcW w:w="1256" w:type="pct"/>
            <w:tcBorders>
              <w:top w:val="single" w:color="auto" w:sz="12" w:space="0"/>
              <w:tl2br w:val="nil"/>
              <w:tr2bl w:val="nil"/>
            </w:tcBorders>
            <w:vAlign w:val="center"/>
          </w:tcPr>
          <w:p>
            <w:pPr>
              <w:pStyle w:val="83"/>
              <w:rPr>
                <w:bCs/>
              </w:rPr>
            </w:pPr>
            <w:r>
              <w:rPr>
                <w:rFonts w:hint="eastAsia"/>
                <w:bCs/>
              </w:rPr>
              <w:t>7</w:t>
            </w:r>
          </w:p>
        </w:tc>
        <w:tc>
          <w:tcPr>
            <w:tcW w:w="1070" w:type="pct"/>
            <w:tcBorders>
              <w:top w:val="single" w:color="auto" w:sz="12" w:space="0"/>
              <w:tl2br w:val="nil"/>
              <w:tr2bl w:val="nil"/>
            </w:tcBorders>
            <w:vAlign w:val="center"/>
          </w:tcPr>
          <w:p>
            <w:pPr>
              <w:pStyle w:val="83"/>
              <w:rPr>
                <w:bCs/>
              </w:rPr>
            </w:pPr>
            <w:r>
              <w:rPr>
                <w:bCs/>
              </w:rPr>
              <w:t>生产车间</w:t>
            </w:r>
          </w:p>
        </w:tc>
        <w:tc>
          <w:tcPr>
            <w:tcW w:w="654" w:type="pct"/>
            <w:tcBorders>
              <w:top w:val="single" w:color="auto" w:sz="12" w:space="0"/>
              <w:tl2br w:val="nil"/>
              <w:tr2bl w:val="nil"/>
            </w:tcBorders>
            <w:vAlign w:val="center"/>
          </w:tcPr>
          <w:p>
            <w:pPr>
              <w:pStyle w:val="83"/>
              <w:rPr>
                <w:bCs/>
              </w:rPr>
            </w:pPr>
            <w:r>
              <w:rPr>
                <w:bCs/>
              </w:rPr>
              <w:t>配置到位</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tcBorders>
              <w:tl2br w:val="nil"/>
              <w:tr2bl w:val="nil"/>
            </w:tcBorders>
            <w:vAlign w:val="center"/>
          </w:tcPr>
          <w:p>
            <w:pPr>
              <w:pStyle w:val="83"/>
              <w:rPr>
                <w:bCs/>
              </w:rPr>
            </w:pPr>
            <w:r>
              <w:rPr>
                <w:bCs/>
              </w:rPr>
              <w:t>消防设施</w:t>
            </w:r>
          </w:p>
        </w:tc>
        <w:tc>
          <w:tcPr>
            <w:tcW w:w="1353" w:type="pct"/>
            <w:tcBorders>
              <w:tl2br w:val="nil"/>
              <w:tr2bl w:val="nil"/>
            </w:tcBorders>
            <w:vAlign w:val="center"/>
          </w:tcPr>
          <w:p>
            <w:pPr>
              <w:pStyle w:val="83"/>
              <w:rPr>
                <w:bCs/>
              </w:rPr>
            </w:pPr>
            <w:r>
              <w:rPr>
                <w:rFonts w:hint="eastAsia"/>
                <w:bCs/>
              </w:rPr>
              <w:t>消火栓</w:t>
            </w:r>
          </w:p>
        </w:tc>
        <w:tc>
          <w:tcPr>
            <w:tcW w:w="1256" w:type="pct"/>
            <w:tcBorders>
              <w:tl2br w:val="nil"/>
              <w:tr2bl w:val="nil"/>
            </w:tcBorders>
            <w:vAlign w:val="center"/>
          </w:tcPr>
          <w:p>
            <w:pPr>
              <w:pStyle w:val="83"/>
              <w:rPr>
                <w:bCs/>
              </w:rPr>
            </w:pPr>
            <w:r>
              <w:rPr>
                <w:rFonts w:hint="eastAsia"/>
                <w:bCs/>
              </w:rPr>
              <w:t>6</w:t>
            </w:r>
          </w:p>
        </w:tc>
        <w:tc>
          <w:tcPr>
            <w:tcW w:w="1070" w:type="pct"/>
            <w:tcBorders>
              <w:tl2br w:val="nil"/>
              <w:tr2bl w:val="nil"/>
            </w:tcBorders>
            <w:vAlign w:val="center"/>
          </w:tcPr>
          <w:p>
            <w:pPr>
              <w:pStyle w:val="83"/>
              <w:rPr>
                <w:bCs/>
              </w:rPr>
            </w:pPr>
            <w:r>
              <w:rPr>
                <w:bCs/>
              </w:rPr>
              <w:t>办公区域</w:t>
            </w:r>
          </w:p>
        </w:tc>
        <w:tc>
          <w:tcPr>
            <w:tcW w:w="654" w:type="pct"/>
            <w:tcBorders>
              <w:tl2br w:val="nil"/>
              <w:tr2bl w:val="nil"/>
            </w:tcBorders>
            <w:vAlign w:val="center"/>
          </w:tcPr>
          <w:p>
            <w:pPr>
              <w:pStyle w:val="83"/>
              <w:rPr>
                <w:bCs/>
              </w:rPr>
            </w:pPr>
            <w:r>
              <w:rPr>
                <w:bCs/>
              </w:rPr>
              <w:t>配置到位</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tcBorders>
              <w:tl2br w:val="nil"/>
              <w:tr2bl w:val="nil"/>
            </w:tcBorders>
            <w:vAlign w:val="center"/>
          </w:tcPr>
          <w:p>
            <w:pPr>
              <w:pStyle w:val="83"/>
              <w:rPr>
                <w:bCs/>
              </w:rPr>
            </w:pPr>
            <w:r>
              <w:rPr>
                <w:bCs/>
              </w:rPr>
              <w:t>消防设施</w:t>
            </w:r>
          </w:p>
        </w:tc>
        <w:tc>
          <w:tcPr>
            <w:tcW w:w="1353" w:type="pct"/>
            <w:tcBorders>
              <w:tl2br w:val="nil"/>
              <w:tr2bl w:val="nil"/>
            </w:tcBorders>
            <w:vAlign w:val="center"/>
          </w:tcPr>
          <w:p>
            <w:pPr>
              <w:pStyle w:val="83"/>
              <w:rPr>
                <w:bCs/>
              </w:rPr>
            </w:pPr>
            <w:r>
              <w:rPr>
                <w:bCs/>
              </w:rPr>
              <w:t>灭火器</w:t>
            </w:r>
          </w:p>
        </w:tc>
        <w:tc>
          <w:tcPr>
            <w:tcW w:w="1256" w:type="pct"/>
            <w:tcBorders>
              <w:tl2br w:val="nil"/>
              <w:tr2bl w:val="nil"/>
            </w:tcBorders>
            <w:vAlign w:val="center"/>
          </w:tcPr>
          <w:p>
            <w:pPr>
              <w:pStyle w:val="83"/>
              <w:rPr>
                <w:bCs/>
              </w:rPr>
            </w:pPr>
            <w:r>
              <w:rPr>
                <w:rFonts w:hint="eastAsia"/>
                <w:bCs/>
              </w:rPr>
              <w:t>4kg24个</w:t>
            </w:r>
          </w:p>
        </w:tc>
        <w:tc>
          <w:tcPr>
            <w:tcW w:w="1070" w:type="pct"/>
            <w:tcBorders>
              <w:tl2br w:val="nil"/>
              <w:tr2bl w:val="nil"/>
            </w:tcBorders>
            <w:vAlign w:val="center"/>
          </w:tcPr>
          <w:p>
            <w:pPr>
              <w:pStyle w:val="83"/>
              <w:rPr>
                <w:rFonts w:hint="default" w:eastAsia="宋体"/>
                <w:bCs/>
                <w:lang w:val="en-US" w:eastAsia="zh-CN"/>
              </w:rPr>
            </w:pPr>
            <w:r>
              <w:rPr>
                <w:rFonts w:hint="eastAsia"/>
                <w:bCs/>
                <w:lang w:val="en-US" w:eastAsia="zh-CN"/>
              </w:rPr>
              <w:t>厂区</w:t>
            </w:r>
          </w:p>
        </w:tc>
        <w:tc>
          <w:tcPr>
            <w:tcW w:w="654" w:type="pct"/>
            <w:tcBorders>
              <w:tl2br w:val="nil"/>
              <w:tr2bl w:val="nil"/>
            </w:tcBorders>
            <w:vAlign w:val="center"/>
          </w:tcPr>
          <w:p>
            <w:pPr>
              <w:pStyle w:val="83"/>
              <w:rPr>
                <w:bCs/>
              </w:rPr>
            </w:pPr>
            <w:r>
              <w:rPr>
                <w:bCs/>
              </w:rPr>
              <w:t>配置到位</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restart"/>
            <w:tcBorders>
              <w:tl2br w:val="nil"/>
              <w:tr2bl w:val="nil"/>
            </w:tcBorders>
            <w:vAlign w:val="center"/>
          </w:tcPr>
          <w:p>
            <w:pPr>
              <w:pStyle w:val="83"/>
              <w:rPr>
                <w:bCs/>
              </w:rPr>
            </w:pPr>
            <w:r>
              <w:rPr>
                <w:bCs/>
              </w:rPr>
              <w:t>建议补充的应急物资</w:t>
            </w:r>
          </w:p>
        </w:tc>
        <w:tc>
          <w:tcPr>
            <w:tcW w:w="1353" w:type="pct"/>
            <w:tcBorders>
              <w:tl2br w:val="nil"/>
              <w:tr2bl w:val="nil"/>
            </w:tcBorders>
            <w:vAlign w:val="center"/>
          </w:tcPr>
          <w:p>
            <w:pPr>
              <w:pStyle w:val="83"/>
              <w:rPr>
                <w:bCs/>
              </w:rPr>
            </w:pPr>
            <w:r>
              <w:rPr>
                <w:rFonts w:hint="default"/>
                <w:bCs/>
                <w:lang w:val="en-US" w:eastAsia="zh-CN"/>
              </w:rPr>
              <w:t>急救箱</w:t>
            </w:r>
          </w:p>
        </w:tc>
        <w:tc>
          <w:tcPr>
            <w:tcW w:w="1256" w:type="pct"/>
            <w:tcBorders>
              <w:tl2br w:val="nil"/>
              <w:tr2bl w:val="nil"/>
            </w:tcBorders>
            <w:vAlign w:val="center"/>
          </w:tcPr>
          <w:p>
            <w:pPr>
              <w:pStyle w:val="83"/>
              <w:rPr>
                <w:bCs/>
              </w:rPr>
            </w:pPr>
            <w:r>
              <w:rPr>
                <w:rFonts w:hint="default"/>
                <w:bCs/>
                <w:lang w:val="en-US" w:eastAsia="zh-CN"/>
              </w:rPr>
              <w:t>1个</w:t>
            </w:r>
          </w:p>
        </w:tc>
        <w:tc>
          <w:tcPr>
            <w:tcW w:w="1070" w:type="pct"/>
            <w:vMerge w:val="restart"/>
            <w:tcBorders>
              <w:tl2br w:val="nil"/>
              <w:tr2bl w:val="nil"/>
            </w:tcBorders>
            <w:vAlign w:val="center"/>
          </w:tcPr>
          <w:p>
            <w:pPr>
              <w:pStyle w:val="83"/>
              <w:rPr>
                <w:bCs/>
              </w:rPr>
            </w:pPr>
            <w:r>
              <w:rPr>
                <w:rFonts w:hint="default"/>
                <w:bCs/>
                <w:lang w:val="en-US" w:eastAsia="zh-CN"/>
              </w:rPr>
              <w:t>管理区</w:t>
            </w: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bCs/>
              </w:rPr>
            </w:pPr>
            <w:r>
              <w:rPr>
                <w:rFonts w:hint="default"/>
                <w:bCs/>
                <w:lang w:val="en-US" w:eastAsia="zh-CN"/>
              </w:rPr>
              <w:t>带盖空桶</w:t>
            </w:r>
          </w:p>
        </w:tc>
        <w:tc>
          <w:tcPr>
            <w:tcW w:w="1256" w:type="pct"/>
            <w:tcBorders>
              <w:tl2br w:val="nil"/>
              <w:tr2bl w:val="nil"/>
            </w:tcBorders>
            <w:vAlign w:val="center"/>
          </w:tcPr>
          <w:p>
            <w:pPr>
              <w:pStyle w:val="83"/>
              <w:rPr>
                <w:bCs/>
              </w:rPr>
            </w:pPr>
            <w:r>
              <w:rPr>
                <w:rFonts w:hint="default"/>
                <w:bCs/>
                <w:lang w:val="en-US" w:eastAsia="zh-CN"/>
              </w:rPr>
              <w:t>若干</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bCs/>
              </w:rPr>
            </w:pPr>
            <w:r>
              <w:rPr>
                <w:rFonts w:hint="default"/>
                <w:bCs/>
                <w:lang w:val="en-US" w:eastAsia="zh-CN"/>
              </w:rPr>
              <w:t>消毒液</w:t>
            </w:r>
          </w:p>
        </w:tc>
        <w:tc>
          <w:tcPr>
            <w:tcW w:w="1256" w:type="pct"/>
            <w:tcBorders>
              <w:tl2br w:val="nil"/>
              <w:tr2bl w:val="nil"/>
            </w:tcBorders>
            <w:vAlign w:val="center"/>
          </w:tcPr>
          <w:p>
            <w:pPr>
              <w:pStyle w:val="83"/>
              <w:rPr>
                <w:bCs/>
              </w:rPr>
            </w:pPr>
            <w:r>
              <w:rPr>
                <w:rFonts w:hint="default"/>
                <w:bCs/>
                <w:lang w:val="en-US" w:eastAsia="zh-CN"/>
              </w:rPr>
              <w:t>若干</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bCs/>
              </w:rPr>
            </w:pPr>
            <w:r>
              <w:rPr>
                <w:rFonts w:hint="default"/>
                <w:bCs/>
                <w:lang w:val="en-US" w:eastAsia="zh-CN"/>
              </w:rPr>
              <w:t>棉被</w:t>
            </w:r>
          </w:p>
        </w:tc>
        <w:tc>
          <w:tcPr>
            <w:tcW w:w="1256" w:type="pct"/>
            <w:tcBorders>
              <w:tl2br w:val="nil"/>
              <w:tr2bl w:val="nil"/>
            </w:tcBorders>
            <w:vAlign w:val="center"/>
          </w:tcPr>
          <w:p>
            <w:pPr>
              <w:pStyle w:val="83"/>
              <w:rPr>
                <w:bCs/>
              </w:rPr>
            </w:pPr>
            <w:r>
              <w:rPr>
                <w:rFonts w:hint="default"/>
                <w:bCs/>
                <w:lang w:val="en-US" w:eastAsia="zh-CN"/>
              </w:rPr>
              <w:t>3床</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bCs/>
              </w:rPr>
            </w:pPr>
            <w:r>
              <w:rPr>
                <w:rFonts w:hint="default"/>
                <w:bCs/>
                <w:lang w:val="en-US" w:eastAsia="zh-CN"/>
              </w:rPr>
              <w:t>防化服</w:t>
            </w:r>
          </w:p>
        </w:tc>
        <w:tc>
          <w:tcPr>
            <w:tcW w:w="1256" w:type="pct"/>
            <w:tcBorders>
              <w:tl2br w:val="nil"/>
              <w:tr2bl w:val="nil"/>
            </w:tcBorders>
            <w:vAlign w:val="center"/>
          </w:tcPr>
          <w:p>
            <w:pPr>
              <w:pStyle w:val="83"/>
              <w:rPr>
                <w:bCs/>
              </w:rPr>
            </w:pPr>
            <w:r>
              <w:rPr>
                <w:rFonts w:hint="default"/>
                <w:bCs/>
                <w:lang w:val="en-US" w:eastAsia="zh-CN"/>
              </w:rPr>
              <w:t>3套</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bCs/>
              </w:rPr>
            </w:pPr>
            <w:r>
              <w:rPr>
                <w:rFonts w:hint="default"/>
                <w:bCs/>
                <w:lang w:val="en-US" w:eastAsia="zh-CN"/>
              </w:rPr>
              <w:t>隔离带</w:t>
            </w:r>
          </w:p>
        </w:tc>
        <w:tc>
          <w:tcPr>
            <w:tcW w:w="1256" w:type="pct"/>
            <w:tcBorders>
              <w:tl2br w:val="nil"/>
              <w:tr2bl w:val="nil"/>
            </w:tcBorders>
            <w:vAlign w:val="center"/>
          </w:tcPr>
          <w:p>
            <w:pPr>
              <w:pStyle w:val="83"/>
              <w:rPr>
                <w:bCs/>
              </w:rPr>
            </w:pPr>
            <w:r>
              <w:rPr>
                <w:rFonts w:hint="default"/>
                <w:bCs/>
                <w:lang w:val="en-US" w:eastAsia="zh-CN"/>
              </w:rPr>
              <w:t>6套</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bCs/>
              </w:rPr>
            </w:pPr>
            <w:r>
              <w:rPr>
                <w:rFonts w:hint="default"/>
                <w:bCs/>
                <w:lang w:val="en-US" w:eastAsia="zh-CN"/>
              </w:rPr>
              <w:t>片碱</w:t>
            </w:r>
          </w:p>
        </w:tc>
        <w:tc>
          <w:tcPr>
            <w:tcW w:w="1256" w:type="pct"/>
            <w:tcBorders>
              <w:tl2br w:val="nil"/>
              <w:tr2bl w:val="nil"/>
            </w:tcBorders>
            <w:vAlign w:val="center"/>
          </w:tcPr>
          <w:p>
            <w:pPr>
              <w:pStyle w:val="83"/>
              <w:rPr>
                <w:bCs/>
              </w:rPr>
            </w:pPr>
            <w:r>
              <w:rPr>
                <w:rFonts w:hint="default"/>
                <w:bCs/>
                <w:lang w:val="en-US" w:eastAsia="zh-CN"/>
              </w:rPr>
              <w:t>2t</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rFonts w:hint="eastAsia"/>
                <w:bCs/>
              </w:rPr>
            </w:pPr>
            <w:r>
              <w:rPr>
                <w:rFonts w:hint="default"/>
                <w:bCs/>
                <w:lang w:val="en-US" w:eastAsia="zh-CN"/>
              </w:rPr>
              <w:t>活性炭</w:t>
            </w:r>
          </w:p>
        </w:tc>
        <w:tc>
          <w:tcPr>
            <w:tcW w:w="1256" w:type="pct"/>
            <w:tcBorders>
              <w:tl2br w:val="nil"/>
              <w:tr2bl w:val="nil"/>
            </w:tcBorders>
            <w:vAlign w:val="center"/>
          </w:tcPr>
          <w:p>
            <w:pPr>
              <w:pStyle w:val="83"/>
              <w:rPr>
                <w:rFonts w:hint="eastAsia"/>
                <w:bCs/>
              </w:rPr>
            </w:pPr>
            <w:r>
              <w:rPr>
                <w:rFonts w:hint="default"/>
                <w:bCs/>
                <w:lang w:val="en-US" w:eastAsia="zh-CN"/>
              </w:rPr>
              <w:t>2t</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rFonts w:hint="eastAsia"/>
                <w:bCs/>
              </w:rPr>
            </w:pPr>
            <w:r>
              <w:rPr>
                <w:rFonts w:hint="default"/>
                <w:bCs/>
                <w:lang w:val="en-US" w:eastAsia="zh-CN"/>
              </w:rPr>
              <w:t>补充配置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69" w:hRule="atLeast"/>
          <w:jc w:val="center"/>
        </w:trPr>
        <w:tc>
          <w:tcPr>
            <w:tcW w:w="665" w:type="pct"/>
            <w:vMerge w:val="continue"/>
            <w:tcBorders>
              <w:tl2br w:val="nil"/>
              <w:tr2bl w:val="nil"/>
            </w:tcBorders>
            <w:vAlign w:val="center"/>
          </w:tcPr>
          <w:p>
            <w:pPr>
              <w:pStyle w:val="83"/>
              <w:rPr>
                <w:bCs/>
              </w:rPr>
            </w:pPr>
          </w:p>
        </w:tc>
        <w:tc>
          <w:tcPr>
            <w:tcW w:w="1353" w:type="pct"/>
            <w:tcBorders>
              <w:tl2br w:val="nil"/>
              <w:tr2bl w:val="nil"/>
            </w:tcBorders>
            <w:vAlign w:val="center"/>
          </w:tcPr>
          <w:p>
            <w:pPr>
              <w:pStyle w:val="83"/>
              <w:rPr>
                <w:rFonts w:hint="eastAsia"/>
                <w:bCs/>
              </w:rPr>
            </w:pPr>
            <w:r>
              <w:rPr>
                <w:rFonts w:hint="default"/>
                <w:bCs/>
                <w:lang w:val="en-US" w:eastAsia="zh-CN"/>
              </w:rPr>
              <w:t>应急灯</w:t>
            </w:r>
          </w:p>
        </w:tc>
        <w:tc>
          <w:tcPr>
            <w:tcW w:w="1256" w:type="pct"/>
            <w:tcBorders>
              <w:tl2br w:val="nil"/>
              <w:tr2bl w:val="nil"/>
            </w:tcBorders>
            <w:vAlign w:val="center"/>
          </w:tcPr>
          <w:p>
            <w:pPr>
              <w:pStyle w:val="83"/>
              <w:rPr>
                <w:rFonts w:hint="eastAsia"/>
                <w:bCs/>
              </w:rPr>
            </w:pPr>
            <w:r>
              <w:rPr>
                <w:rFonts w:hint="default"/>
                <w:bCs/>
                <w:lang w:val="en-US" w:eastAsia="zh-CN"/>
              </w:rPr>
              <w:t>6个</w:t>
            </w:r>
          </w:p>
        </w:tc>
        <w:tc>
          <w:tcPr>
            <w:tcW w:w="1070" w:type="pct"/>
            <w:vMerge w:val="continue"/>
            <w:tcBorders>
              <w:tl2br w:val="nil"/>
              <w:tr2bl w:val="nil"/>
            </w:tcBorders>
            <w:vAlign w:val="center"/>
          </w:tcPr>
          <w:p>
            <w:pPr>
              <w:pStyle w:val="83"/>
              <w:rPr>
                <w:bCs/>
              </w:rPr>
            </w:pPr>
          </w:p>
        </w:tc>
        <w:tc>
          <w:tcPr>
            <w:tcW w:w="654" w:type="pct"/>
            <w:tcBorders>
              <w:tl2br w:val="nil"/>
              <w:tr2bl w:val="nil"/>
            </w:tcBorders>
            <w:vAlign w:val="center"/>
          </w:tcPr>
          <w:p>
            <w:pPr>
              <w:pStyle w:val="83"/>
              <w:rPr>
                <w:rFonts w:hint="eastAsia"/>
                <w:bCs/>
              </w:rPr>
            </w:pPr>
            <w:r>
              <w:rPr>
                <w:rFonts w:hint="default"/>
                <w:bCs/>
                <w:lang w:val="en-US" w:eastAsia="zh-CN"/>
              </w:rPr>
              <w:t>补充配置</w:t>
            </w:r>
          </w:p>
        </w:tc>
      </w:tr>
    </w:tbl>
    <w:p>
      <w:pPr>
        <w:pStyle w:val="90"/>
        <w:ind w:firstLine="480"/>
      </w:pPr>
      <w:r>
        <w:t>企业配备的应急装备基本能够满足企业应急需要，企业需加强管理维护，定期检查、更新、更换应急装备或物资，确保各资源在应急救援时可用。</w:t>
      </w:r>
    </w:p>
    <w:p>
      <w:pPr>
        <w:pStyle w:val="6"/>
        <w:bidi w:val="0"/>
      </w:pPr>
      <w:bookmarkStart w:id="737" w:name="_Toc37600122"/>
      <w:bookmarkStart w:id="738" w:name="_Toc27393"/>
      <w:bookmarkStart w:id="739" w:name="_Toc13935"/>
      <w:bookmarkStart w:id="740" w:name="_Toc22800"/>
      <w:r>
        <w:t xml:space="preserve">8.3.3 </w:t>
      </w:r>
      <w:r>
        <w:rPr>
          <w:rFonts w:hint="eastAsia"/>
        </w:rPr>
        <w:t>消防设施</w:t>
      </w:r>
      <w:bookmarkEnd w:id="737"/>
      <w:bookmarkEnd w:id="738"/>
      <w:bookmarkEnd w:id="739"/>
      <w:bookmarkEnd w:id="740"/>
    </w:p>
    <w:p>
      <w:pPr>
        <w:pStyle w:val="90"/>
        <w:ind w:firstLine="482"/>
        <w:rPr>
          <w:b/>
        </w:rPr>
      </w:pPr>
      <w:r>
        <w:rPr>
          <w:rFonts w:hint="eastAsia"/>
          <w:b/>
        </w:rPr>
        <w:t>（一）消防组织和制度</w:t>
      </w:r>
    </w:p>
    <w:p>
      <w:pPr>
        <w:pStyle w:val="90"/>
        <w:ind w:firstLine="480"/>
      </w:pPr>
      <w:r>
        <w:t>1</w:t>
      </w:r>
      <w:r>
        <w:rPr>
          <w:rFonts w:hint="eastAsia"/>
        </w:rPr>
        <w:t>．本公司必须认真执行《中华人民共和国消防条例》，建立以总经理参加的消防领导小组，实行防火责任制度。</w:t>
      </w:r>
    </w:p>
    <w:p>
      <w:pPr>
        <w:pStyle w:val="90"/>
        <w:ind w:firstLine="480"/>
      </w:pPr>
      <w:r>
        <w:t>2</w:t>
      </w:r>
      <w:r>
        <w:rPr>
          <w:rFonts w:hint="eastAsia"/>
        </w:rPr>
        <w:t>．加强消防意识和消防制度教育，认真贯彻各项消防制度，经常开展消防活动，定期开展群众性、专业性防火检查，及时消除火灾隐患，加强全员的消防观念。</w:t>
      </w:r>
    </w:p>
    <w:p>
      <w:pPr>
        <w:pStyle w:val="90"/>
        <w:ind w:firstLine="480"/>
      </w:pPr>
      <w:r>
        <w:t>3</w:t>
      </w:r>
      <w:r>
        <w:rPr>
          <w:rFonts w:hint="eastAsia"/>
        </w:rPr>
        <w:t>．本公司的消防组织要与地区消防组织挂钩，以便一旦发生火情，可得到城市消防队的紧急求助。</w:t>
      </w:r>
    </w:p>
    <w:p>
      <w:pPr>
        <w:pStyle w:val="90"/>
        <w:ind w:firstLine="482"/>
        <w:rPr>
          <w:b/>
        </w:rPr>
      </w:pPr>
      <w:r>
        <w:rPr>
          <w:rFonts w:hint="eastAsia"/>
          <w:b/>
        </w:rPr>
        <w:t>（二）配备必要的消防设施和器材</w:t>
      </w:r>
    </w:p>
    <w:p>
      <w:pPr>
        <w:pStyle w:val="90"/>
        <w:ind w:firstLine="480"/>
      </w:pPr>
      <w:r>
        <w:t>1</w:t>
      </w:r>
      <w:r>
        <w:rPr>
          <w:rFonts w:hint="eastAsia"/>
        </w:rPr>
        <w:t>．必须确保消防总阀处于开启状态。</w:t>
      </w:r>
    </w:p>
    <w:p>
      <w:pPr>
        <w:pStyle w:val="90"/>
        <w:ind w:firstLine="480"/>
      </w:pPr>
      <w:r>
        <w:t>2</w:t>
      </w:r>
      <w:r>
        <w:rPr>
          <w:rFonts w:hint="eastAsia"/>
        </w:rPr>
        <w:t>．车间内消防设备位置应在显眼易取的地方。</w:t>
      </w:r>
    </w:p>
    <w:p>
      <w:pPr>
        <w:pStyle w:val="90"/>
        <w:ind w:firstLine="482"/>
        <w:rPr>
          <w:b/>
        </w:rPr>
      </w:pPr>
      <w:r>
        <w:rPr>
          <w:rFonts w:hint="eastAsia"/>
          <w:b/>
        </w:rPr>
        <w:t>（三）明火管理</w:t>
      </w:r>
    </w:p>
    <w:p>
      <w:pPr>
        <w:pStyle w:val="90"/>
        <w:ind w:firstLine="480"/>
      </w:pPr>
      <w:r>
        <w:t>1</w:t>
      </w:r>
      <w:r>
        <w:rPr>
          <w:rFonts w:hint="eastAsia"/>
        </w:rPr>
        <w:t>．划分禁火区域，对仓库等不准明火的区域特别划出禁火区范围，事先挂牌明确，禁止一切可引起明火的火种进入。</w:t>
      </w:r>
    </w:p>
    <w:p>
      <w:pPr>
        <w:pStyle w:val="90"/>
        <w:ind w:firstLine="480"/>
      </w:pPr>
      <w:r>
        <w:t>2</w:t>
      </w:r>
      <w:r>
        <w:rPr>
          <w:rFonts w:hint="eastAsia"/>
        </w:rPr>
        <w:t>．配备专职消防巡回检查，巡回线路要专门设计，保证一旦有火警，在可扑灭的时限内发觉和消除。</w:t>
      </w:r>
    </w:p>
    <w:p>
      <w:pPr>
        <w:pStyle w:val="90"/>
        <w:ind w:firstLine="482"/>
        <w:rPr>
          <w:b/>
        </w:rPr>
      </w:pPr>
      <w:r>
        <w:rPr>
          <w:rFonts w:hint="eastAsia"/>
          <w:b/>
        </w:rPr>
        <w:t>（四）消防给水系统</w:t>
      </w:r>
    </w:p>
    <w:p>
      <w:pPr>
        <w:pStyle w:val="90"/>
        <w:ind w:firstLine="480"/>
        <w:rPr>
          <w:lang w:val="zh-CN"/>
        </w:rPr>
      </w:pPr>
      <w:r>
        <w:rPr>
          <w:rFonts w:hint="eastAsia"/>
          <w:color w:val="000000"/>
        </w:rPr>
        <w:t>厂区内设置</w:t>
      </w:r>
      <w:r>
        <w:rPr>
          <w:rFonts w:hint="eastAsia"/>
          <w:snapToGrid w:val="0"/>
          <w:color w:val="000000"/>
        </w:rPr>
        <w:t>稳高压消防供水系统。</w:t>
      </w:r>
    </w:p>
    <w:p>
      <w:pPr>
        <w:pStyle w:val="6"/>
        <w:bidi w:val="0"/>
      </w:pPr>
      <w:bookmarkStart w:id="741" w:name="_Toc20446"/>
      <w:bookmarkStart w:id="742" w:name="_Toc22205"/>
      <w:bookmarkStart w:id="743" w:name="_Toc37600123"/>
      <w:bookmarkStart w:id="744" w:name="_Toc28898"/>
      <w:r>
        <w:t xml:space="preserve">8.3.4 </w:t>
      </w:r>
      <w:r>
        <w:rPr>
          <w:rFonts w:hint="eastAsia"/>
        </w:rPr>
        <w:t>消防废水收集处理措施</w:t>
      </w:r>
      <w:bookmarkEnd w:id="741"/>
      <w:bookmarkEnd w:id="742"/>
      <w:bookmarkEnd w:id="743"/>
      <w:bookmarkEnd w:id="744"/>
    </w:p>
    <w:p>
      <w:pPr>
        <w:pStyle w:val="90"/>
        <w:ind w:firstLine="480"/>
      </w:pPr>
      <w:r>
        <w:rPr>
          <w:rFonts w:hint="eastAsia"/>
        </w:rPr>
        <w:t>项目的厂房或库房若发生火灾爆炸事件，进行消防时会产生大量的消防废水，消防废水若不加处理，直接排入下水道，进入地表水体，会对水体造成不良影响。</w:t>
      </w:r>
    </w:p>
    <w:p>
      <w:pPr>
        <w:pStyle w:val="90"/>
        <w:ind w:firstLine="480"/>
      </w:pPr>
      <w:r>
        <w:rPr>
          <w:rFonts w:hint="eastAsia"/>
        </w:rPr>
        <w:t>当发生火灾爆炸事故时，应将厂区的雨水排水口进行拦截，将灭火产生的消防废水暂存。待消防结束后，应委托有资质的单位回收处理。建立巡查机制，每天进行巡查，检查围堰物资是否完备。</w:t>
      </w:r>
    </w:p>
    <w:p>
      <w:pPr>
        <w:pStyle w:val="90"/>
        <w:ind w:firstLine="480"/>
      </w:pPr>
      <w:r>
        <w:rPr>
          <w:rFonts w:hint="eastAsia"/>
        </w:rPr>
        <w:t>消防废水外排监控机制：</w:t>
      </w:r>
    </w:p>
    <w:p>
      <w:pPr>
        <w:pStyle w:val="90"/>
        <w:ind w:firstLine="480"/>
      </w:pPr>
      <w:r>
        <w:rPr>
          <w:rFonts w:hint="eastAsia"/>
        </w:rPr>
        <w:t>（</w:t>
      </w:r>
      <w:r>
        <w:t>1</w:t>
      </w:r>
      <w:r>
        <w:rPr>
          <w:rFonts w:hint="eastAsia"/>
        </w:rPr>
        <w:t>）发生泄漏或者火灾爆炸事故时，立即对厂区雨水管道及冷凝水收集井进行封闭。</w:t>
      </w:r>
    </w:p>
    <w:p>
      <w:pPr>
        <w:pStyle w:val="90"/>
        <w:ind w:firstLine="480"/>
      </w:pPr>
      <w:r>
        <w:rPr>
          <w:rFonts w:hint="eastAsia"/>
        </w:rPr>
        <w:t>（</w:t>
      </w:r>
      <w:r>
        <w:t>2</w:t>
      </w:r>
      <w:r>
        <w:rPr>
          <w:rFonts w:hint="eastAsia"/>
        </w:rPr>
        <w:t>）污水监控：</w:t>
      </w:r>
      <w:r>
        <w:rPr>
          <w:rFonts w:hint="eastAsia"/>
          <w:highlight w:val="none"/>
        </w:rPr>
        <w:t>通讯</w:t>
      </w:r>
      <w:r>
        <w:rPr>
          <w:rFonts w:hint="eastAsia"/>
        </w:rPr>
        <w:t>组迅速联系南昌市环境保护监测站，严密监控污水向和污水浓度，防止污水流入市政雨水、污水管网，定期向总指挥汇报监控情况。</w:t>
      </w:r>
    </w:p>
    <w:p>
      <w:pPr>
        <w:pStyle w:val="5"/>
        <w:bidi w:val="0"/>
      </w:pPr>
      <w:bookmarkStart w:id="745" w:name="_Toc15313"/>
      <w:bookmarkStart w:id="746" w:name="_Toc12290"/>
      <w:bookmarkStart w:id="747" w:name="_Toc391374722"/>
      <w:bookmarkStart w:id="748" w:name="_Toc3922"/>
      <w:bookmarkStart w:id="749" w:name="_Toc25293"/>
      <w:bookmarkStart w:id="750" w:name="_Toc387409171"/>
      <w:bookmarkStart w:id="751" w:name="_Toc390869099"/>
      <w:bookmarkStart w:id="752" w:name="_Toc16032_WPSOffice_Level1"/>
      <w:bookmarkStart w:id="753" w:name="_Toc37600124"/>
      <w:bookmarkStart w:id="754" w:name="_Toc390868966"/>
      <w:bookmarkStart w:id="755" w:name="_Toc28209"/>
      <w:bookmarkStart w:id="756" w:name="_Toc14213"/>
      <w:r>
        <w:t xml:space="preserve">8.4 </w:t>
      </w:r>
      <w:r>
        <w:rPr>
          <w:rFonts w:hint="eastAsia"/>
        </w:rPr>
        <w:t>经费及其他保障</w:t>
      </w:r>
      <w:bookmarkEnd w:id="745"/>
      <w:bookmarkEnd w:id="746"/>
      <w:bookmarkEnd w:id="747"/>
      <w:bookmarkEnd w:id="748"/>
      <w:bookmarkEnd w:id="749"/>
      <w:bookmarkEnd w:id="750"/>
      <w:bookmarkEnd w:id="751"/>
      <w:bookmarkEnd w:id="752"/>
      <w:bookmarkEnd w:id="753"/>
      <w:bookmarkEnd w:id="754"/>
      <w:bookmarkEnd w:id="755"/>
      <w:bookmarkEnd w:id="756"/>
    </w:p>
    <w:p>
      <w:pPr>
        <w:pStyle w:val="90"/>
        <w:ind w:firstLine="480"/>
      </w:pPr>
      <w:r>
        <w:rPr>
          <w:rFonts w:hint="eastAsia"/>
        </w:rPr>
        <w:t>公司每年制订安全费用计划，财务部按照规定标准提取，在成本中列支，专门用于完善和改进公司应急救援体系建设、监控设备定期检测、应急救援物资采购、应急救援演习和应急人员培训等，保障应急状态时单位应急经费的及时到位。</w:t>
      </w:r>
    </w:p>
    <w:p>
      <w:pPr>
        <w:pStyle w:val="5"/>
        <w:bidi w:val="0"/>
      </w:pPr>
      <w:bookmarkStart w:id="757" w:name="_Toc16004_WPSOffice_Level1"/>
      <w:bookmarkStart w:id="758" w:name="_Toc390869103"/>
      <w:bookmarkStart w:id="759" w:name="_Toc15058"/>
      <w:bookmarkStart w:id="760" w:name="_Toc20229"/>
      <w:bookmarkStart w:id="761" w:name="_Toc390868970"/>
      <w:bookmarkStart w:id="762" w:name="_Toc391374726"/>
      <w:bookmarkStart w:id="763" w:name="_Toc387409175"/>
      <w:bookmarkStart w:id="764" w:name="_Toc15776"/>
      <w:bookmarkStart w:id="765" w:name="_Toc37600125"/>
      <w:bookmarkStart w:id="766" w:name="_Toc30853"/>
      <w:bookmarkStart w:id="767" w:name="_Toc2374"/>
      <w:bookmarkStart w:id="768" w:name="_Toc28641"/>
      <w:r>
        <w:t xml:space="preserve">8.5 </w:t>
      </w:r>
      <w:r>
        <w:rPr>
          <w:rFonts w:hint="eastAsia"/>
        </w:rPr>
        <w:t>医疗急救保障</w:t>
      </w:r>
      <w:bookmarkEnd w:id="757"/>
      <w:bookmarkEnd w:id="758"/>
      <w:bookmarkEnd w:id="759"/>
      <w:bookmarkEnd w:id="760"/>
      <w:bookmarkEnd w:id="761"/>
      <w:bookmarkEnd w:id="762"/>
      <w:bookmarkEnd w:id="763"/>
      <w:bookmarkEnd w:id="764"/>
      <w:bookmarkEnd w:id="765"/>
      <w:bookmarkEnd w:id="766"/>
      <w:bookmarkEnd w:id="767"/>
      <w:bookmarkEnd w:id="768"/>
    </w:p>
    <w:p>
      <w:pPr>
        <w:pStyle w:val="90"/>
        <w:ind w:firstLine="480"/>
      </w:pPr>
      <w:r>
        <w:rPr>
          <w:rFonts w:hint="eastAsia"/>
        </w:rPr>
        <w:t>落实急救药箱药品，急救器材的配备与更新。后勤保障组落实组织现场应急人员与医疗急救人员定期的医疗急救知识与技术的培训。</w:t>
      </w:r>
    </w:p>
    <w:p>
      <w:pPr>
        <w:pStyle w:val="90"/>
        <w:ind w:firstLine="480"/>
      </w:pPr>
      <w:r>
        <w:rPr>
          <w:rFonts w:hint="eastAsia"/>
        </w:rPr>
        <w:t>应急保障设备见附件。</w:t>
      </w:r>
    </w:p>
    <w:p>
      <w:pPr>
        <w:pStyle w:val="90"/>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4"/>
        <w:bidi w:val="0"/>
      </w:pPr>
      <w:bookmarkStart w:id="769" w:name="_Toc37600126"/>
      <w:bookmarkStart w:id="770" w:name="_Toc15920"/>
      <w:bookmarkStart w:id="771" w:name="_Toc7727"/>
      <w:bookmarkStart w:id="772" w:name="_Toc7723"/>
      <w:bookmarkStart w:id="773" w:name="_Toc4033"/>
      <w:bookmarkStart w:id="774" w:name="_Toc8367_WPSOffice_Level1"/>
      <w:bookmarkStart w:id="775" w:name="_Toc29150"/>
      <w:bookmarkStart w:id="776" w:name="_Toc20026"/>
      <w:r>
        <w:t xml:space="preserve">9 </w:t>
      </w:r>
      <w:r>
        <w:rPr>
          <w:rFonts w:hint="eastAsia"/>
        </w:rPr>
        <w:t>培训与演练</w:t>
      </w:r>
      <w:bookmarkEnd w:id="769"/>
      <w:bookmarkEnd w:id="770"/>
      <w:bookmarkEnd w:id="771"/>
      <w:bookmarkEnd w:id="772"/>
      <w:bookmarkEnd w:id="773"/>
      <w:bookmarkEnd w:id="774"/>
      <w:bookmarkEnd w:id="775"/>
      <w:bookmarkEnd w:id="776"/>
    </w:p>
    <w:p>
      <w:pPr>
        <w:pStyle w:val="90"/>
        <w:ind w:firstLine="480"/>
      </w:pPr>
      <w:r>
        <w:rPr>
          <w:rFonts w:hint="eastAsia"/>
        </w:rPr>
        <w:t>通信联络组负责组织应急培训与演练，培训分为生产区操作人员、应急救援队伍、应急机构三级培训，演练分为生产区操作人员、应急救援组、应急机构三级演练。</w:t>
      </w:r>
    </w:p>
    <w:p>
      <w:pPr>
        <w:pStyle w:val="5"/>
        <w:bidi w:val="0"/>
      </w:pPr>
      <w:bookmarkStart w:id="777" w:name="_Toc390869105"/>
      <w:bookmarkStart w:id="778" w:name="_Toc390868972"/>
      <w:bookmarkStart w:id="779" w:name="_Toc387409168"/>
      <w:bookmarkStart w:id="780" w:name="_Toc386980304"/>
      <w:bookmarkStart w:id="781" w:name="_Toc391374728"/>
      <w:bookmarkStart w:id="782" w:name="_Toc26145"/>
      <w:bookmarkStart w:id="783" w:name="_Toc21465"/>
      <w:bookmarkStart w:id="784" w:name="_Toc15674"/>
      <w:bookmarkStart w:id="785" w:name="_Toc37600127"/>
      <w:bookmarkStart w:id="786" w:name="_Toc4764"/>
      <w:bookmarkStart w:id="787" w:name="_Toc18571"/>
      <w:bookmarkStart w:id="788" w:name="_Toc11524"/>
      <w:bookmarkStart w:id="789" w:name="_Toc3419_WPSOffice_Level1"/>
      <w:r>
        <w:t xml:space="preserve">9.1 </w:t>
      </w:r>
      <w:r>
        <w:rPr>
          <w:rFonts w:hint="eastAsia"/>
        </w:rPr>
        <w:t>应急培训</w:t>
      </w:r>
      <w:bookmarkEnd w:id="777"/>
      <w:bookmarkEnd w:id="778"/>
      <w:bookmarkEnd w:id="779"/>
      <w:bookmarkEnd w:id="780"/>
      <w:bookmarkEnd w:id="781"/>
      <w:r>
        <w:rPr>
          <w:rFonts w:hint="eastAsia"/>
        </w:rPr>
        <w:t>与频次</w:t>
      </w:r>
      <w:bookmarkEnd w:id="782"/>
      <w:bookmarkEnd w:id="783"/>
      <w:bookmarkEnd w:id="784"/>
      <w:bookmarkEnd w:id="785"/>
      <w:bookmarkEnd w:id="786"/>
      <w:bookmarkEnd w:id="787"/>
      <w:bookmarkEnd w:id="788"/>
      <w:bookmarkEnd w:id="789"/>
    </w:p>
    <w:p>
      <w:pPr>
        <w:pStyle w:val="90"/>
        <w:ind w:firstLine="480"/>
      </w:pPr>
      <w:r>
        <w:rPr>
          <w:rFonts w:hint="eastAsia"/>
        </w:rPr>
        <w:t>后勤组负责组织、指导应急预案的培训工作，各相关部门负责人做好日常预案的学习培训，根据预案实施情况制定相应的培训计划，采取多种形式对应急人员进行应急知识和技能的培训，培训应做好记录和培训评估。</w:t>
      </w:r>
    </w:p>
    <w:p>
      <w:pPr>
        <w:pStyle w:val="6"/>
        <w:bidi w:val="0"/>
      </w:pPr>
      <w:bookmarkStart w:id="790" w:name="_Toc22086"/>
      <w:bookmarkStart w:id="791" w:name="_Toc19117"/>
      <w:bookmarkStart w:id="792" w:name="_Toc37600128"/>
      <w:bookmarkStart w:id="793" w:name="_Toc390868973"/>
      <w:bookmarkStart w:id="794" w:name="_Toc30208"/>
      <w:r>
        <w:t xml:space="preserve">9.1.1 </w:t>
      </w:r>
      <w:r>
        <w:rPr>
          <w:rFonts w:hint="eastAsia"/>
        </w:rPr>
        <w:t>生产区操作人员的培训</w:t>
      </w:r>
      <w:bookmarkEnd w:id="790"/>
      <w:bookmarkEnd w:id="791"/>
      <w:bookmarkEnd w:id="792"/>
      <w:bookmarkEnd w:id="793"/>
      <w:bookmarkEnd w:id="794"/>
    </w:p>
    <w:p>
      <w:pPr>
        <w:pStyle w:val="90"/>
        <w:ind w:firstLine="480"/>
      </w:pPr>
      <w:r>
        <w:rPr>
          <w:rFonts w:hint="eastAsia"/>
        </w:rPr>
        <w:t>针对应急救援的基本要求，系统培训厂区操作人员，发生各级危险物事故时报警、紧急处置、逃生、个体防护、急救、紧急疏散等程序的基本要求。培训主要内容：</w:t>
      </w:r>
    </w:p>
    <w:p>
      <w:pPr>
        <w:pStyle w:val="90"/>
        <w:ind w:firstLine="480"/>
      </w:pPr>
      <w:r>
        <w:t>a.</w:t>
      </w:r>
      <w:r>
        <w:rPr>
          <w:rFonts w:hint="eastAsia"/>
        </w:rPr>
        <w:t>企业安全生产规章制度、安全操作规程；</w:t>
      </w:r>
    </w:p>
    <w:p>
      <w:pPr>
        <w:pStyle w:val="90"/>
        <w:ind w:firstLine="480"/>
      </w:pPr>
      <w:r>
        <w:t>b.</w:t>
      </w:r>
      <w:r>
        <w:rPr>
          <w:rFonts w:hint="eastAsia"/>
        </w:rPr>
        <w:t>防火、防爆、防毒的基本知识；</w:t>
      </w:r>
    </w:p>
    <w:p>
      <w:pPr>
        <w:pStyle w:val="90"/>
        <w:ind w:firstLine="480"/>
      </w:pPr>
      <w:r>
        <w:t>c.</w:t>
      </w:r>
      <w:r>
        <w:rPr>
          <w:rFonts w:hint="eastAsia"/>
        </w:rPr>
        <w:t>生产过程中异常情况的排除、处理方法；</w:t>
      </w:r>
    </w:p>
    <w:p>
      <w:pPr>
        <w:pStyle w:val="90"/>
        <w:ind w:firstLine="480"/>
      </w:pPr>
      <w:r>
        <w:t>d.</w:t>
      </w:r>
      <w:r>
        <w:rPr>
          <w:rFonts w:hint="eastAsia"/>
        </w:rPr>
        <w:t>事故发生后如何开展自救和互救；</w:t>
      </w:r>
    </w:p>
    <w:p>
      <w:pPr>
        <w:pStyle w:val="90"/>
        <w:ind w:firstLine="480"/>
      </w:pPr>
      <w:r>
        <w:t>e.</w:t>
      </w:r>
      <w:r>
        <w:rPr>
          <w:rFonts w:hint="eastAsia"/>
        </w:rPr>
        <w:t>事故发生后的撤离和疏散方法。</w:t>
      </w:r>
    </w:p>
    <w:p>
      <w:pPr>
        <w:pStyle w:val="90"/>
        <w:ind w:firstLine="480"/>
      </w:pPr>
      <w:r>
        <w:rPr>
          <w:rFonts w:hint="eastAsia"/>
        </w:rPr>
        <w:t>采取的方式：课堂教学、综合讨论、现场讲解等。</w:t>
      </w:r>
    </w:p>
    <w:p>
      <w:pPr>
        <w:pStyle w:val="6"/>
        <w:bidi w:val="0"/>
      </w:pPr>
      <w:bookmarkStart w:id="795" w:name="_Toc4563"/>
      <w:bookmarkStart w:id="796" w:name="_Toc386210827"/>
      <w:bookmarkStart w:id="797" w:name="_Toc37600129"/>
      <w:bookmarkStart w:id="798" w:name="_Toc22867"/>
      <w:bookmarkStart w:id="799" w:name="_Toc14889"/>
      <w:bookmarkStart w:id="800" w:name="_Toc390868974"/>
      <w:r>
        <w:t xml:space="preserve">9.1.2 </w:t>
      </w:r>
      <w:r>
        <w:rPr>
          <w:rFonts w:hint="eastAsia"/>
        </w:rPr>
        <w:t>应急救援队伍的培训</w:t>
      </w:r>
      <w:bookmarkEnd w:id="795"/>
      <w:bookmarkEnd w:id="796"/>
      <w:bookmarkEnd w:id="797"/>
      <w:bookmarkEnd w:id="798"/>
      <w:bookmarkEnd w:id="799"/>
      <w:bookmarkEnd w:id="800"/>
    </w:p>
    <w:p>
      <w:pPr>
        <w:pStyle w:val="90"/>
        <w:ind w:firstLine="480"/>
      </w:pPr>
      <w:r>
        <w:rPr>
          <w:rFonts w:hint="eastAsia"/>
        </w:rPr>
        <w:t>对厂区应急救援队伍的队员进行应急救援专业培训。培训主要内容：</w:t>
      </w:r>
    </w:p>
    <w:p>
      <w:pPr>
        <w:pStyle w:val="90"/>
        <w:ind w:firstLine="480"/>
      </w:pPr>
      <w:r>
        <w:t>a.</w:t>
      </w:r>
      <w:r>
        <w:rPr>
          <w:rFonts w:hint="eastAsia"/>
        </w:rPr>
        <w:t>了解、掌握事故应急救援预案内容；</w:t>
      </w:r>
    </w:p>
    <w:p>
      <w:pPr>
        <w:pStyle w:val="90"/>
        <w:ind w:firstLine="480"/>
      </w:pPr>
      <w:r>
        <w:t>b.</w:t>
      </w:r>
      <w:r>
        <w:rPr>
          <w:rFonts w:hint="eastAsia"/>
        </w:rPr>
        <w:t>熟悉使用各类防护器具；</w:t>
      </w:r>
    </w:p>
    <w:p>
      <w:pPr>
        <w:pStyle w:val="90"/>
        <w:ind w:firstLine="480"/>
      </w:pPr>
      <w:r>
        <w:t>c,</w:t>
      </w:r>
      <w:r>
        <w:rPr>
          <w:rFonts w:hint="eastAsia"/>
        </w:rPr>
        <w:t>如何展开事故现场抢救、救援及事故处置；</w:t>
      </w:r>
    </w:p>
    <w:p>
      <w:pPr>
        <w:pStyle w:val="90"/>
        <w:ind w:firstLine="480"/>
      </w:pPr>
      <w:r>
        <w:t>d.</w:t>
      </w:r>
      <w:r>
        <w:rPr>
          <w:rFonts w:hint="eastAsia"/>
        </w:rPr>
        <w:t>事故现场自我防护及监护措施。</w:t>
      </w:r>
    </w:p>
    <w:p>
      <w:pPr>
        <w:pStyle w:val="90"/>
        <w:ind w:firstLine="480"/>
      </w:pPr>
      <w:r>
        <w:rPr>
          <w:rFonts w:hint="eastAsia"/>
        </w:rPr>
        <w:t>采取的方式：课堂教学、综合讨论、现场讲解、模拟事故发生等。</w:t>
      </w:r>
    </w:p>
    <w:p>
      <w:pPr>
        <w:pStyle w:val="6"/>
        <w:bidi w:val="0"/>
      </w:pPr>
      <w:bookmarkStart w:id="801" w:name="_Toc8240"/>
      <w:bookmarkStart w:id="802" w:name="_Toc14454"/>
      <w:bookmarkStart w:id="803" w:name="_Toc37600130"/>
      <w:bookmarkStart w:id="804" w:name="_Toc3166"/>
      <w:r>
        <w:t xml:space="preserve">9.1.3 </w:t>
      </w:r>
      <w:r>
        <w:rPr>
          <w:rFonts w:hint="eastAsia"/>
        </w:rPr>
        <w:t>频次</w:t>
      </w:r>
      <w:bookmarkEnd w:id="801"/>
      <w:bookmarkEnd w:id="802"/>
      <w:bookmarkEnd w:id="803"/>
      <w:bookmarkEnd w:id="804"/>
    </w:p>
    <w:p>
      <w:pPr>
        <w:pStyle w:val="90"/>
        <w:ind w:firstLine="480"/>
      </w:pPr>
      <w:r>
        <w:rPr>
          <w:rFonts w:hint="eastAsia"/>
        </w:rPr>
        <w:t>本预案制订后实施后，所有应急指挥部成员，各专业救援组成员应认真学习本预案内容，明确在救援现场所担负的责任和义务。由应急指挥部对救援专业组成员每半年组织一次应急培训。</w:t>
      </w:r>
    </w:p>
    <w:p>
      <w:pPr>
        <w:pStyle w:val="5"/>
        <w:bidi w:val="0"/>
      </w:pPr>
      <w:bookmarkStart w:id="805" w:name="_Toc390868977"/>
      <w:bookmarkStart w:id="806" w:name="_Toc387409169"/>
      <w:bookmarkStart w:id="807" w:name="_Toc10228"/>
      <w:bookmarkStart w:id="808" w:name="_Toc9154_WPSOffice_Level1"/>
      <w:bookmarkStart w:id="809" w:name="_Toc17178"/>
      <w:bookmarkStart w:id="810" w:name="_Toc37600131"/>
      <w:bookmarkStart w:id="811" w:name="_Toc2633"/>
      <w:bookmarkStart w:id="812" w:name="_Toc18596"/>
      <w:bookmarkStart w:id="813" w:name="_Toc3179"/>
      <w:bookmarkStart w:id="814" w:name="_Toc390869106"/>
      <w:bookmarkStart w:id="815" w:name="_Toc391374729"/>
      <w:bookmarkStart w:id="816" w:name="_Toc15188"/>
      <w:r>
        <w:t>9.2</w:t>
      </w:r>
      <w:r>
        <w:rPr>
          <w:rFonts w:hint="eastAsia"/>
          <w:lang w:val="en-US" w:eastAsia="zh-CN"/>
        </w:rPr>
        <w:t xml:space="preserve"> </w:t>
      </w:r>
      <w:r>
        <w:rPr>
          <w:rFonts w:hint="eastAsia"/>
        </w:rPr>
        <w:t>应急演练</w:t>
      </w:r>
      <w:bookmarkEnd w:id="805"/>
      <w:bookmarkEnd w:id="806"/>
      <w:bookmarkEnd w:id="807"/>
      <w:bookmarkEnd w:id="808"/>
      <w:bookmarkEnd w:id="809"/>
      <w:bookmarkEnd w:id="810"/>
      <w:bookmarkEnd w:id="811"/>
      <w:bookmarkEnd w:id="812"/>
      <w:bookmarkEnd w:id="813"/>
      <w:bookmarkEnd w:id="814"/>
      <w:bookmarkEnd w:id="815"/>
      <w:bookmarkEnd w:id="816"/>
    </w:p>
    <w:p>
      <w:pPr>
        <w:pStyle w:val="6"/>
        <w:bidi w:val="0"/>
      </w:pPr>
      <w:bookmarkStart w:id="817" w:name="_Toc17419"/>
      <w:bookmarkStart w:id="818" w:name="_Toc390868978"/>
      <w:bookmarkStart w:id="819" w:name="_Toc8225"/>
      <w:bookmarkStart w:id="820" w:name="_Toc22114"/>
      <w:bookmarkStart w:id="821" w:name="_Toc37600132"/>
      <w:r>
        <w:t>9.2.1</w:t>
      </w:r>
      <w:r>
        <w:rPr>
          <w:rFonts w:hint="eastAsia"/>
          <w:lang w:val="en-US" w:eastAsia="zh-CN"/>
        </w:rPr>
        <w:t xml:space="preserve"> </w:t>
      </w:r>
      <w:r>
        <w:rPr>
          <w:rFonts w:hint="eastAsia"/>
        </w:rPr>
        <w:t>演练分类及内容</w:t>
      </w:r>
      <w:bookmarkEnd w:id="817"/>
      <w:bookmarkEnd w:id="818"/>
      <w:bookmarkEnd w:id="819"/>
      <w:bookmarkEnd w:id="820"/>
      <w:bookmarkEnd w:id="821"/>
    </w:p>
    <w:p>
      <w:pPr>
        <w:pStyle w:val="90"/>
        <w:ind w:firstLine="482"/>
        <w:rPr>
          <w:b/>
        </w:rPr>
      </w:pPr>
      <w:r>
        <w:rPr>
          <w:rFonts w:hint="eastAsia"/>
          <w:b/>
        </w:rPr>
        <w:t>（</w:t>
      </w:r>
      <w:r>
        <w:rPr>
          <w:b/>
        </w:rPr>
        <w:t>1</w:t>
      </w:r>
      <w:r>
        <w:rPr>
          <w:rFonts w:hint="eastAsia"/>
          <w:b/>
        </w:rPr>
        <w:t>）演练分类</w:t>
      </w:r>
    </w:p>
    <w:p>
      <w:pPr>
        <w:pStyle w:val="90"/>
        <w:ind w:firstLine="480"/>
      </w:pPr>
      <w:r>
        <w:rPr>
          <w:rFonts w:hint="eastAsia"/>
        </w:rPr>
        <w:t>组织指挥演练：由指挥领导小组组长和各专业小组负责人分别按应急救援预案要求，以组织指挥的形式组织实施应急救援任务的演练；</w:t>
      </w:r>
    </w:p>
    <w:p>
      <w:pPr>
        <w:pStyle w:val="90"/>
        <w:ind w:firstLine="480"/>
      </w:pPr>
      <w:r>
        <w:rPr>
          <w:rFonts w:hint="eastAsia"/>
        </w:rPr>
        <w:t>单项演练：由各专业小组各自开展的应急救援任务中的单项科目的演练；</w:t>
      </w:r>
    </w:p>
    <w:p>
      <w:pPr>
        <w:pStyle w:val="90"/>
        <w:ind w:firstLine="480"/>
      </w:pPr>
      <w:r>
        <w:rPr>
          <w:rFonts w:hint="eastAsia"/>
        </w:rPr>
        <w:t>综合演练：由应急救援部按应急救援预案要求，开展的全面演练。</w:t>
      </w:r>
    </w:p>
    <w:p>
      <w:pPr>
        <w:pStyle w:val="90"/>
        <w:ind w:firstLine="482"/>
        <w:rPr>
          <w:b/>
        </w:rPr>
      </w:pPr>
      <w:r>
        <w:rPr>
          <w:rFonts w:hint="eastAsia"/>
          <w:b/>
        </w:rPr>
        <w:t>（</w:t>
      </w:r>
      <w:r>
        <w:rPr>
          <w:b/>
        </w:rPr>
        <w:t>2</w:t>
      </w:r>
      <w:r>
        <w:rPr>
          <w:rFonts w:hint="eastAsia"/>
          <w:b/>
        </w:rPr>
        <w:t>）演练内容</w:t>
      </w:r>
    </w:p>
    <w:p>
      <w:pPr>
        <w:pStyle w:val="90"/>
        <w:ind w:firstLine="480"/>
      </w:pPr>
      <w:r>
        <w:rPr>
          <w:rFonts w:hint="eastAsia" w:ascii="宋体"/>
        </w:rPr>
        <w:t>⊙</w:t>
      </w:r>
      <w:r>
        <w:rPr>
          <w:rFonts w:hint="eastAsia"/>
        </w:rPr>
        <w:t>车间、仓库发生火灾，化学品、危险废物临时存放点泄漏的应急处置抢险；</w:t>
      </w:r>
    </w:p>
    <w:p>
      <w:pPr>
        <w:pStyle w:val="90"/>
        <w:ind w:firstLine="480"/>
      </w:pPr>
      <w:r>
        <w:rPr>
          <w:rFonts w:hint="eastAsia" w:ascii="宋体"/>
        </w:rPr>
        <w:t>⊙</w:t>
      </w:r>
      <w:r>
        <w:rPr>
          <w:rFonts w:hint="eastAsia"/>
        </w:rPr>
        <w:t>通信及报警信号的联络；</w:t>
      </w:r>
    </w:p>
    <w:p>
      <w:pPr>
        <w:pStyle w:val="90"/>
        <w:ind w:firstLine="480"/>
      </w:pPr>
      <w:r>
        <w:rPr>
          <w:rFonts w:hint="eastAsia" w:ascii="宋体"/>
        </w:rPr>
        <w:t>⊙</w:t>
      </w:r>
      <w:r>
        <w:rPr>
          <w:rFonts w:hint="eastAsia"/>
        </w:rPr>
        <w:t>急救及医疗；</w:t>
      </w:r>
    </w:p>
    <w:p>
      <w:pPr>
        <w:pStyle w:val="90"/>
        <w:ind w:firstLine="480"/>
      </w:pPr>
      <w:r>
        <w:rPr>
          <w:rFonts w:hint="eastAsia" w:ascii="宋体"/>
        </w:rPr>
        <w:t>⊙</w:t>
      </w:r>
      <w:r>
        <w:rPr>
          <w:rFonts w:hint="eastAsia"/>
        </w:rPr>
        <w:t>应急抢救处理；</w:t>
      </w:r>
    </w:p>
    <w:p>
      <w:pPr>
        <w:pStyle w:val="90"/>
        <w:ind w:firstLine="480"/>
      </w:pPr>
      <w:r>
        <w:rPr>
          <w:rFonts w:hint="eastAsia" w:ascii="宋体"/>
        </w:rPr>
        <w:t>⊙</w:t>
      </w:r>
      <w:r>
        <w:rPr>
          <w:rFonts w:hint="eastAsia"/>
        </w:rPr>
        <w:t>防护指导，包括专业人员的个人防护及员工的自我防护；</w:t>
      </w:r>
    </w:p>
    <w:p>
      <w:pPr>
        <w:pStyle w:val="90"/>
        <w:ind w:firstLine="480"/>
      </w:pPr>
      <w:r>
        <w:rPr>
          <w:rFonts w:hint="eastAsia" w:ascii="宋体"/>
        </w:rPr>
        <w:t>⊙</w:t>
      </w:r>
      <w:r>
        <w:rPr>
          <w:rFonts w:hint="eastAsia"/>
        </w:rPr>
        <w:t>各种标志、设置警戒范围及人员控制；</w:t>
      </w:r>
    </w:p>
    <w:p>
      <w:pPr>
        <w:pStyle w:val="90"/>
        <w:ind w:firstLine="480"/>
      </w:pPr>
      <w:r>
        <w:rPr>
          <w:rFonts w:hint="eastAsia" w:ascii="宋体"/>
        </w:rPr>
        <w:t>⊙</w:t>
      </w:r>
      <w:r>
        <w:rPr>
          <w:rFonts w:hint="eastAsia"/>
        </w:rPr>
        <w:t>厂内交通控制及管理；</w:t>
      </w:r>
    </w:p>
    <w:p>
      <w:pPr>
        <w:pStyle w:val="90"/>
        <w:ind w:firstLine="480"/>
      </w:pPr>
      <w:r>
        <w:rPr>
          <w:rFonts w:hint="eastAsia" w:ascii="宋体"/>
        </w:rPr>
        <w:t>⊙</w:t>
      </w:r>
      <w:r>
        <w:rPr>
          <w:rFonts w:hint="eastAsia"/>
        </w:rPr>
        <w:t>泄漏污染区域内人员的疏散撤离及人员清查；</w:t>
      </w:r>
    </w:p>
    <w:p>
      <w:pPr>
        <w:pStyle w:val="90"/>
        <w:ind w:firstLine="480"/>
      </w:pPr>
      <w:r>
        <w:rPr>
          <w:rFonts w:hint="eastAsia" w:ascii="宋体"/>
        </w:rPr>
        <w:t>⊙</w:t>
      </w:r>
      <w:r>
        <w:rPr>
          <w:rFonts w:hint="eastAsia"/>
        </w:rPr>
        <w:t>向上级报告情况及向友邻单位通报情况；</w:t>
      </w:r>
    </w:p>
    <w:p>
      <w:pPr>
        <w:pStyle w:val="90"/>
        <w:ind w:firstLine="480"/>
      </w:pPr>
      <w:r>
        <w:rPr>
          <w:rFonts w:hint="eastAsia" w:ascii="宋体"/>
        </w:rPr>
        <w:t>⊙</w:t>
      </w:r>
      <w:r>
        <w:rPr>
          <w:rFonts w:hint="eastAsia"/>
        </w:rPr>
        <w:t>事故的善后工作。</w:t>
      </w:r>
      <w:bookmarkStart w:id="822" w:name="_Toc386210832"/>
    </w:p>
    <w:p>
      <w:pPr>
        <w:pStyle w:val="6"/>
        <w:bidi w:val="0"/>
      </w:pPr>
      <w:bookmarkStart w:id="823" w:name="_Toc390868979"/>
      <w:bookmarkStart w:id="824" w:name="_Toc18722"/>
      <w:bookmarkStart w:id="825" w:name="_Toc13663"/>
      <w:bookmarkStart w:id="826" w:name="_Toc6439"/>
      <w:bookmarkStart w:id="827" w:name="_Toc37600133"/>
      <w:r>
        <w:t xml:space="preserve">9.2.2 </w:t>
      </w:r>
      <w:r>
        <w:rPr>
          <w:rFonts w:hint="eastAsia"/>
        </w:rPr>
        <w:t>演练组织与级别</w:t>
      </w:r>
      <w:bookmarkEnd w:id="822"/>
      <w:bookmarkEnd w:id="823"/>
      <w:bookmarkEnd w:id="824"/>
      <w:bookmarkEnd w:id="825"/>
      <w:bookmarkEnd w:id="826"/>
      <w:bookmarkEnd w:id="827"/>
    </w:p>
    <w:p>
      <w:pPr>
        <w:pStyle w:val="90"/>
        <w:ind w:firstLine="480"/>
      </w:pPr>
      <w:r>
        <w:rPr>
          <w:rFonts w:hint="eastAsia"/>
        </w:rPr>
        <w:t>应急演练分为部门、公司级演练和配合政府部门演练三级；</w:t>
      </w:r>
    </w:p>
    <w:p>
      <w:pPr>
        <w:pStyle w:val="90"/>
        <w:ind w:firstLine="480"/>
      </w:pPr>
      <w:r>
        <w:rPr>
          <w:rFonts w:hint="eastAsia"/>
        </w:rPr>
        <w:t>部门级的演练由部门负责人（现场指挥）组织进行，公司安全、环保、技术及相关部门派员观摩指导；</w:t>
      </w:r>
    </w:p>
    <w:p>
      <w:pPr>
        <w:pStyle w:val="90"/>
        <w:ind w:firstLine="480"/>
      </w:pPr>
      <w:r>
        <w:rPr>
          <w:rFonts w:hint="eastAsia"/>
        </w:rPr>
        <w:t>公司级演练由公司应急小组组织进行，各相关部门参加；</w:t>
      </w:r>
    </w:p>
    <w:p>
      <w:pPr>
        <w:pStyle w:val="90"/>
        <w:ind w:firstLine="480"/>
      </w:pPr>
      <w:r>
        <w:rPr>
          <w:rFonts w:hint="eastAsia"/>
        </w:rPr>
        <w:t>与政府有关部门的联合演练，由政府有关部门组织进行，公司应急小组成员参加，相关部门人员参加配合。</w:t>
      </w:r>
      <w:bookmarkStart w:id="828" w:name="_Toc386210833"/>
    </w:p>
    <w:p>
      <w:pPr>
        <w:pStyle w:val="6"/>
        <w:bidi w:val="0"/>
      </w:pPr>
      <w:bookmarkStart w:id="829" w:name="_Toc390868980"/>
      <w:bookmarkStart w:id="830" w:name="_Toc4940"/>
      <w:bookmarkStart w:id="831" w:name="_Toc8358"/>
      <w:bookmarkStart w:id="832" w:name="_Toc22598"/>
      <w:bookmarkStart w:id="833" w:name="_Toc37600134"/>
      <w:r>
        <w:t xml:space="preserve">9.2.3 </w:t>
      </w:r>
      <w:r>
        <w:rPr>
          <w:rFonts w:hint="eastAsia"/>
        </w:rPr>
        <w:t>演练准备</w:t>
      </w:r>
      <w:bookmarkEnd w:id="828"/>
      <w:bookmarkEnd w:id="829"/>
      <w:bookmarkEnd w:id="830"/>
      <w:bookmarkEnd w:id="831"/>
      <w:bookmarkEnd w:id="832"/>
      <w:bookmarkEnd w:id="833"/>
    </w:p>
    <w:p>
      <w:pPr>
        <w:pStyle w:val="90"/>
        <w:ind w:firstLine="480"/>
      </w:pPr>
      <w:r>
        <w:rPr>
          <w:rFonts w:hint="eastAsia"/>
        </w:rPr>
        <w:t>演练确定年度工作计划时，制订演练方案，按演练级别报应急总指挥审批；</w:t>
      </w:r>
    </w:p>
    <w:p>
      <w:pPr>
        <w:pStyle w:val="90"/>
        <w:ind w:firstLine="480"/>
      </w:pPr>
      <w:r>
        <w:rPr>
          <w:rFonts w:hint="eastAsia"/>
        </w:rPr>
        <w:t>演练前应落实所需的各种器材装备与物资、交通车辆、防护器材的准备，以确保演练顺利进行；</w:t>
      </w:r>
    </w:p>
    <w:p>
      <w:pPr>
        <w:pStyle w:val="90"/>
        <w:ind w:firstLine="480"/>
      </w:pPr>
      <w:r>
        <w:rPr>
          <w:rFonts w:hint="eastAsia"/>
        </w:rPr>
        <w:t>演练前应通知周边社区、企业人员，必要时与新闻媒体沟通，以避免造成不必要的影响。</w:t>
      </w:r>
    </w:p>
    <w:p>
      <w:pPr>
        <w:pStyle w:val="6"/>
        <w:bidi w:val="0"/>
      </w:pPr>
      <w:bookmarkStart w:id="834" w:name="_Toc386210834"/>
      <w:bookmarkStart w:id="835" w:name="_Toc2130"/>
      <w:bookmarkStart w:id="836" w:name="_Toc5357"/>
      <w:bookmarkStart w:id="837" w:name="_Toc390868981"/>
      <w:bookmarkStart w:id="838" w:name="_Toc37600135"/>
      <w:bookmarkStart w:id="839" w:name="_Toc15356"/>
      <w:r>
        <w:t xml:space="preserve">9.2.4 </w:t>
      </w:r>
      <w:r>
        <w:rPr>
          <w:rFonts w:hint="eastAsia"/>
        </w:rPr>
        <w:t>演练频次与范围</w:t>
      </w:r>
      <w:bookmarkEnd w:id="834"/>
      <w:bookmarkEnd w:id="835"/>
      <w:bookmarkEnd w:id="836"/>
      <w:bookmarkEnd w:id="837"/>
      <w:bookmarkEnd w:id="838"/>
      <w:bookmarkEnd w:id="839"/>
    </w:p>
    <w:p>
      <w:pPr>
        <w:pStyle w:val="90"/>
        <w:ind w:firstLine="480"/>
      </w:pPr>
      <w:r>
        <w:rPr>
          <w:rFonts w:hint="eastAsia"/>
        </w:rPr>
        <w:t>车间部门演练（或训练）以报警、报告程序、现场应急处置、紧急疏散等熟悉应急响应和某项应急功能的单项演练，演练频次每年</w:t>
      </w:r>
      <w:r>
        <w:t>2</w:t>
      </w:r>
      <w:r>
        <w:rPr>
          <w:rFonts w:hint="eastAsia"/>
        </w:rPr>
        <w:t>次以上；</w:t>
      </w:r>
    </w:p>
    <w:p>
      <w:pPr>
        <w:pStyle w:val="90"/>
        <w:ind w:firstLine="480"/>
      </w:pPr>
      <w:r>
        <w:rPr>
          <w:rFonts w:hint="eastAsia"/>
        </w:rPr>
        <w:t>公司级演练以多个应急小组之间或某些外部应急组织之间相互协调进行的演练与公司级预案全部或部分功能的综合演练，演练频次每年</w:t>
      </w:r>
      <w:r>
        <w:t>1</w:t>
      </w:r>
      <w:r>
        <w:rPr>
          <w:rFonts w:hint="eastAsia"/>
        </w:rPr>
        <w:t>次以上。</w:t>
      </w:r>
    </w:p>
    <w:p>
      <w:pPr>
        <w:pStyle w:val="90"/>
        <w:ind w:firstLine="480"/>
      </w:pPr>
      <w:r>
        <w:rPr>
          <w:rFonts w:hint="eastAsia"/>
        </w:rPr>
        <w:t>政府有关部门的演练，公司积极组织参加。</w:t>
      </w:r>
    </w:p>
    <w:p>
      <w:pPr>
        <w:pStyle w:val="6"/>
        <w:bidi w:val="0"/>
      </w:pPr>
      <w:bookmarkStart w:id="840" w:name="_Toc25829"/>
      <w:bookmarkStart w:id="841" w:name="_Toc237167819"/>
      <w:bookmarkStart w:id="842" w:name="_Toc30697"/>
      <w:bookmarkStart w:id="843" w:name="_Toc27228"/>
      <w:bookmarkStart w:id="844" w:name="_Toc397587034"/>
      <w:bookmarkStart w:id="845" w:name="_Toc319753163"/>
      <w:bookmarkStart w:id="846" w:name="_Toc37600136"/>
      <w:r>
        <w:t xml:space="preserve">9.2.5 </w:t>
      </w:r>
      <w:r>
        <w:rPr>
          <w:rFonts w:hint="eastAsia"/>
        </w:rPr>
        <w:t>预案评估和修正</w:t>
      </w:r>
      <w:bookmarkEnd w:id="840"/>
      <w:bookmarkEnd w:id="841"/>
      <w:bookmarkEnd w:id="842"/>
      <w:bookmarkEnd w:id="843"/>
      <w:bookmarkEnd w:id="844"/>
      <w:bookmarkEnd w:id="845"/>
      <w:bookmarkEnd w:id="846"/>
    </w:p>
    <w:p>
      <w:pPr>
        <w:pStyle w:val="90"/>
        <w:ind w:firstLine="480"/>
      </w:pPr>
      <w:r>
        <w:t>1.</w:t>
      </w:r>
      <w:r>
        <w:rPr>
          <w:rFonts w:hint="eastAsia"/>
        </w:rPr>
        <w:t>预案评估</w:t>
      </w:r>
    </w:p>
    <w:p>
      <w:pPr>
        <w:pStyle w:val="90"/>
        <w:ind w:firstLine="480"/>
      </w:pPr>
      <w:r>
        <w:rPr>
          <w:rFonts w:hint="eastAsia"/>
        </w:rPr>
        <w:t>各部门经演练后进行讲评和总结，及时发现事件应急预案集中存在的问题，并从中找到改进的措施。</w:t>
      </w:r>
    </w:p>
    <w:p>
      <w:pPr>
        <w:pStyle w:val="90"/>
        <w:ind w:firstLine="480"/>
      </w:pPr>
      <w:r>
        <w:t>2</w:t>
      </w:r>
      <w:r>
        <w:rPr>
          <w:rFonts w:hint="eastAsia"/>
        </w:rPr>
        <w:t>、预案修正</w:t>
      </w:r>
    </w:p>
    <w:p>
      <w:pPr>
        <w:pStyle w:val="90"/>
        <w:ind w:firstLine="480"/>
      </w:pPr>
      <w:r>
        <w:rPr>
          <w:rFonts w:hint="eastAsia" w:ascii="宋体"/>
        </w:rPr>
        <w:t>①</w:t>
      </w:r>
      <w:r>
        <w:rPr>
          <w:rFonts w:hint="eastAsia"/>
        </w:rPr>
        <w:t>事件应急救援预案经演练评估后，对演练中存在的问题应及时进行修正、补充、完善，使预案进一步合理化；</w:t>
      </w:r>
    </w:p>
    <w:p>
      <w:pPr>
        <w:pStyle w:val="90"/>
        <w:ind w:firstLine="480"/>
      </w:pPr>
      <w:r>
        <w:rPr>
          <w:rFonts w:hint="eastAsia" w:ascii="宋体"/>
        </w:rPr>
        <w:t>②</w:t>
      </w:r>
      <w:r>
        <w:rPr>
          <w:rFonts w:hint="eastAsia"/>
        </w:rPr>
        <w:t>应急救援危险目标内的生产工艺、装置等有所变化，应对预案及时进行修正。</w:t>
      </w:r>
    </w:p>
    <w:p>
      <w:pPr>
        <w:pStyle w:val="6"/>
        <w:bidi w:val="0"/>
      </w:pPr>
      <w:bookmarkStart w:id="847" w:name="_Toc27139"/>
      <w:bookmarkStart w:id="848" w:name="_Toc37600137"/>
      <w:bookmarkStart w:id="849" w:name="_Toc10808"/>
      <w:bookmarkStart w:id="850" w:name="_Toc11015"/>
      <w:bookmarkStart w:id="851" w:name="_Toc397587035"/>
      <w:r>
        <w:t xml:space="preserve">9.2.6 </w:t>
      </w:r>
      <w:r>
        <w:rPr>
          <w:rFonts w:hint="eastAsia"/>
        </w:rPr>
        <w:t>实战演练方案</w:t>
      </w:r>
      <w:bookmarkEnd w:id="847"/>
      <w:bookmarkEnd w:id="848"/>
      <w:bookmarkEnd w:id="849"/>
      <w:bookmarkEnd w:id="850"/>
      <w:bookmarkEnd w:id="851"/>
    </w:p>
    <w:p>
      <w:pPr>
        <w:pStyle w:val="90"/>
        <w:ind w:firstLine="480"/>
      </w:pPr>
      <w:r>
        <w:t>1</w:t>
      </w:r>
      <w:r>
        <w:rPr>
          <w:rFonts w:hint="eastAsia"/>
        </w:rPr>
        <w:t>、救援小组接到警报后，在</w:t>
      </w:r>
      <w:r>
        <w:t>15</w:t>
      </w:r>
      <w:r>
        <w:rPr>
          <w:rFonts w:hint="eastAsia"/>
        </w:rPr>
        <w:t>分钟之内到达事件现场，进行调查取证，保护现场，查找污染源，并对事件类型、发生时间、地点、污染源、主要污染物质、影响的范围和程度等基本情况进行初步调查分析，形成初步意见，及时反馈应急指挥组。</w:t>
      </w:r>
    </w:p>
    <w:p>
      <w:pPr>
        <w:pStyle w:val="90"/>
        <w:ind w:firstLine="480"/>
      </w:pPr>
      <w:r>
        <w:t>2</w:t>
      </w:r>
      <w:r>
        <w:rPr>
          <w:rFonts w:hint="eastAsia"/>
        </w:rPr>
        <w:t>、救援：</w:t>
      </w:r>
      <w:r>
        <w:rPr>
          <w:rFonts w:hint="eastAsia" w:ascii="宋体"/>
        </w:rPr>
        <w:t>①</w:t>
      </w:r>
      <w:r>
        <w:rPr>
          <w:rFonts w:hint="eastAsia"/>
        </w:rPr>
        <w:t>用水保持火场，并用水喷淋保护去抢救的人员；</w:t>
      </w:r>
      <w:r>
        <w:rPr>
          <w:rFonts w:hint="eastAsia" w:ascii="宋体"/>
        </w:rPr>
        <w:t>②</w:t>
      </w:r>
      <w:r>
        <w:rPr>
          <w:rFonts w:hint="eastAsia"/>
        </w:rPr>
        <w:t>用干粉、二氧化碳或抗溶性泡沫灭火剂进行灭火，也可以用沙土进行覆盖，防止火势进一步蔓延；喷水保持火场容器冷却，直至灭火结束。</w:t>
      </w:r>
      <w:r>
        <w:rPr>
          <w:rFonts w:hint="eastAsia" w:ascii="宋体"/>
        </w:rPr>
        <w:t>③</w:t>
      </w:r>
      <w:r>
        <w:rPr>
          <w:rFonts w:hint="eastAsia"/>
        </w:rPr>
        <w:t>如火灾无法控制，可能发生连锁爆炸时，要及时通知并疏散周围的居民及企业员工，防止造成人员伤亡。</w:t>
      </w:r>
      <w:r>
        <w:rPr>
          <w:rFonts w:hint="eastAsia" w:ascii="宋体"/>
        </w:rPr>
        <w:t>④</w:t>
      </w:r>
      <w:r>
        <w:rPr>
          <w:rFonts w:hint="eastAsia"/>
        </w:rPr>
        <w:t>经过抢险后，抢险组负责人报告：现场处理完毕；指挥中心发布命令：结束应急状态，解除警报；通信联络组发出警报解除的通知</w:t>
      </w:r>
      <w:r>
        <w:rPr>
          <w:rStyle w:val="76"/>
          <w:rFonts w:hint="eastAsia" w:eastAsia="仿宋_GB2312" w:cs="仿宋_GB2312"/>
        </w:rPr>
        <w:t>。</w:t>
      </w:r>
    </w:p>
    <w:p>
      <w:pPr>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4"/>
        <w:bidi w:val="0"/>
      </w:pPr>
      <w:bookmarkStart w:id="852" w:name="_Toc8363"/>
      <w:bookmarkStart w:id="853" w:name="_Toc21993"/>
      <w:bookmarkStart w:id="854" w:name="_Toc18815_WPSOffice_Level1"/>
      <w:bookmarkStart w:id="855" w:name="_Toc29447"/>
      <w:bookmarkStart w:id="856" w:name="_Toc37600138"/>
      <w:bookmarkStart w:id="857" w:name="_Toc9611"/>
      <w:bookmarkStart w:id="858" w:name="_Toc30290"/>
      <w:bookmarkStart w:id="859" w:name="_Toc25079"/>
      <w:r>
        <w:t xml:space="preserve">10 </w:t>
      </w:r>
      <w:r>
        <w:rPr>
          <w:rFonts w:hint="eastAsia"/>
        </w:rPr>
        <w:t>奖惩</w:t>
      </w:r>
      <w:bookmarkEnd w:id="852"/>
      <w:bookmarkEnd w:id="853"/>
      <w:bookmarkEnd w:id="854"/>
      <w:bookmarkEnd w:id="855"/>
      <w:bookmarkEnd w:id="856"/>
      <w:bookmarkEnd w:id="857"/>
      <w:bookmarkEnd w:id="858"/>
      <w:bookmarkEnd w:id="859"/>
    </w:p>
    <w:p>
      <w:pPr>
        <w:pStyle w:val="90"/>
        <w:ind w:firstLine="480"/>
      </w:pPr>
      <w:r>
        <w:rPr>
          <w:rFonts w:hint="eastAsia"/>
        </w:rPr>
        <w:t>企业对预案实施过程中的行为和表现依据下列规定</w:t>
      </w:r>
      <w:r>
        <w:rPr>
          <w:rFonts w:hint="eastAsia"/>
          <w:lang w:val="en-US" w:eastAsia="zh-CN"/>
        </w:rPr>
        <w:t>给予</w:t>
      </w:r>
      <w:r>
        <w:rPr>
          <w:rFonts w:hint="eastAsia"/>
        </w:rPr>
        <w:t>奖惩。</w:t>
      </w:r>
    </w:p>
    <w:p>
      <w:pPr>
        <w:pStyle w:val="5"/>
        <w:bidi w:val="0"/>
      </w:pPr>
      <w:bookmarkStart w:id="860" w:name="_Toc391374731"/>
      <w:bookmarkStart w:id="861" w:name="_Toc15354"/>
      <w:bookmarkStart w:id="862" w:name="_Toc31841"/>
      <w:bookmarkStart w:id="863" w:name="_Toc37600139"/>
      <w:bookmarkStart w:id="864" w:name="_Toc386980313"/>
      <w:bookmarkStart w:id="865" w:name="_Toc390868983"/>
      <w:bookmarkStart w:id="866" w:name="_Toc1845"/>
      <w:bookmarkStart w:id="867" w:name="_Toc387409177"/>
      <w:bookmarkStart w:id="868" w:name="_Toc27371"/>
      <w:bookmarkStart w:id="869" w:name="_Toc21742"/>
      <w:bookmarkStart w:id="870" w:name="_Toc992"/>
      <w:bookmarkStart w:id="871" w:name="_Toc390869108"/>
      <w:bookmarkStart w:id="872" w:name="_Toc25311_WPSOffice_Level1"/>
      <w:r>
        <w:t xml:space="preserve">10.1 </w:t>
      </w:r>
      <w:r>
        <w:rPr>
          <w:rFonts w:hint="eastAsia"/>
        </w:rPr>
        <w:t>奖励</w:t>
      </w:r>
      <w:bookmarkEnd w:id="860"/>
      <w:bookmarkEnd w:id="861"/>
      <w:bookmarkEnd w:id="862"/>
      <w:bookmarkEnd w:id="863"/>
      <w:bookmarkEnd w:id="864"/>
      <w:bookmarkEnd w:id="865"/>
      <w:bookmarkEnd w:id="866"/>
      <w:bookmarkEnd w:id="867"/>
      <w:bookmarkEnd w:id="868"/>
      <w:bookmarkEnd w:id="869"/>
      <w:bookmarkEnd w:id="870"/>
      <w:bookmarkEnd w:id="871"/>
      <w:bookmarkEnd w:id="872"/>
    </w:p>
    <w:p>
      <w:pPr>
        <w:pStyle w:val="90"/>
        <w:ind w:firstLine="480"/>
      </w:pPr>
      <w:r>
        <w:rPr>
          <w:rFonts w:hint="eastAsia"/>
        </w:rPr>
        <w:t>企业对参加应急救援工作作出贡献的部门和个人，对举报突发环境事件有功的部门和个人</w:t>
      </w:r>
      <w:r>
        <w:rPr>
          <w:rFonts w:hint="eastAsia"/>
          <w:lang w:val="en-US" w:eastAsia="zh-CN"/>
        </w:rPr>
        <w:t>给予</w:t>
      </w:r>
      <w:r>
        <w:rPr>
          <w:rFonts w:hint="eastAsia"/>
        </w:rPr>
        <w:t>表彰和奖励。对因参加突发环境事件应急处理工作致病、致残、死亡的人员，按照国家有关规定</w:t>
      </w:r>
      <w:r>
        <w:rPr>
          <w:rFonts w:hint="eastAsia"/>
          <w:lang w:val="en-US" w:eastAsia="zh-CN"/>
        </w:rPr>
        <w:t>给予</w:t>
      </w:r>
      <w:r>
        <w:rPr>
          <w:rFonts w:hint="eastAsia"/>
        </w:rPr>
        <w:t>相应的补助和抚恤。</w:t>
      </w:r>
    </w:p>
    <w:p>
      <w:pPr>
        <w:pStyle w:val="90"/>
        <w:ind w:firstLine="480"/>
      </w:pPr>
      <w:r>
        <w:rPr>
          <w:rFonts w:hint="eastAsia"/>
        </w:rPr>
        <w:t>在应急救援工作中有下列事迹之一的部门和个人，由企业依据有关规定</w:t>
      </w:r>
      <w:r>
        <w:rPr>
          <w:rFonts w:hint="eastAsia"/>
          <w:lang w:val="en-US" w:eastAsia="zh-CN"/>
        </w:rPr>
        <w:t>给予</w:t>
      </w:r>
      <w:r>
        <w:rPr>
          <w:rFonts w:hint="eastAsia"/>
        </w:rPr>
        <w:t>奖励：</w:t>
      </w:r>
    </w:p>
    <w:p>
      <w:pPr>
        <w:pStyle w:val="90"/>
        <w:ind w:firstLine="480"/>
      </w:pPr>
      <w:r>
        <w:rPr>
          <w:rFonts w:hint="eastAsia"/>
        </w:rPr>
        <w:t>（</w:t>
      </w:r>
      <w:r>
        <w:t>1</w:t>
      </w:r>
      <w:r>
        <w:rPr>
          <w:rFonts w:hint="eastAsia"/>
        </w:rPr>
        <w:t>）出色完成应急救援任务，成绩显著的；</w:t>
      </w:r>
    </w:p>
    <w:p>
      <w:pPr>
        <w:pStyle w:val="90"/>
        <w:ind w:firstLine="480"/>
      </w:pPr>
      <w:r>
        <w:rPr>
          <w:rFonts w:hint="eastAsia"/>
        </w:rPr>
        <w:t>（</w:t>
      </w:r>
      <w:r>
        <w:t>2</w:t>
      </w:r>
      <w:r>
        <w:rPr>
          <w:rFonts w:hint="eastAsia"/>
        </w:rPr>
        <w:t>）防止或拯救事故灾难有功，使职工的生命免受伤害的；</w:t>
      </w:r>
    </w:p>
    <w:p>
      <w:pPr>
        <w:pStyle w:val="90"/>
        <w:ind w:firstLine="480"/>
      </w:pPr>
      <w:r>
        <w:rPr>
          <w:rFonts w:hint="eastAsia"/>
        </w:rPr>
        <w:t>（</w:t>
      </w:r>
      <w:r>
        <w:t>3</w:t>
      </w:r>
      <w:r>
        <w:rPr>
          <w:rFonts w:hint="eastAsia"/>
        </w:rPr>
        <w:t>）对事故应急准备与响应提出重大建议，实施效果显著的；</w:t>
      </w:r>
    </w:p>
    <w:p>
      <w:pPr>
        <w:pStyle w:val="90"/>
        <w:ind w:firstLine="480"/>
      </w:pPr>
      <w:r>
        <w:rPr>
          <w:rFonts w:hint="eastAsia"/>
        </w:rPr>
        <w:t>（</w:t>
      </w:r>
      <w:r>
        <w:t>4</w:t>
      </w:r>
      <w:r>
        <w:rPr>
          <w:rFonts w:hint="eastAsia"/>
        </w:rPr>
        <w:t>）在应急救援工作中有其他特殊贡献的。</w:t>
      </w:r>
      <w:bookmarkStart w:id="873" w:name="_Toc386980314"/>
    </w:p>
    <w:p>
      <w:pPr>
        <w:pStyle w:val="5"/>
        <w:bidi w:val="0"/>
      </w:pPr>
      <w:bookmarkStart w:id="874" w:name="_Toc7604"/>
      <w:bookmarkStart w:id="875" w:name="_Toc31650"/>
      <w:bookmarkStart w:id="876" w:name="_Toc37600140"/>
      <w:bookmarkStart w:id="877" w:name="_Toc5481"/>
      <w:bookmarkStart w:id="878" w:name="_Toc390869109"/>
      <w:bookmarkStart w:id="879" w:name="_Toc26280_WPSOffice_Level1"/>
      <w:bookmarkStart w:id="880" w:name="_Toc17945"/>
      <w:bookmarkStart w:id="881" w:name="_Toc387409178"/>
      <w:bookmarkStart w:id="882" w:name="_Toc11174"/>
      <w:bookmarkStart w:id="883" w:name="_Toc391374732"/>
      <w:bookmarkStart w:id="884" w:name="_Toc390868984"/>
      <w:bookmarkStart w:id="885" w:name="_Toc23905"/>
      <w:r>
        <w:t xml:space="preserve">10.2 </w:t>
      </w:r>
      <w:r>
        <w:rPr>
          <w:rFonts w:hint="eastAsia"/>
        </w:rPr>
        <w:t>责任追究</w:t>
      </w:r>
      <w:bookmarkEnd w:id="873"/>
      <w:bookmarkEnd w:id="874"/>
      <w:bookmarkEnd w:id="875"/>
      <w:bookmarkEnd w:id="876"/>
      <w:bookmarkEnd w:id="877"/>
      <w:bookmarkEnd w:id="878"/>
      <w:bookmarkEnd w:id="879"/>
      <w:bookmarkEnd w:id="880"/>
      <w:bookmarkEnd w:id="881"/>
      <w:bookmarkEnd w:id="882"/>
      <w:bookmarkEnd w:id="883"/>
      <w:bookmarkEnd w:id="884"/>
      <w:bookmarkEnd w:id="885"/>
    </w:p>
    <w:p>
      <w:pPr>
        <w:pStyle w:val="90"/>
        <w:ind w:firstLine="480"/>
      </w:pPr>
      <w:r>
        <w:rPr>
          <w:rFonts w:hint="eastAsia"/>
        </w:rPr>
        <w:t>根据《中华人民共和国突发事件应对法》，对有违法行为的主要负责人、负有责任的主管人员依法由政府有关部门给予行政处分。</w:t>
      </w:r>
    </w:p>
    <w:p>
      <w:pPr>
        <w:pStyle w:val="90"/>
        <w:ind w:firstLine="480"/>
      </w:pPr>
      <w:r>
        <w:rPr>
          <w:rFonts w:hint="eastAsia"/>
        </w:rPr>
        <w:t>启动应急预案后，对应急救援不予配合，或者采取其他方式阻碍、干涉应急救援的当事人，由本公司交由环境保护局、公安部门依法进行处理；构成犯罪的，交给政府有关部门依法追究刑事责任。</w:t>
      </w:r>
    </w:p>
    <w:p>
      <w:pPr>
        <w:pStyle w:val="90"/>
        <w:ind w:firstLine="480"/>
      </w:pPr>
      <w:r>
        <w:rPr>
          <w:rFonts w:hint="eastAsia"/>
        </w:rPr>
        <w:t>有下列情形之一的，依照《中华人民共和国环境保护法》等法律法规的规定，对有关责任人依法交给政府有关部门给予行政处分；造成严重后果的，依法给予开除的处分；触犯刑律的，依法追究刑事责任：</w:t>
      </w:r>
    </w:p>
    <w:p>
      <w:pPr>
        <w:pStyle w:val="90"/>
        <w:ind w:firstLine="480"/>
      </w:pPr>
      <w:r>
        <w:rPr>
          <w:rFonts w:hint="eastAsia"/>
        </w:rPr>
        <w:t>（</w:t>
      </w:r>
      <w:r>
        <w:t>1</w:t>
      </w:r>
      <w:r>
        <w:rPr>
          <w:rFonts w:hint="eastAsia"/>
        </w:rPr>
        <w:t>）未依照本预案的规定履行应急救援职责，隐瞒、缓报、谎报或者授意他人隐瞒、缓报、谎报的；</w:t>
      </w:r>
    </w:p>
    <w:p>
      <w:pPr>
        <w:pStyle w:val="90"/>
        <w:ind w:firstLine="480"/>
      </w:pPr>
      <w:r>
        <w:rPr>
          <w:rFonts w:hint="eastAsia"/>
        </w:rPr>
        <w:t>（</w:t>
      </w:r>
      <w:r>
        <w:t>2</w:t>
      </w:r>
      <w:r>
        <w:rPr>
          <w:rFonts w:hint="eastAsia"/>
        </w:rPr>
        <w:t>）未依照本预案的规定落实应急救援所需的设备、设施、救援物资等物资储备的。</w:t>
      </w:r>
    </w:p>
    <w:p>
      <w:pPr>
        <w:pStyle w:val="90"/>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4"/>
        <w:bidi w:val="0"/>
      </w:pPr>
      <w:bookmarkStart w:id="886" w:name="_Toc2569"/>
      <w:bookmarkStart w:id="887" w:name="_Toc4945"/>
      <w:bookmarkStart w:id="888" w:name="_Toc16707"/>
      <w:bookmarkStart w:id="889" w:name="_Toc23686_WPSOffice_Level1"/>
      <w:bookmarkStart w:id="890" w:name="_Toc37600141"/>
      <w:bookmarkStart w:id="891" w:name="_Toc13035"/>
      <w:bookmarkStart w:id="892" w:name="_Toc24937"/>
      <w:bookmarkStart w:id="893" w:name="_Toc1184"/>
      <w:r>
        <w:t xml:space="preserve">11 </w:t>
      </w:r>
      <w:r>
        <w:rPr>
          <w:rFonts w:hint="eastAsia"/>
        </w:rPr>
        <w:t>附则</w:t>
      </w:r>
      <w:bookmarkEnd w:id="886"/>
      <w:bookmarkEnd w:id="887"/>
      <w:bookmarkEnd w:id="888"/>
      <w:bookmarkEnd w:id="889"/>
      <w:bookmarkEnd w:id="890"/>
      <w:bookmarkEnd w:id="891"/>
      <w:bookmarkEnd w:id="892"/>
      <w:bookmarkEnd w:id="893"/>
    </w:p>
    <w:p>
      <w:pPr>
        <w:pStyle w:val="5"/>
        <w:bidi w:val="0"/>
      </w:pPr>
      <w:bookmarkStart w:id="894" w:name="_Toc26968"/>
      <w:bookmarkStart w:id="895" w:name="_Toc22084"/>
      <w:bookmarkStart w:id="896" w:name="_Toc26822"/>
      <w:bookmarkStart w:id="897" w:name="_Toc25710_WPSOffice_Level1"/>
      <w:bookmarkStart w:id="898" w:name="_Toc16801"/>
      <w:bookmarkStart w:id="899" w:name="_Toc37600142"/>
      <w:bookmarkStart w:id="900" w:name="_Toc5109"/>
      <w:bookmarkStart w:id="901" w:name="_Toc21637"/>
      <w:r>
        <w:t xml:space="preserve">11.1 </w:t>
      </w:r>
      <w:r>
        <w:rPr>
          <w:rFonts w:hint="eastAsia"/>
        </w:rPr>
        <w:t>名词术语</w:t>
      </w:r>
      <w:bookmarkEnd w:id="894"/>
      <w:bookmarkEnd w:id="895"/>
      <w:bookmarkEnd w:id="896"/>
      <w:bookmarkEnd w:id="897"/>
      <w:bookmarkEnd w:id="898"/>
      <w:bookmarkEnd w:id="899"/>
      <w:bookmarkEnd w:id="900"/>
      <w:bookmarkEnd w:id="901"/>
    </w:p>
    <w:p>
      <w:pPr>
        <w:pStyle w:val="90"/>
        <w:ind w:firstLine="480"/>
      </w:pPr>
      <w:r>
        <w:rPr>
          <w:highlight w:val="none"/>
        </w:rPr>
        <w:t>(</w:t>
      </w:r>
      <w:r>
        <w:t>1</w:t>
      </w:r>
      <w:r>
        <w:rPr>
          <w:highlight w:val="none"/>
        </w:rPr>
        <w:t>)</w:t>
      </w:r>
      <w:r>
        <w:rPr>
          <w:rFonts w:hint="eastAsia"/>
        </w:rPr>
        <w:t>综合应急预案</w:t>
      </w:r>
    </w:p>
    <w:p>
      <w:pPr>
        <w:pStyle w:val="90"/>
        <w:ind w:firstLine="480"/>
      </w:pPr>
      <w:r>
        <w:rPr>
          <w:rFonts w:hint="eastAsia"/>
        </w:rPr>
        <w:t>是指从总体上阐述事故的应急方针、政策、应急组织结构及相关应急职责、应急行动、措施和保障等基本要求和程序，是应对各类事故的综合性文件。</w:t>
      </w:r>
    </w:p>
    <w:p>
      <w:pPr>
        <w:pStyle w:val="90"/>
        <w:ind w:firstLine="480"/>
      </w:pPr>
      <w:r>
        <w:rPr>
          <w:highlight w:val="none"/>
        </w:rPr>
        <w:t>(</w:t>
      </w:r>
      <w:r>
        <w:t>2</w:t>
      </w:r>
      <w:r>
        <w:rPr>
          <w:highlight w:val="none"/>
        </w:rPr>
        <w:t>)</w:t>
      </w:r>
      <w:r>
        <w:rPr>
          <w:rFonts w:hint="eastAsia"/>
        </w:rPr>
        <w:t>危险源</w:t>
      </w:r>
    </w:p>
    <w:p>
      <w:pPr>
        <w:pStyle w:val="90"/>
        <w:ind w:firstLine="480"/>
      </w:pPr>
      <w:r>
        <w:rPr>
          <w:rFonts w:hint="eastAsia"/>
        </w:rPr>
        <w:t>危险源是指一个系统中具有潜在能量和物质释放危险的、可造成人员伤害、财产损失或环境破坏的、在一定的触发因素作用下可转化为事故的部位、区域、场所、空间、岗位、设备以及位置。</w:t>
      </w:r>
    </w:p>
    <w:p>
      <w:pPr>
        <w:pStyle w:val="5"/>
        <w:bidi w:val="0"/>
      </w:pPr>
      <w:bookmarkStart w:id="902" w:name="_Toc11511"/>
      <w:bookmarkStart w:id="903" w:name="_Toc390868987"/>
      <w:bookmarkStart w:id="904" w:name="_Toc2204_WPSOffice_Level1"/>
      <w:bookmarkStart w:id="905" w:name="_Toc14792"/>
      <w:bookmarkStart w:id="906" w:name="_Toc391374735"/>
      <w:bookmarkStart w:id="907" w:name="_Toc37600143"/>
      <w:bookmarkStart w:id="908" w:name="_Toc4917"/>
      <w:bookmarkStart w:id="909" w:name="_Toc5082"/>
      <w:bookmarkStart w:id="910" w:name="_Toc18791"/>
      <w:bookmarkStart w:id="911" w:name="_Toc390869112"/>
      <w:bookmarkStart w:id="912" w:name="_Toc467598695"/>
      <w:bookmarkStart w:id="913" w:name="_Toc1380"/>
      <w:r>
        <w:t xml:space="preserve">11.2 </w:t>
      </w:r>
      <w:r>
        <w:rPr>
          <w:rFonts w:hint="eastAsia"/>
        </w:rPr>
        <w:t>预案评估</w:t>
      </w:r>
      <w:bookmarkEnd w:id="902"/>
      <w:bookmarkEnd w:id="903"/>
      <w:bookmarkEnd w:id="904"/>
      <w:bookmarkEnd w:id="905"/>
      <w:bookmarkEnd w:id="906"/>
      <w:bookmarkEnd w:id="907"/>
      <w:bookmarkEnd w:id="908"/>
      <w:bookmarkEnd w:id="909"/>
      <w:bookmarkEnd w:id="910"/>
      <w:bookmarkEnd w:id="911"/>
      <w:bookmarkEnd w:id="912"/>
      <w:bookmarkEnd w:id="913"/>
    </w:p>
    <w:p>
      <w:pPr>
        <w:pStyle w:val="90"/>
        <w:ind w:firstLine="480"/>
      </w:pPr>
      <w:r>
        <w:rPr>
          <w:rFonts w:hint="eastAsia"/>
        </w:rPr>
        <w:t>在环境应急预案草案编制完成后，应急预案后勤保障组应当组织评估小组对本单位编制的环境应急预案进行评估。</w:t>
      </w:r>
    </w:p>
    <w:p>
      <w:pPr>
        <w:pStyle w:val="90"/>
        <w:ind w:firstLine="480"/>
      </w:pPr>
      <w:r>
        <w:rPr>
          <w:rFonts w:hint="eastAsia"/>
        </w:rPr>
        <w:t>环境应急预案评估小组的组成人员应当包括环境应急预案涉及的相关部门应急管理人员、相关行业协会、相邻重点风险源单位代表、周边社区（乡、镇）代表以及应急管理和专业技术方面的专家。</w:t>
      </w:r>
    </w:p>
    <w:p>
      <w:pPr>
        <w:pStyle w:val="90"/>
        <w:ind w:firstLine="480"/>
      </w:pPr>
      <w:r>
        <w:rPr>
          <w:rFonts w:hint="eastAsia"/>
        </w:rPr>
        <w:t>环境应急预案评估小组应当重点评估环境应急预案的实用性、基本要素的完整性、内容格式的规范性、应急保障措施的可行性以及与其他相关预案的衔接性等内容。</w:t>
      </w:r>
    </w:p>
    <w:p>
      <w:pPr>
        <w:pStyle w:val="90"/>
        <w:ind w:firstLine="480"/>
      </w:pPr>
      <w:r>
        <w:rPr>
          <w:rFonts w:hint="eastAsia"/>
        </w:rPr>
        <w:t>突发环境事件应急预案编制人员应当根据评估结果，对应急预案草案进行修改。</w:t>
      </w:r>
      <w:bookmarkStart w:id="914" w:name="_Toc260658514"/>
      <w:bookmarkStart w:id="915" w:name="_Toc386980317"/>
      <w:bookmarkStart w:id="916" w:name="_Toc387409181"/>
      <w:bookmarkStart w:id="917" w:name="_Toc386210837"/>
    </w:p>
    <w:p>
      <w:pPr>
        <w:pStyle w:val="5"/>
        <w:bidi w:val="0"/>
      </w:pPr>
      <w:bookmarkStart w:id="918" w:name="_Toc23531"/>
      <w:bookmarkStart w:id="919" w:name="_Toc8106"/>
      <w:bookmarkStart w:id="920" w:name="_Toc467598696"/>
      <w:bookmarkStart w:id="921" w:name="_Toc391374736"/>
      <w:bookmarkStart w:id="922" w:name="_Toc390869113"/>
      <w:bookmarkStart w:id="923" w:name="_Toc5796"/>
      <w:bookmarkStart w:id="924" w:name="_Toc8980"/>
      <w:bookmarkStart w:id="925" w:name="_Toc390868988"/>
      <w:bookmarkStart w:id="926" w:name="_Toc16145_WPSOffice_Level1"/>
      <w:bookmarkStart w:id="927" w:name="_Toc25329"/>
      <w:bookmarkStart w:id="928" w:name="_Toc37600144"/>
      <w:bookmarkStart w:id="929" w:name="_Toc31937"/>
      <w:r>
        <w:t xml:space="preserve">11.3 </w:t>
      </w:r>
      <w:r>
        <w:rPr>
          <w:rFonts w:hint="eastAsia"/>
        </w:rPr>
        <w:t>预案备案</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pPr>
        <w:pStyle w:val="90"/>
        <w:ind w:firstLine="480"/>
      </w:pPr>
      <w:r>
        <w:rPr>
          <w:rFonts w:hint="eastAsia"/>
        </w:rPr>
        <w:t>企业编制的环境应急预案，应当在本单位主要负责人签署实施之日起</w:t>
      </w:r>
      <w:r>
        <w:t>20</w:t>
      </w:r>
      <w:r>
        <w:rPr>
          <w:rFonts w:hint="eastAsia"/>
        </w:rPr>
        <w:t>个工作日内报所在地环境保护主管部门备案。</w:t>
      </w:r>
    </w:p>
    <w:p>
      <w:pPr>
        <w:pStyle w:val="5"/>
        <w:bidi w:val="0"/>
      </w:pPr>
      <w:bookmarkStart w:id="930" w:name="_Toc16477"/>
      <w:bookmarkStart w:id="931" w:name="_Toc2030"/>
      <w:bookmarkStart w:id="932" w:name="_Toc390869114"/>
      <w:bookmarkStart w:id="933" w:name="_Toc467598697"/>
      <w:bookmarkStart w:id="934" w:name="_Toc390868989"/>
      <w:bookmarkStart w:id="935" w:name="_Toc28328_WPSOffice_Level1"/>
      <w:bookmarkStart w:id="936" w:name="_Toc24418"/>
      <w:bookmarkStart w:id="937" w:name="_Toc391374737"/>
      <w:bookmarkStart w:id="938" w:name="_Toc30762"/>
      <w:bookmarkStart w:id="939" w:name="_Toc37600145"/>
      <w:bookmarkStart w:id="940" w:name="_Toc31065"/>
      <w:bookmarkStart w:id="941" w:name="_Toc22611"/>
      <w:r>
        <w:t xml:space="preserve">11.4 </w:t>
      </w:r>
      <w:r>
        <w:rPr>
          <w:rFonts w:hint="eastAsia"/>
        </w:rPr>
        <w:t>预案发布与发放</w:t>
      </w:r>
      <w:bookmarkEnd w:id="930"/>
      <w:bookmarkEnd w:id="931"/>
      <w:bookmarkEnd w:id="932"/>
      <w:bookmarkEnd w:id="933"/>
      <w:bookmarkEnd w:id="934"/>
      <w:bookmarkEnd w:id="935"/>
      <w:bookmarkEnd w:id="936"/>
      <w:bookmarkEnd w:id="937"/>
      <w:bookmarkEnd w:id="938"/>
      <w:bookmarkEnd w:id="939"/>
      <w:bookmarkEnd w:id="940"/>
      <w:bookmarkEnd w:id="941"/>
    </w:p>
    <w:p>
      <w:pPr>
        <w:pStyle w:val="90"/>
        <w:ind w:firstLine="480"/>
      </w:pPr>
      <w:r>
        <w:rPr>
          <w:rFonts w:hint="eastAsia"/>
        </w:rPr>
        <w:t>公司应急预案经评估后，由总经理签署发布。</w:t>
      </w:r>
    </w:p>
    <w:p>
      <w:pPr>
        <w:pStyle w:val="90"/>
        <w:ind w:firstLine="480"/>
      </w:pPr>
      <w:r>
        <w:rPr>
          <w:rFonts w:hint="eastAsia"/>
        </w:rPr>
        <w:t>后勤组负责对应急预案的统一管理；</w:t>
      </w:r>
    </w:p>
    <w:p>
      <w:pPr>
        <w:pStyle w:val="90"/>
        <w:ind w:firstLine="480"/>
      </w:pPr>
      <w:r>
        <w:rPr>
          <w:rFonts w:hint="eastAsia"/>
        </w:rPr>
        <w:t>后勤组负责预案的管理发放，发放应建立发放记录，并及时对已发放预案进行更新，确保各部门获得最新版本的应急预案；</w:t>
      </w:r>
    </w:p>
    <w:p>
      <w:pPr>
        <w:pStyle w:val="90"/>
        <w:ind w:firstLine="480"/>
      </w:pPr>
      <w:r>
        <w:rPr>
          <w:rFonts w:hint="eastAsia"/>
        </w:rPr>
        <w:t>应发放给应急组织机构各成员和各部门主要负责人、岗位。</w:t>
      </w:r>
      <w:bookmarkStart w:id="942" w:name="_Toc386980319"/>
      <w:bookmarkStart w:id="943" w:name="_Toc260658516"/>
      <w:bookmarkStart w:id="944" w:name="_Toc386210839"/>
    </w:p>
    <w:p>
      <w:pPr>
        <w:pStyle w:val="5"/>
        <w:bidi w:val="0"/>
      </w:pPr>
      <w:bookmarkStart w:id="945" w:name="_Toc387409183"/>
      <w:bookmarkStart w:id="946" w:name="_Toc9489"/>
      <w:bookmarkStart w:id="947" w:name="_Toc390869115"/>
      <w:bookmarkStart w:id="948" w:name="_Toc5466"/>
      <w:bookmarkStart w:id="949" w:name="_Toc30453"/>
      <w:bookmarkStart w:id="950" w:name="_Toc5888"/>
      <w:bookmarkStart w:id="951" w:name="_Toc390868990"/>
      <w:bookmarkStart w:id="952" w:name="_Toc8966"/>
      <w:bookmarkStart w:id="953" w:name="_Toc467598698"/>
      <w:bookmarkStart w:id="954" w:name="_Toc391374738"/>
      <w:bookmarkStart w:id="955" w:name="_Toc29491_WPSOffice_Level1"/>
      <w:bookmarkStart w:id="956" w:name="_Toc37600146"/>
      <w:bookmarkStart w:id="957" w:name="_Toc16852"/>
      <w:r>
        <w:t xml:space="preserve">11.5 </w:t>
      </w:r>
      <w:r>
        <w:rPr>
          <w:rFonts w:hint="eastAsia"/>
        </w:rPr>
        <w:t>应急预案的</w:t>
      </w:r>
      <w:bookmarkEnd w:id="942"/>
      <w:bookmarkEnd w:id="943"/>
      <w:bookmarkEnd w:id="944"/>
      <w:bookmarkEnd w:id="945"/>
      <w:r>
        <w:rPr>
          <w:rFonts w:hint="eastAsia"/>
        </w:rPr>
        <w:t>实施</w:t>
      </w:r>
      <w:bookmarkEnd w:id="946"/>
      <w:bookmarkEnd w:id="947"/>
      <w:bookmarkEnd w:id="948"/>
      <w:bookmarkEnd w:id="949"/>
      <w:bookmarkEnd w:id="950"/>
      <w:bookmarkEnd w:id="951"/>
      <w:bookmarkEnd w:id="952"/>
      <w:bookmarkEnd w:id="953"/>
      <w:bookmarkEnd w:id="954"/>
      <w:bookmarkEnd w:id="955"/>
      <w:bookmarkEnd w:id="956"/>
      <w:bookmarkEnd w:id="957"/>
    </w:p>
    <w:p>
      <w:pPr>
        <w:pStyle w:val="90"/>
        <w:ind w:firstLine="480"/>
      </w:pPr>
      <w:r>
        <w:rPr>
          <w:rFonts w:hint="eastAsia"/>
        </w:rPr>
        <w:t>本预案自发布之日起施行。</w:t>
      </w:r>
    </w:p>
    <w:p>
      <w:pPr>
        <w:pStyle w:val="90"/>
        <w:ind w:firstLine="480"/>
      </w:pPr>
      <w:bookmarkStart w:id="958" w:name="_Toc390868991"/>
      <w:bookmarkStart w:id="959" w:name="_Toc391374739"/>
      <w:bookmarkStart w:id="960" w:name="_Toc260658517"/>
      <w:bookmarkStart w:id="961" w:name="_Toc390869116"/>
      <w:bookmarkStart w:id="962" w:name="_Toc386210840"/>
      <w:bookmarkStart w:id="963" w:name="_Toc386980320"/>
      <w:bookmarkStart w:id="964" w:name="_Toc387409184"/>
      <w:bookmarkStart w:id="965" w:name="_Toc26092"/>
      <w:bookmarkStart w:id="966" w:name="_Toc18193_WPSOffice_Level1"/>
      <w:bookmarkStart w:id="967" w:name="_Toc4476"/>
      <w:bookmarkStart w:id="968" w:name="_Toc6743"/>
      <w:bookmarkStart w:id="969" w:name="_Toc6107"/>
      <w:bookmarkStart w:id="970" w:name="_Toc467598699"/>
      <w:bookmarkStart w:id="971" w:name="_Toc37600147"/>
      <w:r>
        <w:t>11.6</w:t>
      </w:r>
      <w:bookmarkEnd w:id="958"/>
      <w:bookmarkEnd w:id="959"/>
      <w:bookmarkEnd w:id="960"/>
      <w:bookmarkEnd w:id="961"/>
      <w:bookmarkEnd w:id="962"/>
      <w:bookmarkEnd w:id="963"/>
      <w:bookmarkEnd w:id="964"/>
      <w:r>
        <w:rPr>
          <w:rFonts w:hint="eastAsia"/>
        </w:rPr>
        <w:t>预案维护与更新</w:t>
      </w:r>
      <w:bookmarkEnd w:id="965"/>
      <w:bookmarkEnd w:id="966"/>
      <w:bookmarkEnd w:id="967"/>
      <w:bookmarkEnd w:id="968"/>
      <w:bookmarkEnd w:id="969"/>
      <w:bookmarkEnd w:id="970"/>
      <w:bookmarkEnd w:id="971"/>
    </w:p>
    <w:p>
      <w:pPr>
        <w:pStyle w:val="90"/>
        <w:ind w:firstLine="480"/>
      </w:pPr>
      <w:r>
        <w:rPr>
          <w:rFonts w:hint="eastAsia"/>
        </w:rPr>
        <w:t>环境应急预案演练结束后，企业应当对环境应急预案演练结果进行评估，撰写演练评估报告，分析存在问题，对环境应急预案提出修改意见。</w:t>
      </w:r>
    </w:p>
    <w:p>
      <w:pPr>
        <w:pStyle w:val="90"/>
        <w:ind w:firstLine="480"/>
      </w:pPr>
      <w:r>
        <w:rPr>
          <w:rFonts w:hint="eastAsia"/>
        </w:rPr>
        <w:t>企业应当按照有关法律法规和本办法的规定，根据实际需要和情势变化，依据有关预案编制指南或者编制修订框架指南修订环境应急预案。</w:t>
      </w:r>
    </w:p>
    <w:p>
      <w:pPr>
        <w:pStyle w:val="90"/>
        <w:ind w:firstLine="480"/>
      </w:pPr>
      <w:r>
        <w:rPr>
          <w:rFonts w:hint="eastAsia"/>
        </w:rPr>
        <w:t>企业结合环境应急预案实施情况，至少每三年对环境应急预案进行一次回顾性评估。有下列情形之一的，及时修订：</w:t>
      </w:r>
    </w:p>
    <w:p>
      <w:pPr>
        <w:pStyle w:val="90"/>
        <w:ind w:firstLine="480"/>
      </w:pPr>
      <w:r>
        <w:rPr>
          <w:rFonts w:hint="eastAsia"/>
        </w:rPr>
        <w:t>（一）面临的环境风险发生重大变化，需要重新进行环境风险评估的；</w:t>
      </w:r>
    </w:p>
    <w:p>
      <w:pPr>
        <w:pStyle w:val="90"/>
        <w:ind w:firstLine="480"/>
      </w:pPr>
      <w:r>
        <w:rPr>
          <w:rFonts w:hint="eastAsia"/>
        </w:rPr>
        <w:t>（二）应急管理组织指挥体系与职责发生重大变化的；</w:t>
      </w:r>
    </w:p>
    <w:p>
      <w:pPr>
        <w:pStyle w:val="90"/>
        <w:ind w:firstLine="480"/>
      </w:pPr>
      <w:r>
        <w:rPr>
          <w:rFonts w:hint="eastAsia"/>
        </w:rPr>
        <w:t>（三）环境应急监测预警及报告机制、应对流程和措施、应急保障措施发生重大变化的；</w:t>
      </w:r>
    </w:p>
    <w:p>
      <w:pPr>
        <w:pStyle w:val="90"/>
        <w:ind w:firstLine="480"/>
      </w:pPr>
      <w:r>
        <w:rPr>
          <w:rFonts w:hint="eastAsia"/>
        </w:rPr>
        <w:t>（四）重要应急资源发生重大变化的；</w:t>
      </w:r>
    </w:p>
    <w:p>
      <w:pPr>
        <w:pStyle w:val="90"/>
        <w:ind w:firstLine="480"/>
      </w:pPr>
      <w:r>
        <w:rPr>
          <w:rFonts w:hint="eastAsia"/>
        </w:rPr>
        <w:t>（五）在突发事件实际应对和应急演练中发现问题，需要对环境应急预案作出重大调整的；</w:t>
      </w:r>
    </w:p>
    <w:p>
      <w:pPr>
        <w:pStyle w:val="90"/>
        <w:ind w:firstLine="480"/>
      </w:pPr>
      <w:r>
        <w:rPr>
          <w:rFonts w:hint="eastAsia"/>
        </w:rPr>
        <w:t>（六）其他需要修订的情况。</w:t>
      </w:r>
    </w:p>
    <w:p>
      <w:pPr>
        <w:pStyle w:val="90"/>
        <w:ind w:firstLine="480"/>
      </w:pPr>
      <w:r>
        <w:rPr>
          <w:rFonts w:hint="eastAsia"/>
        </w:rPr>
        <w:t>对环境应急预案进行重大修订的，修订工作参照环境应急预案制定步骤进行。对环境应急预案个别内容进行调整的，修订工作可适当简化。</w:t>
      </w:r>
    </w:p>
    <w:p>
      <w:pPr>
        <w:pStyle w:val="90"/>
        <w:ind w:firstLine="480"/>
      </w:pPr>
      <w:r>
        <w:rPr>
          <w:rFonts w:hint="eastAsia"/>
        </w:rPr>
        <w:t>企业应当于环境应急预案修订后</w:t>
      </w:r>
      <w:r>
        <w:t>20</w:t>
      </w:r>
      <w:r>
        <w:rPr>
          <w:rFonts w:hint="eastAsia"/>
        </w:rPr>
        <w:t>个工作日内将新修订的预案报原预案备案管理部门重新备案；预案备案部门可以根据预案修订的具体情况要求修订预案的环境保护主管部门或者企业事业单位对修订后的预案进行评估。</w:t>
      </w:r>
    </w:p>
    <w:p>
      <w:pPr>
        <w:pStyle w:val="20"/>
        <w:ind w:firstLine="723"/>
        <w:sectPr>
          <w:headerReference r:id="rId11" w:type="default"/>
          <w:footerReference r:id="rId12" w:type="default"/>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79"/>
        <w:spacing w:before="156" w:after="156"/>
        <w:ind w:left="301" w:hanging="301" w:hangingChars="100"/>
        <w:rPr>
          <w:rStyle w:val="95"/>
          <w:rFonts w:hint="eastAsia"/>
          <w:b/>
          <w:lang w:val="en-US" w:eastAsia="zh-CN"/>
        </w:rPr>
      </w:pPr>
      <w:bookmarkStart w:id="972" w:name="_Toc26813"/>
      <w:bookmarkStart w:id="973" w:name="_Toc19674"/>
      <w:r>
        <w:rPr>
          <w:rStyle w:val="95"/>
          <w:rFonts w:hint="eastAsia"/>
          <w:b/>
          <w:lang w:val="en-US" w:eastAsia="zh-CN"/>
        </w:rPr>
        <w:t>附图一 地理位置图</w:t>
      </w:r>
    </w:p>
    <w:p>
      <w:pPr>
        <w:pStyle w:val="79"/>
        <w:spacing w:before="156" w:after="156"/>
        <w:ind w:left="301" w:hanging="301" w:hangingChars="100"/>
        <w:rPr>
          <w:rFonts w:hint="eastAsia"/>
        </w:rPr>
      </w:pPr>
      <w:r>
        <w:drawing>
          <wp:inline distT="0" distB="0" distL="114300" distR="114300">
            <wp:extent cx="8747760" cy="4787900"/>
            <wp:effectExtent l="0" t="0" r="13335" b="12700"/>
            <wp:docPr id="5" name="图片 23" descr="C:\Users\a\Desktop\0b11af09587d21ff61b7ce21b290e65.png0b11af09587d21ff61b7ce21b290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 descr="C:\Users\a\Desktop\0b11af09587d21ff61b7ce21b290e65.png0b11af09587d21ff61b7ce21b290e6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a:xfrm>
                      <a:off x="0" y="0"/>
                      <a:ext cx="8747760" cy="4787900"/>
                    </a:xfrm>
                    <a:prstGeom prst="rect">
                      <a:avLst/>
                    </a:prstGeom>
                    <a:noFill/>
                    <a:ln>
                      <a:solidFill>
                        <a:schemeClr val="tx1"/>
                      </a:solidFill>
                    </a:ln>
                  </pic:spPr>
                </pic:pic>
              </a:graphicData>
            </a:graphic>
          </wp:inline>
        </w:drawing>
      </w:r>
      <w:bookmarkEnd w:id="972"/>
      <w:bookmarkEnd w:id="973"/>
    </w:p>
    <w:p>
      <w:pPr>
        <w:pStyle w:val="94"/>
        <w:bidi w:val="0"/>
      </w:pPr>
      <w:bookmarkStart w:id="974" w:name="_Toc15490"/>
      <w:bookmarkStart w:id="975" w:name="_Toc5274"/>
      <w:r>
        <w:rPr>
          <w:rFonts w:hint="eastAsia"/>
        </w:rPr>
        <w:t>附图二 周边环境受体分布图</w:t>
      </w:r>
      <w:bookmarkEnd w:id="974"/>
      <w:bookmarkEnd w:id="975"/>
    </w:p>
    <w:p>
      <w:pPr>
        <w:jc w:val="center"/>
      </w:pPr>
      <w:r>
        <w:drawing>
          <wp:inline distT="0" distB="0" distL="114300" distR="114300">
            <wp:extent cx="7847330" cy="4679950"/>
            <wp:effectExtent l="0" t="0" r="1270" b="6350"/>
            <wp:docPr id="128" name="图片 6" descr="C:\Users\a\Desktop\f7505dcdf766d862b14eb02e178db3d.pngf7505dcdf766d862b14eb02e178db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 descr="C:\Users\a\Desktop\f7505dcdf766d862b14eb02e178db3d.pngf7505dcdf766d862b14eb02e178db3d"/>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a:xfrm>
                      <a:off x="0" y="0"/>
                      <a:ext cx="7847330" cy="4679950"/>
                    </a:xfrm>
                    <a:prstGeom prst="rect">
                      <a:avLst/>
                    </a:prstGeom>
                    <a:noFill/>
                    <a:ln>
                      <a:noFill/>
                    </a:ln>
                  </pic:spPr>
                </pic:pic>
              </a:graphicData>
            </a:graphic>
          </wp:inline>
        </w:drawing>
      </w:r>
    </w:p>
    <w:p>
      <w:pPr>
        <w:ind w:firstLine="480"/>
        <w:rPr>
          <w:sz w:val="28"/>
          <w:szCs w:val="28"/>
        </w:rPr>
        <w:sectPr>
          <w:pgSz w:w="16838" w:h="11905" w:orient="landscape"/>
          <w:pgMar w:top="1701" w:right="1417" w:bottom="1701" w:left="1417"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br w:type="page"/>
      </w:r>
    </w:p>
    <w:p>
      <w:pPr>
        <w:pStyle w:val="94"/>
        <w:bidi w:val="0"/>
      </w:pPr>
      <w:bookmarkStart w:id="976" w:name="_Toc18532"/>
      <w:bookmarkStart w:id="977" w:name="_Toc24660"/>
      <w:r>
        <w:rPr>
          <w:rFonts w:hint="eastAsia"/>
        </w:rPr>
        <w:t>附图三 厂区</w:t>
      </w:r>
      <w:r>
        <w:rPr>
          <w:rFonts w:hint="eastAsia"/>
          <w:highlight w:val="none"/>
        </w:rPr>
        <w:t>平面布置图</w:t>
      </w:r>
      <w:bookmarkEnd w:id="976"/>
      <w:bookmarkEnd w:id="977"/>
    </w:p>
    <w:p>
      <w:pPr>
        <w:jc w:val="center"/>
      </w:pPr>
      <w:r>
        <w:drawing>
          <wp:inline distT="0" distB="0" distL="114300" distR="114300">
            <wp:extent cx="5258435" cy="6120130"/>
            <wp:effectExtent l="9525" t="9525" r="27940" b="23495"/>
            <wp:docPr id="11" name="图片 5" descr="C:\Users\a\Desktop\5b52d24a56e78a13fb0748448a1df89.png5b52d24a56e78a13fb0748448a1df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C:\Users\a\Desktop\5b52d24a56e78a13fb0748448a1df89.png5b52d24a56e78a13fb0748448a1df89"/>
                    <pic:cNvPicPr>
                      <a:picLocks noChangeAspect="1"/>
                    </pic:cNvPicPr>
                  </pic:nvPicPr>
                  <pic:blipFill>
                    <a:blip r:embed="rId22"/>
                    <a:srcRect/>
                    <a:stretch>
                      <a:fillRect/>
                    </a:stretch>
                  </pic:blipFill>
                  <pic:spPr>
                    <a:xfrm>
                      <a:off x="0" y="0"/>
                      <a:ext cx="5258435" cy="6120130"/>
                    </a:xfrm>
                    <a:prstGeom prst="rect">
                      <a:avLst/>
                    </a:prstGeom>
                    <a:noFill/>
                    <a:ln>
                      <a:solidFill>
                        <a:schemeClr val="tx1"/>
                      </a:solidFill>
                    </a:ln>
                  </pic:spPr>
                </pic:pic>
              </a:graphicData>
            </a:graphic>
          </wp:inline>
        </w:drawing>
      </w:r>
    </w:p>
    <w:p>
      <w:pPr>
        <w:ind w:firstLine="480"/>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94"/>
        <w:bidi w:val="0"/>
      </w:pPr>
      <w:bookmarkStart w:id="978" w:name="_Toc11553"/>
      <w:bookmarkStart w:id="979" w:name="_Toc31785"/>
      <w:r>
        <w:rPr>
          <w:rFonts w:hint="eastAsia"/>
        </w:rPr>
        <w:t>附图四 紧急疏散示意图</w:t>
      </w:r>
      <w:bookmarkEnd w:id="978"/>
      <w:bookmarkEnd w:id="979"/>
    </w:p>
    <w:p>
      <w:pPr>
        <w:jc w:val="center"/>
      </w:pPr>
      <w:r>
        <w:drawing>
          <wp:inline distT="0" distB="0" distL="114300" distR="114300">
            <wp:extent cx="4940935" cy="5760085"/>
            <wp:effectExtent l="9525" t="9525" r="21590" b="21590"/>
            <wp:docPr id="131" name="图片 2" descr="C:\Users\a\Desktop\fcd7fe4e77f71d28107045cd4cd3358.pngfcd7fe4e77f71d28107045cd4cd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 descr="C:\Users\a\Desktop\fcd7fe4e77f71d28107045cd4cd3358.pngfcd7fe4e77f71d28107045cd4cd3358"/>
                    <pic:cNvPicPr>
                      <a:picLocks noChangeAspect="1"/>
                    </pic:cNvPicPr>
                  </pic:nvPicPr>
                  <pic:blipFill>
                    <a:blip r:embed="rId23"/>
                    <a:srcRect r="-434"/>
                    <a:stretch>
                      <a:fillRect/>
                    </a:stretch>
                  </pic:blipFill>
                  <pic:spPr>
                    <a:xfrm>
                      <a:off x="0" y="0"/>
                      <a:ext cx="4940935" cy="5760085"/>
                    </a:xfrm>
                    <a:prstGeom prst="rect">
                      <a:avLst/>
                    </a:prstGeom>
                    <a:noFill/>
                    <a:ln>
                      <a:solidFill>
                        <a:schemeClr val="tx1"/>
                      </a:solidFill>
                    </a:ln>
                  </pic:spPr>
                </pic:pic>
              </a:graphicData>
            </a:graphic>
          </wp:inline>
        </w:drawing>
      </w:r>
    </w:p>
    <w:p>
      <w:p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94"/>
        <w:bidi w:val="0"/>
      </w:pPr>
      <w:bookmarkStart w:id="980" w:name="_Toc13261"/>
      <w:bookmarkStart w:id="981" w:name="_Toc19439"/>
      <w:r>
        <w:rPr>
          <w:rFonts w:hint="eastAsia"/>
        </w:rPr>
        <w:t>附图五</w:t>
      </w:r>
      <w:r>
        <w:t xml:space="preserve"> </w:t>
      </w:r>
      <w:r>
        <w:rPr>
          <w:rFonts w:hint="eastAsia"/>
        </w:rPr>
        <w:t>应急资源图</w:t>
      </w:r>
      <w:bookmarkEnd w:id="980"/>
      <w:bookmarkEnd w:id="981"/>
    </w:p>
    <w:p>
      <w:pPr>
        <w:jc w:val="center"/>
      </w:pPr>
      <w:r>
        <w:drawing>
          <wp:inline distT="0" distB="0" distL="114300" distR="114300">
            <wp:extent cx="4933315" cy="5760085"/>
            <wp:effectExtent l="9525" t="9525" r="10160" b="21590"/>
            <wp:docPr id="44" name="图片 4" descr="C:\Users\a\Desktop\59490e72e01ed1b58d4723edda40ced.png59490e72e01ed1b58d4723edda40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C:\Users\a\Desktop\59490e72e01ed1b58d4723edda40ced.png59490e72e01ed1b58d4723edda40ced"/>
                    <pic:cNvPicPr>
                      <a:picLocks noChangeAspect="1"/>
                    </pic:cNvPicPr>
                  </pic:nvPicPr>
                  <pic:blipFill>
                    <a:blip r:embed="rId24"/>
                    <a:srcRect/>
                    <a:stretch>
                      <a:fillRect/>
                    </a:stretch>
                  </pic:blipFill>
                  <pic:spPr>
                    <a:xfrm>
                      <a:off x="0" y="0"/>
                      <a:ext cx="4933315" cy="5760085"/>
                    </a:xfrm>
                    <a:prstGeom prst="rect">
                      <a:avLst/>
                    </a:prstGeom>
                    <a:noFill/>
                    <a:ln>
                      <a:solidFill>
                        <a:schemeClr val="tx1"/>
                      </a:solidFill>
                    </a:ln>
                  </pic:spPr>
                </pic:pic>
              </a:graphicData>
            </a:graphic>
          </wp:inline>
        </w:drawing>
      </w:r>
    </w:p>
    <w:p>
      <w:pPr>
        <w:jc w:val="center"/>
        <w:rPr>
          <w:sz w:val="28"/>
          <w:szCs w:val="28"/>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rPr>
          <w:rFonts w:hint="eastAsia"/>
          <w:sz w:val="28"/>
          <w:szCs w:val="28"/>
        </w:rPr>
        <w:br w:type="page"/>
      </w:r>
    </w:p>
    <w:p>
      <w:pPr>
        <w:pStyle w:val="94"/>
        <w:bidi w:val="0"/>
      </w:pPr>
      <w:bookmarkStart w:id="982" w:name="_Toc5607"/>
      <w:bookmarkStart w:id="983" w:name="_Toc4838"/>
      <w:r>
        <w:rPr>
          <w:rFonts w:hint="eastAsia"/>
        </w:rPr>
        <w:t>附图六 项目雨水排水走向图</w:t>
      </w:r>
      <w:bookmarkEnd w:id="982"/>
      <w:bookmarkEnd w:id="983"/>
    </w:p>
    <w:p>
      <w:pPr>
        <w:pStyle w:val="18"/>
        <w:ind w:left="0" w:leftChars="0" w:firstLine="0" w:firstLineChars="0"/>
        <w:jc w:val="center"/>
      </w:pPr>
      <w:r>
        <w:rPr>
          <w:rFonts w:hint="eastAsia"/>
        </w:rPr>
        <w:drawing>
          <wp:inline distT="0" distB="0" distL="114300" distR="114300">
            <wp:extent cx="5248275" cy="6134100"/>
            <wp:effectExtent l="9525" t="9525" r="19050" b="9525"/>
            <wp:docPr id="132" name="图片 132" descr="1b820fa352da0fcaf67a52354a66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1b820fa352da0fcaf67a52354a66b57"/>
                    <pic:cNvPicPr>
                      <a:picLocks noChangeAspect="1"/>
                    </pic:cNvPicPr>
                  </pic:nvPicPr>
                  <pic:blipFill>
                    <a:blip r:embed="rId25"/>
                    <a:stretch>
                      <a:fillRect/>
                    </a:stretch>
                  </pic:blipFill>
                  <pic:spPr>
                    <a:xfrm>
                      <a:off x="0" y="0"/>
                      <a:ext cx="5248275" cy="6134100"/>
                    </a:xfrm>
                    <a:prstGeom prst="rect">
                      <a:avLst/>
                    </a:prstGeom>
                    <a:ln>
                      <a:solidFill>
                        <a:schemeClr val="tx1"/>
                      </a:solidFill>
                    </a:ln>
                  </pic:spPr>
                </pic:pic>
              </a:graphicData>
            </a:graphic>
          </wp:inline>
        </w:drawing>
      </w:r>
    </w:p>
    <w:p>
      <w:pPr>
        <w:pStyle w:val="18"/>
        <w:rPr>
          <w:szCs w:val="28"/>
        </w:rPr>
      </w:pPr>
      <w:r>
        <w:rPr>
          <w:rFonts w:hint="eastAsia"/>
          <w:szCs w:val="28"/>
        </w:rPr>
        <w:br w:type="page"/>
      </w:r>
    </w:p>
    <w:p>
      <w:pPr>
        <w:pStyle w:val="94"/>
        <w:bidi w:val="0"/>
      </w:pPr>
      <w:bookmarkStart w:id="984" w:name="_Toc11576"/>
      <w:bookmarkStart w:id="985" w:name="_Toc23688"/>
      <w:r>
        <w:rPr>
          <w:rFonts w:hint="eastAsia"/>
        </w:rPr>
        <w:t>附图七 项目污水管网图</w:t>
      </w:r>
      <w:bookmarkEnd w:id="984"/>
      <w:bookmarkEnd w:id="985"/>
    </w:p>
    <w:p>
      <w:pPr>
        <w:jc w:val="center"/>
      </w:pPr>
      <w:r>
        <w:drawing>
          <wp:inline distT="0" distB="0" distL="114300" distR="114300">
            <wp:extent cx="5259070" cy="6120130"/>
            <wp:effectExtent l="9525" t="9525" r="27305" b="23495"/>
            <wp:docPr id="8" name="图片 5" descr="C:\Users\a\Desktop\de9bd3cf47397f9560a292642eba12f.pngde9bd3cf47397f9560a292642eba1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C:\Users\a\Desktop\de9bd3cf47397f9560a292642eba12f.pngde9bd3cf47397f9560a292642eba12f"/>
                    <pic:cNvPicPr>
                      <a:picLocks noChangeAspect="1"/>
                    </pic:cNvPicPr>
                  </pic:nvPicPr>
                  <pic:blipFill>
                    <a:blip r:embed="rId26"/>
                    <a:srcRect/>
                    <a:stretch>
                      <a:fillRect/>
                    </a:stretch>
                  </pic:blipFill>
                  <pic:spPr>
                    <a:xfrm>
                      <a:off x="0" y="0"/>
                      <a:ext cx="5259070" cy="6120130"/>
                    </a:xfrm>
                    <a:prstGeom prst="rect">
                      <a:avLst/>
                    </a:prstGeom>
                    <a:noFill/>
                    <a:ln>
                      <a:solidFill>
                        <a:schemeClr val="tx1"/>
                      </a:solidFill>
                    </a:ln>
                  </pic:spPr>
                </pic:pic>
              </a:graphicData>
            </a:graphic>
          </wp:inline>
        </w:drawing>
      </w:r>
    </w:p>
    <w:p>
      <w:pPr>
        <w:jc w:val="center"/>
        <w:rPr>
          <w:sz w:val="28"/>
          <w:szCs w:val="28"/>
        </w:rPr>
      </w:pPr>
      <w:r>
        <w:rPr>
          <w:rFonts w:hint="eastAsia"/>
          <w:sz w:val="28"/>
          <w:szCs w:val="28"/>
        </w:rPr>
        <w:br w:type="page"/>
      </w:r>
    </w:p>
    <w:p>
      <w:pPr>
        <w:pStyle w:val="94"/>
        <w:bidi w:val="0"/>
      </w:pPr>
      <w:bookmarkStart w:id="986" w:name="_Toc5113"/>
      <w:bookmarkStart w:id="987" w:name="_Toc6752"/>
      <w:r>
        <w:rPr>
          <w:rFonts w:hint="eastAsia"/>
        </w:rPr>
        <w:t>附图八 白水湖污水处理厂纳污范围图</w:t>
      </w:r>
      <w:bookmarkEnd w:id="986"/>
      <w:bookmarkEnd w:id="987"/>
    </w:p>
    <w:p>
      <w:pPr>
        <w:pStyle w:val="18"/>
      </w:pPr>
      <w:r>
        <w:drawing>
          <wp:inline distT="0" distB="0" distL="114300" distR="114300">
            <wp:extent cx="4762500" cy="6480175"/>
            <wp:effectExtent l="9525" t="9525" r="9525" b="25400"/>
            <wp:docPr id="133" name="图片 133" descr="b28f3590afe9a795382ec8135f26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b28f3590afe9a795382ec8135f26c46"/>
                    <pic:cNvPicPr>
                      <a:picLocks noChangeAspect="1"/>
                    </pic:cNvPicPr>
                  </pic:nvPicPr>
                  <pic:blipFill>
                    <a:blip r:embed="rId27"/>
                    <a:stretch>
                      <a:fillRect/>
                    </a:stretch>
                  </pic:blipFill>
                  <pic:spPr>
                    <a:xfrm>
                      <a:off x="0" y="0"/>
                      <a:ext cx="4762500" cy="6480175"/>
                    </a:xfrm>
                    <a:prstGeom prst="rect">
                      <a:avLst/>
                    </a:prstGeom>
                    <a:ln>
                      <a:solidFill>
                        <a:schemeClr val="tx1"/>
                      </a:solidFill>
                    </a:ln>
                  </pic:spPr>
                </pic:pic>
              </a:graphicData>
            </a:graphic>
          </wp:inline>
        </w:drawing>
      </w:r>
    </w:p>
    <w:p>
      <w:p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rPr>
          <w:rFonts w:hint="eastAsia"/>
          <w:sz w:val="28"/>
          <w:szCs w:val="28"/>
        </w:rPr>
        <w:br w:type="page"/>
      </w:r>
    </w:p>
    <w:p>
      <w:pPr>
        <w:pStyle w:val="94"/>
        <w:bidi w:val="0"/>
      </w:pPr>
      <w:bookmarkStart w:id="988" w:name="_Toc13764"/>
      <w:bookmarkStart w:id="989" w:name="_Toc8411"/>
      <w:bookmarkStart w:id="990" w:name="_Toc9703"/>
      <w:bookmarkStart w:id="991" w:name="_Toc26837"/>
      <w:bookmarkStart w:id="992" w:name="_Toc14524"/>
      <w:bookmarkStart w:id="993" w:name="_Toc26503_WPSOffice_Level1"/>
      <w:bookmarkStart w:id="994" w:name="_Toc27134"/>
      <w:r>
        <w:rPr>
          <w:rFonts w:hint="eastAsia"/>
        </w:rPr>
        <w:t>附件一 环评批复</w:t>
      </w:r>
      <w:bookmarkEnd w:id="988"/>
      <w:bookmarkEnd w:id="989"/>
    </w:p>
    <w:p>
      <w:pPr>
        <w:pStyle w:val="18"/>
        <w:ind w:left="0"/>
        <w:jc w:val="center"/>
      </w:pPr>
      <w:r>
        <w:drawing>
          <wp:inline distT="0" distB="0" distL="114300" distR="114300">
            <wp:extent cx="5188585" cy="6336030"/>
            <wp:effectExtent l="0" t="0" r="12065" b="7620"/>
            <wp:docPr id="36" name="图片 3" descr="C:\Users\a\Desktop\76c77813924654235beef68f1c7a2a8.png76c77813924654235beef68f1c7a2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descr="C:\Users\a\Desktop\76c77813924654235beef68f1c7a2a8.png76c77813924654235beef68f1c7a2a8"/>
                    <pic:cNvPicPr>
                      <a:picLocks noChangeAspect="1"/>
                    </pic:cNvPicPr>
                  </pic:nvPicPr>
                  <pic:blipFill>
                    <a:blip r:embed="rId28"/>
                    <a:srcRect/>
                    <a:stretch>
                      <a:fillRect/>
                    </a:stretch>
                  </pic:blipFill>
                  <pic:spPr>
                    <a:xfrm>
                      <a:off x="0" y="0"/>
                      <a:ext cx="5188585" cy="6336030"/>
                    </a:xfrm>
                    <a:prstGeom prst="rect">
                      <a:avLst/>
                    </a:prstGeom>
                    <a:noFill/>
                    <a:ln>
                      <a:noFill/>
                    </a:ln>
                  </pic:spPr>
                </pic:pic>
              </a:graphicData>
            </a:graphic>
          </wp:inline>
        </w:drawing>
      </w:r>
    </w:p>
    <w:p>
      <w:pPr>
        <w:jc w:val="center"/>
      </w:pPr>
      <w:r>
        <w:rPr>
          <w:b/>
          <w:bCs/>
          <w:color w:val="000000"/>
          <w:kern w:val="0"/>
          <w:szCs w:val="21"/>
        </w:rPr>
        <w:drawing>
          <wp:inline distT="0" distB="0" distL="114300" distR="114300">
            <wp:extent cx="5262880" cy="6668135"/>
            <wp:effectExtent l="0" t="0" r="13970" b="18415"/>
            <wp:docPr id="2" name="图片 4" descr="C:\Users\a\Desktop\ce160115cba27ad690a82da68b07f81.pngce160115cba27ad690a82da68b07f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C:\Users\a\Desktop\ce160115cba27ad690a82da68b07f81.pngce160115cba27ad690a82da68b07f81"/>
                    <pic:cNvPicPr>
                      <a:picLocks noChangeAspect="1"/>
                    </pic:cNvPicPr>
                  </pic:nvPicPr>
                  <pic:blipFill>
                    <a:blip r:embed="rId29"/>
                    <a:srcRect/>
                    <a:stretch>
                      <a:fillRect/>
                    </a:stretch>
                  </pic:blipFill>
                  <pic:spPr>
                    <a:xfrm>
                      <a:off x="0" y="0"/>
                      <a:ext cx="5262880" cy="6668135"/>
                    </a:xfrm>
                    <a:prstGeom prst="rect">
                      <a:avLst/>
                    </a:prstGeom>
                    <a:noFill/>
                    <a:ln>
                      <a:noFill/>
                    </a:ln>
                  </pic:spPr>
                </pic:pic>
              </a:graphicData>
            </a:graphic>
          </wp:inline>
        </w:drawing>
      </w:r>
      <w:r>
        <w:rPr>
          <w:b/>
          <w:bCs/>
          <w:color w:val="000000"/>
          <w:kern w:val="0"/>
          <w:szCs w:val="21"/>
        </w:rPr>
        <w:drawing>
          <wp:inline distT="0" distB="0" distL="114300" distR="114300">
            <wp:extent cx="5262880" cy="6661150"/>
            <wp:effectExtent l="0" t="0" r="13970" b="6350"/>
            <wp:docPr id="3" name="图片 5" descr="C:\Users\a\Desktop\33ec335d56066aca1cfe889e2f59a6d.png33ec335d56066aca1cfe889e2f59a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C:\Users\a\Desktop\33ec335d56066aca1cfe889e2f59a6d.png33ec335d56066aca1cfe889e2f59a6d"/>
                    <pic:cNvPicPr>
                      <a:picLocks noChangeAspect="1"/>
                    </pic:cNvPicPr>
                  </pic:nvPicPr>
                  <pic:blipFill>
                    <a:blip r:embed="rId30"/>
                    <a:srcRect/>
                    <a:stretch>
                      <a:fillRect/>
                    </a:stretch>
                  </pic:blipFill>
                  <pic:spPr>
                    <a:xfrm>
                      <a:off x="0" y="0"/>
                      <a:ext cx="5262880" cy="6661150"/>
                    </a:xfrm>
                    <a:prstGeom prst="rect">
                      <a:avLst/>
                    </a:prstGeom>
                    <a:noFill/>
                    <a:ln>
                      <a:noFill/>
                    </a:ln>
                  </pic:spPr>
                </pic:pic>
              </a:graphicData>
            </a:graphic>
          </wp:inline>
        </w:drawing>
      </w:r>
      <w:r>
        <w:rPr>
          <w:b/>
          <w:bCs/>
          <w:color w:val="000000"/>
          <w:kern w:val="0"/>
          <w:szCs w:val="21"/>
        </w:rPr>
        <w:drawing>
          <wp:inline distT="0" distB="0" distL="114300" distR="114300">
            <wp:extent cx="5262880" cy="6614160"/>
            <wp:effectExtent l="0" t="0" r="13970" b="15240"/>
            <wp:docPr id="4" name="图片 6" descr="C:\Users\a\Desktop\36e5560502c0fe3793c4c34062f0613.png36e5560502c0fe3793c4c34062f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C:\Users\a\Desktop\36e5560502c0fe3793c4c34062f0613.png36e5560502c0fe3793c4c34062f0613"/>
                    <pic:cNvPicPr>
                      <a:picLocks noChangeAspect="1"/>
                    </pic:cNvPicPr>
                  </pic:nvPicPr>
                  <pic:blipFill>
                    <a:blip r:embed="rId31"/>
                    <a:srcRect/>
                    <a:stretch>
                      <a:fillRect/>
                    </a:stretch>
                  </pic:blipFill>
                  <pic:spPr>
                    <a:xfrm>
                      <a:off x="0" y="0"/>
                      <a:ext cx="5262880" cy="6614160"/>
                    </a:xfrm>
                    <a:prstGeom prst="rect">
                      <a:avLst/>
                    </a:prstGeom>
                    <a:noFill/>
                    <a:ln>
                      <a:noFill/>
                    </a:ln>
                  </pic:spPr>
                </pic:pic>
              </a:graphicData>
            </a:graphic>
          </wp:inline>
        </w:drawing>
      </w:r>
    </w:p>
    <w:p>
      <w:pPr>
        <w:rPr>
          <w:sz w:val="28"/>
          <w:szCs w:val="28"/>
        </w:rPr>
      </w:pPr>
    </w:p>
    <w:p>
      <w:pPr>
        <w:rPr>
          <w:sz w:val="28"/>
          <w:szCs w:val="28"/>
        </w:rPr>
      </w:pPr>
    </w:p>
    <w:p>
      <w:pPr>
        <w:rPr>
          <w:sz w:val="28"/>
          <w:szCs w:val="28"/>
        </w:rPr>
      </w:pPr>
    </w:p>
    <w:p>
      <w:pPr>
        <w:rPr>
          <w:sz w:val="28"/>
          <w:szCs w:val="28"/>
        </w:rPr>
      </w:pPr>
    </w:p>
    <w:p>
      <w:pPr>
        <w:rPr>
          <w:sz w:val="28"/>
          <w:szCs w:val="28"/>
        </w:rPr>
      </w:pPr>
    </w:p>
    <w:p>
      <w:pPr>
        <w:pStyle w:val="94"/>
        <w:bidi w:val="0"/>
      </w:pPr>
      <w:bookmarkStart w:id="995" w:name="_Toc13684"/>
      <w:bookmarkStart w:id="996" w:name="_Toc8453"/>
      <w:r>
        <w:rPr>
          <w:rFonts w:hint="eastAsia"/>
        </w:rPr>
        <w:t>附件二 标准化文件</w:t>
      </w:r>
      <w:bookmarkEnd w:id="990"/>
      <w:bookmarkEnd w:id="991"/>
      <w:bookmarkEnd w:id="992"/>
      <w:bookmarkEnd w:id="993"/>
      <w:bookmarkEnd w:id="994"/>
      <w:bookmarkEnd w:id="995"/>
      <w:bookmarkEnd w:id="996"/>
    </w:p>
    <w:p>
      <w:pPr>
        <w:ind w:firstLine="480"/>
        <w:rPr>
          <w:snapToGrid w:val="0"/>
        </w:rPr>
      </w:pPr>
      <w:r>
        <w:rPr>
          <w:snapToGrid w:val="0"/>
        </w:rPr>
        <w:t>1</w:t>
      </w:r>
      <w:r>
        <w:rPr>
          <w:rFonts w:hint="eastAsia" w:cs="宋体"/>
          <w:snapToGrid w:val="0"/>
        </w:rPr>
        <w:t>、公司突发环境事故报告表</w:t>
      </w:r>
      <w:r>
        <w:rPr>
          <w:snapToGrid w:val="0"/>
          <w:highlight w:val="none"/>
        </w:rPr>
        <w:t>(</w:t>
      </w:r>
      <w:r>
        <w:rPr>
          <w:rFonts w:hint="eastAsia" w:cs="宋体"/>
          <w:snapToGrid w:val="0"/>
        </w:rPr>
        <w:t>初报</w:t>
      </w:r>
      <w:r>
        <w:rPr>
          <w:snapToGrid w:val="0"/>
          <w:highlight w:val="none"/>
        </w:rPr>
        <w:t>)</w:t>
      </w:r>
    </w:p>
    <w:tbl>
      <w:tblPr>
        <w:tblStyle w:val="22"/>
        <w:tblW w:w="4998" w:type="pct"/>
        <w:jc w:val="center"/>
        <w:tblLayout w:type="autofit"/>
        <w:tblCellMar>
          <w:top w:w="0" w:type="dxa"/>
          <w:left w:w="0" w:type="dxa"/>
          <w:bottom w:w="0" w:type="dxa"/>
          <w:right w:w="0" w:type="dxa"/>
        </w:tblCellMar>
      </w:tblPr>
      <w:tblGrid>
        <w:gridCol w:w="1879"/>
        <w:gridCol w:w="805"/>
        <w:gridCol w:w="1634"/>
        <w:gridCol w:w="613"/>
        <w:gridCol w:w="594"/>
        <w:gridCol w:w="291"/>
        <w:gridCol w:w="1386"/>
        <w:gridCol w:w="1308"/>
      </w:tblGrid>
      <w:tr>
        <w:tblPrEx>
          <w:tblCellMar>
            <w:top w:w="0" w:type="dxa"/>
            <w:left w:w="0" w:type="dxa"/>
            <w:bottom w:w="0" w:type="dxa"/>
            <w:right w:w="0" w:type="dxa"/>
          </w:tblCellMar>
        </w:tblPrEx>
        <w:trPr>
          <w:trHeight w:val="454" w:hRule="atLeast"/>
          <w:jc w:val="center"/>
        </w:trPr>
        <w:tc>
          <w:tcPr>
            <w:tcW w:w="1104" w:type="pct"/>
            <w:vMerge w:val="restart"/>
            <w:tcBorders>
              <w:top w:val="single" w:color="000000" w:sz="6" w:space="0"/>
              <w:left w:val="single" w:color="000000" w:sz="4" w:space="0"/>
              <w:right w:val="single" w:color="000000" w:sz="4" w:space="0"/>
            </w:tcBorders>
            <w:vAlign w:val="center"/>
          </w:tcPr>
          <w:p>
            <w:pPr>
              <w:pStyle w:val="59"/>
              <w:rPr>
                <w:kern w:val="0"/>
              </w:rPr>
            </w:pPr>
            <w:r>
              <w:rPr>
                <w:rFonts w:hint="eastAsia" w:cs="宋体"/>
                <w:kern w:val="0"/>
              </w:rPr>
              <w:t>报告方式</w:t>
            </w:r>
          </w:p>
        </w:tc>
        <w:tc>
          <w:tcPr>
            <w:tcW w:w="473"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1</w:t>
            </w:r>
          </w:p>
        </w:tc>
        <w:tc>
          <w:tcPr>
            <w:tcW w:w="960"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电话报告</w:t>
            </w:r>
          </w:p>
        </w:tc>
        <w:tc>
          <w:tcPr>
            <w:tcW w:w="709" w:type="pct"/>
            <w:gridSpan w:val="2"/>
            <w:vMerge w:val="restart"/>
            <w:tcBorders>
              <w:top w:val="single" w:color="000000" w:sz="6" w:space="0"/>
              <w:left w:val="single" w:color="000000" w:sz="4" w:space="0"/>
              <w:right w:val="single" w:color="000000" w:sz="4" w:space="0"/>
            </w:tcBorders>
            <w:vAlign w:val="center"/>
          </w:tcPr>
          <w:p>
            <w:pPr>
              <w:pStyle w:val="59"/>
              <w:rPr>
                <w:kern w:val="0"/>
              </w:rPr>
            </w:pPr>
            <w:r>
              <w:rPr>
                <w:rFonts w:hint="eastAsia" w:cs="宋体"/>
                <w:kern w:val="0"/>
              </w:rPr>
              <w:t>报告人</w:t>
            </w:r>
          </w:p>
        </w:tc>
        <w:tc>
          <w:tcPr>
            <w:tcW w:w="985"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内部</w:t>
            </w:r>
          </w:p>
        </w:tc>
        <w:tc>
          <w:tcPr>
            <w:tcW w:w="767"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vMerge w:val="continue"/>
            <w:tcBorders>
              <w:left w:val="single" w:color="000000" w:sz="4" w:space="0"/>
              <w:bottom w:val="single" w:color="000000" w:sz="6" w:space="0"/>
              <w:right w:val="single" w:color="000000" w:sz="4" w:space="0"/>
            </w:tcBorders>
            <w:vAlign w:val="center"/>
          </w:tcPr>
          <w:p>
            <w:pPr>
              <w:ind w:firstLine="480"/>
            </w:pPr>
          </w:p>
        </w:tc>
        <w:tc>
          <w:tcPr>
            <w:tcW w:w="473"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2</w:t>
            </w:r>
          </w:p>
        </w:tc>
        <w:tc>
          <w:tcPr>
            <w:tcW w:w="960"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书面报告</w:t>
            </w:r>
          </w:p>
        </w:tc>
        <w:tc>
          <w:tcPr>
            <w:tcW w:w="709" w:type="pct"/>
            <w:gridSpan w:val="2"/>
            <w:vMerge w:val="continue"/>
            <w:tcBorders>
              <w:left w:val="single" w:color="000000" w:sz="4" w:space="0"/>
              <w:bottom w:val="single" w:color="000000" w:sz="6" w:space="0"/>
              <w:right w:val="single" w:color="000000" w:sz="4" w:space="0"/>
            </w:tcBorders>
            <w:vAlign w:val="center"/>
          </w:tcPr>
          <w:p>
            <w:pPr>
              <w:ind w:firstLine="480"/>
            </w:pPr>
          </w:p>
        </w:tc>
        <w:tc>
          <w:tcPr>
            <w:tcW w:w="985"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外部</w:t>
            </w:r>
          </w:p>
        </w:tc>
        <w:tc>
          <w:tcPr>
            <w:tcW w:w="767"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报告时间</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年月日</w:t>
            </w:r>
            <w:r>
              <w:rPr>
                <w:kern w:val="0"/>
              </w:rPr>
              <w:tab/>
            </w:r>
            <w:r>
              <w:rPr>
                <w:rFonts w:hint="eastAsia" w:cs="宋体"/>
                <w:kern w:val="0"/>
              </w:rPr>
              <w:t>时分</w:t>
            </w:r>
          </w:p>
        </w:tc>
      </w:tr>
      <w:tr>
        <w:tblPrEx>
          <w:tblCellMar>
            <w:top w:w="0" w:type="dxa"/>
            <w:left w:w="0" w:type="dxa"/>
            <w:bottom w:w="0" w:type="dxa"/>
            <w:right w:w="0" w:type="dxa"/>
          </w:tblCellMar>
        </w:tblPrEx>
        <w:trPr>
          <w:trHeight w:val="454" w:hRule="atLeast"/>
          <w:jc w:val="center"/>
        </w:trPr>
        <w:tc>
          <w:tcPr>
            <w:tcW w:w="1104" w:type="pct"/>
            <w:vMerge w:val="restart"/>
            <w:tcBorders>
              <w:top w:val="single" w:color="000000" w:sz="6" w:space="0"/>
              <w:left w:val="single" w:color="000000" w:sz="4" w:space="0"/>
              <w:right w:val="single" w:color="000000" w:sz="4" w:space="0"/>
            </w:tcBorders>
            <w:vAlign w:val="center"/>
          </w:tcPr>
          <w:p>
            <w:pPr>
              <w:pStyle w:val="59"/>
              <w:rPr>
                <w:kern w:val="0"/>
              </w:rPr>
            </w:pPr>
            <w:r>
              <w:rPr>
                <w:rFonts w:hint="eastAsia" w:cs="宋体"/>
                <w:kern w:val="0"/>
              </w:rPr>
              <w:t>报告顺序</w:t>
            </w:r>
          </w:p>
        </w:tc>
        <w:tc>
          <w:tcPr>
            <w:tcW w:w="473"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1</w:t>
            </w:r>
          </w:p>
        </w:tc>
        <w:tc>
          <w:tcPr>
            <w:tcW w:w="1320"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公司应急指挥中心</w:t>
            </w:r>
          </w:p>
        </w:tc>
        <w:tc>
          <w:tcPr>
            <w:tcW w:w="519"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当班调度通知相关部门</w:t>
            </w:r>
          </w:p>
        </w:tc>
      </w:tr>
      <w:tr>
        <w:tblPrEx>
          <w:tblCellMar>
            <w:top w:w="0" w:type="dxa"/>
            <w:left w:w="0" w:type="dxa"/>
            <w:bottom w:w="0" w:type="dxa"/>
            <w:right w:w="0" w:type="dxa"/>
          </w:tblCellMar>
        </w:tblPrEx>
        <w:trPr>
          <w:trHeight w:val="454" w:hRule="atLeast"/>
          <w:jc w:val="center"/>
        </w:trPr>
        <w:tc>
          <w:tcPr>
            <w:tcW w:w="1104" w:type="pct"/>
            <w:vMerge w:val="continue"/>
            <w:tcBorders>
              <w:left w:val="single" w:color="000000" w:sz="4" w:space="0"/>
              <w:right w:val="single" w:color="000000" w:sz="4" w:space="0"/>
            </w:tcBorders>
            <w:vAlign w:val="center"/>
          </w:tcPr>
          <w:p>
            <w:pPr>
              <w:ind w:firstLine="480"/>
            </w:pPr>
          </w:p>
        </w:tc>
        <w:tc>
          <w:tcPr>
            <w:tcW w:w="473"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2</w:t>
            </w:r>
          </w:p>
        </w:tc>
        <w:tc>
          <w:tcPr>
            <w:tcW w:w="1320" w:type="pct"/>
            <w:gridSpan w:val="2"/>
            <w:tcBorders>
              <w:top w:val="single" w:color="000000" w:sz="6" w:space="0"/>
              <w:left w:val="single" w:color="000000" w:sz="4" w:space="0"/>
              <w:bottom w:val="single" w:color="000000" w:sz="6" w:space="0"/>
              <w:right w:val="single" w:color="000000" w:sz="4" w:space="0"/>
            </w:tcBorders>
            <w:vAlign w:val="center"/>
          </w:tcPr>
          <w:p>
            <w:pPr>
              <w:pStyle w:val="59"/>
              <w:rPr>
                <w:rFonts w:hint="default" w:eastAsia="宋体"/>
                <w:kern w:val="0"/>
                <w:lang w:val="en-US" w:eastAsia="zh-CN"/>
              </w:rPr>
            </w:pPr>
            <w:r>
              <w:rPr>
                <w:rFonts w:hint="eastAsia" w:cs="宋体"/>
                <w:kern w:val="0"/>
              </w:rPr>
              <w:t>南昌市</w:t>
            </w:r>
            <w:r>
              <w:rPr>
                <w:rFonts w:hint="eastAsia" w:cs="宋体"/>
                <w:kern w:val="0"/>
                <w:lang w:val="en-US" w:eastAsia="zh-CN"/>
              </w:rPr>
              <w:t>生态环境局</w:t>
            </w:r>
          </w:p>
        </w:tc>
        <w:tc>
          <w:tcPr>
            <w:tcW w:w="519"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1104" w:type="pct"/>
            <w:vMerge w:val="continue"/>
            <w:tcBorders>
              <w:left w:val="single" w:color="000000" w:sz="4" w:space="0"/>
              <w:right w:val="single" w:color="000000" w:sz="4" w:space="0"/>
            </w:tcBorders>
            <w:vAlign w:val="center"/>
          </w:tcPr>
          <w:p>
            <w:pPr>
              <w:ind w:firstLine="480"/>
            </w:pPr>
          </w:p>
        </w:tc>
        <w:tc>
          <w:tcPr>
            <w:tcW w:w="473"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3</w:t>
            </w:r>
          </w:p>
        </w:tc>
        <w:tc>
          <w:tcPr>
            <w:tcW w:w="1320"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南昌市应急办</w:t>
            </w:r>
          </w:p>
        </w:tc>
        <w:tc>
          <w:tcPr>
            <w:tcW w:w="519"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1104" w:type="pct"/>
            <w:vMerge w:val="continue"/>
            <w:tcBorders>
              <w:left w:val="single" w:color="000000" w:sz="4" w:space="0"/>
              <w:right w:val="single" w:color="000000" w:sz="4" w:space="0"/>
            </w:tcBorders>
            <w:vAlign w:val="center"/>
          </w:tcPr>
          <w:p>
            <w:pPr>
              <w:ind w:firstLine="480"/>
            </w:pPr>
          </w:p>
        </w:tc>
        <w:tc>
          <w:tcPr>
            <w:tcW w:w="473"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4</w:t>
            </w:r>
          </w:p>
        </w:tc>
        <w:tc>
          <w:tcPr>
            <w:tcW w:w="1320"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rPr>
              <w:t>南昌市消防大队</w:t>
            </w:r>
          </w:p>
        </w:tc>
        <w:tc>
          <w:tcPr>
            <w:tcW w:w="519"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据事件级别逐级上报</w:t>
            </w: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单位名称</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地址</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省市</w:t>
            </w:r>
            <w:r>
              <w:rPr>
                <w:kern w:val="0"/>
              </w:rPr>
              <w:tab/>
            </w:r>
            <w:r>
              <w:rPr>
                <w:rFonts w:hint="eastAsia" w:cs="宋体"/>
                <w:kern w:val="0"/>
              </w:rPr>
              <w:t>区</w:t>
            </w:r>
            <w:r>
              <w:rPr>
                <w:kern w:val="0"/>
              </w:rPr>
              <w:tab/>
            </w:r>
            <w:r>
              <w:rPr>
                <w:rFonts w:hint="eastAsia" w:cs="宋体"/>
                <w:kern w:val="0"/>
              </w:rPr>
              <w:t>街道</w:t>
            </w:r>
            <w:r>
              <w:rPr>
                <w:kern w:val="0"/>
                <w:highlight w:val="none"/>
              </w:rPr>
              <w:t>(</w:t>
            </w:r>
            <w:r>
              <w:rPr>
                <w:rFonts w:hint="eastAsia" w:cs="宋体"/>
                <w:kern w:val="0"/>
              </w:rPr>
              <w:t>乡、镇</w:t>
            </w:r>
            <w:r>
              <w:rPr>
                <w:kern w:val="0"/>
                <w:highlight w:val="none"/>
              </w:rPr>
              <w:t>)</w:t>
            </w:r>
            <w:r>
              <w:rPr>
                <w:kern w:val="0"/>
              </w:rPr>
              <w:tab/>
            </w:r>
            <w:r>
              <w:rPr>
                <w:rFonts w:hint="eastAsia" w:cs="宋体"/>
                <w:kern w:val="0"/>
              </w:rPr>
              <w:t>路号</w:t>
            </w: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highlight w:val="none"/>
              </w:rPr>
              <w:t>法人代表</w:t>
            </w:r>
          </w:p>
        </w:tc>
        <w:tc>
          <w:tcPr>
            <w:tcW w:w="1433"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880" w:type="pct"/>
            <w:gridSpan w:val="3"/>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联系电话</w:t>
            </w: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传真</w:t>
            </w:r>
          </w:p>
        </w:tc>
        <w:tc>
          <w:tcPr>
            <w:tcW w:w="1433"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880" w:type="pct"/>
            <w:gridSpan w:val="3"/>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highlight w:val="none"/>
              </w:rPr>
              <w:t>E</w:t>
            </w:r>
            <w:r>
              <w:rPr>
                <w:rFonts w:hint="eastAsia"/>
                <w:kern w:val="0"/>
                <w:highlight w:val="none"/>
                <w:lang w:val="en-US" w:eastAsia="zh-CN"/>
              </w:rPr>
              <w:t>-</w:t>
            </w:r>
            <w:r>
              <w:rPr>
                <w:kern w:val="0"/>
                <w:highlight w:val="none"/>
              </w:rPr>
              <w:t>mail</w:t>
            </w: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发生位置</w:t>
            </w:r>
          </w:p>
        </w:tc>
        <w:tc>
          <w:tcPr>
            <w:tcW w:w="1433"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880" w:type="pct"/>
            <w:gridSpan w:val="3"/>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设备设施名称</w:t>
            </w:r>
          </w:p>
        </w:tc>
        <w:tc>
          <w:tcPr>
            <w:tcW w:w="1582" w:type="pct"/>
            <w:gridSpan w:val="2"/>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物料名称</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类型</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kern w:val="0"/>
              </w:rPr>
              <w:t>□</w:t>
            </w:r>
            <w:r>
              <w:rPr>
                <w:rFonts w:hint="eastAsia" w:cs="宋体"/>
                <w:kern w:val="0"/>
              </w:rPr>
              <w:t>火灾</w:t>
            </w:r>
            <w:r>
              <w:rPr>
                <w:kern w:val="0"/>
              </w:rPr>
              <w:tab/>
            </w:r>
            <w:r>
              <w:rPr>
                <w:kern w:val="0"/>
              </w:rPr>
              <w:t>□</w:t>
            </w:r>
            <w:r>
              <w:rPr>
                <w:rFonts w:hint="eastAsia" w:cs="宋体"/>
                <w:kern w:val="0"/>
              </w:rPr>
              <w:t>泄漏</w:t>
            </w:r>
            <w:r>
              <w:rPr>
                <w:kern w:val="0"/>
              </w:rPr>
              <w:tab/>
            </w:r>
            <w:r>
              <w:rPr>
                <w:kern w:val="0"/>
              </w:rPr>
              <w:t>□</w:t>
            </w:r>
            <w:r>
              <w:rPr>
                <w:rFonts w:hint="eastAsia" w:cs="宋体"/>
                <w:kern w:val="0"/>
              </w:rPr>
              <w:t>爆炸</w:t>
            </w:r>
            <w:r>
              <w:rPr>
                <w:kern w:val="0"/>
              </w:rPr>
              <w:tab/>
            </w:r>
            <w:r>
              <w:rPr>
                <w:kern w:val="0"/>
              </w:rPr>
              <w:t>□</w:t>
            </w:r>
            <w:r>
              <w:rPr>
                <w:rFonts w:hint="eastAsia" w:cs="宋体"/>
                <w:kern w:val="0"/>
                <w:highlight w:val="none"/>
              </w:rPr>
              <w:t>其它</w:t>
            </w: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污染物名称</w:t>
            </w:r>
          </w:p>
        </w:tc>
        <w:tc>
          <w:tcPr>
            <w:tcW w:w="2142" w:type="pct"/>
            <w:gridSpan w:val="4"/>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数量</w:t>
            </w:r>
          </w:p>
        </w:tc>
        <w:tc>
          <w:tcPr>
            <w:tcW w:w="1752" w:type="pct"/>
            <w:gridSpan w:val="3"/>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排放去向</w:t>
            </w: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2142" w:type="pct"/>
            <w:gridSpan w:val="4"/>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1752" w:type="pct"/>
            <w:gridSpan w:val="3"/>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2142" w:type="pct"/>
            <w:gridSpan w:val="4"/>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c>
          <w:tcPr>
            <w:tcW w:w="1752" w:type="pct"/>
            <w:gridSpan w:val="3"/>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已污染的范围</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可能受影响区域</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潜在的危害程度转</w:t>
            </w:r>
          </w:p>
          <w:p>
            <w:pPr>
              <w:pStyle w:val="59"/>
              <w:rPr>
                <w:kern w:val="0"/>
              </w:rPr>
            </w:pPr>
            <w:r>
              <w:rPr>
                <w:rFonts w:hint="eastAsia" w:cs="宋体"/>
                <w:kern w:val="0"/>
              </w:rPr>
              <w:t>化方式趋向</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已采取的应急措施</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6" w:space="0"/>
              <w:right w:val="single" w:color="000000" w:sz="4" w:space="0"/>
            </w:tcBorders>
            <w:vAlign w:val="center"/>
          </w:tcPr>
          <w:p>
            <w:pPr>
              <w:pStyle w:val="59"/>
              <w:rPr>
                <w:kern w:val="0"/>
              </w:rPr>
            </w:pPr>
            <w:r>
              <w:rPr>
                <w:rFonts w:hint="eastAsia" w:cs="宋体"/>
                <w:kern w:val="0"/>
              </w:rPr>
              <w:t>建议采取措施</w:t>
            </w:r>
          </w:p>
        </w:tc>
        <w:tc>
          <w:tcPr>
            <w:tcW w:w="3895" w:type="pct"/>
            <w:gridSpan w:val="7"/>
            <w:tcBorders>
              <w:top w:val="single" w:color="000000" w:sz="6" w:space="0"/>
              <w:left w:val="single" w:color="000000" w:sz="4" w:space="0"/>
              <w:bottom w:val="single" w:color="000000" w:sz="6" w:space="0"/>
              <w:right w:val="single" w:color="000000" w:sz="4" w:space="0"/>
            </w:tcBorders>
            <w:vAlign w:val="center"/>
          </w:tcPr>
          <w:p>
            <w:pPr>
              <w:pStyle w:val="59"/>
              <w:rPr>
                <w:kern w:val="0"/>
              </w:rPr>
            </w:pPr>
          </w:p>
        </w:tc>
      </w:tr>
      <w:tr>
        <w:tblPrEx>
          <w:tblCellMar>
            <w:top w:w="0" w:type="dxa"/>
            <w:left w:w="0" w:type="dxa"/>
            <w:bottom w:w="0" w:type="dxa"/>
            <w:right w:w="0" w:type="dxa"/>
          </w:tblCellMar>
        </w:tblPrEx>
        <w:trPr>
          <w:trHeight w:val="454" w:hRule="atLeast"/>
          <w:jc w:val="center"/>
        </w:trPr>
        <w:tc>
          <w:tcPr>
            <w:tcW w:w="1104" w:type="pct"/>
            <w:tcBorders>
              <w:top w:val="single" w:color="000000" w:sz="6" w:space="0"/>
              <w:left w:val="single" w:color="000000" w:sz="4" w:space="0"/>
              <w:bottom w:val="single" w:color="000000" w:sz="4" w:space="0"/>
              <w:right w:val="single" w:color="000000" w:sz="4" w:space="0"/>
            </w:tcBorders>
            <w:vAlign w:val="center"/>
          </w:tcPr>
          <w:p>
            <w:pPr>
              <w:pStyle w:val="59"/>
              <w:rPr>
                <w:kern w:val="0"/>
              </w:rPr>
            </w:pPr>
            <w:r>
              <w:rPr>
                <w:rFonts w:hint="eastAsia" w:cs="宋体"/>
                <w:kern w:val="0"/>
              </w:rPr>
              <w:t>直接人员伤亡和财</w:t>
            </w:r>
          </w:p>
          <w:p>
            <w:pPr>
              <w:pStyle w:val="59"/>
              <w:rPr>
                <w:kern w:val="0"/>
              </w:rPr>
            </w:pPr>
            <w:r>
              <w:rPr>
                <w:rFonts w:hint="eastAsia" w:cs="宋体"/>
                <w:kern w:val="0"/>
              </w:rPr>
              <w:t>产经济损失</w:t>
            </w:r>
          </w:p>
        </w:tc>
        <w:tc>
          <w:tcPr>
            <w:tcW w:w="3895" w:type="pct"/>
            <w:gridSpan w:val="7"/>
            <w:tcBorders>
              <w:top w:val="single" w:color="000000" w:sz="6" w:space="0"/>
              <w:left w:val="single" w:color="000000" w:sz="4" w:space="0"/>
              <w:bottom w:val="single" w:color="000000" w:sz="4" w:space="0"/>
              <w:right w:val="single" w:color="000000" w:sz="4" w:space="0"/>
            </w:tcBorders>
            <w:vAlign w:val="center"/>
          </w:tcPr>
          <w:p>
            <w:pPr>
              <w:pStyle w:val="59"/>
              <w:rPr>
                <w:kern w:val="0"/>
              </w:rPr>
            </w:pPr>
          </w:p>
        </w:tc>
      </w:tr>
    </w:tbl>
    <w:p>
      <w:pPr>
        <w:ind w:firstLine="480"/>
        <w:rPr>
          <w:snapToGrid w:val="0"/>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ind w:firstLine="480"/>
        <w:rPr>
          <w:snapToGrid w:val="0"/>
        </w:rPr>
      </w:pPr>
      <w:r>
        <w:rPr>
          <w:snapToGrid w:val="0"/>
        </w:rPr>
        <w:t>2</w:t>
      </w:r>
      <w:r>
        <w:rPr>
          <w:rFonts w:hint="eastAsia" w:cs="宋体"/>
          <w:snapToGrid w:val="0"/>
        </w:rPr>
        <w:t>、公司突发环境事件报告表</w:t>
      </w:r>
      <w:r>
        <w:rPr>
          <w:snapToGrid w:val="0"/>
          <w:highlight w:val="none"/>
        </w:rPr>
        <w:t>(</w:t>
      </w:r>
      <w:r>
        <w:rPr>
          <w:rFonts w:hint="eastAsia" w:cs="宋体"/>
          <w:snapToGrid w:val="0"/>
        </w:rPr>
        <w:t>处理结果报告</w:t>
      </w:r>
      <w:r>
        <w:rPr>
          <w:snapToGrid w:val="0"/>
          <w:highlight w:val="none"/>
        </w:rPr>
        <w:t>)</w:t>
      </w:r>
    </w:p>
    <w:tbl>
      <w:tblPr>
        <w:tblStyle w:val="22"/>
        <w:tblW w:w="4998" w:type="pct"/>
        <w:jc w:val="center"/>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Layout w:type="autofit"/>
        <w:tblCellMar>
          <w:top w:w="0" w:type="dxa"/>
          <w:left w:w="0" w:type="dxa"/>
          <w:bottom w:w="0" w:type="dxa"/>
          <w:right w:w="0" w:type="dxa"/>
        </w:tblCellMar>
      </w:tblPr>
      <w:tblGrid>
        <w:gridCol w:w="207"/>
        <w:gridCol w:w="1613"/>
        <w:gridCol w:w="470"/>
        <w:gridCol w:w="750"/>
        <w:gridCol w:w="1469"/>
        <w:gridCol w:w="36"/>
        <w:gridCol w:w="1378"/>
        <w:gridCol w:w="2593"/>
      </w:tblGrid>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报告方式</w:t>
            </w:r>
          </w:p>
        </w:tc>
        <w:tc>
          <w:tcPr>
            <w:tcW w:w="1599" w:type="pct"/>
            <w:gridSpan w:val="4"/>
            <w:tcBorders>
              <w:tl2br w:val="nil"/>
              <w:tr2bl w:val="nil"/>
            </w:tcBorders>
            <w:vAlign w:val="center"/>
          </w:tcPr>
          <w:p>
            <w:pPr>
              <w:pStyle w:val="59"/>
              <w:rPr>
                <w:kern w:val="0"/>
              </w:rPr>
            </w:pPr>
            <w:r>
              <w:rPr>
                <w:rFonts w:hint="eastAsia" w:cs="宋体"/>
                <w:kern w:val="0"/>
              </w:rPr>
              <w:t>电话报告或网络报告</w:t>
            </w:r>
          </w:p>
        </w:tc>
        <w:tc>
          <w:tcPr>
            <w:tcW w:w="808" w:type="pct"/>
            <w:tcBorders>
              <w:tl2br w:val="nil"/>
              <w:tr2bl w:val="nil"/>
            </w:tcBorders>
            <w:vAlign w:val="center"/>
          </w:tcPr>
          <w:p>
            <w:pPr>
              <w:pStyle w:val="59"/>
              <w:rPr>
                <w:kern w:val="0"/>
              </w:rPr>
            </w:pPr>
            <w:r>
              <w:rPr>
                <w:rFonts w:hint="eastAsia" w:cs="宋体"/>
                <w:kern w:val="0"/>
              </w:rPr>
              <w:t>报告人</w:t>
            </w:r>
          </w:p>
        </w:tc>
        <w:tc>
          <w:tcPr>
            <w:tcW w:w="1521" w:type="pct"/>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报告时间</w:t>
            </w:r>
          </w:p>
        </w:tc>
        <w:tc>
          <w:tcPr>
            <w:tcW w:w="715" w:type="pct"/>
            <w:gridSpan w:val="2"/>
            <w:tcBorders>
              <w:tl2br w:val="nil"/>
              <w:tr2bl w:val="nil"/>
            </w:tcBorders>
            <w:vAlign w:val="center"/>
          </w:tcPr>
          <w:p>
            <w:pPr>
              <w:pStyle w:val="59"/>
              <w:rPr>
                <w:kern w:val="0"/>
              </w:rPr>
            </w:pPr>
            <w:r>
              <w:rPr>
                <w:rFonts w:hint="eastAsia" w:cs="宋体"/>
                <w:kern w:val="0"/>
              </w:rPr>
              <w:t>年</w:t>
            </w:r>
          </w:p>
        </w:tc>
        <w:tc>
          <w:tcPr>
            <w:tcW w:w="862" w:type="pct"/>
            <w:tcBorders>
              <w:tl2br w:val="nil"/>
              <w:tr2bl w:val="nil"/>
            </w:tcBorders>
            <w:vAlign w:val="center"/>
          </w:tcPr>
          <w:p>
            <w:pPr>
              <w:pStyle w:val="59"/>
              <w:rPr>
                <w:kern w:val="0"/>
              </w:rPr>
            </w:pPr>
            <w:r>
              <w:rPr>
                <w:rFonts w:hint="eastAsia" w:cs="宋体"/>
                <w:kern w:val="0"/>
              </w:rPr>
              <w:t>月</w:t>
            </w:r>
          </w:p>
        </w:tc>
        <w:tc>
          <w:tcPr>
            <w:tcW w:w="2352" w:type="pct"/>
            <w:gridSpan w:val="3"/>
            <w:tcBorders>
              <w:tl2br w:val="nil"/>
              <w:tr2bl w:val="nil"/>
            </w:tcBorders>
            <w:vAlign w:val="center"/>
          </w:tcPr>
          <w:p>
            <w:pPr>
              <w:pStyle w:val="59"/>
              <w:rPr>
                <w:kern w:val="0"/>
              </w:rPr>
            </w:pPr>
            <w:r>
              <w:rPr>
                <w:rFonts w:hint="eastAsia" w:cs="宋体"/>
                <w:kern w:val="0"/>
              </w:rPr>
              <w:t>日</w:t>
            </w:r>
            <w:r>
              <w:rPr>
                <w:kern w:val="0"/>
              </w:rPr>
              <w:tab/>
            </w:r>
            <w:r>
              <w:rPr>
                <w:rFonts w:hint="eastAsia" w:cs="宋体"/>
                <w:kern w:val="0"/>
              </w:rPr>
              <w:t>时</w:t>
            </w:r>
            <w:r>
              <w:rPr>
                <w:kern w:val="0"/>
              </w:rPr>
              <w:tab/>
            </w:r>
            <w:r>
              <w:rPr>
                <w:rFonts w:hint="eastAsia" w:cs="宋体"/>
                <w:kern w:val="0"/>
              </w:rPr>
              <w:t>分</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vMerge w:val="restart"/>
            <w:tcBorders>
              <w:tl2br w:val="nil"/>
              <w:tr2bl w:val="nil"/>
            </w:tcBorders>
            <w:vAlign w:val="center"/>
          </w:tcPr>
          <w:p>
            <w:pPr>
              <w:pStyle w:val="59"/>
              <w:rPr>
                <w:kern w:val="0"/>
              </w:rPr>
            </w:pPr>
            <w:r>
              <w:rPr>
                <w:rFonts w:hint="eastAsia" w:cs="宋体"/>
                <w:kern w:val="0"/>
              </w:rPr>
              <w:t>报告顺序</w:t>
            </w:r>
          </w:p>
        </w:tc>
        <w:tc>
          <w:tcPr>
            <w:tcW w:w="276" w:type="pct"/>
            <w:tcBorders>
              <w:tl2br w:val="nil"/>
              <w:tr2bl w:val="nil"/>
            </w:tcBorders>
            <w:vAlign w:val="center"/>
          </w:tcPr>
          <w:p>
            <w:pPr>
              <w:pStyle w:val="59"/>
              <w:rPr>
                <w:kern w:val="0"/>
              </w:rPr>
            </w:pPr>
            <w:r>
              <w:rPr>
                <w:kern w:val="0"/>
              </w:rPr>
              <w:t>1</w:t>
            </w:r>
          </w:p>
        </w:tc>
        <w:tc>
          <w:tcPr>
            <w:tcW w:w="1323" w:type="pct"/>
            <w:gridSpan w:val="3"/>
            <w:tcBorders>
              <w:tl2br w:val="nil"/>
              <w:tr2bl w:val="nil"/>
            </w:tcBorders>
            <w:vAlign w:val="center"/>
          </w:tcPr>
          <w:p>
            <w:pPr>
              <w:pStyle w:val="59"/>
              <w:rPr>
                <w:kern w:val="0"/>
              </w:rPr>
            </w:pPr>
            <w:r>
              <w:rPr>
                <w:rFonts w:hint="eastAsia" w:cs="宋体"/>
                <w:kern w:val="0"/>
              </w:rPr>
              <w:t>公司应急指挥中心</w:t>
            </w:r>
          </w:p>
        </w:tc>
        <w:tc>
          <w:tcPr>
            <w:tcW w:w="808" w:type="pct"/>
            <w:tcBorders>
              <w:tl2br w:val="nil"/>
              <w:tr2bl w:val="nil"/>
            </w:tcBorders>
            <w:vAlign w:val="center"/>
          </w:tcPr>
          <w:p>
            <w:pPr>
              <w:pStyle w:val="59"/>
              <w:rPr>
                <w:kern w:val="0"/>
              </w:rPr>
            </w:pPr>
          </w:p>
        </w:tc>
        <w:tc>
          <w:tcPr>
            <w:tcW w:w="1521" w:type="pct"/>
            <w:tcBorders>
              <w:tl2br w:val="nil"/>
              <w:tr2bl w:val="nil"/>
            </w:tcBorders>
            <w:vAlign w:val="center"/>
          </w:tcPr>
          <w:p>
            <w:pPr>
              <w:pStyle w:val="59"/>
              <w:rPr>
                <w:kern w:val="0"/>
              </w:rPr>
            </w:pPr>
            <w:r>
              <w:rPr>
                <w:rFonts w:hint="eastAsia" w:cs="宋体"/>
                <w:kern w:val="0"/>
              </w:rPr>
              <w:t>当班调度通知相关部门</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vMerge w:val="continue"/>
            <w:tcBorders>
              <w:tl2br w:val="nil"/>
              <w:tr2bl w:val="nil"/>
            </w:tcBorders>
            <w:vAlign w:val="center"/>
          </w:tcPr>
          <w:p>
            <w:pPr>
              <w:ind w:firstLine="480"/>
            </w:pPr>
          </w:p>
        </w:tc>
        <w:tc>
          <w:tcPr>
            <w:tcW w:w="276" w:type="pct"/>
            <w:tcBorders>
              <w:tl2br w:val="nil"/>
              <w:tr2bl w:val="nil"/>
            </w:tcBorders>
            <w:vAlign w:val="center"/>
          </w:tcPr>
          <w:p>
            <w:pPr>
              <w:pStyle w:val="59"/>
              <w:rPr>
                <w:kern w:val="0"/>
              </w:rPr>
            </w:pPr>
            <w:r>
              <w:rPr>
                <w:kern w:val="0"/>
              </w:rPr>
              <w:t>2</w:t>
            </w:r>
          </w:p>
        </w:tc>
        <w:tc>
          <w:tcPr>
            <w:tcW w:w="1323" w:type="pct"/>
            <w:gridSpan w:val="3"/>
            <w:tcBorders>
              <w:tl2br w:val="nil"/>
              <w:tr2bl w:val="nil"/>
            </w:tcBorders>
            <w:vAlign w:val="center"/>
          </w:tcPr>
          <w:p>
            <w:pPr>
              <w:pStyle w:val="59"/>
              <w:rPr>
                <w:rFonts w:hint="default" w:eastAsia="宋体"/>
                <w:kern w:val="0"/>
                <w:lang w:val="en-US" w:eastAsia="zh-CN"/>
              </w:rPr>
            </w:pPr>
            <w:r>
              <w:rPr>
                <w:rFonts w:hint="eastAsia" w:cs="宋体"/>
                <w:kern w:val="0"/>
              </w:rPr>
              <w:t>南昌市</w:t>
            </w:r>
            <w:r>
              <w:rPr>
                <w:rFonts w:hint="eastAsia" w:cs="宋体"/>
                <w:kern w:val="0"/>
                <w:lang w:val="en-US" w:eastAsia="zh-CN"/>
              </w:rPr>
              <w:t>生态环境局</w:t>
            </w:r>
          </w:p>
        </w:tc>
        <w:tc>
          <w:tcPr>
            <w:tcW w:w="808" w:type="pct"/>
            <w:tcBorders>
              <w:tl2br w:val="nil"/>
              <w:tr2bl w:val="nil"/>
            </w:tcBorders>
            <w:vAlign w:val="center"/>
          </w:tcPr>
          <w:p>
            <w:pPr>
              <w:pStyle w:val="59"/>
              <w:rPr>
                <w:kern w:val="0"/>
              </w:rPr>
            </w:pPr>
          </w:p>
        </w:tc>
        <w:tc>
          <w:tcPr>
            <w:tcW w:w="1521" w:type="pct"/>
            <w:tcBorders>
              <w:tl2br w:val="nil"/>
              <w:tr2bl w:val="nil"/>
            </w:tcBorders>
            <w:vAlign w:val="center"/>
          </w:tcPr>
          <w:p>
            <w:pPr>
              <w:pStyle w:val="59"/>
              <w:rPr>
                <w:kern w:val="0"/>
              </w:rPr>
            </w:pPr>
            <w:r>
              <w:rPr>
                <w:rFonts w:hint="eastAsia" w:cs="宋体"/>
                <w:kern w:val="0"/>
              </w:rPr>
              <w:t>据事件级别逐级上报</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vMerge w:val="continue"/>
            <w:tcBorders>
              <w:tl2br w:val="nil"/>
              <w:tr2bl w:val="nil"/>
            </w:tcBorders>
            <w:vAlign w:val="center"/>
          </w:tcPr>
          <w:p>
            <w:pPr>
              <w:ind w:firstLine="480"/>
            </w:pPr>
          </w:p>
        </w:tc>
        <w:tc>
          <w:tcPr>
            <w:tcW w:w="276" w:type="pct"/>
            <w:tcBorders>
              <w:tl2br w:val="nil"/>
              <w:tr2bl w:val="nil"/>
            </w:tcBorders>
            <w:vAlign w:val="center"/>
          </w:tcPr>
          <w:p>
            <w:pPr>
              <w:pStyle w:val="59"/>
              <w:rPr>
                <w:kern w:val="0"/>
              </w:rPr>
            </w:pPr>
            <w:r>
              <w:rPr>
                <w:kern w:val="0"/>
              </w:rPr>
              <w:t>3</w:t>
            </w:r>
          </w:p>
        </w:tc>
        <w:tc>
          <w:tcPr>
            <w:tcW w:w="1323" w:type="pct"/>
            <w:gridSpan w:val="3"/>
            <w:tcBorders>
              <w:tl2br w:val="nil"/>
              <w:tr2bl w:val="nil"/>
            </w:tcBorders>
            <w:vAlign w:val="center"/>
          </w:tcPr>
          <w:p>
            <w:pPr>
              <w:pStyle w:val="59"/>
              <w:rPr>
                <w:kern w:val="0"/>
              </w:rPr>
            </w:pPr>
            <w:r>
              <w:rPr>
                <w:rFonts w:hint="eastAsia" w:cs="宋体"/>
                <w:kern w:val="0"/>
              </w:rPr>
              <w:t>南昌市安监局</w:t>
            </w:r>
          </w:p>
        </w:tc>
        <w:tc>
          <w:tcPr>
            <w:tcW w:w="808" w:type="pct"/>
            <w:tcBorders>
              <w:tl2br w:val="nil"/>
              <w:tr2bl w:val="nil"/>
            </w:tcBorders>
            <w:vAlign w:val="center"/>
          </w:tcPr>
          <w:p>
            <w:pPr>
              <w:pStyle w:val="59"/>
              <w:rPr>
                <w:kern w:val="0"/>
              </w:rPr>
            </w:pPr>
          </w:p>
        </w:tc>
        <w:tc>
          <w:tcPr>
            <w:tcW w:w="1521" w:type="pct"/>
            <w:tcBorders>
              <w:tl2br w:val="nil"/>
              <w:tr2bl w:val="nil"/>
            </w:tcBorders>
            <w:vAlign w:val="center"/>
          </w:tcPr>
          <w:p>
            <w:pPr>
              <w:pStyle w:val="59"/>
              <w:rPr>
                <w:kern w:val="0"/>
              </w:rPr>
            </w:pPr>
            <w:r>
              <w:rPr>
                <w:rFonts w:hint="eastAsia" w:cs="宋体"/>
                <w:kern w:val="0"/>
              </w:rPr>
              <w:t>据事件级别逐级上报</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vMerge w:val="continue"/>
            <w:tcBorders>
              <w:tl2br w:val="nil"/>
              <w:tr2bl w:val="nil"/>
            </w:tcBorders>
            <w:vAlign w:val="center"/>
          </w:tcPr>
          <w:p>
            <w:pPr>
              <w:ind w:firstLine="480"/>
            </w:pPr>
          </w:p>
        </w:tc>
        <w:tc>
          <w:tcPr>
            <w:tcW w:w="276" w:type="pct"/>
            <w:tcBorders>
              <w:tl2br w:val="nil"/>
              <w:tr2bl w:val="nil"/>
            </w:tcBorders>
            <w:vAlign w:val="center"/>
          </w:tcPr>
          <w:p>
            <w:pPr>
              <w:pStyle w:val="59"/>
              <w:rPr>
                <w:kern w:val="0"/>
              </w:rPr>
            </w:pPr>
            <w:r>
              <w:rPr>
                <w:kern w:val="0"/>
              </w:rPr>
              <w:t>4</w:t>
            </w:r>
          </w:p>
        </w:tc>
        <w:tc>
          <w:tcPr>
            <w:tcW w:w="1323" w:type="pct"/>
            <w:gridSpan w:val="3"/>
            <w:tcBorders>
              <w:tl2br w:val="nil"/>
              <w:tr2bl w:val="nil"/>
            </w:tcBorders>
            <w:vAlign w:val="center"/>
          </w:tcPr>
          <w:p>
            <w:pPr>
              <w:pStyle w:val="59"/>
              <w:rPr>
                <w:kern w:val="0"/>
              </w:rPr>
            </w:pPr>
            <w:r>
              <w:rPr>
                <w:rFonts w:hint="eastAsia" w:cs="宋体"/>
              </w:rPr>
              <w:t>南昌市消防大队</w:t>
            </w:r>
          </w:p>
        </w:tc>
        <w:tc>
          <w:tcPr>
            <w:tcW w:w="808" w:type="pct"/>
            <w:tcBorders>
              <w:tl2br w:val="nil"/>
              <w:tr2bl w:val="nil"/>
            </w:tcBorders>
            <w:vAlign w:val="center"/>
          </w:tcPr>
          <w:p>
            <w:pPr>
              <w:pStyle w:val="59"/>
              <w:rPr>
                <w:kern w:val="0"/>
              </w:rPr>
            </w:pPr>
          </w:p>
        </w:tc>
        <w:tc>
          <w:tcPr>
            <w:tcW w:w="1521" w:type="pct"/>
            <w:tcBorders>
              <w:tl2br w:val="nil"/>
              <w:tr2bl w:val="nil"/>
            </w:tcBorders>
            <w:vAlign w:val="center"/>
          </w:tcPr>
          <w:p>
            <w:pPr>
              <w:pStyle w:val="59"/>
              <w:rPr>
                <w:kern w:val="0"/>
              </w:rPr>
            </w:pPr>
            <w:r>
              <w:rPr>
                <w:rFonts w:hint="eastAsia" w:cs="宋体"/>
                <w:kern w:val="0"/>
              </w:rPr>
              <w:t>据事件级别逐级上报</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单位名称</w:t>
            </w:r>
          </w:p>
        </w:tc>
        <w:tc>
          <w:tcPr>
            <w:tcW w:w="3930" w:type="pct"/>
            <w:gridSpan w:val="6"/>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地址</w:t>
            </w:r>
          </w:p>
        </w:tc>
        <w:tc>
          <w:tcPr>
            <w:tcW w:w="715" w:type="pct"/>
            <w:gridSpan w:val="2"/>
            <w:tcBorders>
              <w:tl2br w:val="nil"/>
              <w:tr2bl w:val="nil"/>
            </w:tcBorders>
            <w:vAlign w:val="center"/>
          </w:tcPr>
          <w:p>
            <w:pPr>
              <w:pStyle w:val="59"/>
              <w:rPr>
                <w:kern w:val="0"/>
              </w:rPr>
            </w:pPr>
            <w:r>
              <w:rPr>
                <w:rFonts w:hint="eastAsia" w:cs="宋体"/>
                <w:kern w:val="0"/>
              </w:rPr>
              <w:t>省</w:t>
            </w:r>
          </w:p>
        </w:tc>
        <w:tc>
          <w:tcPr>
            <w:tcW w:w="862" w:type="pct"/>
            <w:tcBorders>
              <w:tl2br w:val="nil"/>
              <w:tr2bl w:val="nil"/>
            </w:tcBorders>
            <w:vAlign w:val="center"/>
          </w:tcPr>
          <w:p>
            <w:pPr>
              <w:pStyle w:val="59"/>
              <w:rPr>
                <w:kern w:val="0"/>
              </w:rPr>
            </w:pPr>
            <w:r>
              <w:rPr>
                <w:rFonts w:hint="eastAsia" w:cs="宋体"/>
                <w:kern w:val="0"/>
              </w:rPr>
              <w:t>市</w:t>
            </w:r>
            <w:r>
              <w:rPr>
                <w:kern w:val="0"/>
              </w:rPr>
              <w:tab/>
            </w:r>
            <w:r>
              <w:rPr>
                <w:rFonts w:hint="eastAsia" w:cs="宋体"/>
                <w:kern w:val="0"/>
              </w:rPr>
              <w:t>区</w:t>
            </w:r>
          </w:p>
        </w:tc>
        <w:tc>
          <w:tcPr>
            <w:tcW w:w="2352" w:type="pct"/>
            <w:gridSpan w:val="3"/>
            <w:tcBorders>
              <w:tl2br w:val="nil"/>
              <w:tr2bl w:val="nil"/>
            </w:tcBorders>
            <w:vAlign w:val="center"/>
          </w:tcPr>
          <w:p>
            <w:pPr>
              <w:pStyle w:val="59"/>
              <w:rPr>
                <w:kern w:val="0"/>
              </w:rPr>
            </w:pPr>
            <w:r>
              <w:rPr>
                <w:rFonts w:hint="eastAsia" w:cs="宋体"/>
                <w:kern w:val="0"/>
              </w:rPr>
              <w:t>街道</w:t>
            </w:r>
            <w:r>
              <w:rPr>
                <w:kern w:val="0"/>
                <w:highlight w:val="none"/>
              </w:rPr>
              <w:t>(</w:t>
            </w:r>
            <w:r>
              <w:rPr>
                <w:rFonts w:hint="eastAsia" w:cs="宋体"/>
                <w:kern w:val="0"/>
              </w:rPr>
              <w:t>乡、镇</w:t>
            </w:r>
            <w:r>
              <w:rPr>
                <w:kern w:val="0"/>
                <w:highlight w:val="none"/>
              </w:rPr>
              <w:t>)</w:t>
            </w:r>
            <w:r>
              <w:rPr>
                <w:kern w:val="0"/>
              </w:rPr>
              <w:tab/>
            </w:r>
            <w:r>
              <w:rPr>
                <w:rFonts w:hint="eastAsia" w:cs="宋体"/>
                <w:kern w:val="0"/>
              </w:rPr>
              <w:t>路</w:t>
            </w:r>
            <w:r>
              <w:rPr>
                <w:kern w:val="0"/>
              </w:rPr>
              <w:tab/>
            </w:r>
            <w:r>
              <w:rPr>
                <w:rFonts w:hint="eastAsia" w:cs="宋体"/>
                <w:kern w:val="0"/>
              </w:rPr>
              <w:t>号</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highlight w:val="none"/>
              </w:rPr>
              <w:t>法人代表</w:t>
            </w:r>
          </w:p>
        </w:tc>
        <w:tc>
          <w:tcPr>
            <w:tcW w:w="1599" w:type="pct"/>
            <w:gridSpan w:val="4"/>
            <w:tcBorders>
              <w:tl2br w:val="nil"/>
              <w:tr2bl w:val="nil"/>
            </w:tcBorders>
            <w:vAlign w:val="center"/>
          </w:tcPr>
          <w:p>
            <w:pPr>
              <w:pStyle w:val="59"/>
              <w:rPr>
                <w:kern w:val="0"/>
              </w:rPr>
            </w:pPr>
          </w:p>
        </w:tc>
        <w:tc>
          <w:tcPr>
            <w:tcW w:w="808" w:type="pct"/>
            <w:tcBorders>
              <w:tl2br w:val="nil"/>
              <w:tr2bl w:val="nil"/>
            </w:tcBorders>
            <w:vAlign w:val="center"/>
          </w:tcPr>
          <w:p>
            <w:pPr>
              <w:pStyle w:val="59"/>
              <w:rPr>
                <w:kern w:val="0"/>
              </w:rPr>
            </w:pPr>
            <w:r>
              <w:rPr>
                <w:rFonts w:hint="eastAsia" w:cs="宋体"/>
                <w:kern w:val="0"/>
              </w:rPr>
              <w:t>联系电话</w:t>
            </w:r>
          </w:p>
        </w:tc>
        <w:tc>
          <w:tcPr>
            <w:tcW w:w="1521" w:type="pct"/>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传真</w:t>
            </w:r>
          </w:p>
        </w:tc>
        <w:tc>
          <w:tcPr>
            <w:tcW w:w="1599" w:type="pct"/>
            <w:gridSpan w:val="4"/>
            <w:tcBorders>
              <w:tl2br w:val="nil"/>
              <w:tr2bl w:val="nil"/>
            </w:tcBorders>
            <w:vAlign w:val="center"/>
          </w:tcPr>
          <w:p>
            <w:pPr>
              <w:pStyle w:val="59"/>
              <w:rPr>
                <w:kern w:val="0"/>
              </w:rPr>
            </w:pPr>
          </w:p>
        </w:tc>
        <w:tc>
          <w:tcPr>
            <w:tcW w:w="808" w:type="pct"/>
            <w:tcBorders>
              <w:tl2br w:val="nil"/>
              <w:tr2bl w:val="nil"/>
            </w:tcBorders>
            <w:vAlign w:val="center"/>
          </w:tcPr>
          <w:p>
            <w:pPr>
              <w:pStyle w:val="59"/>
              <w:rPr>
                <w:kern w:val="0"/>
              </w:rPr>
            </w:pPr>
            <w:r>
              <w:rPr>
                <w:kern w:val="0"/>
                <w:highlight w:val="none"/>
              </w:rPr>
              <w:t>E</w:t>
            </w:r>
            <w:r>
              <w:rPr>
                <w:rFonts w:hint="eastAsia"/>
                <w:kern w:val="0"/>
                <w:highlight w:val="none"/>
                <w:lang w:val="en-US" w:eastAsia="zh-CN"/>
              </w:rPr>
              <w:t>-</w:t>
            </w:r>
            <w:r>
              <w:rPr>
                <w:kern w:val="0"/>
                <w:highlight w:val="none"/>
              </w:rPr>
              <w:t>mail</w:t>
            </w:r>
          </w:p>
        </w:tc>
        <w:tc>
          <w:tcPr>
            <w:tcW w:w="1521" w:type="pct"/>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发生位置</w:t>
            </w:r>
          </w:p>
        </w:tc>
        <w:tc>
          <w:tcPr>
            <w:tcW w:w="1599" w:type="pct"/>
            <w:gridSpan w:val="4"/>
            <w:tcBorders>
              <w:tl2br w:val="nil"/>
              <w:tr2bl w:val="nil"/>
            </w:tcBorders>
            <w:vAlign w:val="center"/>
          </w:tcPr>
          <w:p>
            <w:pPr>
              <w:pStyle w:val="59"/>
              <w:rPr>
                <w:kern w:val="0"/>
              </w:rPr>
            </w:pPr>
          </w:p>
        </w:tc>
        <w:tc>
          <w:tcPr>
            <w:tcW w:w="808" w:type="pct"/>
            <w:tcBorders>
              <w:tl2br w:val="nil"/>
              <w:tr2bl w:val="nil"/>
            </w:tcBorders>
            <w:vAlign w:val="center"/>
          </w:tcPr>
          <w:p>
            <w:pPr>
              <w:pStyle w:val="59"/>
              <w:rPr>
                <w:kern w:val="0"/>
              </w:rPr>
            </w:pPr>
            <w:r>
              <w:rPr>
                <w:rFonts w:hint="eastAsia" w:cs="宋体"/>
                <w:kern w:val="0"/>
              </w:rPr>
              <w:t>设备设施名称</w:t>
            </w:r>
          </w:p>
        </w:tc>
        <w:tc>
          <w:tcPr>
            <w:tcW w:w="1521" w:type="pct"/>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物料名称</w:t>
            </w:r>
          </w:p>
        </w:tc>
        <w:tc>
          <w:tcPr>
            <w:tcW w:w="3930" w:type="pct"/>
            <w:gridSpan w:val="6"/>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类型</w:t>
            </w:r>
          </w:p>
        </w:tc>
        <w:tc>
          <w:tcPr>
            <w:tcW w:w="715" w:type="pct"/>
            <w:gridSpan w:val="2"/>
            <w:tcBorders>
              <w:tl2br w:val="nil"/>
              <w:tr2bl w:val="nil"/>
            </w:tcBorders>
            <w:vAlign w:val="center"/>
          </w:tcPr>
          <w:p>
            <w:pPr>
              <w:pStyle w:val="59"/>
              <w:rPr>
                <w:kern w:val="0"/>
              </w:rPr>
            </w:pPr>
            <w:r>
              <w:rPr>
                <w:kern w:val="0"/>
              </w:rPr>
              <w:t>□</w:t>
            </w:r>
            <w:r>
              <w:rPr>
                <w:rFonts w:hint="eastAsia" w:cs="宋体"/>
                <w:kern w:val="0"/>
              </w:rPr>
              <w:t>火灾</w:t>
            </w:r>
          </w:p>
        </w:tc>
        <w:tc>
          <w:tcPr>
            <w:tcW w:w="862" w:type="pct"/>
            <w:tcBorders>
              <w:tl2br w:val="nil"/>
              <w:tr2bl w:val="nil"/>
            </w:tcBorders>
            <w:vAlign w:val="center"/>
          </w:tcPr>
          <w:p>
            <w:pPr>
              <w:pStyle w:val="59"/>
              <w:rPr>
                <w:kern w:val="0"/>
              </w:rPr>
            </w:pPr>
            <w:r>
              <w:rPr>
                <w:kern w:val="0"/>
              </w:rPr>
              <w:t>□</w:t>
            </w:r>
            <w:r>
              <w:rPr>
                <w:rFonts w:hint="eastAsia" w:cs="宋体"/>
                <w:kern w:val="0"/>
              </w:rPr>
              <w:t>泄漏</w:t>
            </w:r>
          </w:p>
        </w:tc>
        <w:tc>
          <w:tcPr>
            <w:tcW w:w="2352" w:type="pct"/>
            <w:gridSpan w:val="3"/>
            <w:tcBorders>
              <w:tl2br w:val="nil"/>
              <w:tr2bl w:val="nil"/>
            </w:tcBorders>
            <w:vAlign w:val="center"/>
          </w:tcPr>
          <w:p>
            <w:pPr>
              <w:pStyle w:val="59"/>
              <w:rPr>
                <w:kern w:val="0"/>
              </w:rPr>
            </w:pPr>
            <w:r>
              <w:rPr>
                <w:kern w:val="0"/>
              </w:rPr>
              <w:t>□</w:t>
            </w:r>
            <w:r>
              <w:rPr>
                <w:rFonts w:hint="eastAsia" w:cs="宋体"/>
                <w:kern w:val="0"/>
              </w:rPr>
              <w:t>爆炸</w:t>
            </w:r>
            <w:r>
              <w:rPr>
                <w:kern w:val="0"/>
              </w:rPr>
              <w:t xml:space="preserve">    □</w:t>
            </w:r>
            <w:r>
              <w:rPr>
                <w:rFonts w:hint="eastAsia" w:cs="宋体"/>
                <w:kern w:val="0"/>
                <w:highlight w:val="none"/>
              </w:rPr>
              <w:t>其它</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污染物名称</w:t>
            </w:r>
          </w:p>
        </w:tc>
        <w:tc>
          <w:tcPr>
            <w:tcW w:w="2408" w:type="pct"/>
            <w:gridSpan w:val="5"/>
            <w:tcBorders>
              <w:tl2br w:val="nil"/>
              <w:tr2bl w:val="nil"/>
            </w:tcBorders>
            <w:vAlign w:val="center"/>
          </w:tcPr>
          <w:p>
            <w:pPr>
              <w:pStyle w:val="59"/>
              <w:rPr>
                <w:kern w:val="0"/>
              </w:rPr>
            </w:pPr>
            <w:r>
              <w:rPr>
                <w:rFonts w:hint="eastAsia" w:cs="宋体"/>
                <w:kern w:val="0"/>
              </w:rPr>
              <w:t>数量</w:t>
            </w:r>
          </w:p>
        </w:tc>
        <w:tc>
          <w:tcPr>
            <w:tcW w:w="1521" w:type="pct"/>
            <w:tcBorders>
              <w:tl2br w:val="nil"/>
              <w:tr2bl w:val="nil"/>
            </w:tcBorders>
            <w:vAlign w:val="center"/>
          </w:tcPr>
          <w:p>
            <w:pPr>
              <w:pStyle w:val="59"/>
              <w:rPr>
                <w:kern w:val="0"/>
              </w:rPr>
            </w:pPr>
            <w:r>
              <w:rPr>
                <w:rFonts w:hint="eastAsia" w:cs="宋体"/>
                <w:kern w:val="0"/>
              </w:rPr>
              <w:t>排放去向</w:t>
            </w: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p>
        </w:tc>
        <w:tc>
          <w:tcPr>
            <w:tcW w:w="2408" w:type="pct"/>
            <w:gridSpan w:val="5"/>
            <w:tcBorders>
              <w:tl2br w:val="nil"/>
              <w:tr2bl w:val="nil"/>
            </w:tcBorders>
            <w:vAlign w:val="center"/>
          </w:tcPr>
          <w:p>
            <w:pPr>
              <w:pStyle w:val="59"/>
              <w:rPr>
                <w:kern w:val="0"/>
              </w:rPr>
            </w:pPr>
          </w:p>
        </w:tc>
        <w:tc>
          <w:tcPr>
            <w:tcW w:w="1521" w:type="pct"/>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69" w:type="pct"/>
            <w:gridSpan w:val="2"/>
            <w:tcBorders>
              <w:tl2br w:val="nil"/>
              <w:tr2bl w:val="nil"/>
            </w:tcBorders>
            <w:vAlign w:val="center"/>
          </w:tcPr>
          <w:p>
            <w:pPr>
              <w:pStyle w:val="59"/>
              <w:rPr>
                <w:kern w:val="0"/>
              </w:rPr>
            </w:pPr>
            <w:r>
              <w:rPr>
                <w:rFonts w:hint="eastAsia" w:cs="宋体"/>
                <w:kern w:val="0"/>
              </w:rPr>
              <w:t>报告正文：</w:t>
            </w:r>
          </w:p>
        </w:tc>
        <w:tc>
          <w:tcPr>
            <w:tcW w:w="715" w:type="pct"/>
            <w:gridSpan w:val="2"/>
            <w:tcBorders>
              <w:tl2br w:val="nil"/>
              <w:tr2bl w:val="nil"/>
            </w:tcBorders>
            <w:vAlign w:val="center"/>
          </w:tcPr>
          <w:p>
            <w:pPr>
              <w:pStyle w:val="59"/>
              <w:rPr>
                <w:kern w:val="0"/>
              </w:rPr>
            </w:pPr>
          </w:p>
        </w:tc>
        <w:tc>
          <w:tcPr>
            <w:tcW w:w="862" w:type="pct"/>
            <w:tcBorders>
              <w:tl2br w:val="nil"/>
              <w:tr2bl w:val="nil"/>
            </w:tcBorders>
            <w:vAlign w:val="center"/>
          </w:tcPr>
          <w:p>
            <w:pPr>
              <w:pStyle w:val="59"/>
              <w:rPr>
                <w:kern w:val="0"/>
              </w:rPr>
            </w:pP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647" w:type="pct"/>
            <w:gridSpan w:val="5"/>
            <w:tcBorders>
              <w:tl2br w:val="nil"/>
              <w:tr2bl w:val="nil"/>
            </w:tcBorders>
            <w:vAlign w:val="center"/>
          </w:tcPr>
          <w:p>
            <w:pPr>
              <w:pStyle w:val="59"/>
              <w:rPr>
                <w:kern w:val="0"/>
              </w:rPr>
            </w:pPr>
            <w:r>
              <w:rPr>
                <w:rFonts w:hint="eastAsia" w:cs="宋体"/>
                <w:kern w:val="0"/>
              </w:rPr>
              <w:t>处理事件的措施、过程和结果：</w:t>
            </w: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785" w:type="pct"/>
            <w:gridSpan w:val="4"/>
            <w:tcBorders>
              <w:tl2br w:val="nil"/>
              <w:tr2bl w:val="nil"/>
            </w:tcBorders>
            <w:vAlign w:val="center"/>
          </w:tcPr>
          <w:p>
            <w:pPr>
              <w:pStyle w:val="59"/>
              <w:rPr>
                <w:kern w:val="0"/>
              </w:rPr>
            </w:pPr>
          </w:p>
          <w:p>
            <w:pPr>
              <w:pStyle w:val="59"/>
              <w:rPr>
                <w:kern w:val="0"/>
              </w:rPr>
            </w:pPr>
            <w:r>
              <w:rPr>
                <w:rFonts w:hint="eastAsia" w:cs="宋体"/>
                <w:kern w:val="0"/>
              </w:rPr>
              <w:t>污染的范围和程度：</w:t>
            </w:r>
          </w:p>
        </w:tc>
        <w:tc>
          <w:tcPr>
            <w:tcW w:w="862" w:type="pct"/>
            <w:tcBorders>
              <w:tl2br w:val="nil"/>
              <w:tr2bl w:val="nil"/>
            </w:tcBorders>
            <w:vAlign w:val="center"/>
          </w:tcPr>
          <w:p>
            <w:pPr>
              <w:pStyle w:val="59"/>
              <w:rPr>
                <w:kern w:val="0"/>
              </w:rPr>
            </w:pP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647" w:type="pct"/>
            <w:gridSpan w:val="5"/>
            <w:tcBorders>
              <w:tl2br w:val="nil"/>
              <w:tr2bl w:val="nil"/>
            </w:tcBorders>
            <w:vAlign w:val="center"/>
          </w:tcPr>
          <w:p>
            <w:pPr>
              <w:pStyle w:val="59"/>
              <w:rPr>
                <w:kern w:val="0"/>
              </w:rPr>
            </w:pPr>
          </w:p>
          <w:p>
            <w:pPr>
              <w:pStyle w:val="59"/>
              <w:rPr>
                <w:kern w:val="0"/>
              </w:rPr>
            </w:pPr>
            <w:r>
              <w:rPr>
                <w:rFonts w:hint="eastAsia" w:cs="宋体"/>
                <w:kern w:val="0"/>
              </w:rPr>
              <w:t>事件潜在或间接的危害、社会影响：</w:t>
            </w: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785" w:type="pct"/>
            <w:gridSpan w:val="4"/>
            <w:tcBorders>
              <w:tl2br w:val="nil"/>
              <w:tr2bl w:val="nil"/>
            </w:tcBorders>
            <w:vAlign w:val="center"/>
          </w:tcPr>
          <w:p>
            <w:pPr>
              <w:pStyle w:val="59"/>
              <w:rPr>
                <w:kern w:val="0"/>
              </w:rPr>
            </w:pPr>
          </w:p>
          <w:p>
            <w:pPr>
              <w:pStyle w:val="59"/>
              <w:rPr>
                <w:kern w:val="0"/>
              </w:rPr>
            </w:pPr>
            <w:r>
              <w:rPr>
                <w:rFonts w:hint="eastAsia" w:cs="宋体"/>
                <w:kern w:val="0"/>
              </w:rPr>
              <w:t>处理后的遗留问题：</w:t>
            </w:r>
          </w:p>
        </w:tc>
        <w:tc>
          <w:tcPr>
            <w:tcW w:w="862" w:type="pct"/>
            <w:tcBorders>
              <w:tl2br w:val="nil"/>
              <w:tr2bl w:val="nil"/>
            </w:tcBorders>
            <w:vAlign w:val="center"/>
          </w:tcPr>
          <w:p>
            <w:pPr>
              <w:pStyle w:val="59"/>
              <w:rPr>
                <w:kern w:val="0"/>
              </w:rPr>
            </w:pP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647" w:type="pct"/>
            <w:gridSpan w:val="5"/>
            <w:tcBorders>
              <w:tl2br w:val="nil"/>
              <w:tr2bl w:val="nil"/>
            </w:tcBorders>
            <w:vAlign w:val="center"/>
          </w:tcPr>
          <w:p>
            <w:pPr>
              <w:pStyle w:val="59"/>
              <w:rPr>
                <w:kern w:val="0"/>
              </w:rPr>
            </w:pPr>
          </w:p>
          <w:p>
            <w:pPr>
              <w:pStyle w:val="59"/>
              <w:rPr>
                <w:kern w:val="0"/>
              </w:rPr>
            </w:pPr>
            <w:r>
              <w:rPr>
                <w:rFonts w:hint="eastAsia" w:cs="宋体"/>
                <w:kern w:val="0"/>
              </w:rPr>
              <w:t>参加处理工作的有关部门和工作内容：</w:t>
            </w: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2647" w:type="pct"/>
            <w:gridSpan w:val="5"/>
            <w:tcBorders>
              <w:tl2br w:val="nil"/>
              <w:tr2bl w:val="nil"/>
            </w:tcBorders>
            <w:vAlign w:val="center"/>
          </w:tcPr>
          <w:p>
            <w:pPr>
              <w:pStyle w:val="59"/>
              <w:rPr>
                <w:kern w:val="0"/>
              </w:rPr>
            </w:pPr>
          </w:p>
          <w:p>
            <w:pPr>
              <w:pStyle w:val="59"/>
              <w:rPr>
                <w:rFonts w:cs="宋体"/>
                <w:kern w:val="0"/>
              </w:rPr>
            </w:pPr>
            <w:r>
              <w:rPr>
                <w:rFonts w:hint="eastAsia" w:cs="宋体"/>
                <w:kern w:val="0"/>
              </w:rPr>
              <w:t>有关危害与损失的证明</w:t>
            </w:r>
          </w:p>
          <w:p>
            <w:pPr>
              <w:pStyle w:val="59"/>
              <w:rPr>
                <w:rFonts w:cs="宋体"/>
                <w:kern w:val="0"/>
              </w:rPr>
            </w:pPr>
          </w:p>
          <w:p>
            <w:pPr>
              <w:pStyle w:val="59"/>
              <w:rPr>
                <w:kern w:val="0"/>
              </w:rPr>
            </w:pPr>
            <w:r>
              <w:rPr>
                <w:rFonts w:hint="eastAsia" w:cs="宋体"/>
                <w:kern w:val="0"/>
              </w:rPr>
              <w:t>等详细情况。</w:t>
            </w:r>
          </w:p>
        </w:tc>
        <w:tc>
          <w:tcPr>
            <w:tcW w:w="2352" w:type="pct"/>
            <w:gridSpan w:val="3"/>
            <w:tcBorders>
              <w:tl2br w:val="nil"/>
              <w:tr2bl w:val="nil"/>
            </w:tcBorders>
            <w:vAlign w:val="center"/>
          </w:tcPr>
          <w:p>
            <w:pPr>
              <w:pStyle w:val="59"/>
              <w:rPr>
                <w:kern w:val="0"/>
              </w:rPr>
            </w:pPr>
          </w:p>
        </w:tc>
      </w:tr>
      <w:tr>
        <w:tblPrEx>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CellMar>
            <w:top w:w="0" w:type="dxa"/>
            <w:left w:w="0" w:type="dxa"/>
            <w:bottom w:w="0" w:type="dxa"/>
            <w:right w:w="0" w:type="dxa"/>
          </w:tblCellMar>
        </w:tblPrEx>
        <w:trPr>
          <w:trHeight w:val="250" w:hRule="atLeast"/>
          <w:jc w:val="center"/>
        </w:trPr>
        <w:tc>
          <w:tcPr>
            <w:tcW w:w="122" w:type="pct"/>
            <w:tcBorders>
              <w:tl2br w:val="nil"/>
              <w:tr2bl w:val="nil"/>
            </w:tcBorders>
            <w:vAlign w:val="center"/>
          </w:tcPr>
          <w:p>
            <w:pPr>
              <w:pStyle w:val="59"/>
              <w:rPr>
                <w:kern w:val="0"/>
              </w:rPr>
            </w:pPr>
          </w:p>
        </w:tc>
        <w:tc>
          <w:tcPr>
            <w:tcW w:w="946" w:type="pct"/>
            <w:tcBorders>
              <w:tl2br w:val="nil"/>
              <w:tr2bl w:val="nil"/>
            </w:tcBorders>
            <w:vAlign w:val="center"/>
          </w:tcPr>
          <w:p>
            <w:pPr>
              <w:pStyle w:val="59"/>
              <w:rPr>
                <w:kern w:val="0"/>
              </w:rPr>
            </w:pPr>
          </w:p>
        </w:tc>
        <w:tc>
          <w:tcPr>
            <w:tcW w:w="715" w:type="pct"/>
            <w:gridSpan w:val="2"/>
            <w:tcBorders>
              <w:tl2br w:val="nil"/>
              <w:tr2bl w:val="nil"/>
            </w:tcBorders>
            <w:vAlign w:val="center"/>
          </w:tcPr>
          <w:p>
            <w:pPr>
              <w:pStyle w:val="59"/>
              <w:rPr>
                <w:kern w:val="0"/>
              </w:rPr>
            </w:pPr>
          </w:p>
        </w:tc>
        <w:tc>
          <w:tcPr>
            <w:tcW w:w="862" w:type="pct"/>
            <w:tcBorders>
              <w:tl2br w:val="nil"/>
              <w:tr2bl w:val="nil"/>
            </w:tcBorders>
            <w:vAlign w:val="center"/>
          </w:tcPr>
          <w:p>
            <w:pPr>
              <w:pStyle w:val="59"/>
              <w:rPr>
                <w:kern w:val="0"/>
              </w:rPr>
            </w:pPr>
          </w:p>
        </w:tc>
        <w:tc>
          <w:tcPr>
            <w:tcW w:w="2352" w:type="pct"/>
            <w:gridSpan w:val="3"/>
            <w:tcBorders>
              <w:tl2br w:val="nil"/>
              <w:tr2bl w:val="nil"/>
            </w:tcBorders>
            <w:vAlign w:val="center"/>
          </w:tcPr>
          <w:p>
            <w:pPr>
              <w:pStyle w:val="59"/>
              <w:rPr>
                <w:kern w:val="0"/>
              </w:rPr>
            </w:pPr>
            <w:r>
              <w:rPr>
                <w:rFonts w:hint="eastAsia" w:cs="宋体"/>
                <w:kern w:val="0"/>
              </w:rPr>
              <w:t>（不够可附页）</w:t>
            </w:r>
          </w:p>
        </w:tc>
      </w:tr>
    </w:tbl>
    <w:p>
      <w:pPr>
        <w:rPr>
          <w:b/>
          <w:bCs/>
          <w:sz w:val="32"/>
          <w:szCs w:val="32"/>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numPr>
          <w:ilvl w:val="0"/>
          <w:numId w:val="2"/>
        </w:numPr>
        <w:ind w:firstLine="480"/>
        <w:rPr>
          <w:rFonts w:cs="宋体"/>
          <w:snapToGrid w:val="0"/>
        </w:rPr>
      </w:pPr>
      <w:r>
        <w:rPr>
          <w:rFonts w:hint="eastAsia" w:cs="宋体"/>
          <w:snapToGrid w:val="0"/>
        </w:rPr>
        <w:t>公司突发环境事件内部信息传报表格</w:t>
      </w:r>
    </w:p>
    <w:tbl>
      <w:tblPr>
        <w:tblStyle w:val="22"/>
        <w:tblW w:w="4999" w:type="pct"/>
        <w:jc w:val="center"/>
        <w:tblLayout w:type="autofit"/>
        <w:tblCellMar>
          <w:top w:w="0" w:type="dxa"/>
          <w:left w:w="108" w:type="dxa"/>
          <w:bottom w:w="0" w:type="dxa"/>
          <w:right w:w="108" w:type="dxa"/>
        </w:tblCellMar>
      </w:tblPr>
      <w:tblGrid>
        <w:gridCol w:w="1046"/>
        <w:gridCol w:w="992"/>
        <w:gridCol w:w="1369"/>
        <w:gridCol w:w="1439"/>
        <w:gridCol w:w="209"/>
        <w:gridCol w:w="1718"/>
        <w:gridCol w:w="209"/>
        <w:gridCol w:w="1735"/>
      </w:tblGrid>
      <w:tr>
        <w:tblPrEx>
          <w:tblCellMar>
            <w:top w:w="0" w:type="dxa"/>
            <w:left w:w="108" w:type="dxa"/>
            <w:bottom w:w="0" w:type="dxa"/>
            <w:right w:w="108" w:type="dxa"/>
          </w:tblCellMar>
        </w:tblPrEx>
        <w:trPr>
          <w:cantSplit/>
          <w:trHeight w:val="455"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事故发生场所</w:t>
            </w:r>
          </w:p>
        </w:tc>
        <w:tc>
          <w:tcPr>
            <w:tcW w:w="1610"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c>
          <w:tcPr>
            <w:tcW w:w="1105"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环境负责人</w:t>
            </w:r>
          </w:p>
        </w:tc>
        <w:tc>
          <w:tcPr>
            <w:tcW w:w="1113"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r>
      <w:tr>
        <w:tblPrEx>
          <w:tblCellMar>
            <w:top w:w="0" w:type="dxa"/>
            <w:left w:w="108" w:type="dxa"/>
            <w:bottom w:w="0" w:type="dxa"/>
            <w:right w:w="108" w:type="dxa"/>
          </w:tblCellMar>
        </w:tblPrEx>
        <w:trPr>
          <w:cantSplit/>
          <w:trHeight w:val="449"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事故责任人</w:t>
            </w:r>
          </w:p>
        </w:tc>
        <w:tc>
          <w:tcPr>
            <w:tcW w:w="1610"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c>
          <w:tcPr>
            <w:tcW w:w="1105"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事故发生时间</w:t>
            </w:r>
          </w:p>
        </w:tc>
        <w:tc>
          <w:tcPr>
            <w:tcW w:w="1113"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r>
      <w:tr>
        <w:tblPrEx>
          <w:tblCellMar>
            <w:top w:w="0" w:type="dxa"/>
            <w:left w:w="108" w:type="dxa"/>
            <w:bottom w:w="0" w:type="dxa"/>
            <w:right w:w="108" w:type="dxa"/>
          </w:tblCellMar>
        </w:tblPrEx>
        <w:trPr>
          <w:cantSplit/>
          <w:trHeight w:val="898"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是否违反相关法</w:t>
            </w:r>
          </w:p>
          <w:p>
            <w:pPr>
              <w:pStyle w:val="59"/>
              <w:rPr>
                <w:rFonts w:cs="宋体"/>
                <w:kern w:val="0"/>
              </w:rPr>
            </w:pPr>
            <w:r>
              <w:rPr>
                <w:rFonts w:hint="eastAsia" w:cs="宋体"/>
                <w:kern w:val="0"/>
              </w:rPr>
              <w:t>律法规</w:t>
            </w:r>
          </w:p>
        </w:tc>
        <w:tc>
          <w:tcPr>
            <w:tcW w:w="3830" w:type="pct"/>
            <w:gridSpan w:val="6"/>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是□    否□</w:t>
            </w:r>
          </w:p>
        </w:tc>
      </w:tr>
      <w:tr>
        <w:tblPrEx>
          <w:tblCellMar>
            <w:top w:w="0" w:type="dxa"/>
            <w:left w:w="108" w:type="dxa"/>
            <w:bottom w:w="0" w:type="dxa"/>
            <w:right w:w="108" w:type="dxa"/>
          </w:tblCellMar>
        </w:tblPrEx>
        <w:trPr>
          <w:cantSplit/>
          <w:trHeight w:val="3090"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事故发生经过</w:t>
            </w:r>
          </w:p>
        </w:tc>
        <w:tc>
          <w:tcPr>
            <w:tcW w:w="3830" w:type="pct"/>
            <w:gridSpan w:val="6"/>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p>
            <w:pPr>
              <w:pStyle w:val="59"/>
              <w:rPr>
                <w:rFonts w:cs="宋体"/>
                <w:kern w:val="0"/>
              </w:rPr>
            </w:pPr>
          </w:p>
          <w:p>
            <w:pPr>
              <w:pStyle w:val="59"/>
              <w:rPr>
                <w:rFonts w:cs="宋体"/>
                <w:kern w:val="0"/>
              </w:rPr>
            </w:pPr>
          </w:p>
          <w:p>
            <w:pPr>
              <w:pStyle w:val="59"/>
              <w:rPr>
                <w:rFonts w:cs="宋体"/>
                <w:kern w:val="0"/>
              </w:rPr>
            </w:pPr>
          </w:p>
          <w:p>
            <w:pPr>
              <w:pStyle w:val="59"/>
              <w:rPr>
                <w:rFonts w:cs="宋体"/>
                <w:kern w:val="0"/>
              </w:rPr>
            </w:pPr>
            <w:r>
              <w:rPr>
                <w:rFonts w:hint="eastAsia" w:cs="宋体"/>
                <w:kern w:val="0"/>
              </w:rPr>
              <w:t>签名：日期：</w:t>
            </w:r>
          </w:p>
        </w:tc>
      </w:tr>
      <w:tr>
        <w:tblPrEx>
          <w:tblCellMar>
            <w:top w:w="0" w:type="dxa"/>
            <w:left w:w="108" w:type="dxa"/>
            <w:bottom w:w="0" w:type="dxa"/>
            <w:right w:w="108" w:type="dxa"/>
          </w:tblCellMar>
        </w:tblPrEx>
        <w:trPr>
          <w:cantSplit/>
          <w:trHeight w:val="2679"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事故发生原因</w:t>
            </w:r>
          </w:p>
        </w:tc>
        <w:tc>
          <w:tcPr>
            <w:tcW w:w="3830" w:type="pct"/>
            <w:gridSpan w:val="6"/>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p>
            <w:pPr>
              <w:pStyle w:val="59"/>
              <w:rPr>
                <w:rFonts w:cs="宋体"/>
                <w:kern w:val="0"/>
              </w:rPr>
            </w:pPr>
          </w:p>
          <w:p>
            <w:pPr>
              <w:pStyle w:val="59"/>
              <w:rPr>
                <w:rFonts w:cs="宋体"/>
                <w:kern w:val="0"/>
              </w:rPr>
            </w:pPr>
          </w:p>
          <w:p>
            <w:pPr>
              <w:pStyle w:val="59"/>
              <w:rPr>
                <w:rFonts w:cs="宋体"/>
                <w:kern w:val="0"/>
              </w:rPr>
            </w:pPr>
          </w:p>
          <w:p>
            <w:pPr>
              <w:pStyle w:val="59"/>
              <w:rPr>
                <w:rFonts w:cs="宋体"/>
                <w:kern w:val="0"/>
              </w:rPr>
            </w:pPr>
            <w:r>
              <w:rPr>
                <w:rFonts w:hint="eastAsia" w:cs="宋体"/>
                <w:kern w:val="0"/>
              </w:rPr>
              <w:t>签名：日期：</w:t>
            </w:r>
          </w:p>
        </w:tc>
      </w:tr>
      <w:tr>
        <w:tblPrEx>
          <w:tblCellMar>
            <w:top w:w="0" w:type="dxa"/>
            <w:left w:w="108" w:type="dxa"/>
            <w:bottom w:w="0" w:type="dxa"/>
            <w:right w:w="108" w:type="dxa"/>
          </w:tblCellMar>
        </w:tblPrEx>
        <w:trPr>
          <w:cantSplit/>
          <w:trHeight w:val="2547"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解决方法及措施</w:t>
            </w:r>
          </w:p>
        </w:tc>
        <w:tc>
          <w:tcPr>
            <w:tcW w:w="3830" w:type="pct"/>
            <w:gridSpan w:val="6"/>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p>
            <w:pPr>
              <w:pStyle w:val="59"/>
              <w:rPr>
                <w:rFonts w:cs="宋体"/>
                <w:kern w:val="0"/>
              </w:rPr>
            </w:pPr>
          </w:p>
          <w:p>
            <w:pPr>
              <w:pStyle w:val="59"/>
              <w:rPr>
                <w:rFonts w:cs="宋体"/>
                <w:kern w:val="0"/>
              </w:rPr>
            </w:pPr>
          </w:p>
          <w:p>
            <w:pPr>
              <w:pStyle w:val="59"/>
              <w:rPr>
                <w:rFonts w:cs="宋体"/>
                <w:kern w:val="0"/>
              </w:rPr>
            </w:pPr>
          </w:p>
          <w:p>
            <w:pPr>
              <w:pStyle w:val="59"/>
              <w:rPr>
                <w:rFonts w:cs="宋体"/>
                <w:kern w:val="0"/>
              </w:rPr>
            </w:pPr>
            <w:r>
              <w:rPr>
                <w:rFonts w:hint="eastAsia" w:cs="宋体"/>
                <w:kern w:val="0"/>
              </w:rPr>
              <w:t>签名：日期：</w:t>
            </w:r>
          </w:p>
        </w:tc>
      </w:tr>
      <w:tr>
        <w:tblPrEx>
          <w:tblCellMar>
            <w:top w:w="0" w:type="dxa"/>
            <w:left w:w="108" w:type="dxa"/>
            <w:bottom w:w="0" w:type="dxa"/>
            <w:right w:w="108" w:type="dxa"/>
          </w:tblCellMar>
        </w:tblPrEx>
        <w:trPr>
          <w:cantSplit/>
          <w:trHeight w:val="685" w:hRule="atLeast"/>
          <w:jc w:val="center"/>
        </w:trPr>
        <w:tc>
          <w:tcPr>
            <w:tcW w:w="600" w:type="pct"/>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评定人</w:t>
            </w:r>
          </w:p>
        </w:tc>
        <w:tc>
          <w:tcPr>
            <w:tcW w:w="569" w:type="pct"/>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c>
          <w:tcPr>
            <w:tcW w:w="785" w:type="pct"/>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评定部门</w:t>
            </w:r>
          </w:p>
        </w:tc>
        <w:tc>
          <w:tcPr>
            <w:tcW w:w="945"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c>
          <w:tcPr>
            <w:tcW w:w="1105"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报告日期</w:t>
            </w:r>
          </w:p>
        </w:tc>
        <w:tc>
          <w:tcPr>
            <w:tcW w:w="993" w:type="pct"/>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r>
      <w:tr>
        <w:tblPrEx>
          <w:tblCellMar>
            <w:top w:w="0" w:type="dxa"/>
            <w:left w:w="108" w:type="dxa"/>
            <w:bottom w:w="0" w:type="dxa"/>
            <w:right w:w="108" w:type="dxa"/>
          </w:tblCellMar>
        </w:tblPrEx>
        <w:trPr>
          <w:cantSplit/>
          <w:trHeight w:val="993" w:hRule="atLeast"/>
          <w:jc w:val="center"/>
        </w:trPr>
        <w:tc>
          <w:tcPr>
            <w:tcW w:w="1169" w:type="pct"/>
            <w:gridSpan w:val="2"/>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r>
              <w:rPr>
                <w:rFonts w:hint="eastAsia" w:cs="宋体"/>
                <w:kern w:val="0"/>
              </w:rPr>
              <w:t>管理者代表确认</w:t>
            </w:r>
          </w:p>
        </w:tc>
        <w:tc>
          <w:tcPr>
            <w:tcW w:w="3830" w:type="pct"/>
            <w:gridSpan w:val="6"/>
            <w:tcBorders>
              <w:top w:val="single" w:color="auto" w:sz="6" w:space="0"/>
              <w:left w:val="single" w:color="auto" w:sz="6" w:space="0"/>
              <w:bottom w:val="single" w:color="auto" w:sz="6" w:space="0"/>
              <w:right w:val="single" w:color="auto" w:sz="6" w:space="0"/>
            </w:tcBorders>
            <w:vAlign w:val="center"/>
          </w:tcPr>
          <w:p>
            <w:pPr>
              <w:pStyle w:val="59"/>
              <w:rPr>
                <w:rFonts w:cs="宋体"/>
                <w:kern w:val="0"/>
              </w:rPr>
            </w:pPr>
          </w:p>
        </w:tc>
      </w:tr>
    </w:tbl>
    <w:p>
      <w:pPr>
        <w:rPr>
          <w:b/>
          <w:bCs/>
          <w:sz w:val="32"/>
          <w:szCs w:val="32"/>
        </w:rPr>
      </w:pPr>
    </w:p>
    <w:p>
      <w:pPr>
        <w:pStyle w:val="3"/>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ind w:firstLine="480"/>
        <w:rPr>
          <w:snapToGrid w:val="0"/>
        </w:rPr>
      </w:pPr>
      <w:r>
        <w:rPr>
          <w:snapToGrid w:val="0"/>
        </w:rPr>
        <w:t>4</w:t>
      </w:r>
      <w:r>
        <w:rPr>
          <w:rFonts w:hint="eastAsia" w:cs="宋体"/>
          <w:snapToGrid w:val="0"/>
        </w:rPr>
        <w:t>、公司培训签到及考评表</w:t>
      </w:r>
    </w:p>
    <w:p>
      <w:pPr>
        <w:ind w:firstLine="480"/>
        <w:rPr>
          <w:rFonts w:eastAsia="楷体_GB2312"/>
          <w:snapToGrid w:val="0"/>
        </w:rPr>
      </w:pPr>
      <w:r>
        <w:rPr>
          <w:kern w:val="0"/>
        </w:rPr>
        <w:t>□</w:t>
      </w:r>
      <w:r>
        <w:rPr>
          <w:rFonts w:hint="eastAsia" w:cs="宋体"/>
          <w:kern w:val="0"/>
        </w:rPr>
        <w:t>新进人员</w:t>
      </w:r>
      <w:r>
        <w:rPr>
          <w:kern w:val="0"/>
        </w:rPr>
        <w:t xml:space="preserve">  □</w:t>
      </w:r>
      <w:r>
        <w:rPr>
          <w:rFonts w:hint="eastAsia" w:cs="宋体"/>
          <w:kern w:val="0"/>
        </w:rPr>
        <w:t>职前</w:t>
      </w:r>
      <w:r>
        <w:rPr>
          <w:kern w:val="0"/>
        </w:rPr>
        <w:t xml:space="preserve">  □</w:t>
      </w:r>
      <w:r>
        <w:rPr>
          <w:rFonts w:hint="eastAsia" w:cs="宋体"/>
          <w:kern w:val="0"/>
        </w:rPr>
        <w:t>在职</w:t>
      </w:r>
      <w:r>
        <w:rPr>
          <w:kern w:val="0"/>
        </w:rPr>
        <w:t xml:space="preserve">   □</w:t>
      </w:r>
      <w:r>
        <w:rPr>
          <w:rFonts w:hint="eastAsia" w:cs="宋体"/>
          <w:kern w:val="0"/>
        </w:rPr>
        <w:t>专业</w:t>
      </w:r>
    </w:p>
    <w:tbl>
      <w:tblPr>
        <w:tblStyle w:val="22"/>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79"/>
        <w:gridCol w:w="976"/>
        <w:gridCol w:w="976"/>
        <w:gridCol w:w="985"/>
        <w:gridCol w:w="880"/>
        <w:gridCol w:w="907"/>
        <w:gridCol w:w="1152"/>
        <w:gridCol w:w="980"/>
        <w:gridCol w:w="9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2189" w:type="pct"/>
            <w:gridSpan w:val="4"/>
            <w:vAlign w:val="center"/>
          </w:tcPr>
          <w:p>
            <w:pPr>
              <w:pStyle w:val="59"/>
              <w:jc w:val="left"/>
              <w:rPr>
                <w:snapToGrid w:val="0"/>
                <w:kern w:val="0"/>
              </w:rPr>
            </w:pPr>
            <w:r>
              <w:rPr>
                <w:rFonts w:hint="eastAsia" w:cs="宋体"/>
                <w:snapToGrid w:val="0"/>
                <w:kern w:val="0"/>
              </w:rPr>
              <w:t>日期：</w:t>
            </w:r>
          </w:p>
        </w:tc>
        <w:tc>
          <w:tcPr>
            <w:tcW w:w="1686" w:type="pct"/>
            <w:gridSpan w:val="3"/>
            <w:vAlign w:val="center"/>
          </w:tcPr>
          <w:p>
            <w:pPr>
              <w:pStyle w:val="59"/>
              <w:jc w:val="left"/>
              <w:rPr>
                <w:snapToGrid w:val="0"/>
                <w:kern w:val="0"/>
              </w:rPr>
            </w:pPr>
            <w:r>
              <w:rPr>
                <w:rFonts w:hint="eastAsia" w:cs="宋体"/>
                <w:snapToGrid w:val="0"/>
                <w:kern w:val="0"/>
              </w:rPr>
              <w:t>地点：</w:t>
            </w:r>
          </w:p>
        </w:tc>
        <w:tc>
          <w:tcPr>
            <w:tcW w:w="1124" w:type="pct"/>
            <w:gridSpan w:val="2"/>
            <w:vAlign w:val="center"/>
          </w:tcPr>
          <w:p>
            <w:pPr>
              <w:pStyle w:val="59"/>
              <w:jc w:val="left"/>
              <w:rPr>
                <w:snapToGrid w:val="0"/>
                <w:kern w:val="0"/>
              </w:rPr>
            </w:pPr>
            <w:r>
              <w:rPr>
                <w:rFonts w:hint="eastAsia" w:cs="宋体"/>
                <w:snapToGrid w:val="0"/>
                <w:kern w:val="0"/>
              </w:rPr>
              <w:t>授课人：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00" w:type="pct"/>
            <w:gridSpan w:val="9"/>
            <w:vAlign w:val="center"/>
          </w:tcPr>
          <w:p>
            <w:pPr>
              <w:pStyle w:val="59"/>
              <w:jc w:val="left"/>
              <w:rPr>
                <w:snapToGrid w:val="0"/>
                <w:kern w:val="0"/>
              </w:rPr>
            </w:pPr>
            <w:r>
              <w:rPr>
                <w:rFonts w:hint="eastAsia" w:cs="宋体"/>
                <w:snapToGrid w:val="0"/>
                <w:kern w:val="0"/>
              </w:rPr>
              <w:t>课程名称：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Merge w:val="restart"/>
            <w:vAlign w:val="center"/>
          </w:tcPr>
          <w:p>
            <w:pPr>
              <w:pStyle w:val="59"/>
              <w:rPr>
                <w:snapToGrid w:val="0"/>
                <w:kern w:val="0"/>
              </w:rPr>
            </w:pPr>
            <w:r>
              <w:rPr>
                <w:rFonts w:hint="eastAsia" w:cs="宋体"/>
                <w:snapToGrid w:val="0"/>
                <w:kern w:val="0"/>
              </w:rPr>
              <w:t>序号</w:t>
            </w:r>
          </w:p>
        </w:tc>
        <w:tc>
          <w:tcPr>
            <w:tcW w:w="560" w:type="pct"/>
            <w:vMerge w:val="restart"/>
            <w:vAlign w:val="center"/>
          </w:tcPr>
          <w:p>
            <w:pPr>
              <w:pStyle w:val="59"/>
              <w:rPr>
                <w:snapToGrid w:val="0"/>
                <w:kern w:val="0"/>
              </w:rPr>
            </w:pPr>
            <w:r>
              <w:rPr>
                <w:rFonts w:hint="eastAsia" w:cs="宋体"/>
                <w:snapToGrid w:val="0"/>
                <w:kern w:val="0"/>
              </w:rPr>
              <w:t>姓名</w:t>
            </w:r>
          </w:p>
        </w:tc>
        <w:tc>
          <w:tcPr>
            <w:tcW w:w="560" w:type="pct"/>
            <w:vMerge w:val="restart"/>
            <w:vAlign w:val="center"/>
          </w:tcPr>
          <w:p>
            <w:pPr>
              <w:pStyle w:val="59"/>
              <w:rPr>
                <w:snapToGrid w:val="0"/>
                <w:kern w:val="0"/>
              </w:rPr>
            </w:pPr>
            <w:r>
              <w:rPr>
                <w:rFonts w:hint="eastAsia" w:cs="宋体"/>
                <w:snapToGrid w:val="0"/>
                <w:kern w:val="0"/>
              </w:rPr>
              <w:t>部门</w:t>
            </w:r>
          </w:p>
        </w:tc>
        <w:tc>
          <w:tcPr>
            <w:tcW w:w="562" w:type="pct"/>
            <w:vMerge w:val="restart"/>
            <w:vAlign w:val="center"/>
          </w:tcPr>
          <w:p>
            <w:pPr>
              <w:pStyle w:val="59"/>
              <w:rPr>
                <w:snapToGrid w:val="0"/>
                <w:kern w:val="0"/>
              </w:rPr>
            </w:pPr>
            <w:r>
              <w:rPr>
                <w:rFonts w:hint="eastAsia" w:cs="宋体"/>
                <w:snapToGrid w:val="0"/>
                <w:kern w:val="0"/>
              </w:rPr>
              <w:t>工号</w:t>
            </w:r>
          </w:p>
        </w:tc>
        <w:tc>
          <w:tcPr>
            <w:tcW w:w="1686" w:type="pct"/>
            <w:gridSpan w:val="3"/>
            <w:tcBorders>
              <w:bottom w:val="single" w:color="auto" w:sz="4" w:space="0"/>
            </w:tcBorders>
            <w:vAlign w:val="center"/>
          </w:tcPr>
          <w:p>
            <w:pPr>
              <w:pStyle w:val="59"/>
              <w:rPr>
                <w:snapToGrid w:val="0"/>
                <w:kern w:val="0"/>
              </w:rPr>
            </w:pPr>
            <w:r>
              <w:rPr>
                <w:rFonts w:hint="eastAsia" w:cs="宋体"/>
                <w:snapToGrid w:val="0"/>
                <w:kern w:val="0"/>
              </w:rPr>
              <w:t>考核</w:t>
            </w:r>
          </w:p>
        </w:tc>
        <w:tc>
          <w:tcPr>
            <w:tcW w:w="1124" w:type="pct"/>
            <w:gridSpan w:val="2"/>
            <w:tcBorders>
              <w:bottom w:val="single" w:color="auto" w:sz="4" w:space="0"/>
            </w:tcBorders>
            <w:vAlign w:val="center"/>
          </w:tcPr>
          <w:p>
            <w:pPr>
              <w:pStyle w:val="59"/>
              <w:rPr>
                <w:snapToGrid w:val="0"/>
                <w:kern w:val="0"/>
              </w:rPr>
            </w:pPr>
            <w:r>
              <w:rPr>
                <w:rFonts w:hint="eastAsia" w:cs="宋体"/>
                <w:snapToGrid w:val="0"/>
                <w:kern w:val="0"/>
              </w:rPr>
              <w:t>结果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Merge w:val="continue"/>
            <w:vAlign w:val="center"/>
          </w:tcPr>
          <w:p>
            <w:pPr>
              <w:ind w:firstLine="480"/>
            </w:pPr>
          </w:p>
        </w:tc>
        <w:tc>
          <w:tcPr>
            <w:tcW w:w="560" w:type="pct"/>
            <w:vMerge w:val="continue"/>
            <w:vAlign w:val="center"/>
          </w:tcPr>
          <w:p>
            <w:pPr>
              <w:ind w:firstLine="480"/>
            </w:pPr>
          </w:p>
        </w:tc>
        <w:tc>
          <w:tcPr>
            <w:tcW w:w="560" w:type="pct"/>
            <w:vMerge w:val="continue"/>
            <w:vAlign w:val="center"/>
          </w:tcPr>
          <w:p>
            <w:pPr>
              <w:ind w:firstLine="480"/>
            </w:pPr>
          </w:p>
        </w:tc>
        <w:tc>
          <w:tcPr>
            <w:tcW w:w="562" w:type="pct"/>
            <w:vMerge w:val="continue"/>
            <w:vAlign w:val="center"/>
          </w:tcPr>
          <w:p>
            <w:pPr>
              <w:ind w:firstLine="480"/>
            </w:pPr>
          </w:p>
        </w:tc>
        <w:tc>
          <w:tcPr>
            <w:tcW w:w="505" w:type="pct"/>
            <w:tcBorders>
              <w:top w:val="single" w:color="auto" w:sz="4" w:space="0"/>
            </w:tcBorders>
            <w:vAlign w:val="center"/>
          </w:tcPr>
          <w:p>
            <w:pPr>
              <w:pStyle w:val="59"/>
              <w:rPr>
                <w:snapToGrid w:val="0"/>
                <w:kern w:val="0"/>
              </w:rPr>
            </w:pPr>
            <w:r>
              <w:rPr>
                <w:rFonts w:hint="eastAsia" w:cs="宋体"/>
                <w:snapToGrid w:val="0"/>
                <w:kern w:val="0"/>
              </w:rPr>
              <w:t>口试</w:t>
            </w:r>
          </w:p>
        </w:tc>
        <w:tc>
          <w:tcPr>
            <w:tcW w:w="520" w:type="pct"/>
            <w:tcBorders>
              <w:top w:val="single" w:color="auto" w:sz="4" w:space="0"/>
            </w:tcBorders>
            <w:vAlign w:val="center"/>
          </w:tcPr>
          <w:p>
            <w:pPr>
              <w:pStyle w:val="59"/>
              <w:rPr>
                <w:snapToGrid w:val="0"/>
                <w:kern w:val="0"/>
              </w:rPr>
            </w:pPr>
            <w:r>
              <w:rPr>
                <w:rFonts w:hint="eastAsia" w:cs="宋体"/>
                <w:snapToGrid w:val="0"/>
                <w:kern w:val="0"/>
              </w:rPr>
              <w:t>笔试</w:t>
            </w:r>
          </w:p>
        </w:tc>
        <w:tc>
          <w:tcPr>
            <w:tcW w:w="659" w:type="pct"/>
            <w:tcBorders>
              <w:top w:val="single" w:color="auto" w:sz="4" w:space="0"/>
            </w:tcBorders>
            <w:vAlign w:val="center"/>
          </w:tcPr>
          <w:p>
            <w:pPr>
              <w:pStyle w:val="59"/>
              <w:rPr>
                <w:snapToGrid w:val="0"/>
                <w:kern w:val="0"/>
              </w:rPr>
            </w:pPr>
            <w:r>
              <w:rPr>
                <w:rFonts w:hint="eastAsia" w:cs="宋体"/>
                <w:snapToGrid w:val="0"/>
                <w:kern w:val="0"/>
              </w:rPr>
              <w:t>实际操作</w:t>
            </w:r>
          </w:p>
        </w:tc>
        <w:tc>
          <w:tcPr>
            <w:tcW w:w="562" w:type="pct"/>
            <w:tcBorders>
              <w:top w:val="single" w:color="auto" w:sz="4" w:space="0"/>
            </w:tcBorders>
            <w:vAlign w:val="center"/>
          </w:tcPr>
          <w:p>
            <w:pPr>
              <w:pStyle w:val="59"/>
              <w:rPr>
                <w:snapToGrid w:val="0"/>
                <w:kern w:val="0"/>
              </w:rPr>
            </w:pPr>
            <w:r>
              <w:rPr>
                <w:rFonts w:hint="eastAsia" w:cs="宋体"/>
                <w:snapToGrid w:val="0"/>
                <w:kern w:val="0"/>
              </w:rPr>
              <w:t>合格</w:t>
            </w:r>
          </w:p>
        </w:tc>
        <w:tc>
          <w:tcPr>
            <w:tcW w:w="562" w:type="pct"/>
            <w:tcBorders>
              <w:top w:val="single" w:color="auto" w:sz="4" w:space="0"/>
            </w:tcBorders>
            <w:vAlign w:val="center"/>
          </w:tcPr>
          <w:p>
            <w:pPr>
              <w:pStyle w:val="59"/>
              <w:rPr>
                <w:snapToGrid w:val="0"/>
                <w:kern w:val="0"/>
              </w:rPr>
            </w:pPr>
            <w:r>
              <w:rPr>
                <w:rFonts w:hint="eastAsia" w:cs="宋体"/>
                <w:snapToGrid w:val="0"/>
                <w:kern w:val="0"/>
              </w:rPr>
              <w:t>不合格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2</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3</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4</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5</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6</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7</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8</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9</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10</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11</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12</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13</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14</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4" w:type="pct"/>
            <w:vAlign w:val="center"/>
          </w:tcPr>
          <w:p>
            <w:pPr>
              <w:pStyle w:val="59"/>
              <w:rPr>
                <w:snapToGrid w:val="0"/>
                <w:kern w:val="0"/>
              </w:rPr>
            </w:pPr>
            <w:r>
              <w:rPr>
                <w:snapToGrid w:val="0"/>
                <w:kern w:val="0"/>
              </w:rPr>
              <w:t>15</w:t>
            </w:r>
          </w:p>
        </w:tc>
        <w:tc>
          <w:tcPr>
            <w:tcW w:w="560" w:type="pct"/>
            <w:vAlign w:val="center"/>
          </w:tcPr>
          <w:p>
            <w:pPr>
              <w:pStyle w:val="59"/>
              <w:rPr>
                <w:snapToGrid w:val="0"/>
                <w:kern w:val="0"/>
              </w:rPr>
            </w:pPr>
          </w:p>
        </w:tc>
        <w:tc>
          <w:tcPr>
            <w:tcW w:w="560" w:type="pct"/>
            <w:vAlign w:val="center"/>
          </w:tcPr>
          <w:p>
            <w:pPr>
              <w:pStyle w:val="59"/>
              <w:rPr>
                <w:snapToGrid w:val="0"/>
                <w:kern w:val="0"/>
              </w:rPr>
            </w:pPr>
          </w:p>
        </w:tc>
        <w:tc>
          <w:tcPr>
            <w:tcW w:w="562" w:type="pct"/>
            <w:vAlign w:val="center"/>
          </w:tcPr>
          <w:p>
            <w:pPr>
              <w:pStyle w:val="59"/>
              <w:rPr>
                <w:snapToGrid w:val="0"/>
                <w:kern w:val="0"/>
              </w:rPr>
            </w:pPr>
          </w:p>
        </w:tc>
        <w:tc>
          <w:tcPr>
            <w:tcW w:w="505" w:type="pct"/>
            <w:vAlign w:val="center"/>
          </w:tcPr>
          <w:p>
            <w:pPr>
              <w:pStyle w:val="59"/>
              <w:rPr>
                <w:snapToGrid w:val="0"/>
                <w:kern w:val="0"/>
              </w:rPr>
            </w:pPr>
          </w:p>
        </w:tc>
        <w:tc>
          <w:tcPr>
            <w:tcW w:w="520" w:type="pct"/>
            <w:vAlign w:val="center"/>
          </w:tcPr>
          <w:p>
            <w:pPr>
              <w:pStyle w:val="59"/>
              <w:rPr>
                <w:snapToGrid w:val="0"/>
                <w:kern w:val="0"/>
              </w:rPr>
            </w:pPr>
          </w:p>
        </w:tc>
        <w:tc>
          <w:tcPr>
            <w:tcW w:w="659" w:type="pct"/>
            <w:vAlign w:val="center"/>
          </w:tcPr>
          <w:p>
            <w:pPr>
              <w:pStyle w:val="59"/>
              <w:rPr>
                <w:snapToGrid w:val="0"/>
                <w:kern w:val="0"/>
              </w:rPr>
            </w:pPr>
          </w:p>
        </w:tc>
        <w:tc>
          <w:tcPr>
            <w:tcW w:w="562" w:type="pct"/>
            <w:vAlign w:val="center"/>
          </w:tcPr>
          <w:p>
            <w:pPr>
              <w:pStyle w:val="59"/>
              <w:rPr>
                <w:snapToGrid w:val="0"/>
                <w:kern w:val="0"/>
              </w:rPr>
            </w:pPr>
          </w:p>
        </w:tc>
        <w:tc>
          <w:tcPr>
            <w:tcW w:w="562" w:type="pct"/>
            <w:vAlign w:val="center"/>
          </w:tcPr>
          <w:p>
            <w:pPr>
              <w:pStyle w:val="59"/>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00" w:type="pct"/>
            <w:gridSpan w:val="9"/>
            <w:vAlign w:val="center"/>
          </w:tcPr>
          <w:p>
            <w:pPr>
              <w:pStyle w:val="59"/>
              <w:rPr>
                <w:snapToGrid w:val="0"/>
                <w:kern w:val="0"/>
              </w:rPr>
            </w:pPr>
            <w:r>
              <w:rPr>
                <w:rFonts w:hint="eastAsia" w:cs="宋体"/>
                <w:snapToGrid w:val="0"/>
                <w:kern w:val="0"/>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75" w:hRule="atLeast"/>
          <w:jc w:val="center"/>
        </w:trPr>
        <w:tc>
          <w:tcPr>
            <w:tcW w:w="5000" w:type="pct"/>
            <w:gridSpan w:val="9"/>
          </w:tcPr>
          <w:p>
            <w:pPr>
              <w:pStyle w:val="59"/>
              <w:jc w:val="both"/>
              <w:rPr>
                <w:kern w:val="0"/>
              </w:rPr>
            </w:pPr>
            <w:r>
              <w:rPr>
                <w:rFonts w:hint="eastAsia" w:cs="宋体"/>
                <w:kern w:val="0"/>
              </w:rPr>
              <w:t>讲师评核方式：</w:t>
            </w:r>
            <w:r>
              <w:rPr>
                <w:kern w:val="0"/>
              </w:rPr>
              <w:t xml:space="preserve">         □</w:t>
            </w:r>
            <w:r>
              <w:rPr>
                <w:rFonts w:hint="eastAsia" w:cs="宋体"/>
                <w:kern w:val="0"/>
              </w:rPr>
              <w:t>笔试实到人数：</w:t>
            </w:r>
          </w:p>
          <w:p>
            <w:pPr>
              <w:pStyle w:val="59"/>
              <w:ind w:firstLine="2760" w:firstLineChars="1150"/>
              <w:jc w:val="both"/>
              <w:rPr>
                <w:kern w:val="0"/>
              </w:rPr>
            </w:pPr>
            <w:r>
              <w:rPr>
                <w:kern w:val="0"/>
              </w:rPr>
              <w:t>□</w:t>
            </w:r>
            <w:r>
              <w:rPr>
                <w:rFonts w:hint="eastAsia" w:cs="宋体"/>
                <w:kern w:val="0"/>
              </w:rPr>
              <w:t>口试缺席人数：</w:t>
            </w:r>
          </w:p>
          <w:p>
            <w:pPr>
              <w:pStyle w:val="59"/>
              <w:ind w:firstLine="2760" w:firstLineChars="1150"/>
              <w:jc w:val="both"/>
              <w:rPr>
                <w:snapToGrid w:val="0"/>
                <w:kern w:val="0"/>
              </w:rPr>
            </w:pPr>
            <w:r>
              <w:rPr>
                <w:kern w:val="0"/>
              </w:rPr>
              <w:t>□</w:t>
            </w:r>
            <w:r>
              <w:rPr>
                <w:rFonts w:hint="eastAsia" w:cs="宋体"/>
                <w:kern w:val="0"/>
              </w:rPr>
              <w:t>现场操作讲师签名：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5000" w:type="pct"/>
            <w:gridSpan w:val="9"/>
            <w:vAlign w:val="center"/>
          </w:tcPr>
          <w:p>
            <w:pPr>
              <w:pStyle w:val="59"/>
              <w:rPr>
                <w:snapToGrid w:val="0"/>
                <w:kern w:val="0"/>
              </w:rPr>
            </w:pPr>
            <w:r>
              <w:rPr>
                <w:rFonts w:hint="eastAsia" w:cs="宋体"/>
                <w:kern w:val="0"/>
              </w:rPr>
              <w:t>编制</w:t>
            </w:r>
            <w:r>
              <w:rPr>
                <w:kern w:val="0"/>
              </w:rPr>
              <w:t>/</w:t>
            </w:r>
            <w:r>
              <w:rPr>
                <w:rFonts w:hint="eastAsia" w:cs="宋体"/>
                <w:kern w:val="0"/>
              </w:rPr>
              <w:t>日期：审批</w:t>
            </w:r>
            <w:r>
              <w:rPr>
                <w:kern w:val="0"/>
              </w:rPr>
              <w:t>/</w:t>
            </w:r>
            <w:r>
              <w:rPr>
                <w:rFonts w:hint="eastAsia" w:cs="宋体"/>
                <w:kern w:val="0"/>
              </w:rPr>
              <w:t>日期：</w:t>
            </w:r>
          </w:p>
        </w:tc>
      </w:tr>
    </w:tbl>
    <w:p>
      <w:pPr>
        <w:rPr>
          <w:rFonts w:hint="eastAsia"/>
          <w:b/>
          <w:bCs/>
          <w:sz w:val="32"/>
          <w:szCs w:val="32"/>
        </w:rPr>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ind w:firstLine="480"/>
        <w:rPr>
          <w:snapToGrid w:val="0"/>
        </w:rPr>
      </w:pPr>
      <w:r>
        <w:rPr>
          <w:snapToGrid w:val="0"/>
        </w:rPr>
        <w:t>5</w:t>
      </w:r>
      <w:r>
        <w:rPr>
          <w:rFonts w:hint="eastAsia" w:cs="宋体"/>
          <w:snapToGrid w:val="0"/>
        </w:rPr>
        <w:t>、应急预案与响应措施演练记录</w:t>
      </w:r>
    </w:p>
    <w:p>
      <w:pPr>
        <w:ind w:firstLine="480"/>
        <w:rPr>
          <w:snapToGrid w:val="0"/>
        </w:rPr>
      </w:pPr>
      <w:r>
        <w:rPr>
          <w:rFonts w:hint="eastAsia" w:cs="宋体"/>
          <w:snapToGrid w:val="0"/>
        </w:rPr>
        <w:t>编号：</w:t>
      </w:r>
    </w:p>
    <w:tbl>
      <w:tblPr>
        <w:tblStyle w:val="22"/>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149"/>
        <w:gridCol w:w="2189"/>
        <w:gridCol w:w="2210"/>
        <w:gridCol w:w="21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3" w:hRule="atLeast"/>
          <w:jc w:val="center"/>
        </w:trPr>
        <w:tc>
          <w:tcPr>
            <w:tcW w:w="1233" w:type="pct"/>
            <w:vAlign w:val="center"/>
          </w:tcPr>
          <w:p>
            <w:pPr>
              <w:pStyle w:val="59"/>
              <w:jc w:val="left"/>
              <w:rPr>
                <w:snapToGrid w:val="0"/>
                <w:kern w:val="0"/>
              </w:rPr>
            </w:pPr>
            <w:r>
              <w:rPr>
                <w:rFonts w:hint="eastAsia" w:cs="宋体"/>
                <w:snapToGrid w:val="0"/>
                <w:kern w:val="0"/>
              </w:rPr>
              <w:t>演练时间</w:t>
            </w:r>
          </w:p>
        </w:tc>
        <w:tc>
          <w:tcPr>
            <w:tcW w:w="1256" w:type="pct"/>
            <w:vAlign w:val="center"/>
          </w:tcPr>
          <w:p>
            <w:pPr>
              <w:pStyle w:val="59"/>
              <w:jc w:val="left"/>
              <w:rPr>
                <w:snapToGrid w:val="0"/>
                <w:kern w:val="0"/>
              </w:rPr>
            </w:pPr>
          </w:p>
        </w:tc>
        <w:tc>
          <w:tcPr>
            <w:tcW w:w="1268" w:type="pct"/>
            <w:vAlign w:val="center"/>
          </w:tcPr>
          <w:p>
            <w:pPr>
              <w:pStyle w:val="59"/>
              <w:jc w:val="left"/>
              <w:rPr>
                <w:snapToGrid w:val="0"/>
                <w:kern w:val="0"/>
              </w:rPr>
            </w:pPr>
            <w:r>
              <w:rPr>
                <w:rFonts w:hint="eastAsia" w:cs="宋体"/>
                <w:snapToGrid w:val="0"/>
                <w:kern w:val="0"/>
              </w:rPr>
              <w:t>演练地点</w:t>
            </w:r>
          </w:p>
        </w:tc>
        <w:tc>
          <w:tcPr>
            <w:tcW w:w="1241" w:type="pct"/>
            <w:vAlign w:val="center"/>
          </w:tcPr>
          <w:p>
            <w:pPr>
              <w:pStyle w:val="59"/>
              <w:jc w:val="left"/>
              <w:rPr>
                <w:snapToGrid w:val="0"/>
                <w:kern w:val="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13" w:hRule="atLeast"/>
          <w:jc w:val="center"/>
        </w:trPr>
        <w:tc>
          <w:tcPr>
            <w:tcW w:w="5000" w:type="pct"/>
            <w:gridSpan w:val="4"/>
          </w:tcPr>
          <w:p>
            <w:pPr>
              <w:pStyle w:val="59"/>
              <w:jc w:val="both"/>
              <w:rPr>
                <w:rFonts w:eastAsia="楷体_GB2312"/>
                <w:snapToGrid w:val="0"/>
                <w:kern w:val="0"/>
              </w:rPr>
            </w:pPr>
            <w:r>
              <w:rPr>
                <w:rFonts w:hint="eastAsia" w:cs="宋体"/>
                <w:kern w:val="0"/>
              </w:rPr>
              <w:t>演练目的：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36" w:hRule="atLeast"/>
          <w:jc w:val="center"/>
        </w:trPr>
        <w:tc>
          <w:tcPr>
            <w:tcW w:w="5000" w:type="pct"/>
            <w:gridSpan w:val="4"/>
          </w:tcPr>
          <w:p>
            <w:pPr>
              <w:pStyle w:val="59"/>
              <w:jc w:val="left"/>
              <w:rPr>
                <w:rFonts w:eastAsia="楷体_GB2312"/>
                <w:snapToGrid w:val="0"/>
                <w:kern w:val="0"/>
              </w:rPr>
            </w:pPr>
            <w:r>
              <w:rPr>
                <w:rFonts w:hint="eastAsia" w:cs="宋体"/>
                <w:kern w:val="0"/>
              </w:rPr>
              <w:t>参加单位：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5" w:hRule="atLeast"/>
          <w:jc w:val="center"/>
        </w:trPr>
        <w:tc>
          <w:tcPr>
            <w:tcW w:w="5000" w:type="pct"/>
            <w:gridSpan w:val="4"/>
          </w:tcPr>
          <w:p>
            <w:pPr>
              <w:pStyle w:val="59"/>
              <w:jc w:val="left"/>
              <w:rPr>
                <w:rFonts w:eastAsia="楷体_GB2312"/>
                <w:snapToGrid w:val="0"/>
                <w:kern w:val="0"/>
              </w:rPr>
            </w:pPr>
            <w:r>
              <w:rPr>
                <w:rFonts w:hint="eastAsia" w:cs="宋体"/>
                <w:kern w:val="0"/>
              </w:rPr>
              <w:t>演练过程：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000" w:type="pct"/>
            <w:gridSpan w:val="4"/>
          </w:tcPr>
          <w:p>
            <w:pPr>
              <w:pStyle w:val="59"/>
              <w:jc w:val="left"/>
              <w:rPr>
                <w:kern w:val="0"/>
              </w:rPr>
            </w:pPr>
            <w:r>
              <w:rPr>
                <w:rFonts w:hint="eastAsia" w:cs="宋体"/>
                <w:kern w:val="0"/>
              </w:rPr>
              <w:t>演练效果：</w:t>
            </w:r>
          </w:p>
          <w:p>
            <w:pPr>
              <w:pStyle w:val="59"/>
              <w:jc w:val="left"/>
              <w:rPr>
                <w:kern w:val="0"/>
              </w:rPr>
            </w:pPr>
          </w:p>
          <w:p>
            <w:pPr>
              <w:pStyle w:val="59"/>
              <w:jc w:val="left"/>
              <w:rPr>
                <w:kern w:val="0"/>
              </w:rPr>
            </w:pPr>
          </w:p>
          <w:p>
            <w:pPr>
              <w:pStyle w:val="59"/>
              <w:jc w:val="left"/>
              <w:rPr>
                <w:kern w:val="0"/>
              </w:rPr>
            </w:pPr>
          </w:p>
          <w:p>
            <w:pPr>
              <w:pStyle w:val="59"/>
              <w:jc w:val="left"/>
              <w:rPr>
                <w:kern w:val="0"/>
              </w:rPr>
            </w:pPr>
            <w:r>
              <w:rPr>
                <w:rFonts w:hint="eastAsia" w:cs="宋体"/>
                <w:kern w:val="0"/>
              </w:rPr>
              <w:t>主管部门（章）：</w:t>
            </w:r>
          </w:p>
          <w:p>
            <w:pPr>
              <w:pStyle w:val="59"/>
              <w:jc w:val="left"/>
              <w:rPr>
                <w:kern w:val="0"/>
              </w:rPr>
            </w:pPr>
          </w:p>
          <w:p>
            <w:pPr>
              <w:pStyle w:val="59"/>
              <w:jc w:val="left"/>
              <w:rPr>
                <w:kern w:val="0"/>
              </w:rPr>
            </w:pPr>
          </w:p>
          <w:p>
            <w:pPr>
              <w:pStyle w:val="59"/>
              <w:tabs>
                <w:tab w:val="left" w:pos="3465"/>
              </w:tabs>
              <w:jc w:val="left"/>
              <w:rPr>
                <w:kern w:val="0"/>
              </w:rPr>
            </w:pPr>
            <w:r>
              <w:rPr>
                <w:kern w:val="0"/>
              </w:rPr>
              <w:tab/>
            </w:r>
          </w:p>
          <w:p>
            <w:pPr>
              <w:pStyle w:val="59"/>
              <w:jc w:val="left"/>
              <w:rPr>
                <w:kern w:val="0"/>
              </w:rPr>
            </w:pPr>
          </w:p>
          <w:p>
            <w:pPr>
              <w:pStyle w:val="59"/>
              <w:jc w:val="left"/>
              <w:rPr>
                <w:rFonts w:eastAsia="楷体_GB2312"/>
                <w:snapToGrid w:val="0"/>
                <w:kern w:val="0"/>
              </w:rPr>
            </w:pPr>
            <w:r>
              <w:rPr>
                <w:rFonts w:hint="eastAsia" w:cs="宋体"/>
                <w:kern w:val="0"/>
              </w:rPr>
              <w:t>主管领导：</w:t>
            </w:r>
          </w:p>
        </w:tc>
      </w:tr>
    </w:tbl>
    <w:p>
      <w:pPr>
        <w:ind w:firstLine="480"/>
      </w:pPr>
    </w:p>
    <w:p>
      <w:pPr>
        <w:jc w:val="left"/>
        <w:sectPr>
          <w:pgSz w:w="11905" w:h="16838"/>
          <w:pgMar w:top="1417" w:right="1701" w:bottom="1417" w:left="1701"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94"/>
        <w:bidi w:val="0"/>
        <w:rPr>
          <w:rFonts w:hint="default" w:eastAsia="宋体"/>
          <w:lang w:val="en-US" w:eastAsia="zh-CN"/>
        </w:rPr>
      </w:pPr>
      <w:r>
        <w:rPr>
          <w:rFonts w:hint="eastAsia"/>
        </w:rPr>
        <w:t>附件</w:t>
      </w:r>
      <w:r>
        <w:rPr>
          <w:rFonts w:hint="eastAsia"/>
          <w:lang w:val="en-US" w:eastAsia="zh-CN"/>
        </w:rPr>
        <w:t>三</w:t>
      </w:r>
      <w:r>
        <w:rPr>
          <w:rFonts w:hint="eastAsia"/>
        </w:rPr>
        <w:t xml:space="preserve"> </w:t>
      </w:r>
      <w:r>
        <w:rPr>
          <w:rFonts w:hint="eastAsia"/>
          <w:lang w:val="en-US" w:eastAsia="zh-CN"/>
        </w:rPr>
        <w:t>函审意见</w:t>
      </w:r>
    </w:p>
    <w:p>
      <w:pPr>
        <w:adjustRightInd w:val="0"/>
        <w:snapToGrid w:val="0"/>
        <w:jc w:val="center"/>
        <w:rPr>
          <w:rFonts w:hint="eastAsia" w:ascii="方正小标宋_GBK" w:hAnsi="华文中宋" w:eastAsia="方正小标宋_GBK"/>
          <w:sz w:val="38"/>
          <w:szCs w:val="38"/>
        </w:rPr>
      </w:pPr>
      <w:r>
        <w:rPr>
          <w:rFonts w:hint="eastAsia" w:ascii="方正小标宋_GBK" w:hAnsi="华文中宋" w:eastAsia="方正小标宋_GBK"/>
          <w:sz w:val="38"/>
          <w:szCs w:val="38"/>
        </w:rPr>
        <w:t>企业事业单位突发环境事件应急预案评审表</w:t>
      </w:r>
    </w:p>
    <w:tbl>
      <w:tblPr>
        <w:tblStyle w:val="2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57" w:type="dxa"/>
          <w:bottom w:w="0" w:type="dxa"/>
          <w:right w:w="57" w:type="dxa"/>
        </w:tblCellMar>
      </w:tblPr>
      <w:tblGrid>
        <w:gridCol w:w="1134"/>
        <w:gridCol w:w="426"/>
        <w:gridCol w:w="4819"/>
        <w:gridCol w:w="1276"/>
        <w:gridCol w:w="567"/>
        <w:gridCol w:w="40"/>
        <w:gridCol w:w="669"/>
        <w:gridCol w:w="485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70" w:hRule="atLeast"/>
          <w:jc w:val="center"/>
        </w:trPr>
        <w:tc>
          <w:tcPr>
            <w:tcW w:w="13781" w:type="dxa"/>
            <w:gridSpan w:val="8"/>
            <w:noWrap w:val="0"/>
            <w:vAlign w:val="center"/>
          </w:tcPr>
          <w:p>
            <w:pPr>
              <w:keepNext w:val="0"/>
              <w:keepLines w:val="0"/>
              <w:pageBreakBefore w:val="0"/>
              <w:widowControl w:val="0"/>
              <w:kinsoku/>
              <w:wordWrap/>
              <w:overflowPunct/>
              <w:topLinePunct w:val="0"/>
              <w:autoSpaceDE w:val="0"/>
              <w:autoSpaceDN w:val="0"/>
              <w:bidi w:val="0"/>
              <w:adjustRightInd/>
              <w:snapToGrid/>
              <w:jc w:val="both"/>
              <w:textAlignment w:val="auto"/>
              <w:rPr>
                <w:rFonts w:ascii="宋体" w:hAnsi="宋体" w:eastAsia="宋体"/>
                <w:sz w:val="21"/>
                <w:szCs w:val="21"/>
              </w:rPr>
            </w:pPr>
            <w:r>
              <w:rPr>
                <w:rFonts w:hint="eastAsia" w:ascii="宋体" w:hAnsi="宋体" w:eastAsia="宋体"/>
                <w:sz w:val="21"/>
                <w:szCs w:val="21"/>
              </w:rPr>
              <w:t>预案编制单位：</w:t>
            </w:r>
            <w:r>
              <w:rPr>
                <w:rFonts w:hint="eastAsia" w:ascii="宋体" w:hAnsi="宋体" w:eastAsia="宋体" w:cs="Times New Roman"/>
                <w:sz w:val="21"/>
                <w:szCs w:val="21"/>
                <w:u w:val="single"/>
              </w:rPr>
              <w:t>南昌瀛宇金属制品有限公司</w:t>
            </w:r>
            <w:r>
              <w:rPr>
                <w:rFonts w:ascii="宋体" w:hAnsi="宋体" w:eastAsia="宋体" w:cs="Times New Roman"/>
                <w:sz w:val="21"/>
                <w:szCs w:val="21"/>
                <w:u w:val="single"/>
              </w:rPr>
              <w:t xml:space="preserve">         </w:t>
            </w:r>
            <w:r>
              <w:rPr>
                <w:rFonts w:ascii="宋体" w:hAnsi="宋体" w:eastAsia="宋体"/>
                <w:sz w:val="21"/>
                <w:szCs w:val="21"/>
                <w:u w:val="single"/>
              </w:rPr>
              <w:t xml:space="preserve">   </w:t>
            </w:r>
          </w:p>
          <w:p>
            <w:pPr>
              <w:adjustRightInd w:val="0"/>
              <w:snapToGrid w:val="0"/>
              <w:jc w:val="left"/>
              <w:rPr>
                <w:rFonts w:ascii="宋体" w:hAnsi="宋体" w:eastAsia="宋体"/>
                <w:sz w:val="21"/>
                <w:szCs w:val="21"/>
              </w:rPr>
            </w:pPr>
            <w:r>
              <w:rPr>
                <w:rFonts w:ascii="宋体" w:hAnsi="宋体" w:eastAsia="宋体"/>
                <w:sz w:val="21"/>
                <w:szCs w:val="21"/>
              </w:rPr>
              <w:t>(</w:t>
            </w:r>
            <w:r>
              <w:rPr>
                <w:rFonts w:hint="eastAsia" w:ascii="宋体" w:hAnsi="宋体" w:eastAsia="宋体"/>
                <w:sz w:val="21"/>
                <w:szCs w:val="21"/>
              </w:rPr>
              <w:t>专业技术服务机构：</w:t>
            </w:r>
            <w:r>
              <w:rPr>
                <w:rFonts w:ascii="宋体" w:hAnsi="宋体" w:eastAsia="宋体"/>
                <w:sz w:val="21"/>
                <w:szCs w:val="21"/>
                <w:u w:val="single"/>
              </w:rPr>
              <w:t xml:space="preserve">                                                           </w:t>
            </w:r>
            <w:r>
              <w:rPr>
                <w:rFonts w:ascii="宋体" w:hAnsi="宋体" w:eastAsia="宋体"/>
                <w:sz w:val="21"/>
                <w:szCs w:val="21"/>
              </w:rPr>
              <w:t>)</w:t>
            </w:r>
          </w:p>
          <w:p>
            <w:pPr>
              <w:adjustRightInd w:val="0"/>
              <w:snapToGrid w:val="0"/>
              <w:jc w:val="left"/>
              <w:rPr>
                <w:rFonts w:ascii="宋体" w:hAnsi="宋体" w:eastAsia="宋体"/>
                <w:sz w:val="21"/>
                <w:szCs w:val="21"/>
              </w:rPr>
            </w:pPr>
            <w:r>
              <w:rPr>
                <w:rFonts w:hint="eastAsia" w:ascii="宋体" w:hAnsi="宋体" w:eastAsia="宋体"/>
                <w:sz w:val="21"/>
                <w:szCs w:val="21"/>
              </w:rPr>
              <w:t>企业环境风险级别：</w:t>
            </w:r>
            <w:r>
              <w:rPr>
                <w:rFonts w:hint="eastAsia" w:ascii="宋体" w:hAnsi="宋体" w:eastAsia="宋体"/>
                <w:sz w:val="21"/>
                <w:szCs w:val="21"/>
              </w:rPr>
              <w:sym w:font="Wingdings 2" w:char="0052"/>
            </w:r>
            <w:r>
              <w:rPr>
                <w:rFonts w:hint="eastAsia" w:ascii="宋体" w:hAnsi="宋体" w:eastAsia="宋体"/>
                <w:sz w:val="21"/>
                <w:szCs w:val="21"/>
              </w:rPr>
              <w:t>一般；</w:t>
            </w:r>
            <w:r>
              <w:rPr>
                <w:rFonts w:hint="eastAsia" w:ascii="宋体" w:hAnsi="宋体" w:eastAsia="宋体"/>
                <w:sz w:val="21"/>
                <w:szCs w:val="21"/>
              </w:rPr>
              <w:sym w:font="Wingdings 2" w:char="00A3"/>
            </w:r>
            <w:r>
              <w:rPr>
                <w:rFonts w:hint="eastAsia" w:ascii="宋体" w:hAnsi="宋体" w:eastAsia="宋体"/>
                <w:sz w:val="21"/>
                <w:szCs w:val="21"/>
              </w:rPr>
              <w:t>较大；□重大</w:t>
            </w:r>
          </w:p>
          <w:p>
            <w:pPr>
              <w:adjustRightInd w:val="0"/>
              <w:snapToGrid w:val="0"/>
              <w:spacing w:after="173" w:afterLines="30"/>
              <w:jc w:val="right"/>
              <w:rPr>
                <w:rFonts w:hint="eastAsia" w:ascii="仿宋_GB2312" w:hAnsi="宋体"/>
                <w:b/>
                <w:sz w:val="24"/>
                <w:szCs w:val="24"/>
              </w:rPr>
            </w:pPr>
            <w:r>
              <w:rPr>
                <w:rFonts w:hint="eastAsia" w:ascii="仿宋_GB2312" w:hAnsi="宋体"/>
                <w:b/>
                <w:sz w:val="24"/>
                <w:szCs w:val="24"/>
              </w:rPr>
              <w:t>（本栏由企业填写）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39" w:hRule="atLeast"/>
          <w:jc w:val="center"/>
        </w:trPr>
        <w:tc>
          <w:tcPr>
            <w:tcW w:w="13781" w:type="dxa"/>
            <w:gridSpan w:val="8"/>
            <w:noWrap w:val="0"/>
            <w:vAlign w:val="center"/>
          </w:tcPr>
          <w:p>
            <w:pPr>
              <w:adjustRightInd w:val="0"/>
              <w:snapToGrid w:val="0"/>
              <w:jc w:val="center"/>
              <w:rPr>
                <w:rFonts w:ascii="黑体" w:hAnsi="黑体" w:eastAsia="黑体"/>
                <w:sz w:val="21"/>
                <w:szCs w:val="21"/>
              </w:rPr>
            </w:pPr>
            <w:r>
              <w:rPr>
                <w:rFonts w:hint="eastAsia" w:ascii="黑体" w:hAnsi="黑体" w:eastAsia="黑体"/>
                <w:sz w:val="21"/>
                <w:szCs w:val="21"/>
              </w:rPr>
              <w:t>“一票否决”项（以下三项中任意一项判定为“不符合”，则评审结论为“未通过”）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75" w:hRule="atLeast"/>
          <w:jc w:val="center"/>
        </w:trPr>
        <w:tc>
          <w:tcPr>
            <w:tcW w:w="6379" w:type="dxa"/>
            <w:gridSpan w:val="3"/>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评 审 指 标</w:t>
            </w:r>
          </w:p>
        </w:tc>
        <w:tc>
          <w:tcPr>
            <w:tcW w:w="2552" w:type="dxa"/>
            <w:gridSpan w:val="4"/>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评审意见</w:t>
            </w:r>
          </w:p>
        </w:tc>
        <w:tc>
          <w:tcPr>
            <w:tcW w:w="4850"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6" w:hRule="atLeast"/>
          <w:jc w:val="center"/>
        </w:trPr>
        <w:tc>
          <w:tcPr>
            <w:tcW w:w="6379" w:type="dxa"/>
            <w:gridSpan w:val="3"/>
            <w:vMerge w:val="continue"/>
            <w:noWrap w:val="0"/>
            <w:vAlign w:val="center"/>
          </w:tcPr>
          <w:p>
            <w:pPr>
              <w:adjustRightInd w:val="0"/>
              <w:snapToGrid w:val="0"/>
              <w:jc w:val="center"/>
              <w:rPr>
                <w:rFonts w:ascii="宋体" w:hAnsi="宋体" w:eastAsia="宋体"/>
                <w:sz w:val="21"/>
                <w:szCs w:val="21"/>
              </w:rPr>
            </w:pPr>
          </w:p>
        </w:tc>
        <w:tc>
          <w:tcPr>
            <w:tcW w:w="1276"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判  定</w:t>
            </w:r>
          </w:p>
        </w:tc>
        <w:tc>
          <w:tcPr>
            <w:tcW w:w="1276" w:type="dxa"/>
            <w:gridSpan w:val="3"/>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说  明</w:t>
            </w:r>
          </w:p>
        </w:tc>
        <w:tc>
          <w:tcPr>
            <w:tcW w:w="4850" w:type="dxa"/>
            <w:vMerge w:val="continue"/>
            <w:noWrap w:val="0"/>
            <w:vAlign w:val="center"/>
          </w:tcPr>
          <w:p>
            <w:pPr>
              <w:adjustRightInd w:val="0"/>
              <w:snapToGrid w:val="0"/>
              <w:jc w:val="left"/>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44" w:hRule="atLeast"/>
          <w:jc w:val="center"/>
        </w:trPr>
        <w:tc>
          <w:tcPr>
            <w:tcW w:w="6379" w:type="dxa"/>
            <w:gridSpan w:val="3"/>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有单独的环境风险评估报告和环境应急资源调查报告（表）</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1276" w:type="dxa"/>
            <w:gridSpan w:val="3"/>
            <w:noWrap w:val="0"/>
            <w:vAlign w:val="center"/>
          </w:tcPr>
          <w:p>
            <w:pPr>
              <w:adjustRightInd w:val="0"/>
              <w:snapToGrid w:val="0"/>
              <w:jc w:val="left"/>
              <w:rPr>
                <w:rFonts w:ascii="宋体" w:hAnsi="宋体" w:eastAsia="宋体"/>
                <w:sz w:val="21"/>
                <w:szCs w:val="21"/>
              </w:rPr>
            </w:pPr>
          </w:p>
        </w:tc>
        <w:tc>
          <w:tcPr>
            <w:tcW w:w="4850" w:type="dxa"/>
            <w:noWrap w:val="0"/>
            <w:vAlign w:val="center"/>
          </w:tcPr>
          <w:p>
            <w:pPr>
              <w:adjustRightInd w:val="0"/>
              <w:snapToGrid w:val="0"/>
              <w:rPr>
                <w:rFonts w:hint="eastAsia" w:ascii="宋体" w:hAnsi="宋体" w:eastAsia="宋体"/>
                <w:sz w:val="21"/>
                <w:szCs w:val="21"/>
              </w:rPr>
            </w:pPr>
            <w:r>
              <w:rPr>
                <w:rFonts w:hint="eastAsia" w:ascii="宋体" w:hAnsi="宋体" w:eastAsia="宋体"/>
                <w:sz w:val="21"/>
                <w:szCs w:val="21"/>
              </w:rPr>
              <w:t>突发事件应急预案管理办法有关规定；</w:t>
            </w:r>
          </w:p>
          <w:p>
            <w:pPr>
              <w:adjustRightInd w:val="0"/>
              <w:snapToGrid w:val="0"/>
              <w:rPr>
                <w:rFonts w:ascii="宋体" w:hAnsi="宋体" w:eastAsia="宋体"/>
                <w:sz w:val="21"/>
                <w:szCs w:val="21"/>
              </w:rPr>
            </w:pPr>
            <w:r>
              <w:rPr>
                <w:rFonts w:hint="eastAsia" w:ascii="宋体" w:hAnsi="宋体" w:eastAsia="宋体"/>
                <w:sz w:val="21"/>
                <w:szCs w:val="21"/>
              </w:rPr>
              <w:t>备案管理办法第十条要求，应当在开展环境风险评估和环境应急资源调查的基础上编制环境应急预案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20" w:hRule="atLeast"/>
          <w:jc w:val="center"/>
        </w:trPr>
        <w:tc>
          <w:tcPr>
            <w:tcW w:w="6379" w:type="dxa"/>
            <w:gridSpan w:val="3"/>
            <w:noWrap w:val="0"/>
            <w:vAlign w:val="center"/>
          </w:tcPr>
          <w:p>
            <w:pPr>
              <w:adjustRightInd w:val="0"/>
              <w:snapToGrid w:val="0"/>
              <w:jc w:val="left"/>
              <w:rPr>
                <w:rFonts w:ascii="宋体" w:hAnsi="宋体" w:eastAsia="宋体"/>
                <w:spacing w:val="-4"/>
                <w:sz w:val="21"/>
                <w:szCs w:val="21"/>
              </w:rPr>
            </w:pPr>
            <w:r>
              <w:rPr>
                <w:rFonts w:hint="eastAsia" w:ascii="宋体" w:hAnsi="宋体" w:eastAsia="宋体"/>
                <w:spacing w:val="-4"/>
                <w:sz w:val="21"/>
                <w:szCs w:val="21"/>
              </w:rPr>
              <w:t>从可能的突发环境事件情景出发编制且典型突发环境事件情景无缺失</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1276" w:type="dxa"/>
            <w:gridSpan w:val="3"/>
            <w:noWrap w:val="0"/>
            <w:vAlign w:val="center"/>
          </w:tcPr>
          <w:p>
            <w:pPr>
              <w:adjustRightInd w:val="0"/>
              <w:snapToGrid w:val="0"/>
              <w:jc w:val="left"/>
              <w:rPr>
                <w:rFonts w:ascii="宋体" w:hAnsi="宋体" w:eastAsia="宋体"/>
                <w:sz w:val="21"/>
                <w:szCs w:val="21"/>
              </w:rPr>
            </w:pPr>
          </w:p>
        </w:tc>
        <w:tc>
          <w:tcPr>
            <w:tcW w:w="4850" w:type="dxa"/>
            <w:noWrap w:val="0"/>
            <w:vAlign w:val="center"/>
          </w:tcPr>
          <w:p>
            <w:pPr>
              <w:adjustRightInd w:val="0"/>
              <w:snapToGrid w:val="0"/>
              <w:rPr>
                <w:rFonts w:hint="eastAsia" w:ascii="宋体" w:hAnsi="宋体" w:eastAsia="宋体"/>
                <w:sz w:val="21"/>
                <w:szCs w:val="21"/>
              </w:rPr>
            </w:pPr>
            <w:r>
              <w:rPr>
                <w:rFonts w:hint="eastAsia" w:ascii="宋体" w:hAnsi="宋体" w:eastAsia="宋体"/>
                <w:sz w:val="21"/>
                <w:szCs w:val="21"/>
              </w:rPr>
              <w:t>突发事件应对法有关规定；</w:t>
            </w:r>
          </w:p>
          <w:p>
            <w:pPr>
              <w:adjustRightInd w:val="0"/>
              <w:snapToGrid w:val="0"/>
              <w:rPr>
                <w:rFonts w:ascii="宋体" w:hAnsi="宋体" w:eastAsia="宋体"/>
                <w:sz w:val="21"/>
                <w:szCs w:val="21"/>
              </w:rPr>
            </w:pPr>
            <w:r>
              <w:rPr>
                <w:rFonts w:hint="eastAsia" w:ascii="宋体" w:hAnsi="宋体" w:eastAsia="宋体"/>
                <w:sz w:val="21"/>
                <w:szCs w:val="21"/>
              </w:rPr>
              <w:t>备案管理办法第九、十条，均对企业从可能的突发环境事件情景出发编制环境应急预案提出了要求；</w:t>
            </w:r>
          </w:p>
          <w:p>
            <w:pPr>
              <w:adjustRightInd w:val="0"/>
              <w:snapToGrid w:val="0"/>
              <w:rPr>
                <w:rFonts w:ascii="宋体" w:hAnsi="宋体" w:eastAsia="宋体"/>
                <w:sz w:val="21"/>
                <w:szCs w:val="21"/>
              </w:rPr>
            </w:pPr>
            <w:r>
              <w:rPr>
                <w:rFonts w:hint="eastAsia" w:ascii="宋体" w:hAnsi="宋体" w:eastAsia="宋体"/>
                <w:sz w:val="21"/>
                <w:szCs w:val="21"/>
              </w:rPr>
              <w:t>典型突发环境事件情景基于真实事件与预期风险凝练、集合而成，体现各类事件的共性与规律</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30" w:hRule="atLeast"/>
          <w:jc w:val="center"/>
        </w:trPr>
        <w:tc>
          <w:tcPr>
            <w:tcW w:w="6379" w:type="dxa"/>
            <w:gridSpan w:val="3"/>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能够让周边居民和单位获得事件信息</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1276" w:type="dxa"/>
            <w:gridSpan w:val="3"/>
            <w:noWrap w:val="0"/>
            <w:vAlign w:val="center"/>
          </w:tcPr>
          <w:p>
            <w:pPr>
              <w:adjustRightInd w:val="0"/>
              <w:snapToGrid w:val="0"/>
              <w:jc w:val="left"/>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环境保护法第四十七条规定，在发生或可能发生突发环境事件时，企业应当及时通报可能受到危害的单位和居民。备案管理办法第十条也提出了相应要求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36" w:hRule="atLeast"/>
          <w:jc w:val="center"/>
        </w:trPr>
        <w:tc>
          <w:tcPr>
            <w:tcW w:w="13781" w:type="dxa"/>
            <w:gridSpan w:val="8"/>
            <w:noWrap w:val="0"/>
            <w:vAlign w:val="center"/>
          </w:tcPr>
          <w:p>
            <w:pPr>
              <w:adjustRightInd w:val="0"/>
              <w:snapToGrid w:val="0"/>
              <w:jc w:val="center"/>
              <w:rPr>
                <w:rFonts w:ascii="黑体" w:hAnsi="黑体" w:eastAsia="黑体"/>
                <w:sz w:val="21"/>
                <w:szCs w:val="21"/>
              </w:rPr>
            </w:pPr>
            <w:r>
              <w:rPr>
                <w:rFonts w:hint="eastAsia" w:ascii="黑体" w:hAnsi="黑体" w:eastAsia="黑体"/>
                <w:sz w:val="21"/>
                <w:szCs w:val="21"/>
              </w:rPr>
              <w:t>环境应急预案及相关文件的基本形式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02"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评审项目</w:t>
            </w:r>
          </w:p>
        </w:tc>
        <w:tc>
          <w:tcPr>
            <w:tcW w:w="5245" w:type="dxa"/>
            <w:gridSpan w:val="2"/>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评 审 指 标</w:t>
            </w:r>
          </w:p>
        </w:tc>
        <w:tc>
          <w:tcPr>
            <w:tcW w:w="2552" w:type="dxa"/>
            <w:gridSpan w:val="4"/>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评审意见</w:t>
            </w:r>
          </w:p>
        </w:tc>
        <w:tc>
          <w:tcPr>
            <w:tcW w:w="4850"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指 标 说 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21"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5245" w:type="dxa"/>
            <w:gridSpan w:val="2"/>
            <w:vMerge w:val="continue"/>
            <w:noWrap w:val="0"/>
            <w:vAlign w:val="center"/>
          </w:tcPr>
          <w:p>
            <w:pPr>
              <w:adjustRightInd w:val="0"/>
              <w:snapToGrid w:val="0"/>
              <w:jc w:val="center"/>
              <w:rPr>
                <w:rFonts w:ascii="宋体" w:hAnsi="宋体" w:eastAsia="宋体"/>
                <w:sz w:val="21"/>
                <w:szCs w:val="21"/>
              </w:rPr>
            </w:pPr>
          </w:p>
        </w:tc>
        <w:tc>
          <w:tcPr>
            <w:tcW w:w="1276"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判定</w:t>
            </w:r>
          </w:p>
        </w:tc>
        <w:tc>
          <w:tcPr>
            <w:tcW w:w="567"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得分</w:t>
            </w:r>
          </w:p>
        </w:tc>
        <w:tc>
          <w:tcPr>
            <w:tcW w:w="709" w:type="dxa"/>
            <w:gridSpan w:val="2"/>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说明</w:t>
            </w:r>
          </w:p>
        </w:tc>
        <w:tc>
          <w:tcPr>
            <w:tcW w:w="4850" w:type="dxa"/>
            <w:vMerge w:val="continue"/>
            <w:noWrap w:val="0"/>
            <w:vAlign w:val="center"/>
          </w:tcPr>
          <w:p>
            <w:pPr>
              <w:adjustRightInd w:val="0"/>
              <w:snapToGrid w:val="0"/>
              <w:jc w:val="center"/>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812"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封面目录</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vertAlign w:val="superscript"/>
              </w:rPr>
            </w:pPr>
            <w:r>
              <w:rPr>
                <w:rFonts w:hint="eastAsia" w:ascii="宋体" w:hAnsi="宋体" w:eastAsia="宋体"/>
                <w:sz w:val="21"/>
                <w:szCs w:val="21"/>
              </w:rPr>
              <w:t>1</w:t>
            </w:r>
            <w:r>
              <w:rPr>
                <w:rFonts w:hint="eastAsia" w:ascii="宋体" w:hAnsi="宋体" w:eastAsia="宋体"/>
                <w:sz w:val="21"/>
                <w:szCs w:val="21"/>
                <w:vertAlign w:val="superscript"/>
              </w:rPr>
              <w:t>a</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封面有环境应急预案、预案编制单位名称，预留正式发布预案的版本号、发布日期等设计；</w:t>
            </w:r>
          </w:p>
          <w:p>
            <w:pPr>
              <w:adjustRightInd w:val="0"/>
              <w:snapToGrid w:val="0"/>
              <w:rPr>
                <w:rFonts w:ascii="宋体" w:hAnsi="宋体" w:eastAsia="宋体"/>
                <w:sz w:val="21"/>
                <w:szCs w:val="21"/>
              </w:rPr>
            </w:pPr>
            <w:r>
              <w:rPr>
                <w:rFonts w:hint="eastAsia" w:ascii="宋体" w:hAnsi="宋体" w:eastAsia="宋体"/>
                <w:sz w:val="21"/>
                <w:szCs w:val="21"/>
              </w:rPr>
              <w:t>目录有编号、标题和页码，一般至少设置两级目录</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709" w:type="dxa"/>
            <w:gridSpan w:val="2"/>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预案版本号指为便于索引、回溯而在发布时赋予预案的标识号，企业可以按照内部技术文件版本号管理要求执行；</w:t>
            </w:r>
          </w:p>
          <w:p>
            <w:pPr>
              <w:adjustRightInd w:val="0"/>
              <w:snapToGrid w:val="0"/>
              <w:rPr>
                <w:rFonts w:ascii="宋体" w:hAnsi="宋体" w:eastAsia="宋体"/>
                <w:sz w:val="21"/>
                <w:szCs w:val="21"/>
              </w:rPr>
            </w:pPr>
            <w:r>
              <w:rPr>
                <w:rFonts w:hint="eastAsia" w:ascii="宋体" w:hAnsi="宋体" w:eastAsia="宋体"/>
                <w:sz w:val="21"/>
                <w:szCs w:val="21"/>
              </w:rPr>
              <w:t>预案各章节可以有多级标题，但在目录中至少列出两级标题，便于查找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951"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结构</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w:t>
            </w:r>
            <w:r>
              <w:rPr>
                <w:rFonts w:hint="eastAsia" w:ascii="宋体" w:hAnsi="宋体" w:eastAsia="宋体"/>
                <w:sz w:val="21"/>
                <w:szCs w:val="21"/>
                <w:vertAlign w:val="superscript"/>
              </w:rPr>
              <w:t>a</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结构完整，格式规范</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709" w:type="dxa"/>
            <w:gridSpan w:val="2"/>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结构完整指预案文件布局合理、层次分明，无错漏章节、段落；正文对附件的引用、说明等，与附件索引、附件一致；</w:t>
            </w:r>
          </w:p>
          <w:p>
            <w:pPr>
              <w:adjustRightInd w:val="0"/>
              <w:snapToGrid w:val="0"/>
              <w:rPr>
                <w:rFonts w:ascii="宋体" w:hAnsi="宋体" w:eastAsia="宋体"/>
                <w:sz w:val="21"/>
                <w:szCs w:val="21"/>
              </w:rPr>
            </w:pPr>
            <w:r>
              <w:rPr>
                <w:rFonts w:hint="eastAsia" w:ascii="宋体" w:hAnsi="宋体" w:eastAsia="宋体"/>
                <w:sz w:val="21"/>
                <w:szCs w:val="21"/>
              </w:rPr>
              <w:t>格式规范指预案文件符合企业内部公文格式标准，或文件字体、字号、版式、层次等遵循一定的规范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803"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行文</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w:t>
            </w:r>
            <w:r>
              <w:rPr>
                <w:rFonts w:hint="eastAsia" w:ascii="宋体" w:hAnsi="宋体" w:eastAsia="宋体"/>
                <w:sz w:val="21"/>
                <w:szCs w:val="21"/>
                <w:vertAlign w:val="superscript"/>
              </w:rPr>
              <w:t>a</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文字准确，语言通顺，内容简明</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709" w:type="dxa"/>
            <w:gridSpan w:val="2"/>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文字准确是指无明显错别字、多字、漏字、语句错误、数据错误、时间错误等现象；</w:t>
            </w:r>
          </w:p>
          <w:p>
            <w:pPr>
              <w:adjustRightInd w:val="0"/>
              <w:snapToGrid w:val="0"/>
              <w:rPr>
                <w:rFonts w:ascii="宋体" w:hAnsi="宋体" w:eastAsia="宋体"/>
                <w:sz w:val="21"/>
                <w:szCs w:val="21"/>
              </w:rPr>
            </w:pPr>
            <w:r>
              <w:rPr>
                <w:rFonts w:hint="eastAsia" w:ascii="宋体" w:hAnsi="宋体" w:eastAsia="宋体"/>
                <w:sz w:val="21"/>
                <w:szCs w:val="21"/>
              </w:rPr>
              <w:t>语言通顺是指语言规范、连贯、易懂，合乎事理逻辑，关键内容不会产生歧义等；</w:t>
            </w:r>
          </w:p>
          <w:p>
            <w:pPr>
              <w:adjustRightInd w:val="0"/>
              <w:snapToGrid w:val="0"/>
              <w:rPr>
                <w:rFonts w:ascii="宋体" w:hAnsi="宋体" w:eastAsia="宋体"/>
                <w:sz w:val="21"/>
                <w:szCs w:val="21"/>
              </w:rPr>
            </w:pPr>
            <w:r>
              <w:rPr>
                <w:rFonts w:hint="eastAsia" w:ascii="宋体" w:hAnsi="宋体" w:eastAsia="宋体"/>
                <w:sz w:val="21"/>
                <w:szCs w:val="21"/>
              </w:rPr>
              <w:t>内容简明是指环境应急预案、环境风险评估报告、环境应急资源调查报告独立成文，预案正文和附件内容分配合理，应对措施等重点信息容易找到，内容上无简单重复、大量互相引用等现象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97" w:hRule="atLeast"/>
          <w:jc w:val="center"/>
        </w:trPr>
        <w:tc>
          <w:tcPr>
            <w:tcW w:w="13781" w:type="dxa"/>
            <w:gridSpan w:val="8"/>
            <w:noWrap w:val="0"/>
            <w:vAlign w:val="center"/>
          </w:tcPr>
          <w:p>
            <w:pPr>
              <w:adjustRightInd w:val="0"/>
              <w:snapToGrid w:val="0"/>
              <w:jc w:val="center"/>
              <w:rPr>
                <w:rFonts w:ascii="黑体" w:hAnsi="黑体" w:eastAsia="黑体"/>
                <w:sz w:val="21"/>
                <w:szCs w:val="21"/>
                <w:highlight w:val="yellow"/>
              </w:rPr>
            </w:pPr>
            <w:r>
              <w:rPr>
                <w:rFonts w:hint="eastAsia" w:ascii="黑体" w:hAnsi="黑体" w:eastAsia="黑体"/>
                <w:sz w:val="21"/>
                <w:szCs w:val="21"/>
              </w:rPr>
              <w:t>环境应急预案编制说明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过程说明</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w:t>
            </w:r>
            <w:r>
              <w:rPr>
                <w:rFonts w:hint="eastAsia" w:ascii="宋体" w:hAnsi="宋体" w:eastAsia="宋体"/>
                <w:sz w:val="21"/>
                <w:szCs w:val="21"/>
                <w:vertAlign w:val="superscript"/>
              </w:rPr>
              <w:t>a</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说清预案编修过程</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highlight w:val="yellow"/>
              </w:rPr>
            </w:pPr>
            <w:r>
              <w:rPr>
                <w:rFonts w:hint="eastAsia" w:ascii="宋体" w:hAnsi="宋体" w:eastAsia="宋体"/>
                <w:sz w:val="21"/>
                <w:szCs w:val="21"/>
              </w:rPr>
              <w:t>□不符合</w:t>
            </w:r>
          </w:p>
        </w:tc>
        <w:tc>
          <w:tcPr>
            <w:tcW w:w="567" w:type="dxa"/>
            <w:noWrap w:val="0"/>
            <w:vAlign w:val="top"/>
          </w:tcPr>
          <w:p>
            <w:pPr>
              <w:keepNext/>
              <w:keepLines/>
              <w:adjustRightInd w:val="0"/>
              <w:snapToGrid w:val="0"/>
              <w:rPr>
                <w:rFonts w:hint="eastAsia" w:ascii="宋体" w:hAnsi="宋体" w:eastAsia="宋体"/>
                <w:sz w:val="21"/>
                <w:szCs w:val="21"/>
                <w:highlight w:val="yellow"/>
                <w:lang w:val="en-US" w:eastAsia="zh-CN"/>
              </w:rPr>
            </w:pPr>
            <w:r>
              <w:rPr>
                <w:rFonts w:hint="eastAsia" w:ascii="宋体" w:hAnsi="宋体" w:eastAsia="宋体"/>
                <w:sz w:val="21"/>
                <w:szCs w:val="21"/>
                <w:lang w:val="en-US" w:eastAsia="zh-CN"/>
              </w:rPr>
              <w:t>1</w:t>
            </w:r>
          </w:p>
        </w:tc>
        <w:tc>
          <w:tcPr>
            <w:tcW w:w="709" w:type="dxa"/>
            <w:gridSpan w:val="2"/>
            <w:noWrap w:val="0"/>
            <w:vAlign w:val="top"/>
          </w:tcPr>
          <w:p>
            <w:pPr>
              <w:keepNext/>
              <w:keepLines/>
              <w:adjustRightInd w:val="0"/>
              <w:snapToGrid w:val="0"/>
              <w:rPr>
                <w:rFonts w:ascii="宋体" w:hAnsi="宋体" w:eastAsia="宋体"/>
                <w:sz w:val="21"/>
                <w:szCs w:val="21"/>
                <w:highlight w:val="yellow"/>
              </w:rPr>
            </w:pPr>
          </w:p>
        </w:tc>
        <w:tc>
          <w:tcPr>
            <w:tcW w:w="4850" w:type="dxa"/>
            <w:noWrap w:val="0"/>
            <w:vAlign w:val="center"/>
          </w:tcPr>
          <w:p>
            <w:pPr>
              <w:adjustRightInd w:val="0"/>
              <w:snapToGrid w:val="0"/>
              <w:rPr>
                <w:rFonts w:ascii="宋体" w:hAnsi="宋体" w:eastAsia="宋体"/>
                <w:sz w:val="21"/>
                <w:szCs w:val="21"/>
                <w:highlight w:val="yellow"/>
              </w:rPr>
            </w:pPr>
            <w:r>
              <w:rPr>
                <w:rFonts w:hint="eastAsia" w:ascii="宋体" w:hAnsi="宋体" w:eastAsia="宋体"/>
                <w:sz w:val="21"/>
                <w:szCs w:val="21"/>
              </w:rPr>
              <w:t>编制过程主要包括成立环境应急预案编制工作组、开展环境风险评估和环境应急资源调查、征求关键岗位员工和可能受影响的居民、单位代表的意见、组织对预案内容进行推演等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03"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问题说明</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5</w:t>
            </w:r>
            <w:r>
              <w:rPr>
                <w:rFonts w:hint="eastAsia" w:ascii="宋体" w:hAnsi="宋体" w:eastAsia="宋体"/>
                <w:sz w:val="21"/>
                <w:szCs w:val="21"/>
                <w:vertAlign w:val="superscript"/>
              </w:rPr>
              <w:t>a</w:t>
            </w:r>
          </w:p>
        </w:tc>
        <w:tc>
          <w:tcPr>
            <w:tcW w:w="4819" w:type="dxa"/>
            <w:noWrap w:val="0"/>
            <w:vAlign w:val="center"/>
          </w:tcPr>
          <w:p>
            <w:pPr>
              <w:adjustRightInd w:val="0"/>
              <w:snapToGrid w:val="0"/>
              <w:rPr>
                <w:rFonts w:ascii="宋体" w:hAnsi="宋体" w:eastAsia="宋体"/>
                <w:spacing w:val="-2"/>
                <w:sz w:val="21"/>
                <w:szCs w:val="21"/>
              </w:rPr>
            </w:pPr>
            <w:r>
              <w:rPr>
                <w:rFonts w:hint="eastAsia" w:ascii="宋体" w:hAnsi="宋体" w:eastAsia="宋体"/>
                <w:spacing w:val="-2"/>
                <w:sz w:val="21"/>
                <w:szCs w:val="21"/>
              </w:rPr>
              <w:t>说明意见建议及采纳情况、演练暴露问题及解决措施</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567" w:type="dxa"/>
            <w:noWrap w:val="0"/>
            <w:vAlign w:val="top"/>
          </w:tcPr>
          <w:p>
            <w:pPr>
              <w:keepNext/>
              <w:keepLines/>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w:t>
            </w:r>
          </w:p>
        </w:tc>
        <w:tc>
          <w:tcPr>
            <w:tcW w:w="709" w:type="dxa"/>
            <w:gridSpan w:val="2"/>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一般应有意见建议清单，并说明采纳情况及未采纳理由；演练（一般为检验性的桌面推演）暴露问题清单及解决措施，并体现在预案中</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441" w:hRule="atLeast"/>
          <w:jc w:val="center"/>
        </w:trPr>
        <w:tc>
          <w:tcPr>
            <w:tcW w:w="13781" w:type="dxa"/>
            <w:gridSpan w:val="8"/>
            <w:noWrap w:val="0"/>
            <w:vAlign w:val="center"/>
          </w:tcPr>
          <w:p>
            <w:pPr>
              <w:adjustRightInd w:val="0"/>
              <w:snapToGrid w:val="0"/>
              <w:jc w:val="center"/>
              <w:rPr>
                <w:rFonts w:ascii="黑体" w:hAnsi="黑体" w:eastAsia="黑体"/>
                <w:sz w:val="21"/>
                <w:szCs w:val="21"/>
              </w:rPr>
            </w:pPr>
            <w:r>
              <w:rPr>
                <w:rFonts w:hint="eastAsia" w:ascii="黑体" w:hAnsi="黑体" w:eastAsia="黑体"/>
                <w:sz w:val="21"/>
                <w:szCs w:val="21"/>
              </w:rPr>
              <w:t>环境应急预案文本</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30"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编制目的</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6</w:t>
            </w:r>
          </w:p>
        </w:tc>
        <w:tc>
          <w:tcPr>
            <w:tcW w:w="4819" w:type="dxa"/>
            <w:noWrap w:val="0"/>
            <w:vAlign w:val="center"/>
          </w:tcPr>
          <w:p>
            <w:pPr>
              <w:adjustRightInd w:val="0"/>
              <w:snapToGrid w:val="0"/>
              <w:jc w:val="left"/>
              <w:rPr>
                <w:rFonts w:ascii="宋体" w:hAnsi="宋体" w:eastAsia="宋体"/>
                <w:spacing w:val="-2"/>
                <w:sz w:val="21"/>
                <w:szCs w:val="21"/>
              </w:rPr>
            </w:pPr>
            <w:r>
              <w:rPr>
                <w:rFonts w:hint="eastAsia" w:ascii="宋体" w:hAnsi="宋体" w:eastAsia="宋体"/>
                <w:spacing w:val="-2"/>
                <w:sz w:val="21"/>
                <w:szCs w:val="21"/>
              </w:rPr>
              <w:t>体现：规范事发后的应对工作，提高事件应对能力，避免或减轻事件影响，加强企业与政府应对工作衔接</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vMerge w:val="restart"/>
            <w:noWrap w:val="0"/>
            <w:vAlign w:val="top"/>
          </w:tcPr>
          <w:p>
            <w:pPr>
              <w:adjustRightInd w:val="0"/>
              <w:snapToGrid w:val="0"/>
              <w:rPr>
                <w:rFonts w:ascii="宋体" w:hAnsi="宋体" w:eastAsia="宋体"/>
                <w:sz w:val="21"/>
                <w:szCs w:val="21"/>
              </w:rPr>
            </w:pPr>
            <w:r>
              <w:rPr>
                <w:rFonts w:hint="eastAsia" w:ascii="宋体" w:hAnsi="宋体" w:eastAsia="宋体"/>
                <w:sz w:val="21"/>
                <w:szCs w:val="21"/>
              </w:rPr>
              <w:t>此三项为预案的总纲。</w:t>
            </w:r>
          </w:p>
          <w:p>
            <w:pPr>
              <w:adjustRightInd w:val="0"/>
              <w:snapToGrid w:val="0"/>
              <w:rPr>
                <w:rFonts w:ascii="宋体" w:hAnsi="宋体" w:eastAsia="宋体"/>
                <w:sz w:val="21"/>
                <w:szCs w:val="21"/>
              </w:rPr>
            </w:pPr>
          </w:p>
          <w:p>
            <w:pPr>
              <w:adjustRightInd w:val="0"/>
              <w:snapToGrid w:val="0"/>
              <w:rPr>
                <w:rFonts w:ascii="宋体" w:hAnsi="宋体" w:eastAsia="宋体"/>
                <w:sz w:val="21"/>
                <w:szCs w:val="21"/>
              </w:rPr>
            </w:pPr>
            <w:r>
              <w:rPr>
                <w:rFonts w:hint="eastAsia" w:ascii="宋体" w:hAnsi="宋体" w:eastAsia="宋体"/>
                <w:sz w:val="21"/>
                <w:szCs w:val="21"/>
              </w:rPr>
              <w:t>关于“规范事发后的应对工作”，《突发事件应急预案管理办法》强调应急预案重在“应对”，适当向前延伸至“预警”，向后延伸至“恢复”。关于“加强企业与政府应对衔接”，根据备案管理办法，实行企业环境应急预案备案管理，其中一个重要作用是环保部门收集信息，服务于政府环境应急预案编修；另外，由于权限、职责、工作范围的不同，企业环境应急预案应该在指挥、措施、程序等方面留有“接口”，确保与政府预案有机衔接。</w:t>
            </w:r>
          </w:p>
          <w:p>
            <w:pPr>
              <w:adjustRightInd w:val="0"/>
              <w:snapToGrid w:val="0"/>
              <w:rPr>
                <w:rFonts w:ascii="宋体" w:hAnsi="宋体" w:eastAsia="宋体"/>
                <w:sz w:val="21"/>
                <w:szCs w:val="21"/>
              </w:rPr>
            </w:pPr>
          </w:p>
          <w:p>
            <w:pPr>
              <w:adjustRightInd w:val="0"/>
              <w:snapToGrid w:val="0"/>
              <w:rPr>
                <w:rFonts w:hint="eastAsia" w:ascii="宋体" w:hAnsi="宋体" w:eastAsia="宋体"/>
                <w:sz w:val="21"/>
                <w:szCs w:val="21"/>
              </w:rPr>
            </w:pPr>
            <w:r>
              <w:rPr>
                <w:rFonts w:hint="eastAsia" w:ascii="宋体" w:hAnsi="宋体" w:eastAsia="宋体"/>
                <w:sz w:val="21"/>
                <w:szCs w:val="21"/>
              </w:rPr>
              <w:t>适用主体，指组织实施预案的责任单位；地理或管理范围，如某公司内、某公司及周边环境敏感区域内；事件类别，如生产废水事故排放、化学品泄漏、燃烧或爆炸次生环境事件等；工作内容，可包括预警、处置、监测等。</w:t>
            </w:r>
          </w:p>
          <w:p>
            <w:pPr>
              <w:adjustRightInd w:val="0"/>
              <w:snapToGrid w:val="0"/>
              <w:rPr>
                <w:rFonts w:ascii="宋体" w:hAnsi="宋体" w:eastAsia="宋体"/>
                <w:sz w:val="21"/>
                <w:szCs w:val="21"/>
              </w:rPr>
            </w:pPr>
            <w:r>
              <w:rPr>
                <w:rFonts w:hint="eastAsia" w:ascii="宋体" w:hAnsi="宋体" w:eastAsia="宋体"/>
                <w:sz w:val="21"/>
                <w:szCs w:val="21"/>
              </w:rPr>
              <w:t>坚持环境优先，是因为环境一旦受到污染，修复难度大且成本高；应急工作与岗位职责相结合，强调应急任务要细化落实到具体工作岗位</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适用范围</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7</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明确：预案适用的主体、地理或管理范围、事件类别、工作内容</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vMerge w:val="continue"/>
            <w:noWrap w:val="0"/>
            <w:vAlign w:val="top"/>
          </w:tcPr>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工作原则</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8</w:t>
            </w:r>
          </w:p>
        </w:tc>
        <w:tc>
          <w:tcPr>
            <w:tcW w:w="4819" w:type="dxa"/>
            <w:noWrap w:val="0"/>
            <w:vAlign w:val="center"/>
          </w:tcPr>
          <w:p>
            <w:pPr>
              <w:adjustRightInd w:val="0"/>
              <w:snapToGrid w:val="0"/>
              <w:jc w:val="left"/>
              <w:rPr>
                <w:rFonts w:ascii="宋体" w:hAnsi="宋体" w:eastAsia="宋体"/>
                <w:spacing w:val="-2"/>
                <w:sz w:val="21"/>
                <w:szCs w:val="21"/>
              </w:rPr>
            </w:pPr>
            <w:r>
              <w:rPr>
                <w:rFonts w:hint="eastAsia" w:ascii="宋体" w:hAnsi="宋体" w:eastAsia="宋体"/>
                <w:spacing w:val="-2"/>
                <w:sz w:val="21"/>
                <w:szCs w:val="21"/>
              </w:rPr>
              <w:t>体现：符合国家有关规定和要求，结合本单位实际；救人第一、环境优先；先期处置、防止危害扩大；快速响应、科学应对；应急工作与岗位职责相结合等</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vMerge w:val="continue"/>
            <w:noWrap w:val="0"/>
            <w:vAlign w:val="top"/>
          </w:tcPr>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3103"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应急预案</w:t>
            </w:r>
          </w:p>
          <w:p>
            <w:pPr>
              <w:adjustRightInd w:val="0"/>
              <w:snapToGrid w:val="0"/>
              <w:jc w:val="center"/>
              <w:rPr>
                <w:rFonts w:ascii="宋体" w:hAnsi="宋体" w:eastAsia="宋体"/>
                <w:sz w:val="21"/>
                <w:szCs w:val="21"/>
              </w:rPr>
            </w:pPr>
            <w:r>
              <w:rPr>
                <w:rFonts w:hint="eastAsia" w:ascii="宋体" w:hAnsi="宋体" w:eastAsia="宋体"/>
                <w:sz w:val="21"/>
                <w:szCs w:val="21"/>
              </w:rPr>
              <w:t>体系</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9</w:t>
            </w:r>
            <w:r>
              <w:rPr>
                <w:rFonts w:hint="eastAsia" w:ascii="宋体" w:hAnsi="宋体" w:eastAsia="宋体"/>
                <w:sz w:val="21"/>
                <w:szCs w:val="21"/>
                <w:vertAlign w:val="superscript"/>
              </w:rPr>
              <w:t>b</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以预案关系图的形式，说明本预案的组成及其组成之间的关系、与生产安全事故预案等其他预案的衔接关系、与地方人民政府环境应急预案的衔接关系，辅以必要的重点内容说明</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3</w:t>
            </w:r>
          </w:p>
        </w:tc>
        <w:tc>
          <w:tcPr>
            <w:tcW w:w="669" w:type="dxa"/>
            <w:noWrap w:val="0"/>
            <w:vAlign w:val="top"/>
          </w:tcPr>
          <w:p>
            <w:pPr>
              <w:keepNext/>
              <w:keepLines/>
              <w:adjustRightInd w:val="0"/>
              <w:snapToGrid w:val="0"/>
              <w:rPr>
                <w:rFonts w:ascii="宋体" w:hAnsi="宋体" w:eastAsia="宋体"/>
                <w:sz w:val="21"/>
                <w:szCs w:val="21"/>
              </w:rPr>
            </w:pPr>
          </w:p>
        </w:tc>
        <w:tc>
          <w:tcPr>
            <w:tcW w:w="4850" w:type="dxa"/>
            <w:vMerge w:val="restart"/>
            <w:noWrap w:val="0"/>
            <w:vAlign w:val="top"/>
          </w:tcPr>
          <w:p>
            <w:pPr>
              <w:adjustRightInd w:val="0"/>
              <w:snapToGrid w:val="0"/>
              <w:rPr>
                <w:rFonts w:hint="eastAsia" w:ascii="宋体" w:hAnsi="宋体" w:eastAsia="宋体"/>
                <w:sz w:val="21"/>
                <w:szCs w:val="21"/>
              </w:rPr>
            </w:pPr>
            <w:r>
              <w:rPr>
                <w:rFonts w:hint="eastAsia" w:ascii="宋体" w:hAnsi="宋体" w:eastAsia="宋体"/>
                <w:sz w:val="21"/>
                <w:szCs w:val="21"/>
              </w:rPr>
              <w:t>本项目的三项指标，主要考察企业在环境应急预案编制过程中能否清晰把握预案体系。具体衔接方式、内容在应对流程和措施等部分体现。</w:t>
            </w:r>
          </w:p>
          <w:p>
            <w:pPr>
              <w:adjustRightInd w:val="0"/>
              <w:snapToGrid w:val="0"/>
              <w:rPr>
                <w:rFonts w:hint="eastAsia" w:ascii="宋体" w:hAnsi="宋体" w:eastAsia="宋体"/>
                <w:sz w:val="21"/>
                <w:szCs w:val="21"/>
              </w:rPr>
            </w:pPr>
            <w:r>
              <w:rPr>
                <w:rFonts w:hint="eastAsia" w:ascii="宋体" w:hAnsi="宋体" w:eastAsia="宋体"/>
                <w:sz w:val="21"/>
                <w:szCs w:val="21"/>
              </w:rPr>
              <w:t>有的企业环境应急预案包括综合预案、专项预案、现场预案或其他组成，应说明这些组成之间的衔接关系，确保各个组成清晰界定、有机衔接。企业环境应急预案一般应以现场处置预案为主，有针对性地提出各类事件情景下的污染防控措施，明确责任人员、工作流程、具体措施，落实到应急处置卡上。确需分类编制的，综合预案侧重明确应对原则、组织机构与职责、基本程序与要求，说明预案体系构成；专项预案侧重针对某一类事件，明确应急程序和处置措施。如不涉及以上情况，可以说明预案的主体框架。</w:t>
            </w:r>
          </w:p>
          <w:p>
            <w:pPr>
              <w:adjustRightInd w:val="0"/>
              <w:snapToGrid w:val="0"/>
              <w:rPr>
                <w:rFonts w:hint="eastAsia" w:ascii="宋体" w:hAnsi="宋体" w:eastAsia="宋体"/>
                <w:sz w:val="21"/>
                <w:szCs w:val="21"/>
              </w:rPr>
            </w:pPr>
            <w:r>
              <w:rPr>
                <w:rFonts w:hint="eastAsia" w:ascii="宋体" w:hAnsi="宋体" w:eastAsia="宋体"/>
                <w:sz w:val="21"/>
                <w:szCs w:val="21"/>
              </w:rPr>
              <w:t>环境应急预案定位于控制并减轻、消除污染，与企业内部生产安全事故预案等其他预案清晰界定、相互支持。</w:t>
            </w:r>
          </w:p>
          <w:p>
            <w:pPr>
              <w:adjustRightInd w:val="0"/>
              <w:snapToGrid w:val="0"/>
              <w:rPr>
                <w:rFonts w:ascii="宋体" w:hAnsi="宋体" w:eastAsia="宋体"/>
                <w:sz w:val="21"/>
                <w:szCs w:val="21"/>
              </w:rPr>
            </w:pPr>
            <w:r>
              <w:rPr>
                <w:rFonts w:hint="eastAsia" w:ascii="宋体" w:hAnsi="宋体" w:eastAsia="宋体"/>
                <w:sz w:val="21"/>
                <w:szCs w:val="21"/>
              </w:rPr>
              <w:t>企业突发环境事件一般会对外环境造成污染，其预案应与所在地政府环境应急预案协调一致、相互配合。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10</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预案体系构成合理，以现场处置预案为主，确有必要编制综合预案、专项预案，且定位清晰、有机衔接</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vMerge w:val="continue"/>
            <w:noWrap w:val="0"/>
            <w:vAlign w:val="top"/>
          </w:tcPr>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7"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11</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预案整体定位清晰，与内部生产安全事故预案等其他预案清晰界定、相互支持，与地方人民政府环境应急预案有机衔接</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vMerge w:val="continue"/>
            <w:noWrap w:val="0"/>
            <w:vAlign w:val="top"/>
          </w:tcPr>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1" w:hRule="atLeast"/>
          <w:jc w:val="center"/>
        </w:trPr>
        <w:tc>
          <w:tcPr>
            <w:tcW w:w="1134" w:type="dxa"/>
            <w:vMerge w:val="restart"/>
            <w:noWrap w:val="0"/>
            <w:vAlign w:val="center"/>
          </w:tcPr>
          <w:p>
            <w:pPr>
              <w:adjustRightInd w:val="0"/>
              <w:snapToGrid w:val="0"/>
              <w:jc w:val="center"/>
              <w:rPr>
                <w:rFonts w:ascii="宋体" w:hAnsi="宋体" w:eastAsia="宋体"/>
                <w:color w:val="000000"/>
                <w:kern w:val="0"/>
                <w:sz w:val="21"/>
                <w:szCs w:val="21"/>
                <w:lang w:val="zh-CN"/>
              </w:rPr>
            </w:pPr>
            <w:r>
              <w:rPr>
                <w:rFonts w:hint="eastAsia" w:ascii="宋体" w:hAnsi="宋体" w:eastAsia="宋体"/>
                <w:sz w:val="21"/>
                <w:szCs w:val="21"/>
              </w:rPr>
              <w:t>组织指挥机制</w:t>
            </w:r>
          </w:p>
        </w:tc>
        <w:tc>
          <w:tcPr>
            <w:tcW w:w="426" w:type="dxa"/>
            <w:noWrap w:val="0"/>
            <w:vAlign w:val="center"/>
          </w:tcPr>
          <w:p>
            <w:pPr>
              <w:pStyle w:val="96"/>
              <w:keepNext/>
              <w:keepLines/>
              <w:adjustRightInd w:val="0"/>
              <w:snapToGrid w:val="0"/>
              <w:ind w:firstLine="0" w:firstLineChars="0"/>
              <w:jc w:val="center"/>
              <w:rPr>
                <w:rFonts w:ascii="宋体" w:hAnsi="宋体" w:eastAsia="宋体"/>
                <w:color w:val="000000"/>
                <w:sz w:val="21"/>
                <w:szCs w:val="21"/>
              </w:rPr>
            </w:pPr>
            <w:r>
              <w:rPr>
                <w:rFonts w:hint="eastAsia" w:ascii="宋体" w:hAnsi="宋体" w:eastAsia="宋体"/>
                <w:color w:val="000000"/>
                <w:sz w:val="21"/>
                <w:szCs w:val="21"/>
              </w:rPr>
              <w:t>12</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以应急组织体系结构图、应急响应流程图的形式，说明组织体系构成、应急指挥运行机制，配有应急队伍成员名单和联系方式表</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以图表形式，说明应急组织体系构成、运行机制、联系人及联系方式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1"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color w:val="000000"/>
                <w:sz w:val="21"/>
                <w:szCs w:val="21"/>
              </w:rPr>
            </w:pPr>
            <w:r>
              <w:rPr>
                <w:rFonts w:hint="eastAsia" w:ascii="宋体" w:hAnsi="宋体" w:eastAsia="宋体"/>
                <w:color w:val="000000"/>
                <w:sz w:val="21"/>
                <w:szCs w:val="21"/>
              </w:rPr>
              <w:t>13</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明确组织体系的构成及其职责。一般包括应急指挥部及其办事机构、现场处置组、环境应急监测组、应急保障组以及其他必要的行动组</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企业根据突发环境事件应急工作特点，建立由负责人和成员组成的、工作职责明确的环境应急组织指挥机构。注意与企业突发事件应急预案以及生产安全等预案中组织指挥体系的衔接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1134" w:type="dxa"/>
            <w:vMerge w:val="restart"/>
            <w:noWrap w:val="0"/>
            <w:vAlign w:val="center"/>
          </w:tcPr>
          <w:p>
            <w:pPr>
              <w:keepNext/>
              <w:keepLines/>
              <w:adjustRightInd w:val="0"/>
              <w:snapToGrid w:val="0"/>
              <w:jc w:val="center"/>
              <w:rPr>
                <w:rFonts w:ascii="宋体" w:hAnsi="宋体" w:eastAsia="宋体"/>
                <w:sz w:val="21"/>
                <w:szCs w:val="21"/>
              </w:rPr>
            </w:pPr>
            <w:r>
              <w:rPr>
                <w:rFonts w:hint="eastAsia" w:ascii="宋体" w:hAnsi="宋体" w:eastAsia="宋体"/>
                <w:sz w:val="21"/>
                <w:szCs w:val="21"/>
              </w:rPr>
              <w:t>组织指挥机制</w:t>
            </w: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14</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明确应急状态下指挥运行机制，建立统一的应急指挥、协调和决策程序</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指挥运行机制，指的是总指挥与各行动小组相互作用的程序和方式，能够对突发环境事件状态进行评估，迅速有效进行应急响应决策，指挥和协调各行动小组活动，合理高效地调配和使用应急资源</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5"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15</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根据突发环境事件的危害程度、影响范围、周边环境敏感点、企业应急响应能力等，建立分级应急响应机制，明确不同应急响应级别对应的指挥权限</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例如有的企业将环境应急分为车间级、企业级、社会级，明确相应的指挥权限：车间负责人、企业负责人、接受当地政府统一指挥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30"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16</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说明企业与政府及其有关部门之间的关系。明确政府及其有关部门介入后，企业内部指挥协调、配合处置、参与应急保障等工作任务和责任人</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例如政府及其有关部门介入后，环境应急指挥权的移交及企业内部的调整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54"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监测预警</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17</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建立企业内部监控预警方案</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根据</w:t>
            </w:r>
            <w:r>
              <w:rPr>
                <w:rFonts w:ascii="宋体" w:hAnsi="宋体" w:eastAsia="宋体"/>
                <w:sz w:val="21"/>
                <w:szCs w:val="21"/>
              </w:rPr>
              <w:t>企业</w:t>
            </w:r>
            <w:r>
              <w:rPr>
                <w:rFonts w:hint="eastAsia" w:ascii="宋体" w:hAnsi="宋体" w:eastAsia="宋体"/>
                <w:sz w:val="21"/>
                <w:szCs w:val="21"/>
              </w:rPr>
              <w:t>可能面临事件情景</w:t>
            </w:r>
            <w:r>
              <w:rPr>
                <w:rFonts w:ascii="宋体" w:hAnsi="宋体" w:eastAsia="宋体"/>
                <w:sz w:val="21"/>
                <w:szCs w:val="21"/>
              </w:rPr>
              <w:t>，</w:t>
            </w:r>
            <w:r>
              <w:rPr>
                <w:rFonts w:hint="eastAsia" w:ascii="宋体" w:hAnsi="宋体" w:eastAsia="宋体"/>
                <w:sz w:val="21"/>
                <w:szCs w:val="21"/>
              </w:rPr>
              <w:t>结合事件危害程度、紧急程度和发展态势</w:t>
            </w:r>
            <w:r>
              <w:rPr>
                <w:rFonts w:ascii="宋体" w:hAnsi="宋体" w:eastAsia="宋体"/>
                <w:sz w:val="21"/>
                <w:szCs w:val="21"/>
              </w:rPr>
              <w:t>，</w:t>
            </w:r>
            <w:r>
              <w:rPr>
                <w:rFonts w:hint="eastAsia" w:ascii="宋体" w:hAnsi="宋体" w:eastAsia="宋体"/>
                <w:sz w:val="21"/>
                <w:szCs w:val="21"/>
              </w:rPr>
              <w:t>对企业内部预警级别、预警发布与解除、预警措施进行总体安排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06"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18</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明确监控信息的获得途径和分析研判的方式方法</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监控信息的获得途径，例如极端天气等自然灾害、生产安全事故等事故灾难、相关监控监测信息等；</w:t>
            </w:r>
          </w:p>
          <w:p>
            <w:pPr>
              <w:adjustRightInd w:val="0"/>
              <w:snapToGrid w:val="0"/>
              <w:jc w:val="left"/>
              <w:rPr>
                <w:rFonts w:ascii="宋体" w:hAnsi="宋体" w:eastAsia="宋体"/>
                <w:sz w:val="21"/>
                <w:szCs w:val="21"/>
              </w:rPr>
            </w:pPr>
            <w:r>
              <w:rPr>
                <w:rFonts w:hint="eastAsia" w:ascii="宋体" w:hAnsi="宋体" w:eastAsia="宋体"/>
                <w:sz w:val="21"/>
                <w:szCs w:val="21"/>
              </w:rPr>
              <w:t>分析研判的方式方法，例如根据相关信息和应急能力等，结合企业自身实际进行分析研判</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2090"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19</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明确企业内部预警条件，预警等级，预警信息发布、接收、调整、解除程序、发布内容、责任人</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一般根据企业突发环境事件类型情景和自身的应急能力等，结合周边环境情况，确定预警等级，做到早发现、早报告、早发布；</w:t>
            </w:r>
          </w:p>
          <w:p>
            <w:pPr>
              <w:adjustRightInd w:val="0"/>
              <w:snapToGrid w:val="0"/>
              <w:rPr>
                <w:rFonts w:ascii="宋体" w:hAnsi="宋体" w:eastAsia="宋体"/>
                <w:sz w:val="21"/>
                <w:szCs w:val="21"/>
              </w:rPr>
            </w:pPr>
            <w:r>
              <w:rPr>
                <w:rFonts w:hint="eastAsia" w:ascii="宋体" w:hAnsi="宋体" w:eastAsia="宋体"/>
                <w:sz w:val="21"/>
                <w:szCs w:val="21"/>
              </w:rPr>
              <w:t>红色预警一般为企业自身力量难以应对；橙色预警一般为企业需要调集内部绝大部分力量参与应对；黄色、蓝色预警根据企业实际需求确定</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0"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信息报告</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20</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明确企业内部事件信息传递的责任人、程序、时限、方式、内容等，包括向协议应急救援单位传递信息的方式方法</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从事件第一发现人至事件指挥人之间信息传递的方式、方法及内容，内容一般包括事件的时间、地点、涉及物质、简要经过、已造成或者可能造成的污染情况、已采取的措施等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21</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明确企业向当地人民政府及其环保等部门报告的责任人、程序、时限方式、内容等，辅以信息报告格式规范</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从企业报告决策人、报告负责人到当地人民政府及其环保部门负责人（单位）之间信息传递的方式、方法及内容，内容一般包括企业及周边概况、事件的时间、地点、涉及物质、简要经过、已造成或者可能造成的污染情况、已采取的措施、请求支持的内容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22</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明确企业向可能受影响的居民、单位通报的责任人、程序、时限、方式、内容等</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从企业通报决策人、通报负责人到周边居民、单位负责人之间信息传递的方式、方法及内容，内容一般包括事件已造成或者可能造成的污染情况、居民或单位避险措施等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应急监测</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23</w:t>
            </w:r>
            <w:r>
              <w:rPr>
                <w:rFonts w:hint="eastAsia" w:ascii="宋体" w:hAnsi="宋体" w:eastAsia="宋体"/>
                <w:sz w:val="21"/>
                <w:szCs w:val="21"/>
                <w:vertAlign w:val="superscript"/>
              </w:rPr>
              <w:t>c</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涉大气污染的，说明排放口和厂界气体监测的一般原则</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按照《突发环境事件应急监测技术规范》等有关要求，确定排放口和厂界气体监测一般原则，为针对具体事件情景制定监测方案提供指导；</w:t>
            </w:r>
          </w:p>
          <w:p>
            <w:pPr>
              <w:keepNext/>
              <w:keepLines/>
              <w:adjustRightInd w:val="0"/>
              <w:snapToGrid w:val="0"/>
              <w:rPr>
                <w:rFonts w:ascii="宋体" w:hAnsi="宋体" w:eastAsia="宋体"/>
                <w:sz w:val="21"/>
                <w:szCs w:val="21"/>
              </w:rPr>
            </w:pPr>
            <w:r>
              <w:rPr>
                <w:rFonts w:hint="eastAsia" w:ascii="宋体" w:hAnsi="宋体" w:eastAsia="宋体"/>
                <w:sz w:val="21"/>
                <w:szCs w:val="21"/>
              </w:rPr>
              <w:t>排放口为突发环境事件中污染物的排放出口，包括按照相关环境保护标准设置的排放口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24</w:t>
            </w:r>
            <w:r>
              <w:rPr>
                <w:rFonts w:hint="eastAsia" w:ascii="宋体" w:hAnsi="宋体" w:eastAsia="宋体"/>
                <w:sz w:val="21"/>
                <w:szCs w:val="21"/>
                <w:vertAlign w:val="superscript"/>
              </w:rPr>
              <w:t>c</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涉水污染的，说明废水排放口、雨水排放口、清净下水排放口等可能外排渠道监测的一般原则</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按照《突发环境事件应急监测技术规范》等有关要求，确定可能外排渠道监测的一般原则，为针对具体事件情景制定监测方案提供指导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2"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25</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监测方案一般应明确监测项目、采样（监测）人员、监测设备、监测频次等</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针对具体事件情景制定监测方案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26</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明确监测执行单位；自身没有监测能力的，说明协议监测方案，并附协议</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0</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自身没有监测能力的，应与当地环境监测机构或其他机构衔接，确保能够迅速获得环境检测支持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应对流程和措施</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27</w:t>
            </w:r>
            <w:r>
              <w:rPr>
                <w:rFonts w:hint="eastAsia" w:ascii="宋体" w:hAnsi="宋体" w:eastAsia="宋体"/>
                <w:sz w:val="21"/>
                <w:szCs w:val="21"/>
                <w:vertAlign w:val="superscript"/>
              </w:rPr>
              <w:t>b</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根据环境风险评估报告中的风险分析和情景构建内容，说明应对流程和措施，体现：企业内部控制污染源</w:t>
            </w:r>
            <w:r>
              <w:rPr>
                <w:rFonts w:ascii="宋体" w:hAnsi="宋体" w:eastAsia="宋体"/>
                <w:sz w:val="21"/>
                <w:szCs w:val="21"/>
              </w:rPr>
              <w:t>-</w:t>
            </w:r>
            <w:r>
              <w:rPr>
                <w:rFonts w:hint="eastAsia" w:ascii="宋体" w:hAnsi="宋体" w:eastAsia="宋体"/>
                <w:sz w:val="21"/>
                <w:szCs w:val="21"/>
              </w:rPr>
              <w:t>研判污染范围</w:t>
            </w:r>
            <w:r>
              <w:rPr>
                <w:rFonts w:ascii="宋体" w:hAnsi="宋体" w:eastAsia="宋体"/>
                <w:sz w:val="21"/>
                <w:szCs w:val="21"/>
              </w:rPr>
              <w:t>-</w:t>
            </w:r>
            <w:r>
              <w:rPr>
                <w:rFonts w:hint="eastAsia" w:ascii="宋体" w:hAnsi="宋体" w:eastAsia="宋体"/>
                <w:sz w:val="21"/>
                <w:szCs w:val="21"/>
              </w:rPr>
              <w:t>控制污染扩散</w:t>
            </w:r>
            <w:r>
              <w:rPr>
                <w:rFonts w:ascii="宋体" w:hAnsi="宋体" w:eastAsia="宋体"/>
                <w:sz w:val="21"/>
                <w:szCs w:val="21"/>
              </w:rPr>
              <w:t>-</w:t>
            </w:r>
            <w:r>
              <w:rPr>
                <w:rFonts w:hint="eastAsia" w:ascii="宋体" w:hAnsi="宋体" w:eastAsia="宋体"/>
                <w:sz w:val="21"/>
                <w:szCs w:val="21"/>
              </w:rPr>
              <w:t>污染处置应对流程和措施</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3</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企业内部应对突发环境事件的原则性措施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134"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28</w:t>
            </w:r>
            <w:r>
              <w:rPr>
                <w:rFonts w:hint="eastAsia" w:ascii="宋体" w:hAnsi="宋体" w:eastAsia="宋体"/>
                <w:sz w:val="21"/>
                <w:szCs w:val="21"/>
                <w:vertAlign w:val="superscript"/>
              </w:rPr>
              <w:t>b</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体现必要的企业外部应急措施、配合当地人民政府的响应措施及对当地人民政府应急措施的建议</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1.5</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突发环境事件可能或已经对企业外部环境产生影响时，企业在外部可以采取的原则性措施、对当地人民政府的建议性措施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71"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29</w:t>
            </w:r>
            <w:r>
              <w:rPr>
                <w:rFonts w:hint="eastAsia" w:ascii="宋体" w:hAnsi="宋体" w:eastAsia="宋体"/>
                <w:sz w:val="21"/>
                <w:szCs w:val="21"/>
                <w:vertAlign w:val="superscript"/>
              </w:rPr>
              <w:t>c</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涉及大气污染的，应重点说明受威胁范围、组织公众避险的方式方法，涉及疏散的一般应辅以疏散路线图；如果装备风向标，应配有风向标分布图</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避险的方式包括疏散、防护等，说明避险措施的原则性安排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21"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30</w:t>
            </w:r>
            <w:r>
              <w:rPr>
                <w:rFonts w:hint="eastAsia" w:ascii="宋体" w:hAnsi="宋体" w:eastAsia="宋体"/>
                <w:sz w:val="21"/>
                <w:szCs w:val="21"/>
                <w:vertAlign w:val="superscript"/>
              </w:rPr>
              <w:t>c</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涉及水污染的，应重点说明企业内收集、封堵、处置污染物的方式方法，适当延伸至企业外防控方式方法；配有废水、雨水、清净下水管网及重要阀门设置图</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说明控制水污染的原则性安排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60"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31</w:t>
            </w:r>
            <w:r>
              <w:rPr>
                <w:rFonts w:hint="eastAsia" w:ascii="宋体" w:hAnsi="宋体" w:eastAsia="宋体"/>
                <w:sz w:val="21"/>
                <w:szCs w:val="21"/>
                <w:vertAlign w:val="superscript"/>
              </w:rPr>
              <w:t>b</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分别说明可能的事件情景及应急处置方案，明确相关岗位人员采取措施的时间、地点、内容、方式、目标等</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1.5</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按照以上原则性措施，针对具体事件情景，按岗位细化各项应对措施，并纳入岗位职责范围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21"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32</w:t>
            </w:r>
            <w:r>
              <w:rPr>
                <w:rFonts w:hint="eastAsia" w:ascii="宋体" w:hAnsi="宋体" w:eastAsia="宋体"/>
                <w:sz w:val="21"/>
                <w:szCs w:val="21"/>
                <w:vertAlign w:val="superscript"/>
              </w:rPr>
              <w:t>b</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将应急措施细化、落实到岗位，形成应急处置卡</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1.5</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关键岗位的应急处置卡无遗漏，事件情景特征、处理步骤、应急物资、注意事项等叙述清晰</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37"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33</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配有厂区平面布置图，应急物资表</w:t>
            </w:r>
            <w:r>
              <w:rPr>
                <w:rFonts w:ascii="宋体" w:hAnsi="宋体" w:eastAsia="宋体"/>
                <w:sz w:val="21"/>
                <w:szCs w:val="21"/>
              </w:rPr>
              <w:t>/</w:t>
            </w:r>
            <w:r>
              <w:rPr>
                <w:rFonts w:hint="eastAsia" w:ascii="宋体" w:hAnsi="宋体" w:eastAsia="宋体"/>
                <w:sz w:val="21"/>
                <w:szCs w:val="21"/>
              </w:rPr>
              <w:t>分布图</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90"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应急终止</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34</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结合本单位实际，说明应急终止的条件和发布程序</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default"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列明应急终止的基本条件，明确应急终止的决策、指令内容及传递程序等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5"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事后恢复</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35</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说明事后恢复的工作内容和责任人，一般包括：现场污染物的后续处理；环境应急相关设施、设备、场所的维护；配合开展环境损害评估、赔偿、事件调查处理等</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《突发事件应急预案管理办法》强调应急预案重在“应对”，适当向后延伸至“恢复”，即企业从突发环境事件应对的“非常规状态”过渡到“常规状态”的相关工作安排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75"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保障措施</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36</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说明环境应急预案涉及的人力资源、财力、物资以及其他技术、重要设施的保障</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对各类保障措施进行总体安排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16"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预案管理</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37</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安排有关环境应急预案的培训和演练</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对预案培训、演练进行总体安排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30"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38</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明确环境应急预案的评估修订要求</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对预案评估修订进行总体安排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25" w:hRule="atLeast"/>
          <w:jc w:val="center"/>
        </w:trPr>
        <w:tc>
          <w:tcPr>
            <w:tcW w:w="13781" w:type="dxa"/>
            <w:gridSpan w:val="8"/>
            <w:noWrap w:val="0"/>
            <w:vAlign w:val="center"/>
          </w:tcPr>
          <w:p>
            <w:pPr>
              <w:adjustRightInd w:val="0"/>
              <w:snapToGrid w:val="0"/>
              <w:jc w:val="center"/>
              <w:rPr>
                <w:rFonts w:ascii="黑体" w:hAnsi="黑体" w:eastAsia="黑体"/>
                <w:sz w:val="21"/>
                <w:szCs w:val="21"/>
              </w:rPr>
            </w:pPr>
            <w:r>
              <w:rPr>
                <w:rFonts w:hint="eastAsia" w:ascii="黑体" w:hAnsi="黑体" w:eastAsia="黑体"/>
                <w:sz w:val="21"/>
                <w:szCs w:val="21"/>
              </w:rPr>
              <w:t>环境风险评估报告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237" w:hRule="atLeast"/>
          <w:jc w:val="center"/>
        </w:trPr>
        <w:tc>
          <w:tcPr>
            <w:tcW w:w="1134" w:type="dxa"/>
            <w:vMerge w:val="restart"/>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风险分析</w:t>
            </w:r>
            <w:r>
              <w:rPr>
                <w:rFonts w:hint="eastAsia" w:ascii="宋体" w:hAnsi="宋体" w:eastAsia="宋体"/>
                <w:sz w:val="21"/>
                <w:szCs w:val="21"/>
                <w:vertAlign w:val="superscript"/>
              </w:rPr>
              <w:t>c</w:t>
            </w: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39</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识别出所有重要的环境风险物质；列表，至少列出重要环境风险物质的名称、数量（最大存在总量）、位置</w:t>
            </w:r>
            <w:r>
              <w:rPr>
                <w:rFonts w:ascii="宋体" w:hAnsi="宋体" w:eastAsia="宋体"/>
                <w:sz w:val="21"/>
                <w:szCs w:val="21"/>
              </w:rPr>
              <w:t>/</w:t>
            </w:r>
            <w:r>
              <w:rPr>
                <w:rFonts w:hint="eastAsia" w:ascii="宋体" w:hAnsi="宋体" w:eastAsia="宋体"/>
                <w:sz w:val="21"/>
                <w:szCs w:val="21"/>
              </w:rPr>
              <w:t>所在装置；环境风险物质数量大于临界量的，辨识重要环境风险单元</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对照企业突发环境事件风险评估相关文件，识别出所有重要的物质；对于数量大于临界量的，应辨识环境风险物质在企业哪些环境风险单元集中分布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72"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40</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重点核对生产工艺、环境风险防控措施各项指标的赋值是否合理</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按照企业突发环境事件风险评估相关文件的赋分规则审查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818" w:hRule="atLeast"/>
          <w:jc w:val="center"/>
        </w:trPr>
        <w:tc>
          <w:tcPr>
            <w:tcW w:w="1134" w:type="dxa"/>
            <w:vMerge w:val="continue"/>
            <w:noWrap w:val="0"/>
            <w:vAlign w:val="center"/>
          </w:tcPr>
          <w:p/>
        </w:tc>
        <w:tc>
          <w:tcPr>
            <w:tcW w:w="426"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41</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环境风险受体类型的确定是否合理</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按照企业突发环境事件风险评估相关文件的受体划分依据审查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93" w:hRule="atLeast"/>
          <w:jc w:val="center"/>
        </w:trPr>
        <w:tc>
          <w:tcPr>
            <w:tcW w:w="1134" w:type="dxa"/>
            <w:vMerge w:val="continue"/>
            <w:noWrap w:val="0"/>
            <w:vAlign w:val="center"/>
          </w:tcPr>
          <w:p/>
        </w:tc>
        <w:tc>
          <w:tcPr>
            <w:tcW w:w="426"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42</w:t>
            </w:r>
          </w:p>
        </w:tc>
        <w:tc>
          <w:tcPr>
            <w:tcW w:w="4819"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环境风险等级划分是否正确</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按照企业突发环境事件风险评估相关文件审查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378" w:hRule="atLeast"/>
          <w:jc w:val="center"/>
        </w:trPr>
        <w:tc>
          <w:tcPr>
            <w:tcW w:w="1134" w:type="dxa"/>
            <w:vMerge w:val="restart"/>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情景构建</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43</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列明国内外同类企业的突发环境事件信息，提出本企业可能发生的突发环境事件情景</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列表说明事件的日期、地点、引发原因、事件影响等内容，按照企业突发环境事件风险评估相关文件，结合企业实际列出事件情景</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532"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44</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源强分析，重点分析释放环境风险物质的种类、释放速率、持续时间</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jc w:val="left"/>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针对每种典型事件情景进行源强分析，至少包括释放环境风险物质的种类、释放速率、持续时间三个要素，可以参考《建设项目环境风险评价技术导则》</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89"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45</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释放途径分析，重点分析环境风险物质从释放源头到受体之间的过程</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jc w:val="left"/>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对于可能造成水污染的，分析环境风险物质从释放源头，经厂界内到厂界外，最终影响到环境风险受体的可能的路径；对于可能造成大气污染的，分析从泄漏源头释放至风险受体的路径</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98" w:hRule="atLeast"/>
          <w:jc w:val="center"/>
        </w:trPr>
        <w:tc>
          <w:tcPr>
            <w:tcW w:w="1134" w:type="dxa"/>
            <w:vMerge w:val="continue"/>
            <w:noWrap w:val="0"/>
            <w:vAlign w:val="center"/>
          </w:tcPr>
          <w:p>
            <w:pPr>
              <w:adjustRightInd w:val="0"/>
              <w:snapToGrid w:val="0"/>
              <w:jc w:val="center"/>
              <w:rPr>
                <w:rFonts w:ascii="宋体" w:hAnsi="宋体" w:eastAsia="宋体"/>
                <w:sz w:val="21"/>
                <w:szCs w:val="21"/>
              </w:rPr>
            </w:pP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46</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危害后果分析，重点分析环境风险物质的影响范围和程度</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针对每种情景的重点环境风险物质，计算浓度分布情况，说明影响范围和程度</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1134" w:type="dxa"/>
            <w:vMerge w:val="continue"/>
            <w:noWrap w:val="0"/>
            <w:vAlign w:val="center"/>
          </w:tcPr>
          <w:p>
            <w:pPr>
              <w:keepNext/>
              <w:keepLines/>
              <w:adjustRightInd w:val="0"/>
              <w:snapToGrid w:val="0"/>
              <w:jc w:val="center"/>
              <w:rPr>
                <w:rFonts w:ascii="宋体" w:hAnsi="宋体" w:eastAsia="宋体"/>
                <w:sz w:val="21"/>
                <w:szCs w:val="21"/>
              </w:rPr>
            </w:pP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47</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明确在最坏情景下，大气环境风险物质影响最远距离内的人口数量及位置等，水环境敏感受体的数量及位置等信息，并附有相关示意图</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jc w:val="left"/>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不符合</w:t>
            </w:r>
          </w:p>
        </w:tc>
        <w:tc>
          <w:tcPr>
            <w:tcW w:w="607" w:type="dxa"/>
            <w:gridSpan w:val="2"/>
            <w:noWrap w:val="0"/>
            <w:vAlign w:val="top"/>
          </w:tcPr>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adjustRightInd w:val="0"/>
              <w:snapToGrid w:val="0"/>
              <w:rPr>
                <w:rFonts w:ascii="宋体" w:hAnsi="宋体" w:eastAsia="宋体"/>
                <w:sz w:val="21"/>
                <w:szCs w:val="21"/>
              </w:rPr>
            </w:pPr>
          </w:p>
        </w:tc>
        <w:tc>
          <w:tcPr>
            <w:tcW w:w="4850"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针对最坏情景的计算结果，列出受影响的大气和水环境保护目标，附图示说明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433"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完善计划</w:t>
            </w:r>
          </w:p>
        </w:tc>
        <w:tc>
          <w:tcPr>
            <w:tcW w:w="426" w:type="dxa"/>
            <w:noWrap w:val="0"/>
            <w:vAlign w:val="center"/>
          </w:tcPr>
          <w:p>
            <w:pPr>
              <w:pStyle w:val="96"/>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48</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分析现有环境风险防控与应急措施所存在的差距，制定环境风险防控整改完善计划</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A3"/>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top"/>
          </w:tcPr>
          <w:p>
            <w:pPr>
              <w:keepNext/>
              <w:keepLines/>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1</w:t>
            </w:r>
          </w:p>
        </w:tc>
        <w:tc>
          <w:tcPr>
            <w:tcW w:w="669" w:type="dxa"/>
            <w:noWrap w:val="0"/>
            <w:vAlign w:val="top"/>
          </w:tcPr>
          <w:p>
            <w:pPr>
              <w:keepNext/>
              <w:keepLines/>
              <w:adjustRightInd w:val="0"/>
              <w:snapToGrid w:val="0"/>
              <w:rPr>
                <w:rFonts w:ascii="宋体" w:hAnsi="宋体" w:eastAsia="宋体"/>
                <w:sz w:val="21"/>
                <w:szCs w:val="21"/>
              </w:rPr>
            </w:pPr>
          </w:p>
        </w:tc>
        <w:tc>
          <w:tcPr>
            <w:tcW w:w="4850" w:type="dxa"/>
            <w:noWrap w:val="0"/>
            <w:vAlign w:val="center"/>
          </w:tcPr>
          <w:p>
            <w:pPr>
              <w:keepNext/>
              <w:keepLines/>
              <w:adjustRightInd w:val="0"/>
              <w:snapToGrid w:val="0"/>
              <w:rPr>
                <w:rFonts w:ascii="宋体" w:hAnsi="宋体" w:eastAsia="宋体"/>
                <w:sz w:val="21"/>
                <w:szCs w:val="21"/>
              </w:rPr>
            </w:pPr>
            <w:r>
              <w:rPr>
                <w:rFonts w:hint="eastAsia" w:ascii="宋体" w:hAnsi="宋体" w:eastAsia="宋体"/>
                <w:sz w:val="21"/>
                <w:szCs w:val="21"/>
              </w:rPr>
              <w:t>对现有环境风险防控与应急措施的完备性、可靠性和有效性进行分析论证，找出差距、问题。针对需要整改的短期、中期和长期项目，分别制定完善环境风险防控和应急措施的实施计划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567" w:hRule="atLeast"/>
          <w:jc w:val="center"/>
        </w:trPr>
        <w:tc>
          <w:tcPr>
            <w:tcW w:w="13781" w:type="dxa"/>
            <w:gridSpan w:val="8"/>
            <w:noWrap w:val="0"/>
            <w:vAlign w:val="center"/>
          </w:tcPr>
          <w:p>
            <w:pPr>
              <w:adjustRightInd w:val="0"/>
              <w:snapToGrid w:val="0"/>
              <w:jc w:val="center"/>
              <w:rPr>
                <w:rFonts w:ascii="黑体" w:hAnsi="黑体" w:eastAsia="黑体"/>
                <w:sz w:val="21"/>
                <w:szCs w:val="21"/>
              </w:rPr>
            </w:pPr>
            <w:r>
              <w:rPr>
                <w:rFonts w:hint="eastAsia" w:ascii="黑体" w:hAnsi="黑体" w:eastAsia="黑体"/>
                <w:sz w:val="21"/>
                <w:szCs w:val="21"/>
              </w:rPr>
              <w:t>环境应急资源调查报告（表）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713"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调查内容</w:t>
            </w:r>
          </w:p>
        </w:tc>
        <w:tc>
          <w:tcPr>
            <w:tcW w:w="426" w:type="dxa"/>
            <w:noWrap w:val="0"/>
            <w:vAlign w:val="center"/>
          </w:tcPr>
          <w:p>
            <w:pPr>
              <w:pStyle w:val="96"/>
              <w:keepNext/>
              <w:keepLines/>
              <w:tabs>
                <w:tab w:val="left" w:pos="0"/>
              </w:tab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49</w:t>
            </w:r>
          </w:p>
        </w:tc>
        <w:tc>
          <w:tcPr>
            <w:tcW w:w="4819" w:type="dxa"/>
            <w:noWrap w:val="0"/>
            <w:vAlign w:val="center"/>
          </w:tcPr>
          <w:p>
            <w:pPr>
              <w:adjustRightInd w:val="0"/>
              <w:snapToGrid w:val="0"/>
              <w:jc w:val="left"/>
              <w:rPr>
                <w:rFonts w:ascii="宋体" w:hAnsi="宋体" w:eastAsia="宋体"/>
                <w:spacing w:val="-2"/>
                <w:sz w:val="21"/>
                <w:szCs w:val="21"/>
              </w:rPr>
            </w:pPr>
            <w:r>
              <w:rPr>
                <w:rFonts w:hint="eastAsia" w:ascii="宋体" w:hAnsi="宋体" w:eastAsia="宋体"/>
                <w:spacing w:val="-2"/>
                <w:sz w:val="21"/>
                <w:szCs w:val="21"/>
              </w:rPr>
              <w:t>第一时间可调用的环境应急队伍、装备、物资、场所</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center"/>
          </w:tcPr>
          <w:p>
            <w:pPr>
              <w:keepNext/>
              <w:keepLines/>
              <w:adjustRightInd w:val="0"/>
              <w:snapToGrid w:val="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center"/>
          </w:tcPr>
          <w:p>
            <w:pPr>
              <w:keepNext/>
              <w:keepLines/>
              <w:adjustRightInd w:val="0"/>
              <w:snapToGrid w:val="0"/>
              <w:jc w:val="center"/>
              <w:rPr>
                <w:rFonts w:ascii="宋体" w:hAnsi="宋体" w:eastAsia="宋体"/>
                <w:sz w:val="21"/>
                <w:szCs w:val="21"/>
              </w:rPr>
            </w:pPr>
          </w:p>
        </w:tc>
        <w:tc>
          <w:tcPr>
            <w:tcW w:w="4850" w:type="dxa"/>
            <w:noWrap w:val="0"/>
            <w:vAlign w:val="center"/>
          </w:tcPr>
          <w:p>
            <w:pPr>
              <w:keepNext/>
              <w:keepLines/>
              <w:adjustRightInd w:val="0"/>
              <w:snapToGrid w:val="0"/>
              <w:jc w:val="left"/>
              <w:rPr>
                <w:rFonts w:ascii="宋体" w:hAnsi="宋体" w:eastAsia="宋体"/>
                <w:sz w:val="21"/>
                <w:szCs w:val="21"/>
              </w:rPr>
            </w:pPr>
            <w:r>
              <w:rPr>
                <w:rFonts w:hint="eastAsia" w:ascii="宋体" w:hAnsi="宋体" w:eastAsia="宋体"/>
                <w:sz w:val="21"/>
                <w:szCs w:val="21"/>
              </w:rPr>
              <w:t>重点调查可以直接使用的环境应急资源，包括：专职和兼职应急队伍；自储、代储、协议储备的环境应急装备；自储、代储、协议储备环境应急物资；应急处置场所、应急物资或装备存放场所、应急指挥场所。预案中的应急措施使用的环境应急资源与现有资源一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42" w:hRule="atLeast"/>
          <w:jc w:val="center"/>
        </w:trPr>
        <w:tc>
          <w:tcPr>
            <w:tcW w:w="1134" w:type="dxa"/>
            <w:noWrap w:val="0"/>
            <w:vAlign w:val="center"/>
          </w:tcPr>
          <w:p>
            <w:pPr>
              <w:adjustRightInd w:val="0"/>
              <w:snapToGrid w:val="0"/>
              <w:jc w:val="center"/>
              <w:rPr>
                <w:rFonts w:ascii="宋体" w:hAnsi="宋体" w:eastAsia="宋体"/>
                <w:sz w:val="21"/>
                <w:szCs w:val="21"/>
              </w:rPr>
            </w:pPr>
            <w:r>
              <w:rPr>
                <w:rFonts w:hint="eastAsia" w:ascii="宋体" w:hAnsi="宋体" w:eastAsia="宋体"/>
                <w:sz w:val="21"/>
                <w:szCs w:val="21"/>
              </w:rPr>
              <w:t>调查结果</w:t>
            </w:r>
          </w:p>
        </w:tc>
        <w:tc>
          <w:tcPr>
            <w:tcW w:w="426" w:type="dxa"/>
            <w:noWrap w:val="0"/>
            <w:vAlign w:val="center"/>
          </w:tcPr>
          <w:p>
            <w:pPr>
              <w:pStyle w:val="96"/>
              <w:keepNext/>
              <w:keepLines/>
              <w:adjustRightInd w:val="0"/>
              <w:snapToGrid w:val="0"/>
              <w:ind w:firstLine="0" w:firstLineChars="0"/>
              <w:jc w:val="center"/>
              <w:rPr>
                <w:rFonts w:ascii="宋体" w:hAnsi="宋体" w:eastAsia="宋体"/>
                <w:sz w:val="21"/>
                <w:szCs w:val="21"/>
              </w:rPr>
            </w:pPr>
            <w:r>
              <w:rPr>
                <w:rFonts w:hint="eastAsia" w:ascii="宋体" w:hAnsi="宋体" w:eastAsia="宋体"/>
                <w:sz w:val="21"/>
                <w:szCs w:val="21"/>
              </w:rPr>
              <w:t>50</w:t>
            </w:r>
          </w:p>
        </w:tc>
        <w:tc>
          <w:tcPr>
            <w:tcW w:w="4819"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针对环境应急资源清单，抽查数据的可信性</w:t>
            </w:r>
          </w:p>
        </w:tc>
        <w:tc>
          <w:tcPr>
            <w:tcW w:w="127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sym w:font="Wingdings 2" w:char="0052"/>
            </w:r>
            <w:r>
              <w:rPr>
                <w:rFonts w:hint="eastAsia" w:ascii="宋体" w:hAnsi="宋体" w:eastAsia="宋体"/>
                <w:sz w:val="21"/>
                <w:szCs w:val="21"/>
              </w:rPr>
              <w:t>符合</w:t>
            </w:r>
            <w:r>
              <w:rPr>
                <w:rFonts w:ascii="宋体" w:hAnsi="宋体" w:eastAsia="宋体"/>
                <w:sz w:val="21"/>
                <w:szCs w:val="21"/>
              </w:rPr>
              <w:t xml:space="preserve"> </w:t>
            </w:r>
          </w:p>
          <w:p>
            <w:pPr>
              <w:adjustRightInd w:val="0"/>
              <w:snapToGrid w:val="0"/>
              <w:rPr>
                <w:rFonts w:ascii="宋体" w:hAnsi="宋体" w:eastAsia="宋体"/>
                <w:sz w:val="21"/>
                <w:szCs w:val="21"/>
              </w:rPr>
            </w:pPr>
            <w:r>
              <w:rPr>
                <w:rFonts w:hint="eastAsia" w:ascii="宋体" w:hAnsi="宋体" w:eastAsia="宋体"/>
                <w:sz w:val="21"/>
                <w:szCs w:val="21"/>
              </w:rPr>
              <w:t>□部分符合</w:t>
            </w:r>
          </w:p>
          <w:p>
            <w:pPr>
              <w:adjustRightInd w:val="0"/>
              <w:snapToGrid w:val="0"/>
              <w:jc w:val="left"/>
              <w:rPr>
                <w:rFonts w:ascii="宋体" w:hAnsi="宋体" w:eastAsia="宋体"/>
                <w:sz w:val="21"/>
                <w:szCs w:val="21"/>
              </w:rPr>
            </w:pPr>
            <w:r>
              <w:rPr>
                <w:rFonts w:hint="eastAsia" w:ascii="宋体" w:hAnsi="宋体" w:eastAsia="宋体"/>
                <w:sz w:val="21"/>
                <w:szCs w:val="21"/>
              </w:rPr>
              <w:t>□不符合</w:t>
            </w:r>
          </w:p>
        </w:tc>
        <w:tc>
          <w:tcPr>
            <w:tcW w:w="607" w:type="dxa"/>
            <w:gridSpan w:val="2"/>
            <w:noWrap w:val="0"/>
            <w:vAlign w:val="center"/>
          </w:tcPr>
          <w:p>
            <w:pPr>
              <w:adjustRightInd w:val="0"/>
              <w:snapToGrid w:val="0"/>
              <w:jc w:val="center"/>
              <w:rPr>
                <w:rFonts w:hint="eastAsia" w:ascii="宋体" w:hAnsi="宋体" w:eastAsia="宋体"/>
                <w:sz w:val="21"/>
                <w:szCs w:val="21"/>
                <w:lang w:val="en-US" w:eastAsia="zh-CN"/>
              </w:rPr>
            </w:pPr>
            <w:r>
              <w:rPr>
                <w:rFonts w:hint="eastAsia" w:ascii="宋体" w:hAnsi="宋体" w:eastAsia="宋体"/>
                <w:sz w:val="21"/>
                <w:szCs w:val="21"/>
                <w:lang w:val="en-US" w:eastAsia="zh-CN"/>
              </w:rPr>
              <w:t>2</w:t>
            </w:r>
          </w:p>
        </w:tc>
        <w:tc>
          <w:tcPr>
            <w:tcW w:w="669" w:type="dxa"/>
            <w:noWrap w:val="0"/>
            <w:vAlign w:val="center"/>
          </w:tcPr>
          <w:p>
            <w:pPr>
              <w:adjustRightInd w:val="0"/>
              <w:snapToGrid w:val="0"/>
              <w:jc w:val="center"/>
              <w:rPr>
                <w:rFonts w:ascii="宋体" w:hAnsi="宋体" w:eastAsia="宋体"/>
                <w:sz w:val="21"/>
                <w:szCs w:val="21"/>
              </w:rPr>
            </w:pPr>
          </w:p>
        </w:tc>
        <w:tc>
          <w:tcPr>
            <w:tcW w:w="4850" w:type="dxa"/>
            <w:noWrap w:val="0"/>
            <w:vAlign w:val="center"/>
          </w:tcPr>
          <w:p>
            <w:pPr>
              <w:adjustRightInd w:val="0"/>
              <w:snapToGrid w:val="0"/>
              <w:jc w:val="left"/>
              <w:rPr>
                <w:rFonts w:ascii="宋体" w:hAnsi="宋体" w:eastAsia="宋体"/>
                <w:sz w:val="21"/>
                <w:szCs w:val="21"/>
              </w:rPr>
            </w:pPr>
            <w:r>
              <w:rPr>
                <w:rFonts w:hint="eastAsia" w:ascii="宋体" w:hAnsi="宋体" w:eastAsia="宋体"/>
                <w:sz w:val="21"/>
                <w:szCs w:val="21"/>
              </w:rPr>
              <w:t>通过逻辑分析、现场抽查等方式对调查数据进行查验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674" w:hRule="atLeast"/>
          <w:jc w:val="center"/>
        </w:trPr>
        <w:tc>
          <w:tcPr>
            <w:tcW w:w="7655" w:type="dxa"/>
            <w:gridSpan w:val="4"/>
            <w:noWrap w:val="0"/>
            <w:vAlign w:val="center"/>
          </w:tcPr>
          <w:p>
            <w:pPr>
              <w:adjustRightInd w:val="0"/>
              <w:snapToGrid w:val="0"/>
              <w:jc w:val="center"/>
              <w:rPr>
                <w:rFonts w:ascii="宋体" w:hAnsi="宋体" w:eastAsia="宋体"/>
                <w:b/>
                <w:sz w:val="21"/>
                <w:szCs w:val="21"/>
              </w:rPr>
            </w:pPr>
            <w:r>
              <w:rPr>
                <w:rFonts w:hint="eastAsia" w:ascii="宋体" w:hAnsi="宋体" w:eastAsia="宋体"/>
                <w:b/>
                <w:sz w:val="21"/>
                <w:szCs w:val="21"/>
              </w:rPr>
              <w:t>合  计</w:t>
            </w:r>
          </w:p>
        </w:tc>
        <w:tc>
          <w:tcPr>
            <w:tcW w:w="607" w:type="dxa"/>
            <w:gridSpan w:val="2"/>
            <w:noWrap w:val="0"/>
            <w:vAlign w:val="center"/>
          </w:tcPr>
          <w:p>
            <w:pPr>
              <w:adjustRightInd w:val="0"/>
              <w:snapToGrid w:val="0"/>
              <w:jc w:val="center"/>
              <w:rPr>
                <w:rFonts w:hint="default" w:ascii="宋体" w:hAnsi="宋体" w:eastAsia="宋体"/>
                <w:b/>
                <w:sz w:val="21"/>
                <w:szCs w:val="21"/>
                <w:lang w:val="en-US" w:eastAsia="zh-CN"/>
              </w:rPr>
            </w:pPr>
            <w:r>
              <w:rPr>
                <w:rFonts w:hint="eastAsia" w:ascii="宋体" w:hAnsi="宋体" w:eastAsia="宋体"/>
                <w:b/>
                <w:sz w:val="21"/>
                <w:szCs w:val="21"/>
                <w:lang w:val="en-US" w:eastAsia="zh-CN"/>
              </w:rPr>
              <w:t>83.5</w:t>
            </w:r>
          </w:p>
        </w:tc>
        <w:tc>
          <w:tcPr>
            <w:tcW w:w="669" w:type="dxa"/>
            <w:noWrap w:val="0"/>
            <w:vAlign w:val="center"/>
          </w:tcPr>
          <w:p>
            <w:pPr>
              <w:adjustRightInd w:val="0"/>
              <w:snapToGrid w:val="0"/>
              <w:jc w:val="center"/>
              <w:rPr>
                <w:rFonts w:ascii="宋体" w:hAnsi="宋体" w:eastAsia="宋体"/>
                <w:b/>
                <w:sz w:val="21"/>
                <w:szCs w:val="21"/>
              </w:rPr>
            </w:pPr>
            <w:r>
              <w:rPr>
                <w:rFonts w:hint="eastAsia" w:ascii="宋体" w:hAnsi="宋体" w:eastAsia="宋体"/>
                <w:b/>
                <w:sz w:val="21"/>
                <w:szCs w:val="21"/>
              </w:rPr>
              <w:t>-</w:t>
            </w:r>
          </w:p>
        </w:tc>
        <w:tc>
          <w:tcPr>
            <w:tcW w:w="4850" w:type="dxa"/>
            <w:noWrap w:val="0"/>
            <w:vAlign w:val="center"/>
          </w:tcPr>
          <w:p>
            <w:pPr>
              <w:adjustRightInd w:val="0"/>
              <w:snapToGrid w:val="0"/>
              <w:jc w:val="center"/>
              <w:rPr>
                <w:rFonts w:ascii="宋体" w:hAnsi="宋体" w:eastAsia="宋体"/>
                <w:b/>
                <w:sz w:val="21"/>
                <w:szCs w:val="21"/>
              </w:rPr>
            </w:pPr>
            <w:r>
              <w:rPr>
                <w:rFonts w:hint="eastAsia" w:ascii="宋体" w:hAnsi="宋体" w:eastAsia="宋体"/>
                <w:b/>
                <w:sz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57" w:type="dxa"/>
            <w:bottom w:w="0" w:type="dxa"/>
            <w:right w:w="57" w:type="dxa"/>
          </w:tblCellMar>
        </w:tblPrEx>
        <w:trPr>
          <w:trHeight w:val="1042" w:hRule="atLeast"/>
          <w:jc w:val="center"/>
        </w:trPr>
        <w:tc>
          <w:tcPr>
            <w:tcW w:w="13781" w:type="dxa"/>
            <w:gridSpan w:val="8"/>
            <w:noWrap w:val="0"/>
            <w:vAlign w:val="center"/>
          </w:tcPr>
          <w:p>
            <w:pPr>
              <w:keepNext/>
              <w:keepLines/>
              <w:adjustRightInd w:val="0"/>
              <w:snapToGrid w:val="0"/>
              <w:rPr>
                <w:rFonts w:hint="eastAsia" w:ascii="宋体" w:hAnsi="宋体" w:eastAsia="宋体"/>
                <w:sz w:val="21"/>
                <w:szCs w:val="21"/>
                <w:lang w:val="en-US" w:eastAsia="zh-CN"/>
              </w:rPr>
            </w:pPr>
            <w:r>
              <w:rPr>
                <w:rFonts w:hint="eastAsia" w:ascii="Times New Roman" w:hAnsi="Times New Roman" w:eastAsia="仿宋_GB2312" w:cs="Times New Roman"/>
                <w:bCs/>
                <w:color w:val="000000"/>
                <w:kern w:val="2"/>
                <w:sz w:val="24"/>
                <w:szCs w:val="24"/>
                <w:lang w:val="en-US" w:eastAsia="zh-CN" w:bidi="ar-SA"/>
              </w:rPr>
              <w:drawing>
                <wp:anchor distT="0" distB="0" distL="114300" distR="114300" simplePos="0" relativeHeight="251659264" behindDoc="0" locked="0" layoutInCell="1" allowOverlap="1">
                  <wp:simplePos x="0" y="0"/>
                  <wp:positionH relativeFrom="column">
                    <wp:posOffset>1307465</wp:posOffset>
                  </wp:positionH>
                  <wp:positionV relativeFrom="paragraph">
                    <wp:posOffset>97155</wp:posOffset>
                  </wp:positionV>
                  <wp:extent cx="880110" cy="370840"/>
                  <wp:effectExtent l="0" t="0" r="15240" b="10160"/>
                  <wp:wrapNone/>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32"/>
                          <a:srcRect b="19279"/>
                          <a:stretch>
                            <a:fillRect/>
                          </a:stretch>
                        </pic:blipFill>
                        <pic:spPr>
                          <a:xfrm>
                            <a:off x="0" y="0"/>
                            <a:ext cx="880110" cy="370840"/>
                          </a:xfrm>
                          <a:prstGeom prst="rect">
                            <a:avLst/>
                          </a:prstGeom>
                          <a:noFill/>
                          <a:ln>
                            <a:noFill/>
                          </a:ln>
                        </pic:spPr>
                      </pic:pic>
                    </a:graphicData>
                  </a:graphic>
                </wp:anchor>
              </w:drawing>
            </w:r>
            <w:r>
              <w:rPr>
                <w:rFonts w:hint="eastAsia" w:ascii="宋体" w:hAnsi="宋体" w:eastAsia="宋体"/>
                <w:sz w:val="21"/>
                <w:szCs w:val="21"/>
              </w:rPr>
              <w:t>评审人员（签字）：</w:t>
            </w:r>
          </w:p>
          <w:p>
            <w:pPr>
              <w:keepNext/>
              <w:keepLines/>
              <w:adjustRightInd w:val="0"/>
              <w:snapToGrid w:val="0"/>
              <w:rPr>
                <w:rFonts w:ascii="宋体" w:hAnsi="宋体" w:eastAsia="宋体"/>
                <w:sz w:val="21"/>
                <w:szCs w:val="21"/>
              </w:rPr>
            </w:pPr>
            <w:r>
              <w:rPr>
                <w:rFonts w:hint="eastAsia" w:ascii="宋体" w:hAnsi="宋体" w:eastAsia="宋体"/>
                <w:sz w:val="21"/>
                <w:szCs w:val="21"/>
              </w:rPr>
              <w:t xml:space="preserve">                                                                                         评审日期：</w:t>
            </w:r>
            <w:r>
              <w:rPr>
                <w:rFonts w:hint="eastAsia" w:ascii="宋体" w:hAnsi="宋体" w:eastAsia="宋体"/>
                <w:sz w:val="21"/>
                <w:szCs w:val="21"/>
                <w:lang w:val="en-US" w:eastAsia="zh-CN"/>
              </w:rPr>
              <w:t>2020</w:t>
            </w:r>
            <w:r>
              <w:rPr>
                <w:rFonts w:hint="eastAsia" w:ascii="宋体" w:hAnsi="宋体" w:eastAsia="宋体"/>
                <w:sz w:val="21"/>
                <w:szCs w:val="21"/>
              </w:rPr>
              <w:t>年</w:t>
            </w:r>
            <w:r>
              <w:rPr>
                <w:rFonts w:hint="eastAsia" w:ascii="宋体" w:hAnsi="宋体" w:eastAsia="宋体"/>
                <w:sz w:val="21"/>
                <w:szCs w:val="21"/>
                <w:lang w:val="en-US" w:eastAsia="zh-CN"/>
              </w:rPr>
              <w:t>4</w:t>
            </w:r>
            <w:r>
              <w:rPr>
                <w:rFonts w:hint="eastAsia" w:ascii="宋体" w:hAnsi="宋体" w:eastAsia="宋体"/>
                <w:sz w:val="21"/>
                <w:szCs w:val="21"/>
              </w:rPr>
              <w:t>月</w:t>
            </w:r>
            <w:r>
              <w:rPr>
                <w:rFonts w:hint="eastAsia" w:ascii="宋体" w:hAnsi="宋体" w:eastAsia="宋体"/>
                <w:sz w:val="21"/>
                <w:szCs w:val="21"/>
                <w:lang w:val="en-US" w:eastAsia="zh-CN"/>
              </w:rPr>
              <w:t>17</w:t>
            </w:r>
            <w:r>
              <w:rPr>
                <w:rFonts w:hint="eastAsia" w:ascii="宋体" w:hAnsi="宋体" w:eastAsia="宋体"/>
                <w:sz w:val="21"/>
                <w:szCs w:val="21"/>
              </w:rPr>
              <w:t>日</w:t>
            </w:r>
          </w:p>
        </w:tc>
      </w:tr>
    </w:tbl>
    <w:p>
      <w:pPr>
        <w:adjustRightInd w:val="0"/>
        <w:snapToGrid w:val="0"/>
        <w:spacing w:line="288" w:lineRule="auto"/>
        <w:rPr>
          <w:rFonts w:hint="eastAsia" w:ascii="宋体" w:hAnsi="宋体" w:eastAsia="宋体"/>
          <w:sz w:val="21"/>
        </w:rPr>
      </w:pPr>
      <w:r>
        <w:rPr>
          <w:rFonts w:hint="eastAsia" w:ascii="宋体" w:hAnsi="宋体" w:eastAsia="宋体"/>
          <w:sz w:val="21"/>
        </w:rPr>
        <w:t>注：1.符合，指的是评审专家判定某一项指标所涉及的内容能够反映制定环境应急预案的企业开展了该项工作，且工作全面、深入、质量高；部分</w:t>
      </w:r>
    </w:p>
    <w:p>
      <w:pPr>
        <w:adjustRightInd w:val="0"/>
        <w:snapToGrid w:val="0"/>
        <w:spacing w:line="288" w:lineRule="auto"/>
        <w:rPr>
          <w:rFonts w:hint="eastAsia" w:ascii="宋体" w:hAnsi="宋体" w:eastAsia="宋体"/>
          <w:sz w:val="21"/>
        </w:rPr>
      </w:pPr>
      <w:r>
        <w:rPr>
          <w:rFonts w:hint="eastAsia" w:ascii="宋体" w:hAnsi="宋体" w:eastAsia="宋体"/>
          <w:sz w:val="21"/>
        </w:rPr>
        <w:t xml:space="preserve">      符合，指的是评审专家判定企业开展了该项工作，但工作不全面、不深入或质量不高；不符合，指的是评审人员判定企业未开展该项工作，</w:t>
      </w:r>
    </w:p>
    <w:p>
      <w:pPr>
        <w:adjustRightInd w:val="0"/>
        <w:snapToGrid w:val="0"/>
        <w:spacing w:line="288" w:lineRule="auto"/>
        <w:rPr>
          <w:rFonts w:ascii="宋体" w:hAnsi="宋体" w:eastAsia="宋体"/>
          <w:sz w:val="21"/>
        </w:rPr>
      </w:pPr>
      <w:r>
        <w:rPr>
          <w:rFonts w:hint="eastAsia" w:ascii="宋体" w:hAnsi="宋体" w:eastAsia="宋体"/>
          <w:sz w:val="21"/>
        </w:rPr>
        <w:t xml:space="preserve">      或工作有重大疏漏、流于形式或质量差。</w:t>
      </w:r>
    </w:p>
    <w:p>
      <w:pPr>
        <w:adjustRightInd w:val="0"/>
        <w:snapToGrid w:val="0"/>
        <w:spacing w:line="288" w:lineRule="auto"/>
        <w:rPr>
          <w:rFonts w:hint="eastAsia" w:ascii="宋体" w:hAnsi="宋体" w:eastAsia="宋体"/>
          <w:sz w:val="21"/>
        </w:rPr>
      </w:pPr>
      <w:r>
        <w:rPr>
          <w:rFonts w:hint="eastAsia" w:ascii="宋体" w:hAnsi="宋体" w:eastAsia="宋体"/>
          <w:sz w:val="21"/>
        </w:rPr>
        <w:t xml:space="preserve">    2.赋分原则：“符合”得2分、“部分符合”得1分、“不符合”得0分；其中标注a的指标得分按“符合”得1分、“部分符合”得0.5分、“不</w:t>
      </w:r>
    </w:p>
    <w:p>
      <w:pPr>
        <w:adjustRightInd w:val="0"/>
        <w:snapToGrid w:val="0"/>
        <w:spacing w:line="288" w:lineRule="auto"/>
        <w:rPr>
          <w:rFonts w:hint="eastAsia" w:ascii="宋体" w:hAnsi="宋体" w:eastAsia="宋体"/>
          <w:sz w:val="21"/>
        </w:rPr>
      </w:pPr>
      <w:r>
        <w:rPr>
          <w:rFonts w:hint="eastAsia" w:ascii="宋体" w:hAnsi="宋体" w:eastAsia="宋体"/>
          <w:sz w:val="21"/>
        </w:rPr>
        <w:t xml:space="preserve">      符合”得0分计，标注b的指标得分按“符合”得3分、“部分符合”得1.5分、“不符合”得0分计。</w:t>
      </w:r>
    </w:p>
    <w:p>
      <w:pPr>
        <w:adjustRightInd w:val="0"/>
        <w:snapToGrid w:val="0"/>
        <w:spacing w:line="288" w:lineRule="auto"/>
        <w:rPr>
          <w:rFonts w:ascii="宋体" w:hAnsi="宋体" w:eastAsia="宋体"/>
          <w:sz w:val="21"/>
        </w:rPr>
      </w:pPr>
      <w:r>
        <w:rPr>
          <w:rFonts w:hint="eastAsia" w:ascii="宋体" w:hAnsi="宋体" w:eastAsia="宋体"/>
          <w:sz w:val="21"/>
        </w:rPr>
        <w:t xml:space="preserve">    3.指标调整：标注</w:t>
      </w:r>
      <w:r>
        <w:rPr>
          <w:rFonts w:ascii="宋体" w:hAnsi="宋体" w:eastAsia="宋体"/>
          <w:sz w:val="21"/>
        </w:rPr>
        <w:t>c</w:t>
      </w:r>
      <w:r>
        <w:rPr>
          <w:rFonts w:hint="eastAsia" w:ascii="宋体" w:hAnsi="宋体" w:eastAsia="宋体"/>
          <w:sz w:val="21"/>
        </w:rPr>
        <w:t>的指标或项目中的部分指标，评审组可以对不适用的进行调整。</w:t>
      </w:r>
    </w:p>
    <w:p>
      <w:pPr>
        <w:adjustRightInd w:val="0"/>
        <w:snapToGrid w:val="0"/>
        <w:spacing w:line="288" w:lineRule="auto"/>
        <w:rPr>
          <w:rFonts w:ascii="宋体" w:hAnsi="宋体" w:eastAsia="宋体"/>
          <w:sz w:val="21"/>
        </w:rPr>
      </w:pPr>
      <w:r>
        <w:rPr>
          <w:rFonts w:hint="eastAsia" w:ascii="宋体" w:hAnsi="宋体" w:eastAsia="宋体"/>
          <w:sz w:val="21"/>
        </w:rPr>
        <w:t xml:space="preserve">    4.“一票否决”项不计入评审得分。</w:t>
      </w:r>
    </w:p>
    <w:p>
      <w:pPr>
        <w:pStyle w:val="2"/>
        <w:rPr>
          <w:rFonts w:hint="eastAsia" w:ascii="宋体" w:hAnsi="宋体" w:eastAsia="宋体"/>
          <w:sz w:val="21"/>
        </w:rPr>
        <w:sectPr>
          <w:pgSz w:w="16838" w:h="11905" w:orient="landscape"/>
          <w:pgMar w:top="1440" w:right="1803" w:bottom="1440" w:left="1803"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r>
        <w:rPr>
          <w:rFonts w:hint="eastAsia" w:ascii="宋体" w:hAnsi="宋体" w:eastAsia="宋体"/>
          <w:sz w:val="21"/>
        </w:rPr>
        <w:t xml:space="preserve">    5.指标说明供参考。</w:t>
      </w:r>
    </w:p>
    <w:p>
      <w:pPr>
        <w:autoSpaceDE w:val="0"/>
        <w:autoSpaceDN w:val="0"/>
        <w:adjustRightInd w:val="0"/>
        <w:jc w:val="center"/>
        <w:rPr>
          <w:rFonts w:hint="eastAsia" w:ascii="方正小标宋_GBK" w:hAnsi="华文中宋" w:eastAsia="方正小标宋_GBK" w:cs="Times New Roman"/>
          <w:sz w:val="38"/>
          <w:szCs w:val="38"/>
        </w:rPr>
      </w:pPr>
      <w:r>
        <w:rPr>
          <w:rFonts w:hint="eastAsia" w:ascii="方正小标宋_GBK" w:hAnsi="华文中宋" w:eastAsia="方正小标宋_GBK" w:cs="Times New Roman"/>
          <w:sz w:val="38"/>
          <w:szCs w:val="38"/>
        </w:rPr>
        <w:t>南昌瀛宇金属制品有限公司</w:t>
      </w:r>
    </w:p>
    <w:p>
      <w:pPr>
        <w:autoSpaceDE w:val="0"/>
        <w:autoSpaceDN w:val="0"/>
        <w:adjustRightInd w:val="0"/>
        <w:jc w:val="center"/>
        <w:rPr>
          <w:rFonts w:hint="eastAsia" w:ascii="方正小标宋_GBK" w:hAnsi="华文中宋" w:eastAsia="方正小标宋_GBK" w:cs="Times New Roman"/>
          <w:sz w:val="38"/>
          <w:szCs w:val="38"/>
        </w:rPr>
      </w:pPr>
      <w:r>
        <w:rPr>
          <w:rFonts w:hint="eastAsia" w:ascii="方正小标宋_GBK" w:hAnsi="华文中宋" w:eastAsia="方正小标宋_GBK" w:cs="Times New Roman"/>
          <w:sz w:val="38"/>
          <w:szCs w:val="38"/>
        </w:rPr>
        <w:t>突发环境事件应急预案评审意见表</w:t>
      </w:r>
    </w:p>
    <w:tbl>
      <w:tblPr>
        <w:tblStyle w:val="22"/>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0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center"/>
          </w:tcPr>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r>
              <w:rPr>
                <w:rFonts w:hint="eastAsia" w:ascii="宋体" w:hAnsi="宋体" w:eastAsia="宋体" w:cs="Times New Roman"/>
                <w:sz w:val="24"/>
                <w:szCs w:val="24"/>
              </w:rPr>
              <w:t>评审时间：</w:t>
            </w:r>
            <w:r>
              <w:rPr>
                <w:rFonts w:ascii="宋体" w:hAnsi="宋体" w:eastAsia="宋体" w:cs="Times New Roman"/>
                <w:sz w:val="24"/>
                <w:szCs w:val="24"/>
              </w:rPr>
              <w:t xml:space="preserve">   </w:t>
            </w:r>
            <w:r>
              <w:rPr>
                <w:rFonts w:hint="eastAsia" w:ascii="宋体" w:hAnsi="宋体" w:eastAsia="宋体" w:cs="Times New Roman"/>
                <w:sz w:val="24"/>
                <w:szCs w:val="24"/>
              </w:rPr>
              <w:t>20</w:t>
            </w:r>
            <w:r>
              <w:rPr>
                <w:rFonts w:hint="eastAsia" w:ascii="宋体" w:hAnsi="宋体" w:eastAsia="宋体" w:cs="Times New Roman"/>
                <w:sz w:val="24"/>
                <w:szCs w:val="24"/>
                <w:lang w:val="en-US" w:eastAsia="zh-CN"/>
              </w:rPr>
              <w:t>20</w:t>
            </w:r>
            <w:r>
              <w:rPr>
                <w:rFonts w:hint="eastAsia" w:ascii="宋体" w:hAnsi="宋体" w:eastAsia="宋体" w:cs="Times New Roman"/>
                <w:sz w:val="24"/>
                <w:szCs w:val="24"/>
              </w:rPr>
              <w:t>年</w:t>
            </w:r>
            <w:r>
              <w:rPr>
                <w:rFonts w:hint="eastAsia" w:ascii="宋体" w:hAnsi="宋体" w:eastAsia="宋体" w:cs="Times New Roman"/>
                <w:sz w:val="24"/>
                <w:szCs w:val="24"/>
                <w:lang w:val="en-US" w:eastAsia="zh-CN"/>
              </w:rPr>
              <w:t>4</w:t>
            </w:r>
            <w:r>
              <w:rPr>
                <w:rFonts w:hint="eastAsia" w:ascii="宋体" w:hAnsi="宋体" w:eastAsia="宋体" w:cs="Times New Roman"/>
                <w:sz w:val="24"/>
                <w:szCs w:val="24"/>
              </w:rPr>
              <w:t>月</w:t>
            </w:r>
            <w:r>
              <w:rPr>
                <w:rFonts w:hint="eastAsia" w:ascii="宋体" w:hAnsi="宋体" w:eastAsia="宋体" w:cs="Times New Roman"/>
                <w:sz w:val="24"/>
                <w:szCs w:val="24"/>
                <w:lang w:val="en-US" w:eastAsia="zh-CN"/>
              </w:rPr>
              <w:t>17</w:t>
            </w:r>
            <w:r>
              <w:rPr>
                <w:rFonts w:hint="eastAsia" w:ascii="宋体" w:hAnsi="宋体" w:eastAsia="宋体" w:cs="Times New Roman"/>
                <w:sz w:val="24"/>
                <w:szCs w:val="24"/>
              </w:rPr>
              <w:t>日</w:t>
            </w:r>
            <w:r>
              <w:rPr>
                <w:rFonts w:ascii="宋体" w:hAnsi="宋体" w:eastAsia="宋体" w:cs="Times New Roman"/>
                <w:sz w:val="24"/>
                <w:szCs w:val="24"/>
              </w:rPr>
              <w:t xml:space="preserve">    </w:t>
            </w:r>
            <w:r>
              <w:rPr>
                <w:rFonts w:hint="eastAsia" w:ascii="宋体" w:hAnsi="宋体" w:eastAsia="宋体" w:cs="Times New Roman"/>
                <w:sz w:val="24"/>
                <w:szCs w:val="24"/>
              </w:rPr>
              <w:t>地点：</w:t>
            </w:r>
            <w:r>
              <w:rPr>
                <w:rFonts w:ascii="宋体" w:hAnsi="宋体" w:eastAsia="宋体" w:cs="Times New Roman"/>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center"/>
          </w:tcPr>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r>
              <w:rPr>
                <w:rFonts w:hint="eastAsia" w:ascii="宋体" w:hAnsi="宋体" w:eastAsia="宋体" w:cs="Times New Roman"/>
                <w:sz w:val="24"/>
                <w:szCs w:val="24"/>
              </w:rPr>
              <w:t>评审方式：</w:t>
            </w:r>
            <w:r>
              <w:rPr>
                <w:rFonts w:hint="eastAsia" w:ascii="宋体" w:hAnsi="宋体" w:eastAsia="宋体" w:cs="Times New Roman"/>
                <w:sz w:val="24"/>
                <w:szCs w:val="24"/>
              </w:rPr>
              <w:sym w:font="Wingdings 2" w:char="0052"/>
            </w:r>
            <w:r>
              <w:rPr>
                <w:rFonts w:hint="eastAsia" w:ascii="宋体" w:hAnsi="宋体" w:eastAsia="宋体" w:cs="Times New Roman"/>
                <w:sz w:val="24"/>
                <w:szCs w:val="24"/>
              </w:rPr>
              <w:t>函审，□会议评审，□函审、会议评审结合，□其他</w:t>
            </w:r>
            <w:r>
              <w:rPr>
                <w:rFonts w:ascii="宋体" w:hAnsi="宋体" w:eastAsia="宋体" w:cs="Times New Roman"/>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center"/>
          </w:tcPr>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r>
              <w:rPr>
                <w:rFonts w:hint="eastAsia" w:ascii="宋体" w:hAnsi="宋体" w:eastAsia="宋体" w:cs="Times New Roman"/>
                <w:sz w:val="24"/>
                <w:szCs w:val="24"/>
              </w:rPr>
              <w:t>评审结论：</w:t>
            </w:r>
            <w:r>
              <w:rPr>
                <w:rFonts w:hint="eastAsia" w:ascii="宋体" w:hAnsi="宋体" w:eastAsia="宋体" w:cs="Times New Roman"/>
                <w:sz w:val="24"/>
                <w:szCs w:val="24"/>
              </w:rPr>
              <w:sym w:font="Wingdings 2" w:char="0052"/>
            </w:r>
            <w:r>
              <w:rPr>
                <w:rFonts w:hint="eastAsia" w:ascii="宋体" w:hAnsi="宋体" w:eastAsia="宋体" w:cs="Times New Roman"/>
                <w:sz w:val="24"/>
                <w:szCs w:val="24"/>
              </w:rPr>
              <w:t>通过评审，□原则通过但需进行修改复核，</w:t>
            </w:r>
            <w:r>
              <w:rPr>
                <w:rFonts w:hint="eastAsia" w:ascii="宋体" w:hAnsi="宋体" w:eastAsia="宋体" w:cs="Times New Roman"/>
                <w:sz w:val="24"/>
                <w:szCs w:val="24"/>
              </w:rPr>
              <w:sym w:font="Wingdings 2" w:char="00A3"/>
            </w:r>
            <w:r>
              <w:rPr>
                <w:rFonts w:hint="eastAsia" w:ascii="宋体" w:hAnsi="宋体" w:eastAsia="宋体" w:cs="Times New Roman"/>
                <w:sz w:val="24"/>
                <w:szCs w:val="24"/>
              </w:rPr>
              <w:t>未通过评审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center"/>
          </w:tcPr>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eastAsia="zh-CN"/>
              </w:rPr>
            </w:pPr>
            <w:r>
              <w:rPr>
                <w:rFonts w:hint="eastAsia" w:ascii="宋体" w:hAnsi="宋体" w:eastAsia="宋体" w:cs="Times New Roman"/>
                <w:sz w:val="24"/>
                <w:szCs w:val="24"/>
              </w:rPr>
              <w:t>总体评价：</w:t>
            </w:r>
            <w:r>
              <w:rPr>
                <w:rFonts w:ascii="宋体" w:hAnsi="宋体" w:eastAsia="宋体" w:cs="Times New Roman"/>
                <w:sz w:val="24"/>
                <w:szCs w:val="24"/>
              </w:rPr>
              <w:t>《预案》基本符合国家有关法律、法规、规章和标准，按照生态环境部对企业突发环境事件应急预案备案管理及环境风险评审的有关要求编制，基础资料较为客观，提出的风险防范措施和应急应对措施有一定针对性，符合要素评审要求，同意预案通过评审</w:t>
            </w:r>
            <w:r>
              <w:rPr>
                <w:rFonts w:hint="eastAsia" w:ascii="宋体" w:hAnsi="宋体" w:eastAsia="宋体" w:cs="Times New Roman"/>
                <w:sz w:val="24"/>
                <w:szCs w:val="24"/>
                <w:lang w:eastAsia="zh-CN"/>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center"/>
          </w:tcPr>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r>
              <w:rPr>
                <w:rFonts w:hint="eastAsia" w:ascii="宋体" w:hAnsi="宋体" w:eastAsia="宋体" w:cs="Times New Roman"/>
                <w:sz w:val="24"/>
                <w:szCs w:val="24"/>
              </w:rPr>
              <w:t>问题清单：</w:t>
            </w:r>
          </w:p>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top"/>
          </w:tcPr>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修改意见和建议：</w:t>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1、明确企业信息通报的责任人及联系方式。</w:t>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2、完善废水事故应急监测因子（石油类、LAS等），明确应急监测单位。</w:t>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3、核实公司现有环境风险防控与应急措施，完善整改措施及计划。核实需补充的应急物资。</w:t>
            </w:r>
          </w:p>
          <w:p>
            <w:pPr>
              <w:keepNext w:val="0"/>
              <w:keepLines w:val="0"/>
              <w:pageBreakBefore w:val="0"/>
              <w:widowControl w:val="0"/>
              <w:kinsoku/>
              <w:wordWrap/>
              <w:overflowPunct/>
              <w:topLinePunct w:val="0"/>
              <w:bidi w:val="0"/>
              <w:adjustRightInd/>
              <w:snapToGrid/>
              <w:spacing w:line="400" w:lineRule="exact"/>
              <w:textAlignment w:val="auto"/>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4、核实是否存在</w:t>
            </w:r>
            <w:r>
              <w:rPr>
                <w:rFonts w:hint="default" w:ascii="宋体" w:hAnsi="宋体" w:eastAsia="宋体" w:cs="Times New Roman"/>
                <w:sz w:val="24"/>
                <w:szCs w:val="24"/>
                <w:lang w:val="zh-CN" w:eastAsia="zh-CN"/>
              </w:rPr>
              <w:t>风险等级调整</w:t>
            </w:r>
            <w:r>
              <w:rPr>
                <w:rFonts w:hint="eastAsia" w:ascii="宋体" w:hAnsi="宋体" w:eastAsia="宋体" w:cs="Times New Roman"/>
                <w:sz w:val="24"/>
                <w:szCs w:val="24"/>
                <w:lang w:val="en-US" w:eastAsia="zh-CN"/>
              </w:rPr>
              <w:t>内容。</w:t>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00" w:type="dxa"/>
            <w:noWrap w:val="0"/>
            <w:vAlign w:val="center"/>
          </w:tcPr>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r>
              <w:rPr>
                <w:rFonts w:hint="eastAsia" w:ascii="宋体" w:hAnsi="宋体" w:eastAsia="宋体" w:cs="Times New Roman"/>
                <w:sz w:val="24"/>
                <w:szCs w:val="24"/>
                <w:lang w:val="en-US" w:eastAsia="zh-CN"/>
              </w:rPr>
              <w:drawing>
                <wp:anchor distT="0" distB="0" distL="114300" distR="114300" simplePos="0" relativeHeight="251661312" behindDoc="0" locked="0" layoutInCell="1" allowOverlap="1">
                  <wp:simplePos x="0" y="0"/>
                  <wp:positionH relativeFrom="column">
                    <wp:posOffset>600075</wp:posOffset>
                  </wp:positionH>
                  <wp:positionV relativeFrom="paragraph">
                    <wp:posOffset>219710</wp:posOffset>
                  </wp:positionV>
                  <wp:extent cx="822960" cy="346710"/>
                  <wp:effectExtent l="0" t="0" r="15240" b="15240"/>
                  <wp:wrapNone/>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32"/>
                          <a:srcRect b="19279"/>
                          <a:stretch>
                            <a:fillRect/>
                          </a:stretch>
                        </pic:blipFill>
                        <pic:spPr>
                          <a:xfrm>
                            <a:off x="0" y="0"/>
                            <a:ext cx="822960" cy="346710"/>
                          </a:xfrm>
                          <a:prstGeom prst="rect">
                            <a:avLst/>
                          </a:prstGeom>
                          <a:noFill/>
                          <a:ln>
                            <a:noFill/>
                          </a:ln>
                        </pic:spPr>
                      </pic:pic>
                    </a:graphicData>
                  </a:graphic>
                </wp:anchor>
              </w:drawing>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eastAsia="zh-CN"/>
              </w:rPr>
            </w:pPr>
            <w:r>
              <w:rPr>
                <w:rFonts w:hint="eastAsia" w:ascii="宋体" w:hAnsi="宋体" w:eastAsia="宋体" w:cs="Times New Roman"/>
                <w:sz w:val="24"/>
                <w:szCs w:val="24"/>
              </w:rPr>
              <w:t>评审人：</w:t>
            </w:r>
            <w:r>
              <w:rPr>
                <w:rFonts w:hint="eastAsia" w:ascii="宋体" w:hAnsi="宋体" w:eastAsia="宋体" w:cs="Times New Roman"/>
                <w:sz w:val="24"/>
                <w:szCs w:val="24"/>
                <w:lang w:val="en-US" w:eastAsia="zh-CN"/>
              </w:rPr>
              <w:t xml:space="preserve">           </w:t>
            </w: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省农科院</w:t>
            </w:r>
            <w:r>
              <w:rPr>
                <w:rFonts w:hint="eastAsia" w:ascii="宋体" w:hAnsi="宋体" w:eastAsia="宋体" w:cs="Times New Roman"/>
                <w:sz w:val="24"/>
                <w:szCs w:val="24"/>
                <w:lang w:eastAsia="zh-CN"/>
              </w:rPr>
              <w:t>）</w:t>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2020年4月17日</w:t>
            </w: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hint="eastAsia" w:ascii="宋体" w:hAnsi="宋体" w:eastAsia="宋体" w:cs="Times New Roman"/>
                <w:sz w:val="24"/>
                <w:szCs w:val="24"/>
                <w:lang w:val="en-US" w:eastAsia="zh-CN"/>
              </w:rPr>
            </w:pPr>
          </w:p>
          <w:p>
            <w:pPr>
              <w:keepNext w:val="0"/>
              <w:keepLines w:val="0"/>
              <w:pageBreakBefore w:val="0"/>
              <w:widowControl w:val="0"/>
              <w:kinsoku/>
              <w:wordWrap/>
              <w:overflowPunct/>
              <w:topLinePunct w:val="0"/>
              <w:bidi w:val="0"/>
              <w:adjustRightInd/>
              <w:snapToGrid/>
              <w:spacing w:line="400" w:lineRule="exact"/>
              <w:textAlignment w:val="auto"/>
              <w:rPr>
                <w:rFonts w:ascii="宋体" w:hAnsi="宋体" w:eastAsia="宋体" w:cs="Times New Roman"/>
                <w:sz w:val="24"/>
                <w:szCs w:val="24"/>
              </w:rPr>
            </w:pPr>
          </w:p>
        </w:tc>
      </w:tr>
    </w:tbl>
    <w:p>
      <w:pPr>
        <w:adjustRightInd w:val="0"/>
        <w:snapToGrid w:val="0"/>
        <w:jc w:val="center"/>
        <w:rPr>
          <w:rFonts w:ascii="方正小标宋_GBK" w:hAnsi="华文中宋" w:eastAsia="方正小标宋_GBK"/>
          <w:sz w:val="38"/>
          <w:szCs w:val="38"/>
        </w:rPr>
      </w:pPr>
      <w:r>
        <w:rPr>
          <w:rFonts w:hint="eastAsia" w:ascii="方正小标宋_GBK" w:hAnsi="华文中宋" w:eastAsia="方正小标宋_GBK"/>
          <w:sz w:val="38"/>
          <w:szCs w:val="38"/>
          <w:u w:val="single"/>
        </w:rPr>
        <w:t>南昌瀛宇金属制品有限公司</w:t>
      </w:r>
      <w:r>
        <w:rPr>
          <w:rFonts w:hint="eastAsia" w:ascii="方正小标宋_GBK" w:hAnsi="华文中宋" w:eastAsia="方正小标宋_GBK"/>
          <w:sz w:val="38"/>
          <w:szCs w:val="38"/>
        </w:rPr>
        <w:t>突发环境事件</w:t>
      </w:r>
    </w:p>
    <w:p>
      <w:pPr>
        <w:adjustRightInd w:val="0"/>
        <w:snapToGrid w:val="0"/>
        <w:jc w:val="center"/>
        <w:rPr>
          <w:rFonts w:ascii="方正小标宋_GBK" w:hAnsi="华文中宋" w:eastAsia="方正小标宋_GBK"/>
          <w:sz w:val="38"/>
          <w:szCs w:val="38"/>
        </w:rPr>
      </w:pPr>
      <w:r>
        <w:rPr>
          <w:rFonts w:hint="eastAsia" w:ascii="方正小标宋_GBK" w:hAnsi="华文中宋" w:eastAsia="方正小标宋_GBK"/>
          <w:sz w:val="38"/>
          <w:szCs w:val="38"/>
        </w:rPr>
        <w:t>应急预案评审意见表</w:t>
      </w:r>
    </w:p>
    <w:tbl>
      <w:tblPr>
        <w:tblStyle w:val="22"/>
        <w:tblW w:w="89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5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956" w:type="dxa"/>
            <w:noWrap w:val="0"/>
            <w:vAlign w:val="center"/>
          </w:tcPr>
          <w:p>
            <w:pPr>
              <w:adjustRightInd w:val="0"/>
              <w:snapToGrid w:val="0"/>
              <w:jc w:val="left"/>
              <w:rPr>
                <w:rFonts w:ascii="宋体" w:hAnsi="宋体" w:eastAsia="宋体"/>
                <w:sz w:val="21"/>
                <w:szCs w:val="21"/>
                <w:u w:val="single"/>
              </w:rPr>
            </w:pPr>
            <w:r>
              <w:rPr>
                <w:rFonts w:hint="eastAsia" w:ascii="宋体" w:hAnsi="宋体" w:eastAsia="宋体"/>
                <w:sz w:val="21"/>
                <w:szCs w:val="21"/>
              </w:rPr>
              <w:t>评审时间</w:t>
            </w:r>
            <w:r>
              <w:rPr>
                <w:rFonts w:hint="eastAsia" w:ascii="宋体" w:hAnsi="宋体" w:eastAsia="宋体"/>
                <w:sz w:val="21"/>
                <w:szCs w:val="21"/>
                <w:u w:val="single"/>
              </w:rPr>
              <w:t>：</w:t>
            </w:r>
            <w:r>
              <w:rPr>
                <w:rFonts w:ascii="宋体" w:hAnsi="宋体" w:eastAsia="宋体"/>
                <w:sz w:val="21"/>
                <w:szCs w:val="21"/>
                <w:u w:val="single"/>
              </w:rPr>
              <w:t xml:space="preserve">                                    </w:t>
            </w:r>
            <w:r>
              <w:rPr>
                <w:rFonts w:hint="eastAsia" w:ascii="宋体" w:hAnsi="宋体" w:eastAsia="宋体"/>
                <w:sz w:val="21"/>
                <w:szCs w:val="21"/>
              </w:rPr>
              <w:t>地点：</w:t>
            </w:r>
            <w:r>
              <w:rPr>
                <w:rFonts w:ascii="宋体" w:hAnsi="宋体" w:eastAsia="宋体"/>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评审方式：</w:t>
            </w:r>
            <w:r>
              <w:rPr>
                <w:rFonts w:hint="eastAsia" w:ascii="宋体" w:hAnsi="宋体" w:eastAsia="宋体"/>
                <w:b/>
                <w:sz w:val="21"/>
                <w:szCs w:val="21"/>
              </w:rPr>
              <w:t>√</w:t>
            </w:r>
            <w:r>
              <w:rPr>
                <w:rFonts w:hint="eastAsia" w:ascii="宋体" w:hAnsi="宋体" w:eastAsia="宋体"/>
                <w:sz w:val="21"/>
                <w:szCs w:val="21"/>
              </w:rPr>
              <w:t>函审，□会议评审，□函审、会议评审结合，□其他</w:t>
            </w:r>
            <w:r>
              <w:rPr>
                <w:rFonts w:ascii="宋体" w:hAnsi="宋体" w:eastAsia="宋体"/>
                <w:sz w:val="21"/>
                <w:szCs w:val="21"/>
                <w:u w:val="single"/>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评审结论：□通过评审，□原则通过但需进行修改复核，□未通过评审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17" w:hRule="atLeast"/>
          <w:jc w:val="center"/>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评审过程：</w:t>
            </w:r>
          </w:p>
          <w:p>
            <w:pPr>
              <w:adjustRightInd w:val="0"/>
              <w:snapToGrid w:val="0"/>
              <w:rPr>
                <w:rFonts w:ascii="宋体" w:hAnsi="宋体" w:eastAsia="宋体"/>
                <w:sz w:val="21"/>
                <w:szCs w:val="21"/>
              </w:rPr>
            </w:pPr>
          </w:p>
          <w:p>
            <w:pPr>
              <w:adjustRightInd w:val="0"/>
              <w:snapToGrid w:val="0"/>
              <w:rPr>
                <w:rFonts w:ascii="宋体" w:hAnsi="宋体" w:eastAsia="宋体"/>
                <w:sz w:val="21"/>
                <w:szCs w:val="21"/>
              </w:rPr>
            </w:pPr>
          </w:p>
          <w:p>
            <w:pPr>
              <w:adjustRightInd w:val="0"/>
              <w:snapToGrid w:val="0"/>
              <w:rPr>
                <w:rFonts w:ascii="宋体" w:hAnsi="宋体" w:eastAsia="宋体"/>
                <w:sz w:val="21"/>
                <w:szCs w:val="21"/>
              </w:rPr>
            </w:pPr>
            <w:r>
              <w:rPr>
                <w:rFonts w:hint="eastAsia" w:ascii="宋体" w:hAnsi="宋体" w:eastAsia="宋体"/>
                <w:sz w:val="21"/>
                <w:szCs w:val="21"/>
              </w:rPr>
              <w:t>总体评价：</w:t>
            </w:r>
          </w:p>
          <w:p>
            <w:pPr>
              <w:adjustRightInd w:val="0"/>
              <w:snapToGrid w:val="0"/>
              <w:rPr>
                <w:rFonts w:ascii="宋体" w:hAnsi="宋体" w:eastAsia="宋体"/>
                <w:color w:val="00B0F0"/>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99" w:hRule="atLeast"/>
          <w:jc w:val="center"/>
        </w:trPr>
        <w:tc>
          <w:tcPr>
            <w:tcW w:w="8956" w:type="dxa"/>
            <w:noWrap w:val="0"/>
            <w:vAlign w:val="center"/>
          </w:tcPr>
          <w:p>
            <w:pPr>
              <w:adjustRightInd w:val="0"/>
              <w:snapToGrid w:val="0"/>
              <w:rPr>
                <w:rFonts w:ascii="宋体" w:hAnsi="宋体" w:eastAsia="宋体"/>
                <w:sz w:val="21"/>
                <w:szCs w:val="21"/>
              </w:rPr>
            </w:pPr>
            <w:r>
              <w:rPr>
                <w:rFonts w:hint="eastAsia" w:ascii="宋体" w:hAnsi="宋体" w:eastAsia="宋体"/>
                <w:sz w:val="21"/>
                <w:szCs w:val="21"/>
              </w:rPr>
              <w:t>问题清单：</w:t>
            </w:r>
          </w:p>
          <w:p>
            <w:pPr>
              <w:adjustRightInd w:val="0"/>
              <w:snapToGrid w:val="0"/>
              <w:rPr>
                <w:rFonts w:hint="default" w:ascii="宋体" w:hAnsi="宋体" w:eastAsia="宋体"/>
                <w:sz w:val="21"/>
                <w:szCs w:val="21"/>
                <w:lang w:val="en-US" w:eastAsia="zh-CN" w:bidi="en-US"/>
              </w:rPr>
            </w:pPr>
            <w:r>
              <w:rPr>
                <w:rFonts w:hint="eastAsia" w:ascii="宋体" w:hAnsi="宋体" w:eastAsia="宋体"/>
                <w:sz w:val="21"/>
                <w:szCs w:val="21"/>
                <w:lang w:bidi="en-US"/>
              </w:rPr>
              <w:t>1、</w:t>
            </w:r>
            <w:r>
              <w:rPr>
                <w:rFonts w:hint="eastAsia" w:ascii="宋体" w:hAnsi="宋体" w:eastAsia="宋体"/>
                <w:sz w:val="21"/>
                <w:szCs w:val="21"/>
                <w:lang w:val="en-US" w:eastAsia="zh-CN" w:bidi="en-US"/>
              </w:rPr>
              <w:t>核实并完善原辅材料理化性质（脱脂剂、防锈剂）；</w:t>
            </w:r>
          </w:p>
          <w:p>
            <w:pPr>
              <w:adjustRightInd w:val="0"/>
              <w:snapToGrid w:val="0"/>
              <w:rPr>
                <w:rFonts w:ascii="宋体" w:hAnsi="宋体" w:eastAsia="宋体"/>
                <w:sz w:val="21"/>
                <w:szCs w:val="21"/>
                <w:lang w:bidi="en-US"/>
              </w:rPr>
            </w:pPr>
            <w:r>
              <w:rPr>
                <w:rFonts w:hint="eastAsia" w:ascii="宋体" w:hAnsi="宋体" w:eastAsia="宋体"/>
                <w:sz w:val="21"/>
                <w:szCs w:val="21"/>
                <w:lang w:val="en-US" w:eastAsia="zh-CN" w:bidi="en-US"/>
              </w:rPr>
              <w:t>2、补充风险环节标识及可能发生的突发环境事件及后果情景分析</w:t>
            </w:r>
            <w:r>
              <w:rPr>
                <w:rFonts w:hint="eastAsia" w:ascii="宋体" w:hAnsi="宋体" w:eastAsia="宋体"/>
                <w:sz w:val="21"/>
                <w:szCs w:val="21"/>
                <w:lang w:bidi="en-US"/>
              </w:rPr>
              <w:t>；</w:t>
            </w:r>
          </w:p>
          <w:p>
            <w:pPr>
              <w:adjustRightInd w:val="0"/>
              <w:snapToGrid w:val="0"/>
              <w:rPr>
                <w:rFonts w:hint="eastAsia" w:ascii="宋体" w:hAnsi="宋体" w:eastAsia="宋体"/>
                <w:sz w:val="21"/>
                <w:szCs w:val="21"/>
                <w:lang w:val="en-US" w:eastAsia="zh-CN"/>
              </w:rPr>
            </w:pPr>
            <w:r>
              <w:rPr>
                <w:rFonts w:hint="eastAsia" w:ascii="宋体" w:hAnsi="宋体" w:eastAsia="宋体"/>
                <w:sz w:val="21"/>
                <w:szCs w:val="21"/>
                <w:lang w:val="en-US" w:eastAsia="zh-CN"/>
              </w:rPr>
              <w:t>3</w:t>
            </w:r>
            <w:r>
              <w:rPr>
                <w:rFonts w:hint="eastAsia" w:ascii="宋体" w:hAnsi="宋体" w:eastAsia="宋体"/>
                <w:sz w:val="21"/>
                <w:szCs w:val="21"/>
              </w:rPr>
              <w:t>、</w:t>
            </w:r>
            <w:r>
              <w:rPr>
                <w:rFonts w:hint="eastAsia" w:ascii="宋体" w:hAnsi="宋体" w:eastAsia="宋体" w:cs="Times New Roman"/>
                <w:color w:val="auto"/>
                <w:kern w:val="2"/>
                <w:sz w:val="21"/>
                <w:szCs w:val="21"/>
                <w:lang w:val="en-US" w:eastAsia="zh-CN" w:bidi="en-US"/>
              </w:rPr>
              <w:t>完善</w:t>
            </w:r>
            <w:r>
              <w:rPr>
                <w:rFonts w:hint="eastAsia" w:ascii="宋体" w:hAnsi="宋体" w:eastAsia="宋体"/>
                <w:sz w:val="21"/>
                <w:szCs w:val="21"/>
                <w:lang w:val="en-US" w:eastAsia="zh-CN"/>
              </w:rPr>
              <w:t>监测因子；</w:t>
            </w:r>
          </w:p>
          <w:p>
            <w:pPr>
              <w:pStyle w:val="2"/>
              <w:rPr>
                <w:rFonts w:hint="eastAsia" w:hAnsi="宋体"/>
                <w:sz w:val="21"/>
                <w:szCs w:val="21"/>
                <w:lang w:val="en-US" w:eastAsia="zh-CN"/>
              </w:rPr>
            </w:pPr>
            <w:r>
              <w:rPr>
                <w:rFonts w:hint="eastAsia" w:hAnsi="宋体"/>
                <w:sz w:val="21"/>
                <w:szCs w:val="21"/>
                <w:lang w:val="en-US" w:eastAsia="zh-CN"/>
              </w:rPr>
              <w:t>4</w:t>
            </w:r>
            <w:r>
              <w:rPr>
                <w:rFonts w:hint="eastAsia" w:ascii="宋体" w:hAnsi="宋体" w:eastAsia="宋体"/>
                <w:sz w:val="21"/>
                <w:szCs w:val="21"/>
                <w:lang w:val="en-US" w:eastAsia="zh-CN"/>
              </w:rPr>
              <w:t>、其他意见：核实文本文字内容，方案中出现“</w:t>
            </w:r>
            <w:r>
              <w:rPr>
                <w:rFonts w:hint="eastAsia" w:hAnsi="宋体"/>
                <w:sz w:val="21"/>
                <w:szCs w:val="21"/>
                <w:lang w:val="en-US" w:eastAsia="zh-CN"/>
              </w:rPr>
              <w:t>红谷滩污水处理厂</w:t>
            </w:r>
            <w:r>
              <w:rPr>
                <w:rFonts w:hint="eastAsia" w:ascii="宋体" w:hAnsi="宋体" w:eastAsia="宋体"/>
                <w:sz w:val="21"/>
                <w:szCs w:val="21"/>
                <w:lang w:val="en-US" w:eastAsia="zh-CN"/>
              </w:rPr>
              <w:t>”、“</w:t>
            </w:r>
            <w:r>
              <w:rPr>
                <w:rFonts w:hint="eastAsia" w:hAnsi="宋体"/>
                <w:sz w:val="21"/>
                <w:szCs w:val="21"/>
                <w:lang w:val="en-US" w:eastAsia="zh-CN"/>
              </w:rPr>
              <w:t>南昌市行政审批局</w:t>
            </w:r>
            <w:r>
              <w:rPr>
                <w:rFonts w:hint="eastAsia" w:ascii="宋体" w:hAnsi="宋体" w:eastAsia="宋体"/>
                <w:sz w:val="21"/>
                <w:szCs w:val="21"/>
                <w:lang w:val="en-US" w:eastAsia="zh-CN"/>
              </w:rPr>
              <w:t>”、“环保局”等单位名称，以及联系方式出现“0794-3620003”；核实“</w:t>
            </w:r>
            <w:r>
              <w:rPr>
                <w:rFonts w:hint="default" w:ascii="宋体" w:hAnsi="宋体" w:eastAsia="宋体"/>
                <w:sz w:val="21"/>
                <w:szCs w:val="21"/>
                <w:lang w:val="en-US" w:eastAsia="zh-CN"/>
              </w:rPr>
              <w:t>关于印发《江西省应急预案的通知》的通知（赣府厅字〔2016〕14号）</w:t>
            </w:r>
            <w:r>
              <w:rPr>
                <w:rFonts w:hint="eastAsia" w:ascii="宋体" w:hAnsi="宋体" w:eastAsia="宋体"/>
                <w:sz w:val="21"/>
                <w:szCs w:val="21"/>
                <w:lang w:val="en-US" w:eastAsia="zh-CN"/>
              </w:rPr>
              <w:t>”</w:t>
            </w:r>
            <w:r>
              <w:rPr>
                <w:rFonts w:hint="eastAsia" w:hAnsi="宋体"/>
                <w:sz w:val="21"/>
                <w:szCs w:val="21"/>
                <w:lang w:val="en-US" w:eastAsia="zh-CN"/>
              </w:rPr>
              <w:t>；</w:t>
            </w:r>
          </w:p>
          <w:p>
            <w:pPr>
              <w:pStyle w:val="2"/>
              <w:rPr>
                <w:rFonts w:hint="default" w:hAnsi="宋体"/>
                <w:sz w:val="21"/>
                <w:szCs w:val="21"/>
                <w:lang w:val="en-US" w:eastAsia="zh-CN"/>
              </w:rPr>
            </w:pPr>
            <w:r>
              <w:rPr>
                <w:rFonts w:hint="eastAsia" w:hAnsi="宋体"/>
                <w:sz w:val="21"/>
                <w:szCs w:val="21"/>
                <w:lang w:val="en-US" w:eastAsia="zh-CN"/>
              </w:rPr>
              <w:t>5、其他意见见文本标注。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19" w:hRule="atLeast"/>
          <w:jc w:val="center"/>
        </w:trPr>
        <w:tc>
          <w:tcPr>
            <w:tcW w:w="8956" w:type="dxa"/>
            <w:noWrap w:val="0"/>
            <w:vAlign w:val="top"/>
          </w:tcPr>
          <w:p>
            <w:pPr>
              <w:adjustRightInd w:val="0"/>
              <w:snapToGrid w:val="0"/>
              <w:spacing w:before="288" w:beforeLines="80"/>
              <w:rPr>
                <w:rFonts w:ascii="宋体" w:hAnsi="宋体" w:eastAsia="宋体"/>
                <w:sz w:val="21"/>
                <w:szCs w:val="21"/>
              </w:rPr>
            </w:pPr>
            <w:r>
              <w:rPr>
                <w:rFonts w:hint="eastAsia" w:ascii="宋体" w:hAnsi="宋体" w:eastAsia="宋体"/>
                <w:sz w:val="21"/>
                <w:szCs w:val="21"/>
              </w:rPr>
              <w:t>修改意见和建议：</w:t>
            </w:r>
          </w:p>
          <w:p>
            <w:pPr>
              <w:adjustRightInd w:val="0"/>
              <w:snapToGrid w:val="0"/>
              <w:rPr>
                <w:rFonts w:ascii="宋体" w:hAnsi="宋体" w:eastAsia="宋体"/>
                <w:sz w:val="21"/>
                <w:szCs w:val="21"/>
              </w:rPr>
            </w:pPr>
            <w:r>
              <w:rPr>
                <w:rFonts w:hint="eastAsia" w:ascii="宋体" w:hAnsi="宋体" w:eastAsia="宋体"/>
                <w:sz w:val="21"/>
                <w:szCs w:val="21"/>
              </w:rPr>
              <w:t>依据《突发环境事件应急管理办法》、《企业突发环境事件风险评估指南（试行）》（环办〔2014〕34号）、《企业突发环境事件风险评估指南（试行）》等相关法律法规文件要求，完善《突发环境事件应急预案》、《环境风险评估报告》、《环境应急资源调查报告》内容。</w:t>
            </w:r>
          </w:p>
          <w:p>
            <w:pPr>
              <w:adjustRightInd w:val="0"/>
              <w:snapToGrid w:val="0"/>
              <w:rPr>
                <w:rFonts w:ascii="宋体" w:hAnsi="宋体" w:eastAsia="宋体"/>
                <w:sz w:val="21"/>
                <w:szCs w:val="21"/>
              </w:rPr>
            </w:pPr>
          </w:p>
          <w:p>
            <w:pPr>
              <w:adjustRightInd w:val="0"/>
              <w:snapToGrid w:val="0"/>
              <w:rPr>
                <w:rFonts w:ascii="宋体" w:hAnsi="宋体" w:eastAsia="宋体"/>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18" w:hRule="atLeast"/>
          <w:jc w:val="center"/>
        </w:trPr>
        <w:tc>
          <w:tcPr>
            <w:tcW w:w="8956" w:type="dxa"/>
            <w:noWrap w:val="0"/>
            <w:vAlign w:val="center"/>
          </w:tcPr>
          <w:p>
            <w:pPr>
              <w:adjustRightInd w:val="0"/>
              <w:snapToGrid w:val="0"/>
              <w:rPr>
                <w:rFonts w:ascii="宋体" w:hAnsi="宋体" w:eastAsia="宋体"/>
                <w:sz w:val="21"/>
                <w:szCs w:val="21"/>
              </w:rPr>
            </w:pPr>
            <w:r>
              <w:rPr>
                <w:rFonts w:ascii="宋体" w:hAnsi="宋体" w:eastAsia="宋体"/>
                <w:szCs w:val="21"/>
              </w:rPr>
              <w:drawing>
                <wp:anchor distT="0" distB="0" distL="114300" distR="114300" simplePos="0" relativeHeight="251663360" behindDoc="0" locked="0" layoutInCell="1" allowOverlap="1">
                  <wp:simplePos x="0" y="0"/>
                  <wp:positionH relativeFrom="column">
                    <wp:posOffset>3275330</wp:posOffset>
                  </wp:positionH>
                  <wp:positionV relativeFrom="paragraph">
                    <wp:posOffset>5086350</wp:posOffset>
                  </wp:positionV>
                  <wp:extent cx="1009650" cy="519430"/>
                  <wp:effectExtent l="0" t="0" r="0" b="13970"/>
                  <wp:wrapNone/>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3"/>
                          <a:stretch>
                            <a:fillRect/>
                          </a:stretch>
                        </pic:blipFill>
                        <pic:spPr>
                          <a:xfrm>
                            <a:off x="0" y="0"/>
                            <a:ext cx="1009650" cy="519430"/>
                          </a:xfrm>
                          <a:prstGeom prst="rect">
                            <a:avLst/>
                          </a:prstGeom>
                          <a:noFill/>
                          <a:ln>
                            <a:noFill/>
                          </a:ln>
                        </pic:spPr>
                      </pic:pic>
                    </a:graphicData>
                  </a:graphic>
                </wp:anchor>
              </w:drawing>
            </w:r>
            <w:r>
              <w:rPr>
                <w:rFonts w:ascii="宋体" w:hAnsi="宋体" w:eastAsia="宋体"/>
                <w:szCs w:val="21"/>
              </w:rPr>
              <w:drawing>
                <wp:anchor distT="0" distB="0" distL="114300" distR="114300" simplePos="0" relativeHeight="251662336" behindDoc="0" locked="0" layoutInCell="1" allowOverlap="1">
                  <wp:simplePos x="0" y="0"/>
                  <wp:positionH relativeFrom="column">
                    <wp:posOffset>4419600</wp:posOffset>
                  </wp:positionH>
                  <wp:positionV relativeFrom="paragraph">
                    <wp:posOffset>5284470</wp:posOffset>
                  </wp:positionV>
                  <wp:extent cx="1009650" cy="519430"/>
                  <wp:effectExtent l="0" t="0" r="0" b="13970"/>
                  <wp:wrapNone/>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33"/>
                          <a:stretch>
                            <a:fillRect/>
                          </a:stretch>
                        </pic:blipFill>
                        <pic:spPr>
                          <a:xfrm>
                            <a:off x="0" y="0"/>
                            <a:ext cx="1009650" cy="519430"/>
                          </a:xfrm>
                          <a:prstGeom prst="rect">
                            <a:avLst/>
                          </a:prstGeom>
                          <a:noFill/>
                          <a:ln>
                            <a:noFill/>
                          </a:ln>
                        </pic:spPr>
                      </pic:pic>
                    </a:graphicData>
                  </a:graphic>
                </wp:anchor>
              </w:drawing>
            </w:r>
          </w:p>
          <w:p>
            <w:pPr>
              <w:adjustRightInd w:val="0"/>
              <w:snapToGrid w:val="0"/>
              <w:spacing w:line="360" w:lineRule="auto"/>
              <w:rPr>
                <w:rFonts w:ascii="宋体" w:hAnsi="宋体" w:eastAsia="宋体"/>
                <w:sz w:val="24"/>
                <w:szCs w:val="24"/>
              </w:rPr>
            </w:pPr>
            <w:r>
              <w:rPr>
                <w:rFonts w:hint="eastAsia" w:ascii="宋体" w:hAnsi="宋体" w:eastAsia="宋体"/>
                <w:sz w:val="24"/>
                <w:szCs w:val="24"/>
              </w:rPr>
              <w:t>评审人员人数：</w:t>
            </w:r>
            <w:r>
              <w:rPr>
                <w:rFonts w:ascii="宋体" w:hAnsi="宋体" w:eastAsia="宋体"/>
                <w:sz w:val="24"/>
                <w:szCs w:val="24"/>
                <w:u w:val="single"/>
              </w:rPr>
              <w:t xml:space="preserve">    </w:t>
            </w:r>
            <w:r>
              <w:rPr>
                <w:rFonts w:ascii="宋体" w:hAnsi="宋体" w:eastAsia="宋体"/>
                <w:sz w:val="24"/>
                <w:szCs w:val="24"/>
              </w:rPr>
              <w:t xml:space="preserve"> </w:t>
            </w:r>
          </w:p>
          <w:p>
            <w:pPr>
              <w:adjustRightInd w:val="0"/>
              <w:snapToGrid w:val="0"/>
              <w:spacing w:line="360" w:lineRule="auto"/>
              <w:rPr>
                <w:rFonts w:ascii="宋体" w:hAnsi="宋体" w:eastAsia="宋体"/>
                <w:sz w:val="24"/>
                <w:szCs w:val="24"/>
              </w:rPr>
            </w:pPr>
            <w:r>
              <w:rPr>
                <w:rFonts w:hint="eastAsia" w:ascii="宋体" w:hAnsi="宋体" w:eastAsia="宋体"/>
                <w:sz w:val="24"/>
                <w:szCs w:val="24"/>
              </w:rPr>
              <w:t>评审组长签字：</w:t>
            </w:r>
            <w:r>
              <w:rPr>
                <w:rFonts w:ascii="宋体" w:hAnsi="宋体" w:eastAsia="宋体"/>
                <w:sz w:val="24"/>
                <w:szCs w:val="24"/>
                <w:u w:val="single"/>
              </w:rPr>
              <w:t xml:space="preserve">         </w:t>
            </w:r>
          </w:p>
          <w:p>
            <w:pPr>
              <w:adjustRightInd w:val="0"/>
              <w:snapToGrid w:val="0"/>
              <w:spacing w:line="360" w:lineRule="auto"/>
              <w:rPr>
                <w:rFonts w:ascii="宋体" w:hAnsi="宋体" w:eastAsia="宋体"/>
                <w:sz w:val="24"/>
                <w:szCs w:val="24"/>
              </w:rPr>
            </w:pPr>
            <w:r>
              <w:rPr>
                <w:rFonts w:hint="eastAsia" w:ascii="宋体" w:hAnsi="宋体" w:eastAsia="宋体"/>
                <w:sz w:val="24"/>
                <w:szCs w:val="24"/>
              </w:rPr>
              <w:t>其他评审人员签字：</w:t>
            </w:r>
            <w:r>
              <w:rPr>
                <w:rFonts w:ascii="宋体" w:hAnsi="宋体" w:eastAsia="宋体"/>
                <w:sz w:val="24"/>
                <w:szCs w:val="24"/>
              </w:rPr>
              <w:t xml:space="preserve"> </w:t>
            </w:r>
            <w:r>
              <w:rPr>
                <w:rFonts w:ascii="宋体" w:hAnsi="宋体" w:eastAsia="宋体"/>
                <w:sz w:val="24"/>
                <w:szCs w:val="24"/>
              </w:rPr>
              <w:drawing>
                <wp:inline distT="0" distB="0" distL="114300" distR="114300">
                  <wp:extent cx="803910" cy="248285"/>
                  <wp:effectExtent l="0" t="0" r="15240" b="18415"/>
                  <wp:docPr id="9" name="图片 1" descr="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签名"/>
                          <pic:cNvPicPr>
                            <a:picLocks noChangeAspect="1"/>
                          </pic:cNvPicPr>
                        </pic:nvPicPr>
                        <pic:blipFill>
                          <a:blip r:embed="rId34"/>
                          <a:stretch>
                            <a:fillRect/>
                          </a:stretch>
                        </pic:blipFill>
                        <pic:spPr>
                          <a:xfrm>
                            <a:off x="0" y="0"/>
                            <a:ext cx="803910" cy="248285"/>
                          </a:xfrm>
                          <a:prstGeom prst="rect">
                            <a:avLst/>
                          </a:prstGeom>
                          <a:noFill/>
                          <a:ln>
                            <a:noFill/>
                          </a:ln>
                        </pic:spPr>
                      </pic:pic>
                    </a:graphicData>
                  </a:graphic>
                </wp:inline>
              </w:drawing>
            </w:r>
            <w:r>
              <w:rPr>
                <w:rFonts w:ascii="宋体" w:hAnsi="宋体" w:eastAsia="宋体"/>
                <w:sz w:val="24"/>
                <w:szCs w:val="24"/>
                <w:u w:val="single"/>
              </w:rPr>
              <w:t xml:space="preserve">                                                       </w:t>
            </w:r>
          </w:p>
          <w:p>
            <w:pPr>
              <w:adjustRightInd w:val="0"/>
              <w:snapToGrid w:val="0"/>
              <w:spacing w:line="360" w:lineRule="auto"/>
              <w:rPr>
                <w:rFonts w:ascii="宋体" w:hAnsi="宋体" w:eastAsia="宋体"/>
                <w:sz w:val="24"/>
                <w:szCs w:val="24"/>
              </w:rPr>
            </w:pPr>
            <w:r>
              <w:rPr>
                <w:rFonts w:hint="eastAsia" w:ascii="宋体" w:hAnsi="宋体" w:eastAsia="宋体"/>
                <w:sz w:val="24"/>
                <w:szCs w:val="24"/>
              </w:rPr>
              <w:t>企业负责人签字：</w:t>
            </w:r>
            <w:r>
              <w:rPr>
                <w:rFonts w:ascii="宋体" w:hAnsi="宋体" w:eastAsia="宋体"/>
                <w:sz w:val="24"/>
                <w:szCs w:val="24"/>
                <w:u w:val="single"/>
              </w:rPr>
              <w:t xml:space="preserve">                                                                   </w:t>
            </w:r>
          </w:p>
          <w:p>
            <w:pPr>
              <w:adjustRightInd w:val="0"/>
              <w:snapToGrid w:val="0"/>
              <w:spacing w:line="360" w:lineRule="auto"/>
              <w:jc w:val="right"/>
              <w:rPr>
                <w:rFonts w:ascii="宋体" w:hAnsi="宋体" w:eastAsia="宋体"/>
                <w:sz w:val="21"/>
                <w:szCs w:val="21"/>
              </w:rPr>
            </w:pPr>
            <w:r>
              <w:rPr>
                <w:rFonts w:ascii="宋体" w:hAnsi="宋体" w:eastAsia="宋体"/>
                <w:sz w:val="24"/>
                <w:szCs w:val="24"/>
                <w:u w:val="single"/>
              </w:rPr>
              <w:t xml:space="preserve"> </w:t>
            </w:r>
            <w:r>
              <w:rPr>
                <w:rFonts w:hint="eastAsia" w:ascii="宋体" w:hAnsi="宋体" w:eastAsia="宋体"/>
                <w:sz w:val="24"/>
                <w:szCs w:val="24"/>
                <w:u w:val="single"/>
              </w:rPr>
              <w:t>20</w:t>
            </w:r>
            <w:r>
              <w:rPr>
                <w:rFonts w:hint="eastAsia" w:ascii="宋体" w:hAnsi="宋体" w:eastAsia="宋体"/>
                <w:sz w:val="24"/>
                <w:szCs w:val="24"/>
                <w:u w:val="single"/>
                <w:lang w:val="en-US" w:eastAsia="zh-CN"/>
              </w:rPr>
              <w:t>20</w:t>
            </w:r>
            <w:r>
              <w:rPr>
                <w:rFonts w:ascii="宋体" w:hAnsi="宋体" w:eastAsia="宋体"/>
                <w:sz w:val="24"/>
                <w:szCs w:val="24"/>
                <w:u w:val="single"/>
              </w:rPr>
              <w:t xml:space="preserve"> </w:t>
            </w:r>
            <w:r>
              <w:rPr>
                <w:rFonts w:hint="eastAsia" w:ascii="宋体" w:hAnsi="宋体" w:eastAsia="宋体"/>
                <w:sz w:val="24"/>
                <w:szCs w:val="24"/>
              </w:rPr>
              <w:t>年</w:t>
            </w:r>
            <w:r>
              <w:rPr>
                <w:rFonts w:ascii="宋体" w:hAnsi="宋体" w:eastAsia="宋体"/>
                <w:sz w:val="24"/>
                <w:szCs w:val="24"/>
                <w:u w:val="single"/>
              </w:rPr>
              <w:t xml:space="preserve"> </w:t>
            </w:r>
            <w:r>
              <w:rPr>
                <w:rFonts w:hint="eastAsia" w:ascii="宋体" w:hAnsi="宋体" w:eastAsia="宋体"/>
                <w:sz w:val="24"/>
                <w:szCs w:val="24"/>
                <w:u w:val="single"/>
                <w:lang w:val="en-US" w:eastAsia="zh-CN"/>
              </w:rPr>
              <w:t>4</w:t>
            </w:r>
            <w:r>
              <w:rPr>
                <w:rFonts w:ascii="宋体" w:hAnsi="宋体" w:eastAsia="宋体"/>
                <w:sz w:val="24"/>
                <w:szCs w:val="24"/>
                <w:u w:val="single"/>
              </w:rPr>
              <w:t xml:space="preserve"> </w:t>
            </w:r>
            <w:r>
              <w:rPr>
                <w:rFonts w:hint="eastAsia" w:ascii="宋体" w:hAnsi="宋体" w:eastAsia="宋体"/>
                <w:sz w:val="24"/>
                <w:szCs w:val="24"/>
              </w:rPr>
              <w:t>月</w:t>
            </w:r>
            <w:r>
              <w:rPr>
                <w:rFonts w:ascii="宋体" w:hAnsi="宋体" w:eastAsia="宋体"/>
                <w:sz w:val="24"/>
                <w:szCs w:val="24"/>
                <w:u w:val="single"/>
              </w:rPr>
              <w:t xml:space="preserve"> </w:t>
            </w:r>
            <w:r>
              <w:rPr>
                <w:rFonts w:hint="eastAsia" w:ascii="宋体" w:hAnsi="宋体" w:eastAsia="宋体"/>
                <w:sz w:val="24"/>
                <w:szCs w:val="24"/>
                <w:u w:val="single"/>
                <w:lang w:val="en-US" w:eastAsia="zh-CN"/>
              </w:rPr>
              <w:t>23</w:t>
            </w:r>
            <w:r>
              <w:rPr>
                <w:rFonts w:ascii="宋体" w:hAnsi="宋体" w:eastAsia="宋体"/>
                <w:sz w:val="24"/>
                <w:szCs w:val="24"/>
                <w:u w:val="single"/>
              </w:rPr>
              <w:t xml:space="preserve"> </w:t>
            </w:r>
            <w:r>
              <w:rPr>
                <w:rFonts w:hint="eastAsia" w:ascii="宋体" w:hAnsi="宋体" w:eastAsia="宋体"/>
                <w:sz w:val="24"/>
                <w:szCs w:val="24"/>
              </w:rPr>
              <w:t>日</w:t>
            </w:r>
          </w:p>
        </w:tc>
      </w:tr>
    </w:tbl>
    <w:p>
      <w:pPr>
        <w:pStyle w:val="3"/>
        <w:sectPr>
          <w:pgSz w:w="11905" w:h="16838"/>
          <w:pgMar w:top="1803" w:right="1440" w:bottom="1803" w:left="1440"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pPr>
    </w:p>
    <w:p>
      <w:pPr>
        <w:pStyle w:val="94"/>
        <w:bidi w:val="0"/>
        <w:rPr>
          <w:rFonts w:hint="default" w:eastAsia="宋体"/>
          <w:lang w:val="en-US" w:eastAsia="zh-CN"/>
        </w:rPr>
      </w:pPr>
      <w:r>
        <w:rPr>
          <w:rFonts w:hint="eastAsia"/>
        </w:rPr>
        <w:t>附件</w:t>
      </w:r>
      <w:r>
        <w:rPr>
          <w:rFonts w:hint="eastAsia"/>
          <w:lang w:val="en-US" w:eastAsia="zh-CN"/>
        </w:rPr>
        <w:t>四</w:t>
      </w:r>
      <w:r>
        <w:rPr>
          <w:rFonts w:hint="eastAsia"/>
        </w:rPr>
        <w:t xml:space="preserve"> </w:t>
      </w:r>
      <w:r>
        <w:rPr>
          <w:rFonts w:hint="eastAsia"/>
          <w:lang w:val="en-US" w:eastAsia="zh-CN"/>
        </w:rPr>
        <w:t>修改清单</w:t>
      </w:r>
    </w:p>
    <w:p>
      <w:pPr>
        <w:jc w:val="center"/>
        <w:rPr>
          <w:rFonts w:ascii="黑体" w:hAnsi="黑体" w:eastAsia="黑体" w:cs="Times New Roman"/>
          <w:sz w:val="24"/>
        </w:rPr>
      </w:pPr>
      <w:r>
        <w:rPr>
          <w:rFonts w:ascii="黑体" w:hAnsi="黑体" w:eastAsia="黑体" w:cs="Times New Roman"/>
          <w:sz w:val="24"/>
        </w:rPr>
        <w:t>修改清单</w:t>
      </w:r>
    </w:p>
    <w:tbl>
      <w:tblPr>
        <w:tblStyle w:val="23"/>
        <w:tblW w:w="87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4201"/>
        <w:gridCol w:w="38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ascii="Times New Roman" w:hAnsi="Times New Roman" w:cs="Times New Roman"/>
                <w:szCs w:val="21"/>
              </w:rPr>
            </w:pPr>
            <w:r>
              <w:rPr>
                <w:rFonts w:ascii="Times New Roman" w:hAnsi="Times New Roman" w:cs="Times New Roman"/>
                <w:szCs w:val="21"/>
              </w:rPr>
              <w:t>序号</w:t>
            </w:r>
          </w:p>
        </w:tc>
        <w:tc>
          <w:tcPr>
            <w:tcW w:w="4201" w:type="dxa"/>
            <w:vAlign w:val="center"/>
          </w:tcPr>
          <w:p>
            <w:pPr>
              <w:jc w:val="center"/>
              <w:rPr>
                <w:rFonts w:ascii="Times New Roman" w:hAnsi="Times New Roman" w:cs="Times New Roman"/>
                <w:szCs w:val="21"/>
              </w:rPr>
            </w:pPr>
            <w:r>
              <w:rPr>
                <w:rFonts w:ascii="Times New Roman" w:hAnsi="Times New Roman" w:cs="Times New Roman"/>
                <w:szCs w:val="21"/>
              </w:rPr>
              <w:t>专家意见</w:t>
            </w:r>
          </w:p>
        </w:tc>
        <w:tc>
          <w:tcPr>
            <w:tcW w:w="3879" w:type="dxa"/>
            <w:vAlign w:val="center"/>
          </w:tcPr>
          <w:p>
            <w:pPr>
              <w:jc w:val="center"/>
              <w:rPr>
                <w:rFonts w:ascii="Times New Roman" w:hAnsi="Times New Roman" w:cs="Times New Roman"/>
                <w:szCs w:val="21"/>
              </w:rPr>
            </w:pPr>
            <w:r>
              <w:rPr>
                <w:rFonts w:ascii="Times New Roman" w:hAnsi="Times New Roman" w:cs="Times New Roman"/>
                <w:szCs w:val="21"/>
              </w:rPr>
              <w:t>修改内容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755" w:type="dxa"/>
            <w:gridSpan w:val="3"/>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专家一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numPr>
                <w:ilvl w:val="0"/>
                <w:numId w:val="0"/>
              </w:numPr>
              <w:jc w:val="center"/>
              <w:rPr>
                <w:rFonts w:hint="default" w:ascii="Times New Roman" w:hAnsi="Times New Roman" w:cs="Times New Roman"/>
                <w:bCs/>
                <w:color w:val="000000" w:themeColor="text1"/>
                <w:sz w:val="21"/>
                <w:szCs w:val="21"/>
                <w:lang w:val="zh-CN"/>
                <w14:textFill>
                  <w14:solidFill>
                    <w14:schemeClr w14:val="tx1"/>
                  </w14:solidFill>
                </w14:textFill>
              </w:rPr>
            </w:pPr>
            <w:r>
              <w:rPr>
                <w:rFonts w:hint="default" w:ascii="Times New Roman" w:hAnsi="Times New Roman" w:cs="Times New Roman"/>
                <w:bCs/>
                <w:color w:val="000000" w:themeColor="text1"/>
                <w:sz w:val="21"/>
                <w:szCs w:val="21"/>
                <w:lang w:val="zh-CN"/>
                <w14:textFill>
                  <w14:solidFill>
                    <w14:schemeClr w14:val="tx1"/>
                  </w14:solidFill>
                </w14:textFill>
              </w:rPr>
              <w:t>1</w:t>
            </w:r>
          </w:p>
        </w:tc>
        <w:tc>
          <w:tcPr>
            <w:tcW w:w="4201" w:type="dxa"/>
            <w:vAlign w:val="center"/>
          </w:tcPr>
          <w:p>
            <w:pPr>
              <w:numPr>
                <w:ilvl w:val="0"/>
                <w:numId w:val="0"/>
              </w:numPr>
              <w:rPr>
                <w:rFonts w:hint="default" w:ascii="Times New Roman" w:hAnsi="Times New Roman" w:cs="Times New Roman"/>
                <w:bCs/>
                <w:color w:val="000000" w:themeColor="text1"/>
                <w:sz w:val="21"/>
                <w:szCs w:val="21"/>
                <w:lang w:val="zh-CN"/>
                <w14:textFill>
                  <w14:solidFill>
                    <w14:schemeClr w14:val="tx1"/>
                  </w14:solidFill>
                </w14:textFill>
              </w:rPr>
            </w:pPr>
            <w:r>
              <w:rPr>
                <w:rFonts w:hint="default" w:ascii="Times New Roman" w:hAnsi="Times New Roman" w:cs="Times New Roman"/>
                <w:bCs/>
                <w:color w:val="000000" w:themeColor="text1"/>
                <w:sz w:val="21"/>
                <w:szCs w:val="21"/>
                <w:lang w:val="zh-CN" w:eastAsia="zh-CN"/>
                <w14:textFill>
                  <w14:solidFill>
                    <w14:schemeClr w14:val="tx1"/>
                  </w14:solidFill>
                </w14:textFill>
              </w:rPr>
              <w:t>明确企业信息通报的责任人及联系方式。</w:t>
            </w:r>
          </w:p>
        </w:tc>
        <w:tc>
          <w:tcPr>
            <w:tcW w:w="3879" w:type="dxa"/>
            <w:vAlign w:val="center"/>
          </w:tcPr>
          <w:p>
            <w:pPr>
              <w:numPr>
                <w:ilvl w:val="0"/>
                <w:numId w:val="0"/>
              </w:numPr>
              <w:rPr>
                <w:rFonts w:hint="default" w:ascii="Times New Roman" w:hAnsi="Times New Roman" w:cs="Times New Roman" w:eastAsiaTheme="minorEastAsia"/>
                <w:bCs/>
                <w:color w:val="000000" w:themeColor="text1"/>
                <w:sz w:val="21"/>
                <w:szCs w:val="21"/>
                <w:lang w:val="en-US" w:eastAsia="zh-CN"/>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①已</w:t>
            </w:r>
            <w:r>
              <w:rPr>
                <w:rFonts w:hint="eastAsia" w:ascii="Times New Roman" w:hAnsi="Times New Roman" w:cs="Times New Roman"/>
                <w:bCs/>
                <w:color w:val="000000" w:themeColor="text1"/>
                <w:sz w:val="21"/>
                <w:szCs w:val="21"/>
                <w:lang w:val="en-US" w:eastAsia="zh-CN"/>
                <w14:textFill>
                  <w14:solidFill>
                    <w14:schemeClr w14:val="tx1"/>
                  </w14:solidFill>
                </w14:textFill>
              </w:rPr>
              <w:t>明确企业信息通报责任人及联系方式</w:t>
            </w:r>
            <w:r>
              <w:rPr>
                <w:rFonts w:hint="default" w:ascii="Times New Roman" w:hAnsi="Times New Roman" w:cs="Times New Roman"/>
                <w:bCs/>
                <w:color w:val="000000" w:themeColor="text1"/>
                <w:sz w:val="21"/>
                <w:szCs w:val="21"/>
                <w:lang w:val="en-US" w:eastAsia="zh-CN"/>
                <w14:textFill>
                  <w14:solidFill>
                    <w14:schemeClr w14:val="tx1"/>
                  </w14:solidFill>
                </w14:textFill>
              </w:rPr>
              <w:t>，详见</w:t>
            </w:r>
            <w:r>
              <w:rPr>
                <w:rFonts w:hint="eastAsia" w:ascii="Times New Roman" w:hAnsi="Times New Roman" w:cs="Times New Roman"/>
                <w:bCs/>
                <w:color w:val="000000" w:themeColor="text1"/>
                <w:sz w:val="21"/>
                <w:szCs w:val="21"/>
                <w:lang w:val="en-US" w:eastAsia="zh-CN"/>
                <w14:textFill>
                  <w14:solidFill>
                    <w14:schemeClr w14:val="tx1"/>
                  </w14:solidFill>
                </w14:textFill>
              </w:rPr>
              <w:t>应急预案P32-33</w:t>
            </w:r>
            <w:r>
              <w:rPr>
                <w:rFonts w:hint="default" w:ascii="Times New Roman" w:hAnsi="Times New Roman" w:cs="Times New Roman"/>
                <w:bCs/>
                <w:color w:val="000000" w:themeColor="text1"/>
                <w:sz w:val="21"/>
                <w:szCs w:val="21"/>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default" w:ascii="Times New Roman" w:hAnsi="Times New Roman" w:cs="Times New Roman"/>
                <w:szCs w:val="21"/>
              </w:rPr>
            </w:pPr>
            <w:r>
              <w:rPr>
                <w:rFonts w:hint="default" w:ascii="Times New Roman" w:hAnsi="Times New Roman" w:cs="Times New Roman"/>
                <w:szCs w:val="21"/>
              </w:rPr>
              <w:t>2</w:t>
            </w:r>
          </w:p>
        </w:tc>
        <w:tc>
          <w:tcPr>
            <w:tcW w:w="4201" w:type="dxa"/>
            <w:vAlign w:val="center"/>
          </w:tcPr>
          <w:p>
            <w:pPr>
              <w:numPr>
                <w:ilvl w:val="0"/>
                <w:numId w:val="0"/>
              </w:numPr>
              <w:rPr>
                <w:rFonts w:hint="default" w:ascii="Times New Roman" w:hAnsi="Times New Roman" w:cs="Times New Roman"/>
                <w:szCs w:val="21"/>
              </w:rPr>
            </w:pPr>
            <w:r>
              <w:rPr>
                <w:rFonts w:hint="default" w:ascii="Times New Roman" w:hAnsi="Times New Roman" w:cs="Times New Roman"/>
                <w:szCs w:val="21"/>
                <w:lang w:val="en-US" w:eastAsia="zh-CN"/>
              </w:rPr>
              <w:t>完善废水事故应急监测因子（石油类、LAS等），明确应急监测单位。</w:t>
            </w:r>
          </w:p>
        </w:tc>
        <w:tc>
          <w:tcPr>
            <w:tcW w:w="3879" w:type="dxa"/>
            <w:vAlign w:val="center"/>
          </w:tcPr>
          <w:p>
            <w:pPr>
              <w:rPr>
                <w:rFonts w:hint="default" w:ascii="Times New Roman" w:hAnsi="Times New Roman" w:cs="Times New Roman"/>
                <w:bCs/>
                <w:color w:val="000000" w:themeColor="text1"/>
                <w:sz w:val="21"/>
                <w:szCs w:val="21"/>
                <w:lang w:val="en-US" w:eastAsia="zh-CN"/>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①</w:t>
            </w:r>
            <w:r>
              <w:rPr>
                <w:rFonts w:hint="default" w:ascii="Times New Roman" w:hAnsi="Times New Roman" w:cs="Times New Roman"/>
                <w:szCs w:val="21"/>
                <w:lang w:val="en-US" w:eastAsia="zh-CN"/>
              </w:rPr>
              <w:t>已</w:t>
            </w:r>
            <w:r>
              <w:rPr>
                <w:rFonts w:hint="eastAsia" w:ascii="Times New Roman" w:hAnsi="Times New Roman" w:cs="Times New Roman"/>
                <w:szCs w:val="21"/>
                <w:lang w:val="en-US" w:eastAsia="zh-CN"/>
              </w:rPr>
              <w:t>完善事故应急检测因子，详见应急预案报告P51</w:t>
            </w:r>
            <w:r>
              <w:rPr>
                <w:rFonts w:hint="default" w:ascii="Times New Roman" w:hAnsi="Times New Roman" w:cs="Times New Roman"/>
                <w:bCs/>
                <w:color w:val="000000" w:themeColor="text1"/>
                <w:sz w:val="21"/>
                <w:szCs w:val="21"/>
                <w:lang w:val="en-US" w:eastAsia="zh-CN"/>
                <w14:textFill>
                  <w14:solidFill>
                    <w14:schemeClr w14:val="tx1"/>
                  </w14:solidFill>
                </w14:textFill>
              </w:rPr>
              <w:t>；</w:t>
            </w:r>
          </w:p>
          <w:p>
            <w:pPr>
              <w:rPr>
                <w:rFonts w:hint="default" w:ascii="Times New Roman" w:hAnsi="Times New Roman" w:cs="Times New Roman"/>
                <w:bCs/>
                <w:color w:val="000000" w:themeColor="text1"/>
                <w:sz w:val="21"/>
                <w:szCs w:val="21"/>
                <w:lang w:val="en-US" w:eastAsia="zh-CN"/>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②</w:t>
            </w:r>
            <w:r>
              <w:rPr>
                <w:rFonts w:hint="eastAsia" w:ascii="Times New Roman" w:hAnsi="Times New Roman" w:cs="Times New Roman"/>
                <w:bCs/>
                <w:color w:val="000000" w:themeColor="text1"/>
                <w:sz w:val="21"/>
                <w:szCs w:val="21"/>
                <w:lang w:val="en-US" w:eastAsia="zh-CN"/>
                <w14:textFill>
                  <w14:solidFill>
                    <w14:schemeClr w14:val="tx1"/>
                  </w14:solidFill>
                </w14:textFill>
              </w:rPr>
              <w:t>已明确应急检测单位，详见应急预案报告P50。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3</w:t>
            </w:r>
          </w:p>
        </w:tc>
        <w:tc>
          <w:tcPr>
            <w:tcW w:w="4201" w:type="dxa"/>
            <w:vAlign w:val="center"/>
          </w:tcPr>
          <w:p>
            <w:pPr>
              <w:numPr>
                <w:ilvl w:val="0"/>
                <w:numId w:val="0"/>
              </w:num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核实公司现有环境风险防控与应急措施，完善整改措施及计划。核实需补充的应急物资。</w:t>
            </w:r>
          </w:p>
        </w:tc>
        <w:tc>
          <w:tcPr>
            <w:tcW w:w="3879" w:type="dxa"/>
            <w:vAlign w:val="center"/>
          </w:tcPr>
          <w:p>
            <w:pPr>
              <w:rPr>
                <w:rFonts w:hint="default" w:ascii="Times New Roman" w:hAnsi="Times New Roman" w:cs="Times New Roman"/>
                <w:bCs/>
                <w:color w:val="000000" w:themeColor="text1"/>
                <w:sz w:val="21"/>
                <w:szCs w:val="21"/>
                <w:lang w:val="en-US" w:eastAsia="zh-CN"/>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①</w:t>
            </w:r>
            <w:r>
              <w:rPr>
                <w:rFonts w:hint="eastAsia" w:ascii="Times New Roman" w:hAnsi="Times New Roman" w:cs="Times New Roman"/>
                <w:szCs w:val="21"/>
                <w:lang w:val="en-US" w:eastAsia="zh-CN"/>
              </w:rPr>
              <w:t>已核实公司现有环境风险防控与应急措施，详见风险评估报告P18</w:t>
            </w:r>
            <w:r>
              <w:rPr>
                <w:rFonts w:hint="default" w:ascii="Times New Roman" w:hAnsi="Times New Roman" w:cs="Times New Roman"/>
                <w:bCs/>
                <w:color w:val="000000" w:themeColor="text1"/>
                <w:sz w:val="21"/>
                <w:szCs w:val="21"/>
                <w:lang w:val="en-US" w:eastAsia="zh-CN"/>
                <w14:textFill>
                  <w14:solidFill>
                    <w14:schemeClr w14:val="tx1"/>
                  </w14:solidFill>
                </w14:textFill>
              </w:rPr>
              <w:t>；</w:t>
            </w:r>
          </w:p>
          <w:p>
            <w:pPr>
              <w:rPr>
                <w:rFonts w:hint="default" w:ascii="Times New Roman" w:hAnsi="Times New Roman" w:cs="Times New Roman"/>
                <w:bCs/>
                <w:color w:val="000000" w:themeColor="text1"/>
                <w:sz w:val="21"/>
                <w:szCs w:val="21"/>
                <w:lang w:val="en-US" w:eastAsia="zh-CN"/>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②</w:t>
            </w:r>
            <w:r>
              <w:rPr>
                <w:rFonts w:hint="eastAsia" w:ascii="Times New Roman" w:hAnsi="Times New Roman" w:cs="Times New Roman"/>
                <w:bCs/>
                <w:color w:val="000000" w:themeColor="text1"/>
                <w:sz w:val="21"/>
                <w:szCs w:val="21"/>
                <w:lang w:val="en-US" w:eastAsia="zh-CN"/>
                <w14:textFill>
                  <w14:solidFill>
                    <w14:schemeClr w14:val="tx1"/>
                  </w14:solidFill>
                </w14:textFill>
              </w:rPr>
              <w:t>已补充相关应急物质，详见风险评估报告P18-19。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4</w:t>
            </w:r>
          </w:p>
        </w:tc>
        <w:tc>
          <w:tcPr>
            <w:tcW w:w="4201" w:type="dxa"/>
            <w:vAlign w:val="center"/>
          </w:tcPr>
          <w:p>
            <w:pPr>
              <w:numPr>
                <w:ilvl w:val="0"/>
                <w:numId w:val="0"/>
              </w:num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核实是否存在风险等级调整内容。</w:t>
            </w:r>
          </w:p>
        </w:tc>
        <w:tc>
          <w:tcPr>
            <w:tcW w:w="3879" w:type="dxa"/>
            <w:vAlign w:val="center"/>
          </w:tcPr>
          <w:p>
            <w:pPr>
              <w:rPr>
                <w:rFonts w:hint="default" w:ascii="Times New Roman" w:hAnsi="Times New Roman" w:cs="Times New Roman"/>
                <w:szCs w:val="21"/>
                <w:lang w:val="en-US" w:eastAsia="zh-CN"/>
              </w:rPr>
            </w:pPr>
            <w:r>
              <w:rPr>
                <w:rFonts w:hint="default" w:ascii="Times New Roman" w:hAnsi="Times New Roman" w:cs="Times New Roman"/>
                <w:szCs w:val="21"/>
                <w:lang w:val="en-US" w:eastAsia="zh-CN"/>
              </w:rPr>
              <w:t>企业水环境风险防控措施及突发水环境事件发生情况评估指标</w:t>
            </w:r>
            <w:r>
              <w:rPr>
                <w:rFonts w:hint="eastAsia" w:ascii="Times New Roman" w:hAnsi="Times New Roman" w:cs="Times New Roman"/>
                <w:szCs w:val="21"/>
                <w:lang w:val="en-US" w:eastAsia="zh-CN"/>
              </w:rPr>
              <w:t>进行调整，详见风险评估报告P38。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755" w:type="dxa"/>
            <w:gridSpan w:val="3"/>
            <w:vAlign w:val="center"/>
          </w:tcPr>
          <w:p>
            <w:pPr>
              <w:jc w:val="cente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专家二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1</w:t>
            </w:r>
          </w:p>
        </w:tc>
        <w:tc>
          <w:tcPr>
            <w:tcW w:w="4201" w:type="dxa"/>
            <w:vAlign w:val="center"/>
          </w:tcPr>
          <w:p>
            <w:pPr>
              <w:rPr>
                <w:rFonts w:hint="eastAsia" w:ascii="Times New Roman" w:hAnsi="Times New Roman" w:cs="Times New Roman" w:eastAsiaTheme="minorEastAsia"/>
                <w:sz w:val="21"/>
                <w:szCs w:val="21"/>
                <w:lang w:eastAsia="zh-CN"/>
              </w:rPr>
            </w:pPr>
            <w:r>
              <w:rPr>
                <w:rFonts w:hint="eastAsia" w:ascii="宋体" w:hAnsi="宋体" w:eastAsia="宋体"/>
                <w:sz w:val="21"/>
                <w:szCs w:val="21"/>
                <w:lang w:val="en-US" w:eastAsia="zh-CN" w:bidi="en-US"/>
              </w:rPr>
              <w:t>核实并完善原辅材料理化性质（脱脂剂、防锈剂）；</w:t>
            </w:r>
          </w:p>
        </w:tc>
        <w:tc>
          <w:tcPr>
            <w:tcW w:w="3879" w:type="dxa"/>
            <w:vAlign w:val="center"/>
          </w:tcPr>
          <w:p>
            <w:pP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①已核实并完善原辅材料理化性质，详见风险评估报告P6-9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2</w:t>
            </w:r>
          </w:p>
        </w:tc>
        <w:tc>
          <w:tcPr>
            <w:tcW w:w="4201" w:type="dxa"/>
            <w:vAlign w:val="center"/>
          </w:tcPr>
          <w:p>
            <w:pPr>
              <w:rPr>
                <w:rFonts w:hint="eastAsia" w:ascii="Times New Roman" w:hAnsi="Times New Roman" w:cs="Times New Roman" w:eastAsiaTheme="minorEastAsia"/>
                <w:sz w:val="21"/>
                <w:szCs w:val="21"/>
                <w:lang w:eastAsia="zh-CN"/>
              </w:rPr>
            </w:pPr>
            <w:r>
              <w:rPr>
                <w:rFonts w:hint="eastAsia" w:ascii="宋体" w:hAnsi="宋体" w:eastAsia="宋体"/>
                <w:sz w:val="21"/>
                <w:szCs w:val="21"/>
                <w:lang w:val="en-US" w:eastAsia="zh-CN" w:bidi="en-US"/>
              </w:rPr>
              <w:t>补充风险环节标识及可能发生的突发环境事件及后果情景分析</w:t>
            </w:r>
            <w:r>
              <w:rPr>
                <w:rFonts w:hint="eastAsia" w:ascii="宋体" w:hAnsi="宋体" w:eastAsia="宋体"/>
                <w:sz w:val="21"/>
                <w:szCs w:val="21"/>
                <w:lang w:bidi="en-US"/>
              </w:rPr>
              <w:t>；</w:t>
            </w:r>
          </w:p>
        </w:tc>
        <w:tc>
          <w:tcPr>
            <w:tcW w:w="3879" w:type="dxa"/>
            <w:vAlign w:val="center"/>
          </w:tcPr>
          <w:p>
            <w:pP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①已补充风险环节标识及可能发生的突发环境事件及后果情景分析，详见风险评估报告P27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3</w:t>
            </w:r>
          </w:p>
        </w:tc>
        <w:tc>
          <w:tcPr>
            <w:tcW w:w="4201" w:type="dxa"/>
            <w:vAlign w:val="center"/>
          </w:tcPr>
          <w:p>
            <w:pPr>
              <w:rPr>
                <w:rFonts w:hint="eastAsia" w:ascii="Times New Roman" w:hAnsi="Times New Roman" w:cs="Times New Roman" w:eastAsiaTheme="minorEastAsia"/>
                <w:sz w:val="21"/>
                <w:szCs w:val="21"/>
                <w:lang w:eastAsia="zh-CN"/>
              </w:rPr>
            </w:pPr>
            <w:r>
              <w:rPr>
                <w:rFonts w:hint="eastAsia" w:ascii="宋体" w:hAnsi="宋体" w:eastAsia="宋体" w:cs="Times New Roman"/>
                <w:color w:val="auto"/>
                <w:kern w:val="2"/>
                <w:sz w:val="21"/>
                <w:szCs w:val="21"/>
                <w:lang w:val="en-US" w:eastAsia="zh-CN" w:bidi="en-US"/>
              </w:rPr>
              <w:t>完善</w:t>
            </w:r>
            <w:r>
              <w:rPr>
                <w:rFonts w:hint="eastAsia" w:ascii="宋体" w:hAnsi="宋体" w:eastAsia="宋体"/>
                <w:sz w:val="21"/>
                <w:szCs w:val="21"/>
                <w:lang w:val="en-US" w:eastAsia="zh-CN"/>
              </w:rPr>
              <w:t>监测因子；</w:t>
            </w:r>
          </w:p>
        </w:tc>
        <w:tc>
          <w:tcPr>
            <w:tcW w:w="3879" w:type="dxa"/>
            <w:vAlign w:val="center"/>
          </w:tcPr>
          <w:p>
            <w:pPr>
              <w:rPr>
                <w:rFonts w:hint="default" w:ascii="Times New Roman" w:hAnsi="Times New Roman" w:cs="Times New Roman"/>
                <w:sz w:val="21"/>
                <w:szCs w:val="21"/>
                <w:lang w:val="en-US" w:eastAsia="zh-CN"/>
              </w:rPr>
            </w:pPr>
            <w:r>
              <w:rPr>
                <w:rFonts w:hint="default" w:ascii="Times New Roman" w:hAnsi="Times New Roman" w:cs="Times New Roman"/>
                <w:bCs/>
                <w:color w:val="000000" w:themeColor="text1"/>
                <w:sz w:val="21"/>
                <w:szCs w:val="21"/>
                <w:lang w:val="en-US" w:eastAsia="zh-CN"/>
                <w14:textFill>
                  <w14:solidFill>
                    <w14:schemeClr w14:val="tx1"/>
                  </w14:solidFill>
                </w14:textFill>
              </w:rPr>
              <w:t>①</w:t>
            </w:r>
            <w:r>
              <w:rPr>
                <w:rFonts w:hint="default" w:ascii="Times New Roman" w:hAnsi="Times New Roman" w:cs="Times New Roman"/>
                <w:szCs w:val="21"/>
                <w:lang w:val="en-US" w:eastAsia="zh-CN"/>
              </w:rPr>
              <w:t>已</w:t>
            </w:r>
            <w:r>
              <w:rPr>
                <w:rFonts w:hint="eastAsia" w:ascii="Times New Roman" w:hAnsi="Times New Roman" w:cs="Times New Roman"/>
                <w:szCs w:val="21"/>
                <w:lang w:val="en-US" w:eastAsia="zh-CN"/>
              </w:rPr>
              <w:t>完善事故应急检测因子，详见应急预案报告P51</w:t>
            </w:r>
            <w:r>
              <w:rPr>
                <w:rFonts w:hint="default" w:ascii="Times New Roman" w:hAnsi="Times New Roman" w:cs="Times New Roman"/>
                <w:bCs/>
                <w:color w:val="000000" w:themeColor="text1"/>
                <w:sz w:val="21"/>
                <w:szCs w:val="21"/>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675" w:type="dxa"/>
            <w:vAlign w:val="center"/>
          </w:tcPr>
          <w:p>
            <w:pPr>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4</w:t>
            </w:r>
          </w:p>
        </w:tc>
        <w:tc>
          <w:tcPr>
            <w:tcW w:w="4201" w:type="dxa"/>
            <w:vAlign w:val="center"/>
          </w:tcPr>
          <w:p>
            <w:pPr>
              <w:rPr>
                <w:rFonts w:hint="eastAsia" w:ascii="Times New Roman" w:hAnsi="Times New Roman" w:cs="Times New Roman" w:eastAsiaTheme="minorEastAsia"/>
                <w:sz w:val="21"/>
                <w:szCs w:val="21"/>
                <w:lang w:eastAsia="zh-CN"/>
              </w:rPr>
            </w:pPr>
            <w:r>
              <w:rPr>
                <w:rFonts w:hint="eastAsia" w:ascii="宋体" w:hAnsi="宋体" w:eastAsia="宋体"/>
                <w:sz w:val="21"/>
                <w:szCs w:val="21"/>
                <w:lang w:val="en-US" w:eastAsia="zh-CN"/>
              </w:rPr>
              <w:t>其他意见：核实文本文字内容，方案中出现“</w:t>
            </w:r>
            <w:r>
              <w:rPr>
                <w:rFonts w:hint="eastAsia" w:hAnsi="宋体"/>
                <w:sz w:val="21"/>
                <w:szCs w:val="21"/>
                <w:lang w:val="en-US" w:eastAsia="zh-CN"/>
              </w:rPr>
              <w:t>红谷滩污水处理厂</w:t>
            </w:r>
            <w:r>
              <w:rPr>
                <w:rFonts w:hint="eastAsia" w:ascii="宋体" w:hAnsi="宋体" w:eastAsia="宋体"/>
                <w:sz w:val="21"/>
                <w:szCs w:val="21"/>
                <w:lang w:val="en-US" w:eastAsia="zh-CN"/>
              </w:rPr>
              <w:t>”、“</w:t>
            </w:r>
            <w:r>
              <w:rPr>
                <w:rFonts w:hint="eastAsia" w:hAnsi="宋体"/>
                <w:sz w:val="21"/>
                <w:szCs w:val="21"/>
                <w:lang w:val="en-US" w:eastAsia="zh-CN"/>
              </w:rPr>
              <w:t>南昌市行政审批局</w:t>
            </w:r>
            <w:r>
              <w:rPr>
                <w:rFonts w:hint="eastAsia" w:ascii="宋体" w:hAnsi="宋体" w:eastAsia="宋体"/>
                <w:sz w:val="21"/>
                <w:szCs w:val="21"/>
                <w:lang w:val="en-US" w:eastAsia="zh-CN"/>
              </w:rPr>
              <w:t>”、“环保局”等单位名称，以及联系方式出现“0794-3620003”；核实“</w:t>
            </w:r>
            <w:r>
              <w:rPr>
                <w:rFonts w:hint="default" w:ascii="宋体" w:hAnsi="宋体" w:eastAsia="宋体"/>
                <w:sz w:val="21"/>
                <w:szCs w:val="21"/>
                <w:lang w:val="en-US" w:eastAsia="zh-CN"/>
              </w:rPr>
              <w:t>关于印发《江西省应急预案的通知》的通知（赣府厅字〔2016〕14号）</w:t>
            </w:r>
            <w:r>
              <w:rPr>
                <w:rFonts w:hint="eastAsia" w:ascii="宋体" w:hAnsi="宋体" w:eastAsia="宋体"/>
                <w:sz w:val="21"/>
                <w:szCs w:val="21"/>
                <w:lang w:val="en-US" w:eastAsia="zh-CN"/>
              </w:rPr>
              <w:t>”</w:t>
            </w:r>
            <w:r>
              <w:rPr>
                <w:rFonts w:hint="eastAsia" w:hAnsi="宋体"/>
                <w:sz w:val="21"/>
                <w:szCs w:val="21"/>
                <w:lang w:val="en-US" w:eastAsia="zh-CN"/>
              </w:rPr>
              <w:t>；</w:t>
            </w:r>
          </w:p>
        </w:tc>
        <w:tc>
          <w:tcPr>
            <w:tcW w:w="3879" w:type="dxa"/>
            <w:vAlign w:val="center"/>
          </w:tcPr>
          <w:p>
            <w:pPr>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①已核实文本文字内容，各单位名称已更正，详见风险评估、应急预案全本</w:t>
            </w:r>
          </w:p>
          <w:p>
            <w:pP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②已更正</w:t>
            </w:r>
            <w:r>
              <w:rPr>
                <w:rFonts w:hint="default" w:ascii="宋体" w:hAnsi="宋体" w:eastAsia="宋体"/>
                <w:sz w:val="21"/>
                <w:szCs w:val="21"/>
                <w:lang w:val="en-US" w:eastAsia="zh-CN"/>
              </w:rPr>
              <w:t>关于印发《江西省应急预案的通知》的通知（赣府厅字〔2016〕14号）</w:t>
            </w:r>
            <w:r>
              <w:rPr>
                <w:rFonts w:hint="eastAsia" w:ascii="宋体" w:hAnsi="宋体" w:eastAsia="宋体"/>
                <w:sz w:val="21"/>
                <w:szCs w:val="21"/>
                <w:lang w:val="en-US" w:eastAsia="zh-CN"/>
              </w:rPr>
              <w:t>”的文号</w:t>
            </w:r>
          </w:p>
        </w:tc>
      </w:tr>
    </w:tbl>
    <w:p>
      <w:pPr>
        <w:rPr>
          <w:rFonts w:hint="default" w:ascii="Times New Roman" w:hAnsi="Times New Roman" w:cs="Times New Roman"/>
          <w:lang w:val="en-US" w:eastAsia="zh-CN"/>
        </w:rPr>
      </w:pPr>
      <w:r>
        <w:rPr>
          <w:rFonts w:hint="default" w:ascii="Times New Roman" w:hAnsi="Times New Roman" w:cs="Times New Roman"/>
          <w:lang w:eastAsia="zh-CN"/>
        </w:rPr>
        <w:t>修改时间：</w:t>
      </w:r>
      <w:r>
        <w:rPr>
          <w:rFonts w:hint="default" w:ascii="Times New Roman" w:hAnsi="Times New Roman" w:cs="Times New Roman"/>
          <w:lang w:val="en-US" w:eastAsia="zh-CN"/>
        </w:rPr>
        <w:t>20</w:t>
      </w:r>
      <w:r>
        <w:rPr>
          <w:rFonts w:hint="eastAsia" w:ascii="Times New Roman" w:hAnsi="Times New Roman" w:cs="Times New Roman"/>
          <w:lang w:val="en-US" w:eastAsia="zh-CN"/>
        </w:rPr>
        <w:t>20</w:t>
      </w:r>
      <w:r>
        <w:rPr>
          <w:rFonts w:hint="default" w:ascii="Times New Roman" w:hAnsi="Times New Roman" w:cs="Times New Roman"/>
          <w:lang w:val="en-US" w:eastAsia="zh-CN"/>
        </w:rPr>
        <w:t>年</w:t>
      </w:r>
      <w:r>
        <w:rPr>
          <w:rFonts w:hint="eastAsia" w:ascii="Times New Roman" w:hAnsi="Times New Roman" w:cs="Times New Roman"/>
          <w:lang w:val="en-US" w:eastAsia="zh-CN"/>
        </w:rPr>
        <w:t>4</w:t>
      </w:r>
      <w:r>
        <w:rPr>
          <w:rFonts w:hint="default" w:ascii="Times New Roman" w:hAnsi="Times New Roman" w:cs="Times New Roman"/>
          <w:lang w:val="en-US" w:eastAsia="zh-CN"/>
        </w:rPr>
        <w:t>月</w:t>
      </w:r>
      <w:r>
        <w:rPr>
          <w:rFonts w:hint="eastAsia" w:ascii="Times New Roman" w:hAnsi="Times New Roman" w:cs="Times New Roman"/>
          <w:lang w:val="en-US" w:eastAsia="zh-CN"/>
        </w:rPr>
        <w:t>26</w:t>
      </w:r>
      <w:r>
        <w:rPr>
          <w:rFonts w:hint="default" w:ascii="Times New Roman" w:hAnsi="Times New Roman" w:cs="Times New Roman"/>
          <w:lang w:val="en-US" w:eastAsia="zh-CN"/>
        </w:rPr>
        <w:t>日</w:t>
      </w:r>
    </w:p>
    <w:sectPr>
      <w:pgSz w:w="11905" w:h="16838"/>
      <w:pgMar w:top="1803" w:right="1440" w:bottom="1803" w:left="1440" w:header="851" w:footer="992" w:gutter="0"/>
      <w:pgBorders>
        <w:top w:val="none" w:sz="0" w:space="0"/>
        <w:left w:val="none" w:sz="0" w:space="0"/>
        <w:bottom w:val="none" w:sz="0" w:space="0"/>
        <w:right w:val="none" w:sz="0" w:space="0"/>
      </w:pgBorders>
      <w:pgNumType w:fmt="decimal"/>
      <w:cols w:space="0" w:num="1"/>
      <w:rtlGutter w:val="0"/>
      <w:docGrid w:type="lines" w:linePitch="33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MS Mincho">
    <w:altName w:val="Yu Gothic UI"/>
    <w:panose1 w:val="02020609040205080304"/>
    <w:charset w:val="80"/>
    <w:family w:val="roman"/>
    <w:pitch w:val="default"/>
    <w:sig w:usb0="00000000" w:usb1="00000000" w:usb2="00000010" w:usb3="00000000" w:csb0="00020000" w:csb1="00000000"/>
  </w:font>
  <w:font w:name="楷体_GB2312">
    <w:altName w:val="楷体"/>
    <w:panose1 w:val="00000000000000000000"/>
    <w:charset w:val="86"/>
    <w:family w:val="modern"/>
    <w:pitch w:val="default"/>
    <w:sig w:usb0="00000000" w:usb1="00000000" w:usb2="00000000" w:usb3="00000000" w:csb0="00040000" w:csb1="00000000"/>
  </w:font>
  <w:font w:name="方正小标宋_GBK">
    <w:altName w:val="宋体"/>
    <w:panose1 w:val="03000509000000000000"/>
    <w:charset w:val="86"/>
    <w:family w:val="script"/>
    <w:pitch w:val="default"/>
    <w:sig w:usb0="00000000" w:usb1="00000000" w:usb2="00000010" w:usb3="00000000" w:csb0="00040000"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2"/>
    <w:family w:val="auto"/>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09110473"/>
      <w:docPartObj>
        <w:docPartGallery w:val="autotext"/>
      </w:docPartObj>
    </w:sdtPr>
    <w:sdtContent>
      <w:p>
        <w:pPr>
          <w:pStyle w:val="15"/>
          <w:jc w:val="center"/>
        </w:pPr>
        <w:r>
          <w:fldChar w:fldCharType="begin"/>
        </w:r>
        <w:r>
          <w:instrText xml:space="preserve">PAGE   \* MERGEFORMAT</w:instrText>
        </w:r>
        <w:r>
          <w:fldChar w:fldCharType="separate"/>
        </w:r>
        <w:r>
          <w:rPr>
            <w:lang w:val="zh-CN"/>
          </w:rPr>
          <w:t>V</w:t>
        </w:r>
        <w:r>
          <w:fldChar w:fldCharType="end"/>
        </w:r>
      </w:p>
    </w:sdtContent>
  </w:sdt>
  <w:p>
    <w:pPr>
      <w:pStyle w:val="1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6" name="文本框 10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w:t>
                          </w:r>
                          <w:r>
                            <w:rPr>
                              <w:rFonts w:hint="eastAsia"/>
                              <w:lang w:eastAsia="zh-CN"/>
                            </w:rPr>
                            <w:fldChar w:fldCharType="end"/>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NOeRLAVAgAAFwQAAA4AAAAAAAAA&#10;AQAgAAAAHwEAAGRycy9lMm9Eb2MueG1sUEsFBgAAAAAGAAYAWQEAAKYFAAAAAA==&#10;">
              <v:fill on="f" focussize="0,0"/>
              <v:stroke on="f" weight="0.5pt"/>
              <v:imagedata o:title=""/>
              <o:lock v:ext="edit" aspectratio="f"/>
              <v:textbox inset="0mm,0mm,0mm,0mm" style="mso-fit-shape-to-text:t;">
                <w:txbxContent>
                  <w:p>
                    <w:pPr>
                      <w:pStyle w:val="15"/>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w:t>
                    </w:r>
                    <w:r>
                      <w:rPr>
                        <w:rFonts w:hint="eastAsia"/>
                        <w:lang w:eastAsia="zh-CN"/>
                      </w:rPr>
                      <w:fldChar w:fldCharType="end"/>
                    </w:r>
                    <w:r>
                      <w:rPr>
                        <w:rFonts w:hint="eastAsia"/>
                        <w:lang w:eastAsia="zh-CN"/>
                      </w:rPr>
                      <w:t xml:space="preserve"> 页</w:t>
                    </w:r>
                  </w:p>
                </w:txbxContent>
              </v:textbox>
            </v:shape>
          </w:pict>
        </mc:Fallback>
      </mc:AlternateContent>
    </w:r>
  </w:p>
  <w:p>
    <w:pPr>
      <w:pStyle w:val="15"/>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LXV</w:t>
                          </w:r>
                          <w:r>
                            <w:rPr>
                              <w:rFonts w:hint="eastAsia"/>
                              <w:lang w:eastAsia="zh-CN"/>
                            </w:rPr>
                            <w:fldChar w:fldCharType="end"/>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gi2iwVAgAAFw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Lgi2iwVAgAAFwQAAA4AAAAAAAAA&#10;AQAgAAAAHwEAAGRycy9lMm9Eb2MueG1sUEsFBgAAAAAGAAYAWQEAAKYFAAAAAA==&#10;">
              <v:fill on="f" focussize="0,0"/>
              <v:stroke on="f" weight="0.5pt"/>
              <v:imagedata o:title=""/>
              <o:lock v:ext="edit" aspectratio="f"/>
              <v:textbox inset="0mm,0mm,0mm,0mm" style="mso-fit-shape-to-text:t;">
                <w:txbxContent>
                  <w:p>
                    <w:pPr>
                      <w:pStyle w:val="15"/>
                      <w:rPr>
                        <w:rFonts w:hint="eastAsia" w:eastAsiaTheme="minorEastAsia"/>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LXV</w:t>
                    </w:r>
                    <w:r>
                      <w:rPr>
                        <w:rFonts w:hint="eastAsia"/>
                        <w:lang w:eastAsia="zh-CN"/>
                      </w:rPr>
                      <w:fldChar w:fldCharType="end"/>
                    </w:r>
                    <w:r>
                      <w:rPr>
                        <w:rFonts w:hint="eastAsia"/>
                        <w:lang w:eastAsia="zh-CN"/>
                      </w:rPr>
                      <w:t xml:space="preserve"> 页</w:t>
                    </w:r>
                  </w:p>
                </w:txbxContent>
              </v:textbox>
            </v:shape>
          </w:pict>
        </mc:Fallback>
      </mc:AlternateContent>
    </w:r>
  </w:p>
  <w:p>
    <w:pPr>
      <w:pStyle w:val="1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rPr>
        <w:rFonts w:hint="eastAsia" w:eastAsiaTheme="minorEastAsia"/>
        <w:lang w:val="en-US" w:eastAsia="zh-CN"/>
      </w:rPr>
    </w:pPr>
    <w:r>
      <w:rPr>
        <w:rFonts w:hint="eastAsia"/>
      </w:rPr>
      <w:t>南昌瀛宇金属制品有限公司突发环境事件应急</w:t>
    </w:r>
    <w:r>
      <w:rPr>
        <w:rFonts w:hint="eastAsia"/>
        <w:lang w:val="en-US" w:eastAsia="zh-CN"/>
      </w:rPr>
      <w:t>预案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right="360" w:firstLine="360"/>
      <w:rPr>
        <w:sz w:val="21"/>
        <w:szCs w:val="21"/>
      </w:rPr>
    </w:pPr>
    <w:r>
      <w:rPr>
        <w:rFonts w:hint="eastAsia"/>
      </w:rPr>
      <w:t>南昌瀛宇金属制品有限公司突发环境事件应急预案</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right="360" w:firstLine="360"/>
      <w:rPr>
        <w:sz w:val="21"/>
        <w:szCs w:val="21"/>
      </w:rPr>
    </w:pPr>
    <w:r>
      <w:rPr>
        <w:rFonts w:hint="eastAsia"/>
      </w:rPr>
      <w:t>南昌瀛宇金属制品有限公司突发环境事件应急预案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99ADC0F"/>
    <w:multiLevelType w:val="singleLevel"/>
    <w:tmpl w:val="499ADC0F"/>
    <w:lvl w:ilvl="0" w:tentative="0">
      <w:start w:val="3"/>
      <w:numFmt w:val="decimal"/>
      <w:suff w:val="nothing"/>
      <w:lvlText w:val="%1、"/>
      <w:lvlJc w:val="left"/>
    </w:lvl>
  </w:abstractNum>
  <w:abstractNum w:abstractNumId="1">
    <w:nsid w:val="640F5B4E"/>
    <w:multiLevelType w:val="multilevel"/>
    <w:tmpl w:val="640F5B4E"/>
    <w:lvl w:ilvl="0" w:tentative="0">
      <w:start w:val="1"/>
      <w:numFmt w:val="decimalEnclosedCircle"/>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HorizontalSpacing w:val="105"/>
  <w:drawingGridVerticalSpacing w:val="167"/>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8E760BE"/>
    <w:rsid w:val="000806BC"/>
    <w:rsid w:val="000F60D6"/>
    <w:rsid w:val="00167FD4"/>
    <w:rsid w:val="00445A30"/>
    <w:rsid w:val="00476DB0"/>
    <w:rsid w:val="004F13A2"/>
    <w:rsid w:val="00601924"/>
    <w:rsid w:val="006F7383"/>
    <w:rsid w:val="007C4286"/>
    <w:rsid w:val="00896C95"/>
    <w:rsid w:val="008D168B"/>
    <w:rsid w:val="008D4D7C"/>
    <w:rsid w:val="009B18CC"/>
    <w:rsid w:val="009C30EF"/>
    <w:rsid w:val="00A00AF5"/>
    <w:rsid w:val="00A43D35"/>
    <w:rsid w:val="00B065EB"/>
    <w:rsid w:val="00BE6616"/>
    <w:rsid w:val="00CF3384"/>
    <w:rsid w:val="00D40A57"/>
    <w:rsid w:val="00E24F99"/>
    <w:rsid w:val="00E62BE2"/>
    <w:rsid w:val="00EB28CE"/>
    <w:rsid w:val="01140815"/>
    <w:rsid w:val="019C13BC"/>
    <w:rsid w:val="0228734B"/>
    <w:rsid w:val="02A822F6"/>
    <w:rsid w:val="02EC3A34"/>
    <w:rsid w:val="031000C3"/>
    <w:rsid w:val="04E26261"/>
    <w:rsid w:val="063244D8"/>
    <w:rsid w:val="06365B68"/>
    <w:rsid w:val="0716215E"/>
    <w:rsid w:val="08566199"/>
    <w:rsid w:val="08E760BE"/>
    <w:rsid w:val="08EE494D"/>
    <w:rsid w:val="09C13F80"/>
    <w:rsid w:val="0BBB4CA5"/>
    <w:rsid w:val="0BD1657E"/>
    <w:rsid w:val="0C330A66"/>
    <w:rsid w:val="0C6A7E0A"/>
    <w:rsid w:val="0DC3087D"/>
    <w:rsid w:val="0E4C0684"/>
    <w:rsid w:val="0EF9274B"/>
    <w:rsid w:val="0F6649C4"/>
    <w:rsid w:val="106478C0"/>
    <w:rsid w:val="11D42C96"/>
    <w:rsid w:val="12DF06B8"/>
    <w:rsid w:val="132D0B91"/>
    <w:rsid w:val="136D0CD2"/>
    <w:rsid w:val="13F32B90"/>
    <w:rsid w:val="142B7C2A"/>
    <w:rsid w:val="14CF3FF5"/>
    <w:rsid w:val="14E42D51"/>
    <w:rsid w:val="1573420F"/>
    <w:rsid w:val="17BC6EEF"/>
    <w:rsid w:val="184D5EFD"/>
    <w:rsid w:val="1B1A3909"/>
    <w:rsid w:val="1C313DB4"/>
    <w:rsid w:val="1C366965"/>
    <w:rsid w:val="1CF038AC"/>
    <w:rsid w:val="1E944766"/>
    <w:rsid w:val="1EE81FAE"/>
    <w:rsid w:val="1F7F2708"/>
    <w:rsid w:val="20393935"/>
    <w:rsid w:val="20DA77E4"/>
    <w:rsid w:val="213756B4"/>
    <w:rsid w:val="227D50E1"/>
    <w:rsid w:val="22F63E9E"/>
    <w:rsid w:val="23A130D0"/>
    <w:rsid w:val="241156B5"/>
    <w:rsid w:val="241C745A"/>
    <w:rsid w:val="2735578F"/>
    <w:rsid w:val="27DF5F4B"/>
    <w:rsid w:val="27E32FFC"/>
    <w:rsid w:val="2817617B"/>
    <w:rsid w:val="28235018"/>
    <w:rsid w:val="283E5EEE"/>
    <w:rsid w:val="28660443"/>
    <w:rsid w:val="2B097B9A"/>
    <w:rsid w:val="2B2F0693"/>
    <w:rsid w:val="2DDA53AE"/>
    <w:rsid w:val="2E1C621F"/>
    <w:rsid w:val="2F1801C0"/>
    <w:rsid w:val="303F3752"/>
    <w:rsid w:val="30D66FD7"/>
    <w:rsid w:val="318A4F70"/>
    <w:rsid w:val="32996355"/>
    <w:rsid w:val="3350077C"/>
    <w:rsid w:val="3408571E"/>
    <w:rsid w:val="35120B4C"/>
    <w:rsid w:val="361309F1"/>
    <w:rsid w:val="36752AB3"/>
    <w:rsid w:val="377861A8"/>
    <w:rsid w:val="3A090C49"/>
    <w:rsid w:val="3A2F1ADB"/>
    <w:rsid w:val="3A491B02"/>
    <w:rsid w:val="3A5212A5"/>
    <w:rsid w:val="3A74646F"/>
    <w:rsid w:val="3AD81F6C"/>
    <w:rsid w:val="3AFE4738"/>
    <w:rsid w:val="3CD13037"/>
    <w:rsid w:val="3CD40E3A"/>
    <w:rsid w:val="3D4A3B71"/>
    <w:rsid w:val="3D554B53"/>
    <w:rsid w:val="3D8D34A4"/>
    <w:rsid w:val="3DD93499"/>
    <w:rsid w:val="3E713756"/>
    <w:rsid w:val="3EAF5C49"/>
    <w:rsid w:val="3F5E4A88"/>
    <w:rsid w:val="40160BC1"/>
    <w:rsid w:val="402D28E3"/>
    <w:rsid w:val="424C4D83"/>
    <w:rsid w:val="438C6E9C"/>
    <w:rsid w:val="44063780"/>
    <w:rsid w:val="454F14AE"/>
    <w:rsid w:val="45B36714"/>
    <w:rsid w:val="466D0FED"/>
    <w:rsid w:val="46731625"/>
    <w:rsid w:val="46EF2EBE"/>
    <w:rsid w:val="48433471"/>
    <w:rsid w:val="48F368CE"/>
    <w:rsid w:val="497E526C"/>
    <w:rsid w:val="49914B86"/>
    <w:rsid w:val="49DB57AB"/>
    <w:rsid w:val="4B6F34D3"/>
    <w:rsid w:val="4B843CE3"/>
    <w:rsid w:val="4D024569"/>
    <w:rsid w:val="4FA311E0"/>
    <w:rsid w:val="510358E8"/>
    <w:rsid w:val="513E6BA9"/>
    <w:rsid w:val="51584DAF"/>
    <w:rsid w:val="51EB52AE"/>
    <w:rsid w:val="52E83D9A"/>
    <w:rsid w:val="54162062"/>
    <w:rsid w:val="54D455A5"/>
    <w:rsid w:val="559E7245"/>
    <w:rsid w:val="568D344C"/>
    <w:rsid w:val="57565128"/>
    <w:rsid w:val="57921269"/>
    <w:rsid w:val="57F81A97"/>
    <w:rsid w:val="58184EBE"/>
    <w:rsid w:val="59D11E53"/>
    <w:rsid w:val="5AA139FD"/>
    <w:rsid w:val="5AB05B55"/>
    <w:rsid w:val="5B0125A5"/>
    <w:rsid w:val="5BCF3D06"/>
    <w:rsid w:val="5BF6269D"/>
    <w:rsid w:val="5D7F0BAF"/>
    <w:rsid w:val="5F642092"/>
    <w:rsid w:val="61370723"/>
    <w:rsid w:val="62000ADB"/>
    <w:rsid w:val="621A775B"/>
    <w:rsid w:val="628C7208"/>
    <w:rsid w:val="62DB3A80"/>
    <w:rsid w:val="630B77A2"/>
    <w:rsid w:val="63411747"/>
    <w:rsid w:val="64165FF5"/>
    <w:rsid w:val="65AC068A"/>
    <w:rsid w:val="66211789"/>
    <w:rsid w:val="67801B27"/>
    <w:rsid w:val="67F069E9"/>
    <w:rsid w:val="68FF7F00"/>
    <w:rsid w:val="69151379"/>
    <w:rsid w:val="69224670"/>
    <w:rsid w:val="69394A58"/>
    <w:rsid w:val="6A501404"/>
    <w:rsid w:val="6AA324DE"/>
    <w:rsid w:val="6AA62528"/>
    <w:rsid w:val="6AA80D8E"/>
    <w:rsid w:val="6CD628BC"/>
    <w:rsid w:val="6CF91B63"/>
    <w:rsid w:val="6DD773A0"/>
    <w:rsid w:val="6DF17374"/>
    <w:rsid w:val="70D20F9A"/>
    <w:rsid w:val="70D3309C"/>
    <w:rsid w:val="71410E9F"/>
    <w:rsid w:val="71BA4E76"/>
    <w:rsid w:val="72771604"/>
    <w:rsid w:val="73467156"/>
    <w:rsid w:val="749C23AC"/>
    <w:rsid w:val="74E87854"/>
    <w:rsid w:val="75BB2537"/>
    <w:rsid w:val="77285097"/>
    <w:rsid w:val="773807D2"/>
    <w:rsid w:val="778A6575"/>
    <w:rsid w:val="784B7DAE"/>
    <w:rsid w:val="78C96F9A"/>
    <w:rsid w:val="7AD834B6"/>
    <w:rsid w:val="7B694EFE"/>
    <w:rsid w:val="7B7C3E51"/>
    <w:rsid w:val="7CDE1DC3"/>
    <w:rsid w:val="7D0B0494"/>
    <w:rsid w:val="7DFB48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99"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iPriority="99" w:semiHidden="0" w:name="heading 4"/>
    <w:lsdException w:qFormat="1" w:uiPriority="99" w:name="heading 5"/>
    <w:lsdException w:qFormat="1" w:uiPriority="99" w:name="heading 6"/>
    <w:lsdException w:qFormat="1" w:uiPriority="99" w:name="heading 7"/>
    <w:lsdException w:qFormat="1" w:uiPriority="99" w:name="heading 8"/>
    <w:lsdException w:qFormat="1" w:uiPriority="99" w:name="heading 9"/>
    <w:lsdException w:unhideWhenUsed="0" w:uiPriority="99" w:semiHidden="0" w:name="index 1"/>
    <w:lsdException w:unhideWhenUsed="0" w:uiPriority="99" w:semiHidden="0" w:name="index 2"/>
    <w:lsdException w:unhideWhenUsed="0" w:uiPriority="99" w:semiHidden="0" w:name="index 3"/>
    <w:lsdException w:unhideWhenUsed="0" w:uiPriority="99" w:semiHidden="0" w:name="index 4"/>
    <w:lsdException w:unhideWhenUsed="0" w:uiPriority="99" w:semiHidden="0" w:name="index 5"/>
    <w:lsdException w:unhideWhenUsed="0" w:uiPriority="99" w:semiHidden="0" w:name="index 6"/>
    <w:lsdException w:unhideWhenUsed="0" w:uiPriority="99" w:semiHidden="0" w:name="index 7"/>
    <w:lsdException w:unhideWhenUsed="0" w:uiPriority="99" w:semiHidden="0" w:name="index 8"/>
    <w:lsdException w:unhideWhenUsed="0" w:uiPriority="99" w:semiHidden="0" w:name="index 9"/>
    <w:lsdException w:qFormat="1" w:unhideWhenUsed="0" w:uiPriority="39" w:semiHidden="0" w:name="toc 1"/>
    <w:lsdException w:qFormat="1" w:uiPriority="39" w:semiHidden="0" w:name="toc 2"/>
    <w:lsdException w:qFormat="1" w:uiPriority="39" w:semiHidden="0" w:name="toc 3"/>
    <w:lsdException w:unhideWhenUsed="0" w:uiPriority="39" w:semiHidden="0" w:name="toc 4"/>
    <w:lsdException w:unhideWhenUsed="0" w:uiPriority="39" w:semiHidden="0" w:name="toc 5"/>
    <w:lsdException w:unhideWhenUsed="0" w:uiPriority="39" w:semiHidden="0" w:name="toc 6"/>
    <w:lsdException w:unhideWhenUsed="0" w:uiPriority="39" w:semiHidden="0" w:name="toc 7"/>
    <w:lsdException w:unhideWhenUsed="0" w:uiPriority="39" w:semiHidden="0" w:name="toc 8"/>
    <w:lsdException w:unhideWhenUsed="0" w:uiPriority="39" w:semiHidden="0" w:name="toc 9"/>
    <w:lsdException w:qFormat="1" w:unhideWhenUsed="0" w:uiPriority="99" w:semiHidden="0" w:name="Normal Indent"/>
    <w:lsdException w:unhideWhenUsed="0" w:uiPriority="99" w:semiHidden="0" w:name="footnote text"/>
    <w:lsdException w:qFormat="1" w:unhideWhenUsed="0" w:uiPriority="99" w:semiHidden="0" w:name="annotation text"/>
    <w:lsdException w:qFormat="1" w:uiPriority="99" w:semiHidden="0" w:name="header"/>
    <w:lsdException w:qFormat="1" w:uiPriority="99" w:semiHidden="0" w:name="footer"/>
    <w:lsdException w:unhideWhenUsed="0" w:uiPriority="99" w:semiHidden="0" w:name="index heading"/>
    <w:lsdException w:qFormat="1" w:unhideWhenUsed="0" w:uiPriority="99" w:semiHidden="0" w:name="caption"/>
    <w:lsdException w:unhideWhenUsed="0" w:uiPriority="99" w:semiHidden="0" w:name="table of figures"/>
    <w:lsdException w:unhideWhenUsed="0" w:uiPriority="99" w:semiHidden="0" w:name="envelope address"/>
    <w:lsdException w:unhideWhenUsed="0" w:uiPriority="99" w:semiHidden="0" w:name="envelope return"/>
    <w:lsdException w:unhideWhenUsed="0" w:uiPriority="99" w:semiHidden="0" w:name="footnote reference"/>
    <w:lsdException w:qFormat="1" w:unhideWhenUsed="0" w:uiPriority="99" w:semiHidden="0" w:name="annotation reference"/>
    <w:lsdException w:unhideWhenUsed="0" w:uiPriority="99" w:semiHidden="0" w:name="line number"/>
    <w:lsdException w:qFormat="1" w:unhideWhenUsed="0" w:uiPriority="99" w:semiHidden="0" w:name="page number"/>
    <w:lsdException w:unhideWhenUsed="0" w:uiPriority="99" w:semiHidden="0" w:name="endnote reference"/>
    <w:lsdException w:unhideWhenUsed="0" w:uiPriority="99" w:semiHidden="0" w:name="endnote text"/>
    <w:lsdException w:unhideWhenUsed="0" w:uiPriority="99" w:semiHidden="0" w:name="table of authorities"/>
    <w:lsdException w:unhideWhenUsed="0" w:uiPriority="99" w:semiHidden="0" w:name="macro"/>
    <w:lsdException w:unhideWhenUsed="0" w:uiPriority="99" w:semiHidden="0" w:name="toa heading"/>
    <w:lsdException w:unhideWhenUsed="0" w:uiPriority="99" w:semiHidden="0" w:name="List"/>
    <w:lsdException w:unhideWhenUsed="0" w:uiPriority="99" w:semiHidden="0" w:name="List Bullet"/>
    <w:lsdException w:unhideWhenUsed="0" w:uiPriority="99" w:semiHidden="0" w:name="List Number"/>
    <w:lsdException w:unhideWhenUsed="0" w:uiPriority="99" w:semiHidden="0" w:name="List 2"/>
    <w:lsdException w:unhideWhenUsed="0" w:uiPriority="99" w:semiHidden="0" w:name="List 3"/>
    <w:lsdException w:unhideWhenUsed="0" w:uiPriority="99" w:semiHidden="0" w:name="List 4"/>
    <w:lsdException w:unhideWhenUsed="0" w:uiPriority="99" w:semiHidden="0" w:name="List 5"/>
    <w:lsdException w:unhideWhenUsed="0" w:uiPriority="99" w:semiHidden="0" w:name="List Bullet 2"/>
    <w:lsdException w:unhideWhenUsed="0" w:uiPriority="99" w:semiHidden="0" w:name="List Bullet 3"/>
    <w:lsdException w:unhideWhenUsed="0" w:uiPriority="99" w:semiHidden="0" w:name="List Bullet 4"/>
    <w:lsdException w:unhideWhenUsed="0" w:uiPriority="99" w:semiHidden="0" w:name="List Bullet 5"/>
    <w:lsdException w:unhideWhenUsed="0" w:uiPriority="99" w:semiHidden="0" w:name="List Number 2"/>
    <w:lsdException w:unhideWhenUsed="0" w:uiPriority="99" w:semiHidden="0" w:name="List Number 3"/>
    <w:lsdException w:unhideWhenUsed="0" w:uiPriority="99" w:semiHidden="0" w:name="List Number 4"/>
    <w:lsdException w:unhideWhenUsed="0" w:uiPriority="99" w:semiHidden="0" w:name="List Number 5"/>
    <w:lsdException w:qFormat="1" w:unhideWhenUsed="0" w:uiPriority="0" w:semiHidden="0" w:name="Title"/>
    <w:lsdException w:unhideWhenUsed="0" w:uiPriority="99" w:semiHidden="0" w:name="Closing"/>
    <w:lsdException w:unhideWhenUsed="0" w:uiPriority="99" w:semiHidden="0" w:name="Signature"/>
    <w:lsdException w:qFormat="1" w:uiPriority="99" w:semiHidden="0" w:name="Default Paragraph Font"/>
    <w:lsdException w:qFormat="1" w:unhideWhenUsed="0" w:uiPriority="99" w:semiHidden="0" w:name="Body Text"/>
    <w:lsdException w:qFormat="1" w:uiPriority="99" w:semiHidden="0" w:name="Body Text Indent"/>
    <w:lsdException w:unhideWhenUsed="0" w:uiPriority="99" w:semiHidden="0" w:name="List Continue"/>
    <w:lsdException w:unhideWhenUsed="0" w:uiPriority="99" w:semiHidden="0" w:name="List Continue 2"/>
    <w:lsdException w:unhideWhenUsed="0" w:uiPriority="99" w:semiHidden="0" w:name="List Continue 3"/>
    <w:lsdException w:unhideWhenUsed="0" w:uiPriority="99" w:semiHidden="0" w:name="List Continue 4"/>
    <w:lsdException w:unhideWhenUsed="0" w:uiPriority="99" w:semiHidden="0" w:name="List Continue 5"/>
    <w:lsdException w:unhideWhenUsed="0" w:uiPriority="99" w:semiHidden="0" w:name="Message Header"/>
    <w:lsdException w:qFormat="1" w:unhideWhenUsed="0" w:uiPriority="99" w:semiHidden="0" w:name="Subtitle"/>
    <w:lsdException w:unhideWhenUsed="0" w:uiPriority="99" w:semiHidden="0" w:name="Salutation"/>
    <w:lsdException w:unhideWhenUsed="0" w:uiPriority="99" w:semiHidden="0" w:name="Date"/>
    <w:lsdException w:unhideWhenUsed="0" w:uiPriority="99" w:semiHidden="0" w:name="Body Text First Indent"/>
    <w:lsdException w:unhideWhenUsed="0" w:uiPriority="99" w:semiHidden="0" w:name="Body Text First Indent 2"/>
    <w:lsdException w:unhideWhenUsed="0" w:uiPriority="99" w:semiHidden="0" w:name="Note Heading"/>
    <w:lsdException w:unhideWhenUsed="0" w:uiPriority="99" w:semiHidden="0" w:name="Body Text 2"/>
    <w:lsdException w:unhideWhenUsed="0" w:uiPriority="99" w:semiHidden="0" w:name="Body Text 3"/>
    <w:lsdException w:qFormat="1" w:unhideWhenUsed="0" w:uiPriority="99" w:semiHidden="0" w:name="Body Text Indent 2"/>
    <w:lsdException w:unhideWhenUsed="0" w:uiPriority="99" w:semiHidden="0" w:name="Body Text Indent 3"/>
    <w:lsdException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unhideWhenUsed="0" w:uiPriority="99" w:semiHidden="0" w:name="Document Map"/>
    <w:lsdException w:unhideWhenUsed="0" w:uiPriority="99" w:semiHidden="0" w:name="Plain Text"/>
    <w:lsdException w:unhideWhenUsed="0" w:uiPriority="99" w:semiHidden="0" w:name="E-mail Signature"/>
    <w:lsdException w:qFormat="1" w:unhideWhenUsed="0" w:uiPriority="99" w:semiHidden="0" w:name="Normal (Web)"/>
    <w:lsdException w:unhideWhenUsed="0" w:uiPriority="99" w:semiHidden="0" w:name="HTML Acronym"/>
    <w:lsdException w:unhideWhenUsed="0" w:uiPriority="99" w:semiHidden="0" w:name="HTML Address"/>
    <w:lsdException w:unhideWhenUsed="0" w:uiPriority="99" w:semiHidden="0" w:name="HTML Cite"/>
    <w:lsdException w:unhideWhenUsed="0" w:uiPriority="99" w:semiHidden="0" w:name="HTML Code"/>
    <w:lsdException w:unhideWhenUsed="0" w:uiPriority="99" w:semiHidden="0" w:name="HTML Definition"/>
    <w:lsdException w:unhideWhenUsed="0" w:uiPriority="99" w:semiHidden="0" w:name="HTML Keyboard"/>
    <w:lsdException w:unhideWhenUsed="0" w:uiPriority="99" w:semiHidden="0" w:name="HTML Preformatted"/>
    <w:lsdException w:unhideWhenUsed="0" w:uiPriority="99" w:semiHidden="0" w:name="HTML Sample"/>
    <w:lsdException w:unhideWhenUsed="0" w:uiPriority="99" w:semiHidden="0" w:name="HTML Typewriter"/>
    <w:lsdException w:unhideWhenUsed="0" w:uiPriority="99" w:semiHidden="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9"/>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qFormat/>
    <w:uiPriority w:val="99"/>
    <w:pPr>
      <w:keepNext/>
      <w:keepLines/>
      <w:numPr>
        <w:ilvl w:val="0"/>
        <w:numId w:val="0"/>
      </w:numPr>
      <w:adjustRightInd w:val="0"/>
      <w:snapToGrid w:val="0"/>
      <w:spacing w:before="50" w:beforeLines="50" w:after="50" w:afterLines="50" w:line="360" w:lineRule="auto"/>
      <w:ind w:left="0" w:firstLine="0"/>
      <w:jc w:val="center"/>
      <w:outlineLvl w:val="0"/>
    </w:pPr>
    <w:rPr>
      <w:rFonts w:ascii="Times New Roman" w:hAnsi="Times New Roman" w:eastAsia="宋体"/>
      <w:b/>
      <w:bCs/>
      <w:kern w:val="44"/>
      <w:sz w:val="36"/>
      <w:szCs w:val="44"/>
    </w:rPr>
  </w:style>
  <w:style w:type="paragraph" w:styleId="5">
    <w:name w:val="heading 2"/>
    <w:basedOn w:val="1"/>
    <w:next w:val="1"/>
    <w:qFormat/>
    <w:uiPriority w:val="99"/>
    <w:pPr>
      <w:keepNext/>
      <w:keepLines/>
      <w:numPr>
        <w:ilvl w:val="1"/>
        <w:numId w:val="0"/>
      </w:numPr>
      <w:adjustRightInd w:val="0"/>
      <w:snapToGrid w:val="0"/>
      <w:spacing w:before="50" w:beforeLines="50" w:after="50" w:afterLines="50" w:line="360" w:lineRule="auto"/>
      <w:ind w:left="0" w:firstLine="0"/>
      <w:jc w:val="left"/>
      <w:outlineLvl w:val="1"/>
    </w:pPr>
    <w:rPr>
      <w:rFonts w:ascii="Times New Roman" w:hAnsi="Times New Roman" w:eastAsia="宋体"/>
      <w:b/>
      <w:bCs/>
      <w:sz w:val="32"/>
      <w:szCs w:val="32"/>
    </w:rPr>
  </w:style>
  <w:style w:type="paragraph" w:styleId="6">
    <w:name w:val="heading 3"/>
    <w:basedOn w:val="1"/>
    <w:next w:val="1"/>
    <w:qFormat/>
    <w:uiPriority w:val="99"/>
    <w:pPr>
      <w:keepNext/>
      <w:keepLines/>
      <w:numPr>
        <w:ilvl w:val="2"/>
        <w:numId w:val="0"/>
      </w:numPr>
      <w:adjustRightInd w:val="0"/>
      <w:snapToGrid w:val="0"/>
      <w:spacing w:before="50" w:beforeLines="50" w:after="50" w:afterLines="50" w:line="360" w:lineRule="auto"/>
      <w:ind w:left="0" w:firstLine="0"/>
      <w:outlineLvl w:val="2"/>
    </w:pPr>
    <w:rPr>
      <w:rFonts w:ascii="Times New Roman" w:hAnsi="Times New Roman" w:eastAsia="宋体"/>
      <w:b/>
      <w:sz w:val="30"/>
      <w:szCs w:val="28"/>
      <w:lang w:val="zh-CN"/>
    </w:rPr>
  </w:style>
  <w:style w:type="paragraph" w:styleId="7">
    <w:name w:val="heading 4"/>
    <w:basedOn w:val="1"/>
    <w:next w:val="1"/>
    <w:unhideWhenUsed/>
    <w:qFormat/>
    <w:uiPriority w:val="99"/>
    <w:pPr>
      <w:keepNext/>
      <w:keepLines/>
      <w:adjustRightInd w:val="0"/>
      <w:snapToGrid w:val="0"/>
      <w:spacing w:beforeLines="0" w:beforeAutospacing="0" w:afterLines="0" w:afterAutospacing="0" w:line="360" w:lineRule="auto"/>
      <w:outlineLvl w:val="3"/>
    </w:pPr>
    <w:rPr>
      <w:rFonts w:ascii="Times New Roman" w:hAnsi="Times New Roman" w:eastAsia="宋体"/>
      <w:b/>
      <w:sz w:val="28"/>
    </w:rPr>
  </w:style>
  <w:style w:type="character" w:default="1" w:styleId="24">
    <w:name w:val="Default Paragraph Font"/>
    <w:unhideWhenUsed/>
    <w:qFormat/>
    <w:uiPriority w:val="99"/>
  </w:style>
  <w:style w:type="table" w:default="1" w:styleId="22">
    <w:name w:val="Normal Table"/>
    <w:semiHidden/>
    <w:unhideWhenUsed/>
    <w:qFormat/>
    <w:uiPriority w:val="99"/>
    <w:tblPr>
      <w:tblCellMar>
        <w:top w:w="0" w:type="dxa"/>
        <w:left w:w="108" w:type="dxa"/>
        <w:bottom w:w="0" w:type="dxa"/>
        <w:right w:w="108" w:type="dxa"/>
      </w:tblCellMar>
    </w:tblPr>
  </w:style>
  <w:style w:type="paragraph" w:customStyle="1" w:styleId="2">
    <w:name w:val="Default"/>
    <w:next w:val="3"/>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3">
    <w:name w:val="toc 3"/>
    <w:basedOn w:val="1"/>
    <w:next w:val="1"/>
    <w:unhideWhenUsed/>
    <w:qFormat/>
    <w:uiPriority w:val="39"/>
    <w:pPr>
      <w:widowControl/>
      <w:spacing w:after="100" w:line="360" w:lineRule="auto"/>
      <w:ind w:left="442"/>
      <w:jc w:val="left"/>
    </w:pPr>
    <w:rPr>
      <w:rFonts w:ascii="Calibri" w:hAnsi="Calibri" w:eastAsia="宋体" w:cs="Times New Roman"/>
      <w:b/>
      <w:kern w:val="0"/>
    </w:rPr>
  </w:style>
  <w:style w:type="paragraph" w:styleId="8">
    <w:name w:val="Normal Indent"/>
    <w:basedOn w:val="1"/>
    <w:qFormat/>
    <w:uiPriority w:val="99"/>
    <w:pPr>
      <w:ind w:firstLine="420"/>
      <w:jc w:val="left"/>
    </w:pPr>
    <w:rPr>
      <w:szCs w:val="20"/>
    </w:rPr>
  </w:style>
  <w:style w:type="paragraph" w:styleId="9">
    <w:name w:val="caption"/>
    <w:basedOn w:val="1"/>
    <w:next w:val="1"/>
    <w:qFormat/>
    <w:uiPriority w:val="99"/>
    <w:pPr>
      <w:jc w:val="left"/>
    </w:pPr>
    <w:rPr>
      <w:rFonts w:hAnsi="Calibri"/>
      <w:szCs w:val="20"/>
    </w:rPr>
  </w:style>
  <w:style w:type="paragraph" w:styleId="10">
    <w:name w:val="annotation text"/>
    <w:basedOn w:val="1"/>
    <w:link w:val="31"/>
    <w:qFormat/>
    <w:uiPriority w:val="99"/>
    <w:pPr>
      <w:jc w:val="left"/>
    </w:pPr>
  </w:style>
  <w:style w:type="paragraph" w:styleId="11">
    <w:name w:val="Body Text"/>
    <w:basedOn w:val="1"/>
    <w:qFormat/>
    <w:uiPriority w:val="99"/>
    <w:pPr>
      <w:spacing w:after="120"/>
    </w:pPr>
    <w:rPr>
      <w:rFonts w:ascii="Calibri" w:hAnsi="Calibri" w:cs="Calibri"/>
      <w:szCs w:val="21"/>
    </w:rPr>
  </w:style>
  <w:style w:type="paragraph" w:styleId="12">
    <w:name w:val="Body Text Indent"/>
    <w:basedOn w:val="1"/>
    <w:unhideWhenUsed/>
    <w:qFormat/>
    <w:uiPriority w:val="99"/>
    <w:pPr>
      <w:spacing w:after="120"/>
      <w:ind w:left="420" w:leftChars="200"/>
    </w:pPr>
  </w:style>
  <w:style w:type="paragraph" w:styleId="13">
    <w:name w:val="Body Text Indent 2"/>
    <w:basedOn w:val="1"/>
    <w:qFormat/>
    <w:uiPriority w:val="99"/>
    <w:pPr>
      <w:spacing w:after="120" w:line="480" w:lineRule="auto"/>
      <w:ind w:left="420" w:leftChars="200"/>
    </w:pPr>
  </w:style>
  <w:style w:type="paragraph" w:styleId="14">
    <w:name w:val="Balloon Text"/>
    <w:basedOn w:val="1"/>
    <w:link w:val="32"/>
    <w:qFormat/>
    <w:uiPriority w:val="99"/>
    <w:rPr>
      <w:sz w:val="18"/>
      <w:szCs w:val="18"/>
    </w:rPr>
  </w:style>
  <w:style w:type="paragraph" w:styleId="15">
    <w:name w:val="footer"/>
    <w:basedOn w:val="1"/>
    <w:link w:val="92"/>
    <w:unhideWhenUsed/>
    <w:qFormat/>
    <w:uiPriority w:val="99"/>
    <w:pPr>
      <w:tabs>
        <w:tab w:val="center" w:pos="4153"/>
        <w:tab w:val="right" w:pos="8306"/>
      </w:tabs>
      <w:snapToGrid w:val="0"/>
      <w:jc w:val="left"/>
    </w:pPr>
    <w:rPr>
      <w:sz w:val="18"/>
      <w:szCs w:val="18"/>
    </w:rPr>
  </w:style>
  <w:style w:type="paragraph" w:styleId="16">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17">
    <w:name w:val="toc 1"/>
    <w:basedOn w:val="1"/>
    <w:next w:val="1"/>
    <w:qFormat/>
    <w:uiPriority w:val="39"/>
    <w:pPr>
      <w:adjustRightInd w:val="0"/>
      <w:snapToGrid w:val="0"/>
      <w:spacing w:line="360" w:lineRule="auto"/>
      <w:ind w:firstLine="0" w:firstLineChars="0"/>
    </w:pPr>
    <w:rPr>
      <w:rFonts w:ascii="Times New Roman" w:hAnsi="Times New Roman" w:eastAsia="宋体" w:cs="Times New Roman"/>
      <w:b/>
      <w:sz w:val="32"/>
    </w:rPr>
  </w:style>
  <w:style w:type="paragraph" w:styleId="18">
    <w:name w:val="toc 2"/>
    <w:basedOn w:val="1"/>
    <w:next w:val="1"/>
    <w:unhideWhenUsed/>
    <w:qFormat/>
    <w:uiPriority w:val="39"/>
    <w:pPr>
      <w:widowControl/>
      <w:adjustRightInd w:val="0"/>
      <w:snapToGrid w:val="0"/>
      <w:spacing w:line="360" w:lineRule="auto"/>
      <w:ind w:left="221" w:firstLine="241" w:firstLineChars="100"/>
      <w:jc w:val="left"/>
    </w:pPr>
    <w:rPr>
      <w:rFonts w:ascii="Times New Roman" w:hAnsi="Times New Roman" w:eastAsia="宋体" w:cs="Times New Roman"/>
      <w:b/>
      <w:kern w:val="0"/>
      <w:sz w:val="28"/>
    </w:rPr>
  </w:style>
  <w:style w:type="paragraph" w:styleId="19">
    <w:name w:val="Normal (Web)"/>
    <w:basedOn w:val="1"/>
    <w:qFormat/>
    <w:uiPriority w:val="99"/>
    <w:pPr>
      <w:widowControl/>
      <w:spacing w:before="100" w:beforeAutospacing="1" w:after="100" w:afterAutospacing="1"/>
      <w:jc w:val="left"/>
    </w:pPr>
    <w:rPr>
      <w:rFonts w:ascii="宋体" w:hAnsi="宋体" w:cs="宋体"/>
      <w:szCs w:val="24"/>
    </w:rPr>
  </w:style>
  <w:style w:type="paragraph" w:styleId="20">
    <w:name w:val="Title"/>
    <w:basedOn w:val="1"/>
    <w:next w:val="1"/>
    <w:link w:val="33"/>
    <w:qFormat/>
    <w:uiPriority w:val="0"/>
    <w:pPr>
      <w:adjustRightInd w:val="0"/>
      <w:snapToGrid w:val="0"/>
      <w:spacing w:line="360" w:lineRule="auto"/>
      <w:ind w:firstLine="0" w:firstLineChars="0"/>
      <w:jc w:val="center"/>
      <w:outlineLvl w:val="0"/>
    </w:pPr>
    <w:rPr>
      <w:rFonts w:ascii="Times New Roman" w:hAnsi="Times New Roman" w:eastAsia="宋体" w:cstheme="majorBidi"/>
      <w:b/>
      <w:bCs/>
      <w:sz w:val="36"/>
      <w:szCs w:val="32"/>
    </w:rPr>
  </w:style>
  <w:style w:type="paragraph" w:styleId="21">
    <w:name w:val="annotation subject"/>
    <w:basedOn w:val="10"/>
    <w:next w:val="10"/>
    <w:link w:val="34"/>
    <w:qFormat/>
    <w:uiPriority w:val="99"/>
    <w:rPr>
      <w:b/>
      <w:bCs/>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5">
    <w:name w:val="page number"/>
    <w:basedOn w:val="24"/>
    <w:qFormat/>
    <w:uiPriority w:val="99"/>
    <w:rPr>
      <w:rFonts w:eastAsia="宋体"/>
      <w:kern w:val="2"/>
      <w:sz w:val="21"/>
      <w:lang w:val="en-US" w:eastAsia="zh-CN" w:bidi="ar-SA"/>
    </w:rPr>
  </w:style>
  <w:style w:type="character" w:styleId="26">
    <w:name w:val="FollowedHyperlink"/>
    <w:basedOn w:val="24"/>
    <w:qFormat/>
    <w:uiPriority w:val="99"/>
    <w:rPr>
      <w:color w:val="800080"/>
      <w:u w:val="none"/>
    </w:rPr>
  </w:style>
  <w:style w:type="character" w:styleId="27">
    <w:name w:val="Hyperlink"/>
    <w:basedOn w:val="24"/>
    <w:qFormat/>
    <w:uiPriority w:val="99"/>
    <w:rPr>
      <w:color w:val="0000FF"/>
      <w:u w:val="none"/>
    </w:rPr>
  </w:style>
  <w:style w:type="character" w:styleId="28">
    <w:name w:val="annotation reference"/>
    <w:basedOn w:val="24"/>
    <w:qFormat/>
    <w:uiPriority w:val="99"/>
    <w:rPr>
      <w:sz w:val="21"/>
      <w:szCs w:val="21"/>
    </w:rPr>
  </w:style>
  <w:style w:type="paragraph" w:customStyle="1" w:styleId="29">
    <w:name w:val="表头"/>
    <w:next w:val="1"/>
    <w:qFormat/>
    <w:uiPriority w:val="99"/>
    <w:pPr>
      <w:spacing w:beforeLines="50"/>
      <w:jc w:val="center"/>
    </w:pPr>
    <w:rPr>
      <w:rFonts w:ascii="Times New Roman" w:hAnsi="Times New Roman" w:eastAsia="宋体" w:cs="Times New Roman"/>
      <w:b/>
      <w:bCs/>
      <w:kern w:val="2"/>
      <w:sz w:val="24"/>
      <w:szCs w:val="24"/>
      <w:lang w:val="en-US" w:eastAsia="zh-CN" w:bidi="ar-SA"/>
    </w:rPr>
  </w:style>
  <w:style w:type="paragraph" w:customStyle="1" w:styleId="30">
    <w:name w:val="Default1"/>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1">
    <w:name w:val="批注文字 Char"/>
    <w:basedOn w:val="24"/>
    <w:link w:val="10"/>
    <w:qFormat/>
    <w:uiPriority w:val="99"/>
    <w:rPr>
      <w:rFonts w:asciiTheme="minorHAnsi" w:hAnsiTheme="minorHAnsi" w:eastAsiaTheme="minorEastAsia" w:cstheme="minorBidi"/>
      <w:kern w:val="2"/>
      <w:sz w:val="21"/>
      <w:szCs w:val="22"/>
    </w:rPr>
  </w:style>
  <w:style w:type="character" w:customStyle="1" w:styleId="32">
    <w:name w:val="批注框文本 Char"/>
    <w:basedOn w:val="24"/>
    <w:link w:val="14"/>
    <w:qFormat/>
    <w:uiPriority w:val="99"/>
    <w:rPr>
      <w:rFonts w:asciiTheme="minorHAnsi" w:hAnsiTheme="minorHAnsi" w:eastAsiaTheme="minorEastAsia" w:cstheme="minorBidi"/>
      <w:kern w:val="2"/>
      <w:sz w:val="18"/>
      <w:szCs w:val="18"/>
    </w:rPr>
  </w:style>
  <w:style w:type="character" w:customStyle="1" w:styleId="33">
    <w:name w:val="标题 Char"/>
    <w:basedOn w:val="24"/>
    <w:link w:val="20"/>
    <w:qFormat/>
    <w:uiPriority w:val="0"/>
    <w:rPr>
      <w:rFonts w:ascii="Times New Roman" w:hAnsi="Times New Roman" w:eastAsia="宋体" w:cstheme="majorBidi"/>
      <w:b/>
      <w:bCs/>
      <w:kern w:val="2"/>
      <w:sz w:val="36"/>
      <w:szCs w:val="32"/>
    </w:rPr>
  </w:style>
  <w:style w:type="character" w:customStyle="1" w:styleId="34">
    <w:name w:val="批注主题 Char"/>
    <w:basedOn w:val="31"/>
    <w:link w:val="21"/>
    <w:qFormat/>
    <w:uiPriority w:val="99"/>
    <w:rPr>
      <w:rFonts w:asciiTheme="minorHAnsi" w:hAnsiTheme="minorHAnsi" w:eastAsiaTheme="minorEastAsia" w:cstheme="minorBidi"/>
      <w:b/>
      <w:bCs/>
      <w:kern w:val="2"/>
      <w:sz w:val="21"/>
      <w:szCs w:val="22"/>
    </w:rPr>
  </w:style>
  <w:style w:type="paragraph" w:customStyle="1" w:styleId="35">
    <w:name w:val="WPSOffice手动目录 1"/>
    <w:qFormat/>
    <w:uiPriority w:val="99"/>
    <w:rPr>
      <w:rFonts w:ascii="Calibri" w:hAnsi="Calibri" w:eastAsia="宋体" w:cs="Times New Roman"/>
      <w:sz w:val="24"/>
      <w:lang w:val="en-US" w:eastAsia="zh-CN" w:bidi="ar-SA"/>
    </w:rPr>
  </w:style>
  <w:style w:type="paragraph" w:customStyle="1" w:styleId="36">
    <w:name w:val="样式 标题 2"/>
    <w:basedOn w:val="5"/>
    <w:qFormat/>
    <w:uiPriority w:val="99"/>
    <w:pPr>
      <w:spacing w:before="120" w:after="120"/>
    </w:pPr>
    <w:rPr>
      <w:rFonts w:eastAsia="宋体" w:cs="宋体"/>
      <w:color w:val="000000"/>
    </w:rPr>
  </w:style>
  <w:style w:type="paragraph" w:customStyle="1" w:styleId="37">
    <w:name w:val="_Style 6"/>
    <w:basedOn w:val="4"/>
    <w:next w:val="1"/>
    <w:qFormat/>
    <w:uiPriority w:val="99"/>
    <w:pPr>
      <w:widowControl/>
      <w:numPr>
        <w:numId w:val="0"/>
      </w:numPr>
      <w:adjustRightInd/>
      <w:spacing w:before="480" w:after="0" w:line="276" w:lineRule="auto"/>
      <w:jc w:val="left"/>
      <w:outlineLvl w:val="9"/>
    </w:pPr>
    <w:rPr>
      <w:rFonts w:ascii="Cambria" w:hAnsi="Cambria" w:eastAsia="宋体"/>
      <w:color w:val="365F91"/>
      <w:kern w:val="0"/>
      <w:sz w:val="28"/>
      <w:szCs w:val="28"/>
    </w:rPr>
  </w:style>
  <w:style w:type="paragraph" w:customStyle="1" w:styleId="38">
    <w:name w:val="样式 10 磅"/>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39">
    <w:name w:val="表名图名"/>
    <w:basedOn w:val="1"/>
    <w:qFormat/>
    <w:uiPriority w:val="99"/>
    <w:pPr>
      <w:jc w:val="center"/>
    </w:pPr>
    <w:rPr>
      <w:rFonts w:eastAsia="Times New Roman"/>
      <w:b/>
      <w:szCs w:val="24"/>
    </w:rPr>
  </w:style>
  <w:style w:type="character" w:customStyle="1" w:styleId="40">
    <w:name w:val="tpc_content1"/>
    <w:qFormat/>
    <w:uiPriority w:val="99"/>
    <w:rPr>
      <w:sz w:val="20"/>
      <w:szCs w:val="20"/>
    </w:rPr>
  </w:style>
  <w:style w:type="paragraph" w:customStyle="1" w:styleId="41">
    <w:name w:val="表格内容"/>
    <w:next w:val="1"/>
    <w:qFormat/>
    <w:uiPriority w:val="99"/>
    <w:pPr>
      <w:jc w:val="center"/>
    </w:pPr>
    <w:rPr>
      <w:rFonts w:ascii="Times New Roman" w:hAnsi="Times New Roman" w:eastAsia="宋体" w:cs="Times New Roman"/>
      <w:color w:val="000000"/>
      <w:sz w:val="24"/>
      <w:szCs w:val="24"/>
      <w:lang w:val="en-US" w:eastAsia="zh-CN" w:bidi="ar-SA"/>
    </w:rPr>
  </w:style>
  <w:style w:type="paragraph" w:customStyle="1" w:styleId="42">
    <w:name w:val="1正文"/>
    <w:qFormat/>
    <w:uiPriority w:val="99"/>
    <w:pPr>
      <w:snapToGrid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43">
    <w:name w:val="表格居中"/>
    <w:basedOn w:val="1"/>
    <w:qFormat/>
    <w:uiPriority w:val="99"/>
    <w:pPr>
      <w:jc w:val="center"/>
    </w:pPr>
    <w:rPr>
      <w:rFonts w:ascii="宋体" w:hAnsi="宋体"/>
      <w:snapToGrid w:val="0"/>
      <w:spacing w:val="-4"/>
      <w:w w:val="90"/>
      <w:kern w:val="0"/>
      <w:szCs w:val="24"/>
    </w:rPr>
  </w:style>
  <w:style w:type="paragraph" w:customStyle="1" w:styleId="44">
    <w:name w:val="图纸的标题"/>
    <w:basedOn w:val="45"/>
    <w:qFormat/>
    <w:uiPriority w:val="99"/>
    <w:pPr>
      <w:spacing w:beforeLines="50"/>
      <w:jc w:val="center"/>
    </w:pPr>
    <w:rPr>
      <w:rFonts w:eastAsia="黑体"/>
      <w:szCs w:val="24"/>
    </w:rPr>
  </w:style>
  <w:style w:type="paragraph" w:customStyle="1" w:styleId="45">
    <w:name w:val="预案正文"/>
    <w:basedOn w:val="1"/>
    <w:qFormat/>
    <w:uiPriority w:val="99"/>
    <w:pPr>
      <w:adjustRightInd w:val="0"/>
      <w:snapToGrid w:val="0"/>
    </w:pPr>
    <w:rPr>
      <w:szCs w:val="28"/>
    </w:rPr>
  </w:style>
  <w:style w:type="paragraph" w:customStyle="1" w:styleId="46">
    <w:name w:val="正本文字"/>
    <w:basedOn w:val="1"/>
    <w:qFormat/>
    <w:uiPriority w:val="99"/>
    <w:pPr>
      <w:snapToGrid w:val="0"/>
    </w:pPr>
    <w:rPr>
      <w:rFonts w:cs="宋体"/>
      <w:kern w:val="18"/>
    </w:rPr>
  </w:style>
  <w:style w:type="paragraph" w:customStyle="1" w:styleId="47">
    <w:name w:val="表格文字"/>
    <w:basedOn w:val="1"/>
    <w:qFormat/>
    <w:uiPriority w:val="99"/>
    <w:pPr>
      <w:adjustRightInd w:val="0"/>
      <w:snapToGrid w:val="0"/>
      <w:jc w:val="center"/>
    </w:pPr>
    <w:rPr>
      <w:szCs w:val="21"/>
    </w:rPr>
  </w:style>
  <w:style w:type="paragraph" w:customStyle="1" w:styleId="48">
    <w:name w:val="表格中文字"/>
    <w:basedOn w:val="1"/>
    <w:qFormat/>
    <w:uiPriority w:val="99"/>
    <w:pPr>
      <w:snapToGrid w:val="0"/>
      <w:jc w:val="center"/>
    </w:pPr>
    <w:rPr>
      <w:kern w:val="18"/>
      <w:szCs w:val="21"/>
    </w:rPr>
  </w:style>
  <w:style w:type="paragraph" w:customStyle="1" w:styleId="49">
    <w:name w:val="正文2"/>
    <w:basedOn w:val="1"/>
    <w:qFormat/>
    <w:uiPriority w:val="99"/>
    <w:pPr>
      <w:adjustRightInd w:val="0"/>
      <w:ind w:firstLine="480"/>
      <w:textAlignment w:val="baseline"/>
    </w:pPr>
    <w:rPr>
      <w:rFonts w:ascii="宋体" w:hAnsi="宋体" w:cs="宋体"/>
      <w:kern w:val="21"/>
      <w:szCs w:val="24"/>
    </w:rPr>
  </w:style>
  <w:style w:type="paragraph" w:customStyle="1" w:styleId="50">
    <w:name w:val="D正文"/>
    <w:basedOn w:val="51"/>
    <w:qFormat/>
    <w:uiPriority w:val="99"/>
    <w:pPr>
      <w:widowControl w:val="0"/>
      <w:snapToGrid/>
      <w:spacing w:line="360" w:lineRule="auto"/>
      <w:ind w:firstLine="480"/>
    </w:pPr>
    <w:rPr>
      <w:rFonts w:cs="宋体"/>
      <w:color w:val="auto"/>
    </w:rPr>
  </w:style>
  <w:style w:type="paragraph" w:customStyle="1" w:styleId="51">
    <w:name w:val="正文对的"/>
    <w:basedOn w:val="12"/>
    <w:semiHidden/>
    <w:qFormat/>
    <w:uiPriority w:val="99"/>
    <w:pPr>
      <w:widowControl/>
      <w:snapToGrid w:val="0"/>
      <w:spacing w:after="0" w:line="500" w:lineRule="exact"/>
      <w:ind w:left="0" w:leftChars="0" w:firstLine="482"/>
    </w:pPr>
    <w:rPr>
      <w:color w:val="000000"/>
      <w:szCs w:val="24"/>
    </w:rPr>
  </w:style>
  <w:style w:type="paragraph" w:customStyle="1" w:styleId="52">
    <w:name w:val="小四+首行缩进"/>
    <w:basedOn w:val="1"/>
    <w:qFormat/>
    <w:uiPriority w:val="99"/>
    <w:pPr>
      <w:ind w:firstLine="482"/>
    </w:pPr>
    <w:rPr>
      <w:rFonts w:ascii="宋体" w:hAnsi="宋体" w:cs="宋体"/>
      <w:szCs w:val="20"/>
    </w:rPr>
  </w:style>
  <w:style w:type="paragraph" w:customStyle="1" w:styleId="53">
    <w:name w:val="正文w"/>
    <w:basedOn w:val="1"/>
    <w:qFormat/>
    <w:uiPriority w:val="99"/>
  </w:style>
  <w:style w:type="paragraph" w:customStyle="1" w:styleId="54">
    <w:name w:val="表格标题新"/>
    <w:basedOn w:val="1"/>
    <w:qFormat/>
    <w:uiPriority w:val="99"/>
    <w:pPr>
      <w:tabs>
        <w:tab w:val="left" w:pos="0"/>
      </w:tabs>
      <w:snapToGrid w:val="0"/>
      <w:spacing w:before="156" w:beforeLines="50"/>
      <w:jc w:val="center"/>
    </w:pPr>
    <w:rPr>
      <w:rFonts w:ascii="黑体" w:eastAsia="黑体"/>
      <w:snapToGrid w:val="0"/>
      <w:spacing w:val="4"/>
      <w:szCs w:val="24"/>
    </w:rPr>
  </w:style>
  <w:style w:type="paragraph" w:customStyle="1" w:styleId="55">
    <w:name w:val="yt表内"/>
    <w:basedOn w:val="56"/>
    <w:next w:val="56"/>
    <w:qFormat/>
    <w:uiPriority w:val="99"/>
    <w:pPr>
      <w:spacing w:line="240" w:lineRule="atLeast"/>
      <w:ind w:firstLine="0" w:firstLineChars="0"/>
      <w:jc w:val="center"/>
    </w:pPr>
    <w:rPr>
      <w:sz w:val="21"/>
      <w:szCs w:val="21"/>
    </w:rPr>
  </w:style>
  <w:style w:type="paragraph" w:customStyle="1" w:styleId="56">
    <w:name w:val="yt正文"/>
    <w:basedOn w:val="8"/>
    <w:next w:val="13"/>
    <w:qFormat/>
    <w:uiPriority w:val="99"/>
    <w:pPr>
      <w:spacing w:line="360" w:lineRule="auto"/>
      <w:ind w:firstLine="200" w:firstLineChars="200"/>
    </w:pPr>
    <w:rPr>
      <w:sz w:val="24"/>
      <w:szCs w:val="24"/>
    </w:rPr>
  </w:style>
  <w:style w:type="paragraph" w:customStyle="1" w:styleId="57">
    <w:name w:val="无间隔1"/>
    <w:qFormat/>
    <w:uiPriority w:val="99"/>
    <w:pPr>
      <w:widowControl w:val="0"/>
      <w:jc w:val="center"/>
    </w:pPr>
    <w:rPr>
      <w:rFonts w:ascii="Times New Roman" w:hAnsi="Times New Roman" w:eastAsia="宋体" w:cs="Times New Roman"/>
      <w:b/>
      <w:kern w:val="2"/>
      <w:sz w:val="24"/>
      <w:szCs w:val="22"/>
      <w:lang w:val="en-US" w:eastAsia="zh-CN" w:bidi="ar-SA"/>
    </w:rPr>
  </w:style>
  <w:style w:type="paragraph" w:customStyle="1" w:styleId="58">
    <w:name w:val="敏敏敏环评正文"/>
    <w:basedOn w:val="1"/>
    <w:qFormat/>
    <w:uiPriority w:val="99"/>
  </w:style>
  <w:style w:type="paragraph" w:customStyle="1" w:styleId="59">
    <w:name w:val="表中字"/>
    <w:qFormat/>
    <w:uiPriority w:val="99"/>
    <w:pPr>
      <w:jc w:val="center"/>
    </w:pPr>
    <w:rPr>
      <w:rFonts w:ascii="Times New Roman" w:hAnsi="Times New Roman" w:eastAsia="宋体" w:cs="Times New Roman"/>
      <w:kern w:val="2"/>
      <w:sz w:val="24"/>
      <w:szCs w:val="24"/>
      <w:lang w:val="en-US" w:eastAsia="zh-CN" w:bidi="ar-SA"/>
    </w:rPr>
  </w:style>
  <w:style w:type="paragraph" w:customStyle="1" w:styleId="60">
    <w:name w:val="标题2"/>
    <w:next w:val="1"/>
    <w:qFormat/>
    <w:uiPriority w:val="99"/>
    <w:pPr>
      <w:spacing w:beforeLines="50" w:afterLines="50" w:line="360" w:lineRule="auto"/>
      <w:outlineLvl w:val="1"/>
    </w:pPr>
    <w:rPr>
      <w:rFonts w:ascii="Times New Roman" w:hAnsi="Times New Roman" w:eastAsia="宋体" w:cs="Times New Roman"/>
      <w:b/>
      <w:bCs/>
      <w:kern w:val="2"/>
      <w:sz w:val="30"/>
      <w:szCs w:val="30"/>
      <w:lang w:val="en-US" w:eastAsia="zh-CN" w:bidi="ar-SA"/>
    </w:rPr>
  </w:style>
  <w:style w:type="paragraph" w:customStyle="1" w:styleId="61">
    <w:name w:val="正文文本 211"/>
    <w:basedOn w:val="1"/>
    <w:qFormat/>
    <w:uiPriority w:val="99"/>
    <w:pPr>
      <w:adjustRightInd w:val="0"/>
      <w:jc w:val="center"/>
      <w:textAlignment w:val="baseline"/>
    </w:pPr>
    <w:rPr>
      <w:szCs w:val="20"/>
    </w:rPr>
  </w:style>
  <w:style w:type="paragraph" w:customStyle="1" w:styleId="62">
    <w:name w:val="报告表  段"/>
    <w:basedOn w:val="1"/>
    <w:qFormat/>
    <w:uiPriority w:val="99"/>
    <w:pPr>
      <w:adjustRightInd w:val="0"/>
      <w:ind w:firstLine="505"/>
      <w:textAlignment w:val="baseline"/>
    </w:pPr>
    <w:rPr>
      <w:rFonts w:ascii="宋体"/>
      <w:kern w:val="0"/>
      <w:szCs w:val="20"/>
    </w:rPr>
  </w:style>
  <w:style w:type="paragraph" w:customStyle="1" w:styleId="63">
    <w:name w:val="Table Paragraph"/>
    <w:basedOn w:val="1"/>
    <w:qFormat/>
    <w:uiPriority w:val="99"/>
    <w:pPr>
      <w:jc w:val="left"/>
    </w:pPr>
    <w:rPr>
      <w:rFonts w:ascii="Calibri" w:hAnsi="Calibri"/>
      <w:kern w:val="0"/>
      <w:sz w:val="22"/>
      <w:lang w:eastAsia="en-US"/>
    </w:rPr>
  </w:style>
  <w:style w:type="paragraph" w:customStyle="1" w:styleId="64">
    <w:name w:val="标题3"/>
    <w:next w:val="1"/>
    <w:qFormat/>
    <w:uiPriority w:val="99"/>
    <w:pPr>
      <w:spacing w:beforeLines="50" w:line="360" w:lineRule="auto"/>
      <w:jc w:val="both"/>
      <w:outlineLvl w:val="2"/>
    </w:pPr>
    <w:rPr>
      <w:rFonts w:ascii="Times New Roman" w:hAnsi="Times New Roman" w:eastAsia="宋体" w:cs="Times New Roman"/>
      <w:b/>
      <w:bCs/>
      <w:kern w:val="2"/>
      <w:sz w:val="28"/>
      <w:szCs w:val="28"/>
      <w:lang w:val="en-US" w:eastAsia="zh-CN" w:bidi="ar-SA"/>
    </w:rPr>
  </w:style>
  <w:style w:type="character" w:customStyle="1" w:styleId="65">
    <w:name w:val="font51"/>
    <w:basedOn w:val="24"/>
    <w:qFormat/>
    <w:uiPriority w:val="99"/>
    <w:rPr>
      <w:rFonts w:hint="default" w:ascii="Times New Roman" w:hAnsi="Times New Roman" w:cs="Times New Roman"/>
      <w:color w:val="000000"/>
      <w:sz w:val="21"/>
      <w:szCs w:val="21"/>
      <w:u w:val="none"/>
    </w:rPr>
  </w:style>
  <w:style w:type="character" w:customStyle="1" w:styleId="66">
    <w:name w:val="font31"/>
    <w:basedOn w:val="24"/>
    <w:qFormat/>
    <w:uiPriority w:val="99"/>
    <w:rPr>
      <w:rFonts w:hint="default" w:ascii="Times New Roman" w:hAnsi="Times New Roman" w:cs="Times New Roman"/>
      <w:color w:val="000000"/>
      <w:sz w:val="21"/>
      <w:szCs w:val="21"/>
      <w:u w:val="none"/>
      <w:vertAlign w:val="superscript"/>
    </w:rPr>
  </w:style>
  <w:style w:type="character" w:customStyle="1" w:styleId="67">
    <w:name w:val="font41"/>
    <w:basedOn w:val="24"/>
    <w:qFormat/>
    <w:uiPriority w:val="99"/>
    <w:rPr>
      <w:rFonts w:hint="eastAsia" w:ascii="宋体" w:hAnsi="宋体" w:eastAsia="宋体" w:cs="宋体"/>
      <w:color w:val="000000"/>
      <w:sz w:val="21"/>
      <w:szCs w:val="21"/>
      <w:u w:val="none"/>
    </w:rPr>
  </w:style>
  <w:style w:type="character" w:customStyle="1" w:styleId="68">
    <w:name w:val="font11"/>
    <w:basedOn w:val="24"/>
    <w:qFormat/>
    <w:uiPriority w:val="99"/>
    <w:rPr>
      <w:rFonts w:hint="default" w:ascii="Times New Roman" w:hAnsi="Times New Roman" w:cs="Times New Roman"/>
      <w:color w:val="000000"/>
      <w:sz w:val="21"/>
      <w:szCs w:val="21"/>
      <w:u w:val="none"/>
      <w:vertAlign w:val="subscript"/>
    </w:rPr>
  </w:style>
  <w:style w:type="paragraph" w:customStyle="1" w:styleId="69">
    <w:name w:val="表格内正文"/>
    <w:basedOn w:val="1"/>
    <w:qFormat/>
    <w:uiPriority w:val="99"/>
    <w:pPr>
      <w:ind w:firstLine="493"/>
    </w:pPr>
    <w:rPr>
      <w:rFonts w:ascii="宋体" w:hAnsi="宋体"/>
      <w:spacing w:val="4"/>
      <w:kern w:val="18"/>
    </w:rPr>
  </w:style>
  <w:style w:type="paragraph" w:customStyle="1" w:styleId="70">
    <w:name w:val="正文1 Char"/>
    <w:basedOn w:val="1"/>
    <w:qFormat/>
    <w:uiPriority w:val="99"/>
    <w:pPr>
      <w:adjustRightInd w:val="0"/>
      <w:ind w:firstLine="480"/>
      <w:textAlignment w:val="baseline"/>
    </w:pPr>
    <w:rPr>
      <w:rFonts w:ascii="宋体" w:hAnsi="宋体"/>
      <w:kern w:val="21"/>
      <w:szCs w:val="20"/>
    </w:rPr>
  </w:style>
  <w:style w:type="paragraph" w:customStyle="1" w:styleId="71">
    <w:name w:val="标题1"/>
    <w:next w:val="1"/>
    <w:qFormat/>
    <w:uiPriority w:val="99"/>
    <w:pPr>
      <w:spacing w:beforeLines="50" w:afterLines="50" w:line="360" w:lineRule="auto"/>
      <w:jc w:val="center"/>
      <w:outlineLvl w:val="0"/>
    </w:pPr>
    <w:rPr>
      <w:rFonts w:ascii="Times New Roman" w:hAnsi="Times New Roman" w:eastAsia="宋体" w:cs="Times New Roman"/>
      <w:b/>
      <w:bCs/>
      <w:kern w:val="2"/>
      <w:sz w:val="32"/>
      <w:szCs w:val="32"/>
      <w:lang w:val="en-US" w:eastAsia="zh-CN" w:bidi="ar-SA"/>
    </w:rPr>
  </w:style>
  <w:style w:type="paragraph" w:customStyle="1" w:styleId="72">
    <w:name w:val="报告书表格"/>
    <w:basedOn w:val="1"/>
    <w:qFormat/>
    <w:uiPriority w:val="99"/>
    <w:pPr>
      <w:adjustRightInd w:val="0"/>
      <w:spacing w:line="400" w:lineRule="exact"/>
      <w:jc w:val="center"/>
      <w:textAlignment w:val="baseline"/>
    </w:pPr>
    <w:rPr>
      <w:rFonts w:hAnsi="宋体"/>
    </w:rPr>
  </w:style>
  <w:style w:type="paragraph" w:customStyle="1" w:styleId="73">
    <w:name w:val="4"/>
    <w:basedOn w:val="1"/>
    <w:qFormat/>
    <w:uiPriority w:val="99"/>
    <w:pPr>
      <w:ind w:firstLine="601"/>
    </w:pPr>
    <w:rPr>
      <w:rFonts w:ascii="宋体" w:hAnsi="宋体" w:cs="黑体"/>
      <w:sz w:val="28"/>
    </w:rPr>
  </w:style>
  <w:style w:type="paragraph" w:customStyle="1" w:styleId="74">
    <w:name w:val="列出段落11"/>
    <w:basedOn w:val="1"/>
    <w:qFormat/>
    <w:uiPriority w:val="99"/>
    <w:rPr>
      <w:szCs w:val="21"/>
    </w:rPr>
  </w:style>
  <w:style w:type="paragraph" w:customStyle="1" w:styleId="75">
    <w:name w:val="样式5"/>
    <w:basedOn w:val="11"/>
    <w:qFormat/>
    <w:uiPriority w:val="99"/>
    <w:pPr>
      <w:spacing w:after="0" w:line="500" w:lineRule="exact"/>
    </w:pPr>
    <w:rPr>
      <w:rFonts w:ascii="仿宋_GB2312" w:eastAsia="仿宋_GB2312" w:cs="仿宋_GB2312"/>
      <w:sz w:val="28"/>
      <w:szCs w:val="28"/>
    </w:rPr>
  </w:style>
  <w:style w:type="character" w:customStyle="1" w:styleId="76">
    <w:name w:val="apple-style-span"/>
    <w:basedOn w:val="24"/>
    <w:qFormat/>
    <w:uiPriority w:val="99"/>
  </w:style>
  <w:style w:type="paragraph" w:customStyle="1" w:styleId="77">
    <w:name w:val="图表文字"/>
    <w:basedOn w:val="1"/>
    <w:qFormat/>
    <w:uiPriority w:val="99"/>
    <w:pPr>
      <w:jc w:val="center"/>
    </w:pPr>
    <w:rPr>
      <w:color w:val="000000"/>
      <w:kern w:val="0"/>
      <w:szCs w:val="21"/>
    </w:rPr>
  </w:style>
  <w:style w:type="paragraph" w:customStyle="1" w:styleId="78">
    <w:name w:val="标题1y"/>
    <w:next w:val="1"/>
    <w:qFormat/>
    <w:uiPriority w:val="0"/>
    <w:pPr>
      <w:spacing w:before="50" w:beforeLines="50" w:after="50" w:afterLines="50" w:line="360" w:lineRule="auto"/>
      <w:jc w:val="center"/>
      <w:outlineLvl w:val="0"/>
    </w:pPr>
    <w:rPr>
      <w:rFonts w:ascii="Times New Roman" w:hAnsi="Times New Roman" w:eastAsia="宋体" w:cs="Times New Roman"/>
      <w:b/>
      <w:kern w:val="2"/>
      <w:sz w:val="32"/>
      <w:szCs w:val="24"/>
      <w:lang w:val="en-US" w:eastAsia="zh-CN" w:bidi="ar-SA"/>
    </w:rPr>
  </w:style>
  <w:style w:type="paragraph" w:customStyle="1" w:styleId="79">
    <w:name w:val="标题2y"/>
    <w:next w:val="1"/>
    <w:qFormat/>
    <w:uiPriority w:val="0"/>
    <w:pPr>
      <w:adjustRightInd w:val="0"/>
      <w:snapToGrid w:val="0"/>
      <w:spacing w:line="360" w:lineRule="auto"/>
      <w:outlineLvl w:val="1"/>
    </w:pPr>
    <w:rPr>
      <w:rFonts w:ascii="Times New Roman" w:hAnsi="Times New Roman" w:eastAsia="宋体" w:cs="Times New Roman"/>
      <w:b/>
      <w:kern w:val="2"/>
      <w:sz w:val="30"/>
      <w:szCs w:val="24"/>
      <w:lang w:val="en-US" w:eastAsia="zh-CN" w:bidi="ar-SA"/>
    </w:rPr>
  </w:style>
  <w:style w:type="paragraph" w:customStyle="1" w:styleId="80">
    <w:name w:val="标题3y"/>
    <w:next w:val="1"/>
    <w:qFormat/>
    <w:uiPriority w:val="0"/>
    <w:pPr>
      <w:adjustRightInd w:val="0"/>
      <w:snapToGrid w:val="0"/>
      <w:spacing w:line="360" w:lineRule="auto"/>
      <w:jc w:val="both"/>
      <w:outlineLvl w:val="2"/>
    </w:pPr>
    <w:rPr>
      <w:rFonts w:ascii="Times New Roman" w:hAnsi="Times New Roman" w:eastAsia="宋体" w:cs="Times New Roman"/>
      <w:b/>
      <w:kern w:val="2"/>
      <w:sz w:val="28"/>
      <w:szCs w:val="24"/>
      <w:lang w:val="en-US" w:eastAsia="zh-CN" w:bidi="ar-SA"/>
    </w:rPr>
  </w:style>
  <w:style w:type="paragraph" w:customStyle="1" w:styleId="81">
    <w:name w:val="标题4y"/>
    <w:next w:val="1"/>
    <w:qFormat/>
    <w:uiPriority w:val="0"/>
    <w:pPr>
      <w:spacing w:line="360" w:lineRule="auto"/>
      <w:jc w:val="both"/>
      <w:outlineLvl w:val="3"/>
    </w:pPr>
    <w:rPr>
      <w:rFonts w:ascii="Times New Roman" w:hAnsi="Times New Roman" w:eastAsia="宋体" w:cs="Times New Roman"/>
      <w:b/>
      <w:kern w:val="2"/>
      <w:sz w:val="24"/>
      <w:szCs w:val="24"/>
      <w:lang w:val="en-US" w:eastAsia="zh-CN" w:bidi="ar-SA"/>
    </w:rPr>
  </w:style>
  <w:style w:type="paragraph" w:customStyle="1" w:styleId="82">
    <w:name w:val="表头y"/>
    <w:next w:val="1"/>
    <w:qFormat/>
    <w:uiPriority w:val="0"/>
    <w:pPr>
      <w:spacing w:before="50" w:beforeLines="50" w:after="50" w:afterLines="50"/>
      <w:jc w:val="center"/>
    </w:pPr>
    <w:rPr>
      <w:rFonts w:ascii="Times New Roman" w:hAnsi="Times New Roman" w:eastAsia="宋体" w:cs="Arial"/>
      <w:b/>
      <w:kern w:val="2"/>
      <w:sz w:val="24"/>
      <w:szCs w:val="24"/>
      <w:lang w:val="en-US" w:eastAsia="zh-CN" w:bidi="ar-SA"/>
    </w:rPr>
  </w:style>
  <w:style w:type="paragraph" w:customStyle="1" w:styleId="83">
    <w:name w:val="表文y"/>
    <w:basedOn w:val="1"/>
    <w:qFormat/>
    <w:uiPriority w:val="0"/>
    <w:pPr>
      <w:snapToGrid w:val="0"/>
      <w:jc w:val="center"/>
    </w:pPr>
    <w:rPr>
      <w:rFonts w:ascii="Times New Roman" w:hAnsi="Times New Roman" w:eastAsia="宋体" w:cs="Times New Roman"/>
      <w:kern w:val="18"/>
      <w:szCs w:val="21"/>
    </w:rPr>
  </w:style>
  <w:style w:type="paragraph" w:customStyle="1" w:styleId="84">
    <w:name w:val="结构图文y"/>
    <w:basedOn w:val="1"/>
    <w:link w:val="85"/>
    <w:qFormat/>
    <w:uiPriority w:val="0"/>
    <w:pPr>
      <w:widowControl/>
      <w:tabs>
        <w:tab w:val="left" w:pos="903"/>
      </w:tabs>
      <w:spacing w:before="50" w:after="50"/>
      <w:ind w:left="903" w:hanging="315"/>
      <w:jc w:val="center"/>
      <w:outlineLvl w:val="1"/>
    </w:pPr>
    <w:rPr>
      <w:rFonts w:ascii="黑体" w:hAnsi="Times New Roman" w:eastAsia="黑体" w:cs="Times New Roman"/>
      <w:kern w:val="0"/>
      <w:sz w:val="24"/>
      <w:szCs w:val="20"/>
    </w:rPr>
  </w:style>
  <w:style w:type="character" w:customStyle="1" w:styleId="85">
    <w:name w:val="结构图文y Char"/>
    <w:basedOn w:val="24"/>
    <w:link w:val="84"/>
    <w:uiPriority w:val="0"/>
    <w:rPr>
      <w:rFonts w:ascii="黑体" w:eastAsia="黑体"/>
      <w:sz w:val="24"/>
    </w:rPr>
  </w:style>
  <w:style w:type="paragraph" w:customStyle="1" w:styleId="86">
    <w:name w:val="附图y"/>
    <w:basedOn w:val="84"/>
    <w:link w:val="87"/>
    <w:qFormat/>
    <w:uiPriority w:val="0"/>
    <w:pPr>
      <w:spacing w:line="360" w:lineRule="auto"/>
      <w:ind w:left="908" w:hanging="318"/>
      <w:jc w:val="left"/>
    </w:pPr>
    <w:rPr>
      <w:b/>
    </w:rPr>
  </w:style>
  <w:style w:type="character" w:customStyle="1" w:styleId="87">
    <w:name w:val="附图y Char"/>
    <w:basedOn w:val="85"/>
    <w:link w:val="86"/>
    <w:qFormat/>
    <w:uiPriority w:val="0"/>
    <w:rPr>
      <w:rFonts w:ascii="黑体" w:eastAsia="黑体"/>
      <w:b/>
      <w:sz w:val="24"/>
    </w:rPr>
  </w:style>
  <w:style w:type="paragraph" w:customStyle="1" w:styleId="88">
    <w:name w:val="序号y"/>
    <w:basedOn w:val="1"/>
    <w:link w:val="89"/>
    <w:qFormat/>
    <w:uiPriority w:val="0"/>
    <w:pPr>
      <w:widowControl/>
      <w:tabs>
        <w:tab w:val="left" w:pos="903"/>
      </w:tabs>
      <w:spacing w:before="50" w:after="50" w:line="360" w:lineRule="auto"/>
      <w:ind w:left="908" w:hanging="318"/>
      <w:outlineLvl w:val="1"/>
    </w:pPr>
    <w:rPr>
      <w:rFonts w:ascii="黑体" w:hAnsi="Times New Roman" w:eastAsia="宋体" w:cs="Times New Roman"/>
      <w:b/>
      <w:kern w:val="0"/>
      <w:sz w:val="24"/>
      <w:szCs w:val="20"/>
    </w:rPr>
  </w:style>
  <w:style w:type="character" w:customStyle="1" w:styleId="89">
    <w:name w:val="序号y Char"/>
    <w:basedOn w:val="24"/>
    <w:link w:val="88"/>
    <w:qFormat/>
    <w:uiPriority w:val="0"/>
    <w:rPr>
      <w:rFonts w:ascii="黑体"/>
      <w:b/>
      <w:sz w:val="24"/>
    </w:rPr>
  </w:style>
  <w:style w:type="paragraph" w:customStyle="1" w:styleId="90">
    <w:name w:val="正本文字y"/>
    <w:basedOn w:val="1"/>
    <w:qFormat/>
    <w:uiPriority w:val="0"/>
    <w:pPr>
      <w:adjustRightInd w:val="0"/>
      <w:snapToGrid w:val="0"/>
      <w:spacing w:line="360" w:lineRule="auto"/>
      <w:ind w:firstLine="200" w:firstLineChars="200"/>
    </w:pPr>
    <w:rPr>
      <w:rFonts w:ascii="Times New Roman" w:hAnsi="Times New Roman" w:eastAsia="宋体" w:cs="宋体"/>
      <w:kern w:val="18"/>
      <w:sz w:val="24"/>
      <w:szCs w:val="24"/>
    </w:rPr>
  </w:style>
  <w:style w:type="paragraph" w:customStyle="1" w:styleId="91">
    <w:name w:val="TOC Heading"/>
    <w:basedOn w:val="4"/>
    <w:next w:val="1"/>
    <w:unhideWhenUsed/>
    <w:qFormat/>
    <w:uiPriority w:val="39"/>
    <w:pPr>
      <w:widowControl/>
      <w:numPr>
        <w:numId w:val="0"/>
      </w:numPr>
      <w:adjustRightInd/>
      <w:spacing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92">
    <w:name w:val="页脚 Char"/>
    <w:basedOn w:val="24"/>
    <w:link w:val="15"/>
    <w:qFormat/>
    <w:uiPriority w:val="99"/>
    <w:rPr>
      <w:rFonts w:asciiTheme="minorHAnsi" w:hAnsiTheme="minorHAnsi" w:eastAsiaTheme="minorEastAsia" w:cstheme="minorBidi"/>
      <w:kern w:val="2"/>
      <w:sz w:val="18"/>
      <w:szCs w:val="18"/>
    </w:rPr>
  </w:style>
  <w:style w:type="paragraph" w:customStyle="1" w:styleId="93">
    <w:name w:val="表字"/>
    <w:basedOn w:val="83"/>
    <w:qFormat/>
    <w:uiPriority w:val="0"/>
  </w:style>
  <w:style w:type="paragraph" w:customStyle="1" w:styleId="94">
    <w:name w:val="附图附件"/>
    <w:link w:val="95"/>
    <w:qFormat/>
    <w:uiPriority w:val="0"/>
    <w:rPr>
      <w:rFonts w:ascii="Times New Roman" w:hAnsi="Times New Roman" w:eastAsia="宋体" w:cs="Times New Roman"/>
      <w:b/>
      <w:sz w:val="30"/>
    </w:rPr>
  </w:style>
  <w:style w:type="character" w:customStyle="1" w:styleId="95">
    <w:name w:val="附图附件 Char"/>
    <w:link w:val="94"/>
    <w:qFormat/>
    <w:uiPriority w:val="0"/>
    <w:rPr>
      <w:rFonts w:ascii="Times New Roman" w:hAnsi="Times New Roman" w:eastAsia="宋体"/>
      <w:b/>
      <w:sz w:val="30"/>
    </w:rPr>
  </w:style>
  <w:style w:type="paragraph" w:customStyle="1" w:styleId="96">
    <w:name w:val="列出段落1"/>
    <w:basedOn w:val="1"/>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1.jpe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emf"/><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9D1A1B1-AD8B-4043-B20B-29862A2F64B7}">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84</Pages>
  <Words>8186</Words>
  <Characters>46663</Characters>
  <Lines>388</Lines>
  <Paragraphs>109</Paragraphs>
  <TotalTime>2</TotalTime>
  <ScaleCrop>false</ScaleCrop>
  <LinksUpToDate>false</LinksUpToDate>
  <CharactersWithSpaces>54740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2019-05-18T10:23:00Z</dcterms:created>
  <dc:creator>海边拾贝壳</dc:creator>
  <cp:lastModifiedBy>权</cp:lastModifiedBy>
  <dcterms:modified xsi:type="dcterms:W3CDTF">2020-04-26T12:40:38Z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