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ind w:firstLine="0"/>
        <w:jc w:val="center"/>
      </w:pPr>
      <w:bookmarkStart w:id="0" w:name="_Toc31514"/>
      <w:bookmarkStart w:id="1" w:name="_Toc2317"/>
      <w:bookmarkStart w:id="2" w:name="_Toc2627"/>
      <w:bookmarkStart w:id="3" w:name="_Toc19722"/>
      <w:bookmarkStart w:id="4" w:name="_Toc6187"/>
      <w:bookmarkStart w:id="634" w:name="_GoBack"/>
      <w:bookmarkEnd w:id="634"/>
      <w:r>
        <w:rPr>
          <w:rFonts w:hint="eastAsia"/>
          <w:lang w:val="zh-CN"/>
        </w:rPr>
        <w:t>目</w:t>
      </w:r>
      <w:r>
        <w:rPr>
          <w:rFonts w:hint="eastAsia"/>
          <w:lang w:val="en-US" w:eastAsia="zh-CN"/>
        </w:rPr>
        <w:t xml:space="preserve">  </w:t>
      </w:r>
      <w:r>
        <w:rPr>
          <w:rFonts w:hint="eastAsia"/>
          <w:lang w:val="zh-CN"/>
        </w:rPr>
        <w:t>录</w:t>
      </w:r>
      <w:bookmarkEnd w:id="0"/>
      <w:bookmarkEnd w:id="1"/>
      <w:bookmarkEnd w:id="2"/>
      <w:bookmarkEnd w:id="3"/>
      <w:bookmarkStart w:id="5" w:name="_Toc37591889"/>
      <w:bookmarkStart w:id="6" w:name="_Toc678"/>
      <w:bookmarkStart w:id="7" w:name="_Toc22235"/>
    </w:p>
    <w:p>
      <w:pPr>
        <w:pStyle w:val="16"/>
        <w:tabs>
          <w:tab w:val="right" w:leader="hyphen" w:pos="8504"/>
        </w:tabs>
        <w:rPr>
          <w:rFonts w:hint="default" w:ascii="Times New Roman" w:hAnsi="Times New Roman" w:eastAsia="宋体" w:cs="Times New Roman"/>
          <w:b/>
          <w:bCs/>
          <w:color w:val="auto"/>
          <w:kern w:val="2"/>
          <w:sz w:val="24"/>
          <w:szCs w:val="24"/>
          <w:lang w:val="zh-CN"/>
        </w:rPr>
      </w:pPr>
    </w:p>
    <w:p>
      <w:pPr>
        <w:pStyle w:val="16"/>
        <w:tabs>
          <w:tab w:val="right" w:leader="dot" w:pos="8504"/>
        </w:tabs>
        <w:rPr>
          <w:b/>
          <w:bCs w:val="0"/>
          <w:sz w:val="24"/>
          <w:szCs w:val="24"/>
        </w:rPr>
      </w:pPr>
      <w:bookmarkStart w:id="8" w:name="_Toc30403"/>
      <w:bookmarkStart w:id="9" w:name="_Toc4661"/>
      <w:bookmarkStart w:id="10" w:name="_Toc31592"/>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TOC \o "1-2" \t "附图附件l,2" \h</w:instrText>
      </w:r>
      <w:r>
        <w:rPr>
          <w:rFonts w:hint="eastAsia" w:ascii="宋体" w:hAnsi="宋体" w:eastAsia="宋体" w:cs="宋体"/>
          <w:b w:val="0"/>
          <w:bCs/>
          <w:sz w:val="24"/>
          <w:szCs w:val="24"/>
        </w:rPr>
        <w:fldChar w:fldCharType="separate"/>
      </w: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_Toc377 </w:instrText>
      </w:r>
      <w:r>
        <w:rPr>
          <w:rFonts w:hint="eastAsia" w:ascii="宋体" w:hAnsi="宋体" w:eastAsia="宋体" w:cs="宋体"/>
          <w:b/>
          <w:bCs w:val="0"/>
          <w:sz w:val="24"/>
          <w:szCs w:val="24"/>
        </w:rPr>
        <w:fldChar w:fldCharType="separate"/>
      </w:r>
      <w:r>
        <w:rPr>
          <w:rFonts w:hint="default"/>
          <w:b/>
          <w:bCs w:val="0"/>
          <w:sz w:val="24"/>
          <w:szCs w:val="24"/>
        </w:rPr>
        <w:t>前</w:t>
      </w:r>
      <w:r>
        <w:rPr>
          <w:rFonts w:hint="default"/>
          <w:b/>
          <w:bCs w:val="0"/>
          <w:sz w:val="24"/>
          <w:szCs w:val="24"/>
          <w:lang w:val="en-US" w:eastAsia="zh-CN"/>
        </w:rPr>
        <w:t xml:space="preserve">  </w:t>
      </w:r>
      <w:r>
        <w:rPr>
          <w:rFonts w:hint="default"/>
          <w:b/>
          <w:bCs w:val="0"/>
          <w:sz w:val="24"/>
          <w:szCs w:val="24"/>
        </w:rPr>
        <w:t>言</w:t>
      </w:r>
      <w:r>
        <w:rPr>
          <w:b/>
          <w:bCs w:val="0"/>
          <w:sz w:val="24"/>
          <w:szCs w:val="24"/>
        </w:rPr>
        <w:tab/>
      </w:r>
      <w:r>
        <w:rPr>
          <w:b/>
          <w:bCs w:val="0"/>
          <w:sz w:val="24"/>
          <w:szCs w:val="24"/>
        </w:rPr>
        <w:fldChar w:fldCharType="begin"/>
      </w:r>
      <w:r>
        <w:rPr>
          <w:b/>
          <w:bCs w:val="0"/>
          <w:sz w:val="24"/>
          <w:szCs w:val="24"/>
        </w:rPr>
        <w:instrText xml:space="preserve"> PAGEREF _Toc377 </w:instrText>
      </w:r>
      <w:r>
        <w:rPr>
          <w:b/>
          <w:bCs w:val="0"/>
          <w:sz w:val="24"/>
          <w:szCs w:val="24"/>
        </w:rPr>
        <w:fldChar w:fldCharType="separate"/>
      </w:r>
      <w:r>
        <w:rPr>
          <w:b/>
          <w:bCs w:val="0"/>
          <w:sz w:val="24"/>
          <w:szCs w:val="24"/>
        </w:rPr>
        <w:t>1</w:t>
      </w:r>
      <w:r>
        <w:rPr>
          <w:b/>
          <w:bCs w:val="0"/>
          <w:sz w:val="24"/>
          <w:szCs w:val="24"/>
        </w:rPr>
        <w:fldChar w:fldCharType="end"/>
      </w:r>
      <w:r>
        <w:rPr>
          <w:rFonts w:hint="eastAsia" w:ascii="宋体" w:hAnsi="宋体" w:eastAsia="宋体" w:cs="宋体"/>
          <w:b/>
          <w:bCs w:val="0"/>
          <w:sz w:val="24"/>
          <w:szCs w:val="24"/>
        </w:rPr>
        <w:fldChar w:fldCharType="end"/>
      </w:r>
    </w:p>
    <w:p>
      <w:pPr>
        <w:pStyle w:val="16"/>
        <w:tabs>
          <w:tab w:val="right" w:leader="dot" w:pos="8504"/>
        </w:tabs>
        <w:rPr>
          <w:b/>
          <w:bCs w:val="0"/>
          <w:sz w:val="24"/>
          <w:szCs w:val="24"/>
        </w:rPr>
      </w:pP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_Toc6311 </w:instrText>
      </w:r>
      <w:r>
        <w:rPr>
          <w:rFonts w:hint="eastAsia" w:ascii="宋体" w:hAnsi="宋体" w:eastAsia="宋体" w:cs="宋体"/>
          <w:b/>
          <w:bCs w:val="0"/>
          <w:sz w:val="24"/>
          <w:szCs w:val="24"/>
        </w:rPr>
        <w:fldChar w:fldCharType="separate"/>
      </w:r>
      <w:r>
        <w:rPr>
          <w:rFonts w:hint="eastAsia"/>
          <w:b/>
          <w:bCs w:val="0"/>
          <w:sz w:val="24"/>
          <w:szCs w:val="24"/>
          <w:lang w:val="en-US" w:eastAsia="zh-CN"/>
        </w:rPr>
        <w:t xml:space="preserve">1 </w:t>
      </w:r>
      <w:r>
        <w:rPr>
          <w:rFonts w:hint="eastAsia"/>
          <w:b/>
          <w:bCs w:val="0"/>
          <w:sz w:val="24"/>
          <w:szCs w:val="24"/>
        </w:rPr>
        <w:t>总则</w:t>
      </w:r>
      <w:r>
        <w:rPr>
          <w:b/>
          <w:bCs w:val="0"/>
          <w:sz w:val="24"/>
          <w:szCs w:val="24"/>
        </w:rPr>
        <w:tab/>
      </w:r>
      <w:r>
        <w:rPr>
          <w:b/>
          <w:bCs w:val="0"/>
          <w:sz w:val="24"/>
          <w:szCs w:val="24"/>
        </w:rPr>
        <w:fldChar w:fldCharType="begin"/>
      </w:r>
      <w:r>
        <w:rPr>
          <w:b/>
          <w:bCs w:val="0"/>
          <w:sz w:val="24"/>
          <w:szCs w:val="24"/>
        </w:rPr>
        <w:instrText xml:space="preserve"> PAGEREF _Toc6311 </w:instrText>
      </w:r>
      <w:r>
        <w:rPr>
          <w:b/>
          <w:bCs w:val="0"/>
          <w:sz w:val="24"/>
          <w:szCs w:val="24"/>
        </w:rPr>
        <w:fldChar w:fldCharType="separate"/>
      </w:r>
      <w:r>
        <w:rPr>
          <w:b/>
          <w:bCs w:val="0"/>
          <w:sz w:val="24"/>
          <w:szCs w:val="24"/>
        </w:rPr>
        <w:t>2</w:t>
      </w:r>
      <w:r>
        <w:rPr>
          <w:b/>
          <w:bCs w:val="0"/>
          <w:sz w:val="24"/>
          <w:szCs w:val="24"/>
        </w:rPr>
        <w:fldChar w:fldCharType="end"/>
      </w:r>
      <w:r>
        <w:rPr>
          <w:rFonts w:hint="eastAsia" w:ascii="宋体" w:hAnsi="宋体" w:eastAsia="宋体" w:cs="宋体"/>
          <w:b/>
          <w:bCs w:val="0"/>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_Toc25832 </w:instrText>
      </w:r>
      <w:r>
        <w:rPr>
          <w:rFonts w:hint="eastAsia" w:ascii="宋体" w:hAnsi="宋体" w:eastAsia="宋体" w:cs="宋体"/>
          <w:b w:val="0"/>
          <w:bCs/>
          <w:sz w:val="24"/>
          <w:szCs w:val="24"/>
        </w:rPr>
        <w:fldChar w:fldCharType="separate"/>
      </w:r>
      <w:r>
        <w:rPr>
          <w:rFonts w:hint="eastAsia"/>
          <w:b w:val="0"/>
          <w:bCs/>
          <w:sz w:val="24"/>
          <w:szCs w:val="24"/>
          <w:lang w:val="en-US" w:eastAsia="zh-CN"/>
        </w:rPr>
        <w:t>1</w:t>
      </w:r>
      <w:r>
        <w:rPr>
          <w:rFonts w:hint="eastAsia"/>
          <w:b w:val="0"/>
          <w:bCs/>
          <w:sz w:val="24"/>
          <w:szCs w:val="24"/>
        </w:rPr>
        <w:t>.1</w:t>
      </w:r>
      <w:r>
        <w:rPr>
          <w:b w:val="0"/>
          <w:bCs/>
          <w:sz w:val="24"/>
          <w:szCs w:val="24"/>
        </w:rPr>
        <w:t xml:space="preserve"> </w:t>
      </w:r>
      <w:r>
        <w:rPr>
          <w:rFonts w:hint="eastAsia"/>
          <w:b w:val="0"/>
          <w:bCs/>
          <w:sz w:val="24"/>
          <w:szCs w:val="24"/>
        </w:rPr>
        <w:t>编制原则</w:t>
      </w:r>
      <w:r>
        <w:rPr>
          <w:b w:val="0"/>
          <w:bCs/>
          <w:sz w:val="24"/>
          <w:szCs w:val="24"/>
        </w:rPr>
        <w:tab/>
      </w:r>
      <w:r>
        <w:rPr>
          <w:b w:val="0"/>
          <w:bCs/>
          <w:sz w:val="24"/>
          <w:szCs w:val="24"/>
        </w:rPr>
        <w:fldChar w:fldCharType="begin"/>
      </w:r>
      <w:r>
        <w:rPr>
          <w:b w:val="0"/>
          <w:bCs/>
          <w:sz w:val="24"/>
          <w:szCs w:val="24"/>
        </w:rPr>
        <w:instrText xml:space="preserve"> PAGEREF _Toc25832 </w:instrText>
      </w:r>
      <w:r>
        <w:rPr>
          <w:b w:val="0"/>
          <w:bCs/>
          <w:sz w:val="24"/>
          <w:szCs w:val="24"/>
        </w:rPr>
        <w:fldChar w:fldCharType="separate"/>
      </w:r>
      <w:r>
        <w:rPr>
          <w:b w:val="0"/>
          <w:bCs/>
          <w:sz w:val="24"/>
          <w:szCs w:val="24"/>
        </w:rPr>
        <w:t>2</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_Toc22710 </w:instrText>
      </w:r>
      <w:r>
        <w:rPr>
          <w:rFonts w:hint="eastAsia" w:ascii="宋体" w:hAnsi="宋体" w:eastAsia="宋体" w:cs="宋体"/>
          <w:b w:val="0"/>
          <w:bCs/>
          <w:sz w:val="24"/>
          <w:szCs w:val="24"/>
        </w:rPr>
        <w:fldChar w:fldCharType="separate"/>
      </w:r>
      <w:r>
        <w:rPr>
          <w:rFonts w:hint="eastAsia"/>
          <w:b w:val="0"/>
          <w:bCs/>
          <w:sz w:val="24"/>
          <w:szCs w:val="24"/>
          <w:lang w:val="en-US" w:eastAsia="zh-CN"/>
        </w:rPr>
        <w:t>1</w:t>
      </w:r>
      <w:r>
        <w:rPr>
          <w:rFonts w:hint="eastAsia"/>
          <w:b w:val="0"/>
          <w:bCs/>
          <w:sz w:val="24"/>
          <w:szCs w:val="24"/>
        </w:rPr>
        <w:t>.2</w:t>
      </w:r>
      <w:r>
        <w:rPr>
          <w:b w:val="0"/>
          <w:bCs/>
          <w:sz w:val="24"/>
          <w:szCs w:val="24"/>
        </w:rPr>
        <w:t xml:space="preserve"> </w:t>
      </w:r>
      <w:r>
        <w:rPr>
          <w:rFonts w:hint="eastAsia"/>
          <w:b w:val="0"/>
          <w:bCs/>
          <w:sz w:val="24"/>
          <w:szCs w:val="24"/>
        </w:rPr>
        <w:t>编制依据</w:t>
      </w:r>
      <w:r>
        <w:rPr>
          <w:b w:val="0"/>
          <w:bCs/>
          <w:sz w:val="24"/>
          <w:szCs w:val="24"/>
        </w:rPr>
        <w:tab/>
      </w:r>
      <w:r>
        <w:rPr>
          <w:b w:val="0"/>
          <w:bCs/>
          <w:sz w:val="24"/>
          <w:szCs w:val="24"/>
        </w:rPr>
        <w:fldChar w:fldCharType="begin"/>
      </w:r>
      <w:r>
        <w:rPr>
          <w:b w:val="0"/>
          <w:bCs/>
          <w:sz w:val="24"/>
          <w:szCs w:val="24"/>
        </w:rPr>
        <w:instrText xml:space="preserve"> PAGEREF _Toc22710 </w:instrText>
      </w:r>
      <w:r>
        <w:rPr>
          <w:b w:val="0"/>
          <w:bCs/>
          <w:sz w:val="24"/>
          <w:szCs w:val="24"/>
        </w:rPr>
        <w:fldChar w:fldCharType="separate"/>
      </w:r>
      <w:r>
        <w:rPr>
          <w:b w:val="0"/>
          <w:bCs/>
          <w:sz w:val="24"/>
          <w:szCs w:val="24"/>
        </w:rPr>
        <w:t>2</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_Toc2507 </w:instrText>
      </w:r>
      <w:r>
        <w:rPr>
          <w:rFonts w:hint="eastAsia" w:ascii="宋体" w:hAnsi="宋体" w:eastAsia="宋体" w:cs="宋体"/>
          <w:b w:val="0"/>
          <w:bCs/>
          <w:sz w:val="24"/>
          <w:szCs w:val="24"/>
        </w:rPr>
        <w:fldChar w:fldCharType="separate"/>
      </w:r>
      <w:r>
        <w:rPr>
          <w:rFonts w:hint="eastAsia"/>
          <w:b w:val="0"/>
          <w:bCs/>
          <w:sz w:val="24"/>
          <w:szCs w:val="24"/>
          <w:lang w:val="en-US" w:eastAsia="zh-CN"/>
        </w:rPr>
        <w:t>1</w:t>
      </w:r>
      <w:r>
        <w:rPr>
          <w:rFonts w:hint="eastAsia"/>
          <w:b w:val="0"/>
          <w:bCs/>
          <w:sz w:val="24"/>
          <w:szCs w:val="24"/>
        </w:rPr>
        <w:t>.3</w:t>
      </w:r>
      <w:r>
        <w:rPr>
          <w:b w:val="0"/>
          <w:bCs/>
          <w:sz w:val="24"/>
          <w:szCs w:val="24"/>
        </w:rPr>
        <w:t xml:space="preserve"> </w:t>
      </w:r>
      <w:r>
        <w:rPr>
          <w:rFonts w:hint="eastAsia"/>
          <w:b w:val="0"/>
          <w:bCs/>
          <w:sz w:val="24"/>
          <w:szCs w:val="24"/>
        </w:rPr>
        <w:t>企业环境风险评估程序</w:t>
      </w:r>
      <w:r>
        <w:rPr>
          <w:b w:val="0"/>
          <w:bCs/>
          <w:sz w:val="24"/>
          <w:szCs w:val="24"/>
        </w:rPr>
        <w:tab/>
      </w:r>
      <w:r>
        <w:rPr>
          <w:b w:val="0"/>
          <w:bCs/>
          <w:sz w:val="24"/>
          <w:szCs w:val="24"/>
        </w:rPr>
        <w:fldChar w:fldCharType="begin"/>
      </w:r>
      <w:r>
        <w:rPr>
          <w:b w:val="0"/>
          <w:bCs/>
          <w:sz w:val="24"/>
          <w:szCs w:val="24"/>
        </w:rPr>
        <w:instrText xml:space="preserve"> PAGEREF _Toc2507 </w:instrText>
      </w:r>
      <w:r>
        <w:rPr>
          <w:b w:val="0"/>
          <w:bCs/>
          <w:sz w:val="24"/>
          <w:szCs w:val="24"/>
        </w:rPr>
        <w:fldChar w:fldCharType="separate"/>
      </w:r>
      <w:r>
        <w:rPr>
          <w:b w:val="0"/>
          <w:bCs/>
          <w:sz w:val="24"/>
          <w:szCs w:val="24"/>
        </w:rPr>
        <w:t>3</w:t>
      </w:r>
      <w:r>
        <w:rPr>
          <w:b w:val="0"/>
          <w:bCs/>
          <w:sz w:val="24"/>
          <w:szCs w:val="24"/>
        </w:rPr>
        <w:fldChar w:fldCharType="end"/>
      </w:r>
      <w:r>
        <w:rPr>
          <w:rFonts w:hint="eastAsia" w:ascii="宋体" w:hAnsi="宋体" w:eastAsia="宋体" w:cs="宋体"/>
          <w:b w:val="0"/>
          <w:bCs/>
          <w:sz w:val="24"/>
          <w:szCs w:val="24"/>
        </w:rPr>
        <w:fldChar w:fldCharType="end"/>
      </w:r>
    </w:p>
    <w:p>
      <w:pPr>
        <w:pStyle w:val="16"/>
        <w:tabs>
          <w:tab w:val="right" w:leader="dot" w:pos="8504"/>
        </w:tabs>
        <w:rPr>
          <w:b/>
          <w:bCs w:val="0"/>
          <w:sz w:val="24"/>
          <w:szCs w:val="24"/>
        </w:rPr>
      </w:pP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_Toc20091 </w:instrText>
      </w:r>
      <w:r>
        <w:rPr>
          <w:rFonts w:hint="eastAsia" w:ascii="宋体" w:hAnsi="宋体" w:eastAsia="宋体" w:cs="宋体"/>
          <w:b/>
          <w:bCs w:val="0"/>
          <w:sz w:val="24"/>
          <w:szCs w:val="24"/>
        </w:rPr>
        <w:fldChar w:fldCharType="separate"/>
      </w:r>
      <w:r>
        <w:rPr>
          <w:rFonts w:hint="eastAsia"/>
          <w:b/>
          <w:bCs w:val="0"/>
          <w:sz w:val="24"/>
          <w:szCs w:val="24"/>
          <w:lang w:val="en-US" w:eastAsia="zh-CN"/>
        </w:rPr>
        <w:t>2</w:t>
      </w:r>
      <w:r>
        <w:rPr>
          <w:b/>
          <w:bCs w:val="0"/>
          <w:sz w:val="24"/>
          <w:szCs w:val="24"/>
        </w:rPr>
        <w:t xml:space="preserve"> </w:t>
      </w:r>
      <w:r>
        <w:rPr>
          <w:rFonts w:hint="eastAsia"/>
          <w:b/>
          <w:bCs w:val="0"/>
          <w:sz w:val="24"/>
          <w:szCs w:val="24"/>
        </w:rPr>
        <w:t>资料准备与环境风险识别</w:t>
      </w:r>
      <w:r>
        <w:rPr>
          <w:b/>
          <w:bCs w:val="0"/>
          <w:sz w:val="24"/>
          <w:szCs w:val="24"/>
        </w:rPr>
        <w:tab/>
      </w:r>
      <w:r>
        <w:rPr>
          <w:b/>
          <w:bCs w:val="0"/>
          <w:sz w:val="24"/>
          <w:szCs w:val="24"/>
        </w:rPr>
        <w:fldChar w:fldCharType="begin"/>
      </w:r>
      <w:r>
        <w:rPr>
          <w:b/>
          <w:bCs w:val="0"/>
          <w:sz w:val="24"/>
          <w:szCs w:val="24"/>
        </w:rPr>
        <w:instrText xml:space="preserve"> PAGEREF _Toc20091 </w:instrText>
      </w:r>
      <w:r>
        <w:rPr>
          <w:b/>
          <w:bCs w:val="0"/>
          <w:sz w:val="24"/>
          <w:szCs w:val="24"/>
        </w:rPr>
        <w:fldChar w:fldCharType="separate"/>
      </w:r>
      <w:r>
        <w:rPr>
          <w:b/>
          <w:bCs w:val="0"/>
          <w:sz w:val="24"/>
          <w:szCs w:val="24"/>
        </w:rPr>
        <w:t>4</w:t>
      </w:r>
      <w:r>
        <w:rPr>
          <w:b/>
          <w:bCs w:val="0"/>
          <w:sz w:val="24"/>
          <w:szCs w:val="24"/>
        </w:rPr>
        <w:fldChar w:fldCharType="end"/>
      </w:r>
      <w:r>
        <w:rPr>
          <w:rFonts w:hint="eastAsia" w:ascii="宋体" w:hAnsi="宋体" w:eastAsia="宋体" w:cs="宋体"/>
          <w:b/>
          <w:bCs w:val="0"/>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_Toc16466 </w:instrText>
      </w:r>
      <w:r>
        <w:rPr>
          <w:rFonts w:hint="eastAsia" w:ascii="宋体" w:hAnsi="宋体" w:eastAsia="宋体" w:cs="宋体"/>
          <w:b w:val="0"/>
          <w:bCs/>
          <w:sz w:val="24"/>
          <w:szCs w:val="24"/>
        </w:rPr>
        <w:fldChar w:fldCharType="separate"/>
      </w:r>
      <w:r>
        <w:rPr>
          <w:rFonts w:hint="eastAsia"/>
          <w:b w:val="0"/>
          <w:bCs/>
          <w:sz w:val="24"/>
          <w:szCs w:val="24"/>
          <w:lang w:val="en-US" w:eastAsia="zh-CN"/>
        </w:rPr>
        <w:t>2</w:t>
      </w:r>
      <w:r>
        <w:rPr>
          <w:rFonts w:hint="eastAsia"/>
          <w:b w:val="0"/>
          <w:bCs/>
          <w:sz w:val="24"/>
          <w:szCs w:val="24"/>
        </w:rPr>
        <w:t>.1</w:t>
      </w:r>
      <w:r>
        <w:rPr>
          <w:b w:val="0"/>
          <w:bCs/>
          <w:sz w:val="24"/>
          <w:szCs w:val="24"/>
        </w:rPr>
        <w:t xml:space="preserve"> </w:t>
      </w:r>
      <w:r>
        <w:rPr>
          <w:rFonts w:hint="eastAsia"/>
          <w:b w:val="0"/>
          <w:bCs/>
          <w:sz w:val="24"/>
          <w:szCs w:val="24"/>
        </w:rPr>
        <w:t>企业信息</w:t>
      </w:r>
      <w:r>
        <w:rPr>
          <w:b w:val="0"/>
          <w:bCs/>
          <w:sz w:val="24"/>
          <w:szCs w:val="24"/>
        </w:rPr>
        <w:tab/>
      </w:r>
      <w:r>
        <w:rPr>
          <w:b w:val="0"/>
          <w:bCs/>
          <w:sz w:val="24"/>
          <w:szCs w:val="24"/>
        </w:rPr>
        <w:fldChar w:fldCharType="begin"/>
      </w:r>
      <w:r>
        <w:rPr>
          <w:b w:val="0"/>
          <w:bCs/>
          <w:sz w:val="24"/>
          <w:szCs w:val="24"/>
        </w:rPr>
        <w:instrText xml:space="preserve"> PAGEREF _Toc16466 </w:instrText>
      </w:r>
      <w:r>
        <w:rPr>
          <w:b w:val="0"/>
          <w:bCs/>
          <w:sz w:val="24"/>
          <w:szCs w:val="24"/>
        </w:rPr>
        <w:fldChar w:fldCharType="separate"/>
      </w:r>
      <w:r>
        <w:rPr>
          <w:b w:val="0"/>
          <w:bCs/>
          <w:sz w:val="24"/>
          <w:szCs w:val="24"/>
        </w:rPr>
        <w:t>4</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_Toc5132 </w:instrText>
      </w:r>
      <w:r>
        <w:rPr>
          <w:rFonts w:hint="eastAsia" w:ascii="宋体" w:hAnsi="宋体" w:eastAsia="宋体" w:cs="宋体"/>
          <w:b w:val="0"/>
          <w:bCs/>
          <w:sz w:val="24"/>
          <w:szCs w:val="24"/>
        </w:rPr>
        <w:fldChar w:fldCharType="separate"/>
      </w:r>
      <w:r>
        <w:rPr>
          <w:rFonts w:hint="eastAsia"/>
          <w:b w:val="0"/>
          <w:bCs/>
          <w:sz w:val="24"/>
          <w:szCs w:val="24"/>
          <w:lang w:val="en-US" w:eastAsia="zh-CN"/>
        </w:rPr>
        <w:t>2</w:t>
      </w:r>
      <w:r>
        <w:rPr>
          <w:rFonts w:hint="eastAsia"/>
          <w:b w:val="0"/>
          <w:bCs/>
          <w:sz w:val="24"/>
          <w:szCs w:val="24"/>
        </w:rPr>
        <w:t>.2</w:t>
      </w:r>
      <w:r>
        <w:rPr>
          <w:b w:val="0"/>
          <w:bCs/>
          <w:sz w:val="24"/>
          <w:szCs w:val="24"/>
        </w:rPr>
        <w:t xml:space="preserve"> </w:t>
      </w:r>
      <w:r>
        <w:rPr>
          <w:rFonts w:hint="eastAsia"/>
          <w:b w:val="0"/>
          <w:bCs/>
          <w:sz w:val="24"/>
          <w:szCs w:val="24"/>
        </w:rPr>
        <w:t>企业周边环境风险受体情况</w:t>
      </w:r>
      <w:r>
        <w:rPr>
          <w:b w:val="0"/>
          <w:bCs/>
          <w:sz w:val="24"/>
          <w:szCs w:val="24"/>
        </w:rPr>
        <w:tab/>
      </w:r>
      <w:r>
        <w:rPr>
          <w:b w:val="0"/>
          <w:bCs/>
          <w:sz w:val="24"/>
          <w:szCs w:val="24"/>
        </w:rPr>
        <w:fldChar w:fldCharType="begin"/>
      </w:r>
      <w:r>
        <w:rPr>
          <w:b w:val="0"/>
          <w:bCs/>
          <w:sz w:val="24"/>
          <w:szCs w:val="24"/>
        </w:rPr>
        <w:instrText xml:space="preserve"> PAGEREF _Toc5132 </w:instrText>
      </w:r>
      <w:r>
        <w:rPr>
          <w:b w:val="0"/>
          <w:bCs/>
          <w:sz w:val="24"/>
          <w:szCs w:val="24"/>
        </w:rPr>
        <w:fldChar w:fldCharType="separate"/>
      </w:r>
      <w:r>
        <w:rPr>
          <w:b w:val="0"/>
          <w:bCs/>
          <w:sz w:val="24"/>
          <w:szCs w:val="24"/>
        </w:rPr>
        <w:t>16</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_Toc8784 </w:instrText>
      </w:r>
      <w:r>
        <w:rPr>
          <w:rFonts w:hint="eastAsia" w:ascii="宋体" w:hAnsi="宋体" w:eastAsia="宋体" w:cs="宋体"/>
          <w:b w:val="0"/>
          <w:bCs/>
          <w:sz w:val="24"/>
          <w:szCs w:val="24"/>
        </w:rPr>
        <w:fldChar w:fldCharType="separate"/>
      </w:r>
      <w:r>
        <w:rPr>
          <w:rFonts w:hint="eastAsia"/>
          <w:b w:val="0"/>
          <w:bCs/>
          <w:sz w:val="24"/>
          <w:szCs w:val="24"/>
          <w:lang w:val="en-US" w:eastAsia="zh-CN"/>
        </w:rPr>
        <w:t>2</w:t>
      </w:r>
      <w:r>
        <w:rPr>
          <w:rFonts w:hint="eastAsia"/>
          <w:b w:val="0"/>
          <w:bCs/>
          <w:sz w:val="24"/>
          <w:szCs w:val="24"/>
        </w:rPr>
        <w:t>.3</w:t>
      </w:r>
      <w:r>
        <w:rPr>
          <w:b w:val="0"/>
          <w:bCs/>
          <w:sz w:val="24"/>
          <w:szCs w:val="24"/>
        </w:rPr>
        <w:t xml:space="preserve"> </w:t>
      </w:r>
      <w:r>
        <w:rPr>
          <w:rFonts w:hint="eastAsia"/>
          <w:b w:val="0"/>
          <w:bCs/>
          <w:sz w:val="24"/>
          <w:szCs w:val="24"/>
        </w:rPr>
        <w:t>安全生产管理</w:t>
      </w:r>
      <w:r>
        <w:rPr>
          <w:b w:val="0"/>
          <w:bCs/>
          <w:sz w:val="24"/>
          <w:szCs w:val="24"/>
        </w:rPr>
        <w:tab/>
      </w:r>
      <w:r>
        <w:rPr>
          <w:b w:val="0"/>
          <w:bCs/>
          <w:sz w:val="24"/>
          <w:szCs w:val="24"/>
        </w:rPr>
        <w:fldChar w:fldCharType="begin"/>
      </w:r>
      <w:r>
        <w:rPr>
          <w:b w:val="0"/>
          <w:bCs/>
          <w:sz w:val="24"/>
          <w:szCs w:val="24"/>
        </w:rPr>
        <w:instrText xml:space="preserve"> PAGEREF _Toc8784 </w:instrText>
      </w:r>
      <w:r>
        <w:rPr>
          <w:b w:val="0"/>
          <w:bCs/>
          <w:sz w:val="24"/>
          <w:szCs w:val="24"/>
        </w:rPr>
        <w:fldChar w:fldCharType="separate"/>
      </w:r>
      <w:r>
        <w:rPr>
          <w:b w:val="0"/>
          <w:bCs/>
          <w:sz w:val="24"/>
          <w:szCs w:val="24"/>
        </w:rPr>
        <w:t>17</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_Toc2974 </w:instrText>
      </w:r>
      <w:r>
        <w:rPr>
          <w:rFonts w:hint="eastAsia" w:ascii="宋体" w:hAnsi="宋体" w:eastAsia="宋体" w:cs="宋体"/>
          <w:b w:val="0"/>
          <w:bCs/>
          <w:sz w:val="24"/>
          <w:szCs w:val="24"/>
        </w:rPr>
        <w:fldChar w:fldCharType="separate"/>
      </w:r>
      <w:r>
        <w:rPr>
          <w:rFonts w:hint="eastAsia"/>
          <w:b w:val="0"/>
          <w:bCs/>
          <w:sz w:val="24"/>
          <w:szCs w:val="24"/>
          <w:lang w:val="en-US" w:eastAsia="zh-CN"/>
        </w:rPr>
        <w:t>2</w:t>
      </w:r>
      <w:r>
        <w:rPr>
          <w:rFonts w:hint="eastAsia"/>
          <w:b w:val="0"/>
          <w:bCs/>
          <w:sz w:val="24"/>
          <w:szCs w:val="24"/>
        </w:rPr>
        <w:t>.4</w:t>
      </w:r>
      <w:r>
        <w:rPr>
          <w:b w:val="0"/>
          <w:bCs/>
          <w:sz w:val="24"/>
          <w:szCs w:val="24"/>
        </w:rPr>
        <w:t xml:space="preserve"> </w:t>
      </w:r>
      <w:r>
        <w:rPr>
          <w:rFonts w:hint="eastAsia"/>
          <w:b w:val="0"/>
          <w:bCs/>
          <w:sz w:val="24"/>
          <w:szCs w:val="24"/>
        </w:rPr>
        <w:t>现有环境风险防控与应急措施情况</w:t>
      </w:r>
      <w:r>
        <w:rPr>
          <w:b w:val="0"/>
          <w:bCs/>
          <w:sz w:val="24"/>
          <w:szCs w:val="24"/>
        </w:rPr>
        <w:tab/>
      </w:r>
      <w:r>
        <w:rPr>
          <w:b w:val="0"/>
          <w:bCs/>
          <w:sz w:val="24"/>
          <w:szCs w:val="24"/>
        </w:rPr>
        <w:fldChar w:fldCharType="begin"/>
      </w:r>
      <w:r>
        <w:rPr>
          <w:b w:val="0"/>
          <w:bCs/>
          <w:sz w:val="24"/>
          <w:szCs w:val="24"/>
        </w:rPr>
        <w:instrText xml:space="preserve"> PAGEREF _Toc2974 </w:instrText>
      </w:r>
      <w:r>
        <w:rPr>
          <w:b w:val="0"/>
          <w:bCs/>
          <w:sz w:val="24"/>
          <w:szCs w:val="24"/>
        </w:rPr>
        <w:fldChar w:fldCharType="separate"/>
      </w:r>
      <w:r>
        <w:rPr>
          <w:b w:val="0"/>
          <w:bCs/>
          <w:sz w:val="24"/>
          <w:szCs w:val="24"/>
        </w:rPr>
        <w:t>18</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_Toc16912 </w:instrText>
      </w:r>
      <w:r>
        <w:rPr>
          <w:rFonts w:hint="eastAsia" w:ascii="宋体" w:hAnsi="宋体" w:eastAsia="宋体" w:cs="宋体"/>
          <w:b w:val="0"/>
          <w:bCs/>
          <w:sz w:val="24"/>
          <w:szCs w:val="24"/>
        </w:rPr>
        <w:fldChar w:fldCharType="separate"/>
      </w:r>
      <w:r>
        <w:rPr>
          <w:rFonts w:hint="eastAsia"/>
          <w:b w:val="0"/>
          <w:bCs/>
          <w:sz w:val="24"/>
          <w:szCs w:val="24"/>
          <w:lang w:val="en-US" w:eastAsia="zh-CN"/>
        </w:rPr>
        <w:t>2</w:t>
      </w:r>
      <w:r>
        <w:rPr>
          <w:rFonts w:hint="eastAsia"/>
          <w:b w:val="0"/>
          <w:bCs/>
          <w:sz w:val="24"/>
          <w:szCs w:val="24"/>
        </w:rPr>
        <w:t>.5</w:t>
      </w:r>
      <w:r>
        <w:rPr>
          <w:b w:val="0"/>
          <w:bCs/>
          <w:sz w:val="24"/>
          <w:szCs w:val="24"/>
        </w:rPr>
        <w:t xml:space="preserve"> </w:t>
      </w:r>
      <w:r>
        <w:rPr>
          <w:rFonts w:hint="eastAsia"/>
          <w:b w:val="0"/>
          <w:bCs/>
          <w:sz w:val="24"/>
          <w:szCs w:val="24"/>
        </w:rPr>
        <w:t>现有应急物资与装备</w:t>
      </w:r>
      <w:r>
        <w:rPr>
          <w:b w:val="0"/>
          <w:bCs/>
          <w:sz w:val="24"/>
          <w:szCs w:val="24"/>
        </w:rPr>
        <w:tab/>
      </w:r>
      <w:r>
        <w:rPr>
          <w:b w:val="0"/>
          <w:bCs/>
          <w:sz w:val="24"/>
          <w:szCs w:val="24"/>
        </w:rPr>
        <w:fldChar w:fldCharType="begin"/>
      </w:r>
      <w:r>
        <w:rPr>
          <w:b w:val="0"/>
          <w:bCs/>
          <w:sz w:val="24"/>
          <w:szCs w:val="24"/>
        </w:rPr>
        <w:instrText xml:space="preserve"> PAGEREF _Toc16912 </w:instrText>
      </w:r>
      <w:r>
        <w:rPr>
          <w:b w:val="0"/>
          <w:bCs/>
          <w:sz w:val="24"/>
          <w:szCs w:val="24"/>
        </w:rPr>
        <w:fldChar w:fldCharType="separate"/>
      </w:r>
      <w:r>
        <w:rPr>
          <w:b w:val="0"/>
          <w:bCs/>
          <w:sz w:val="24"/>
          <w:szCs w:val="24"/>
        </w:rPr>
        <w:t>18</w:t>
      </w:r>
      <w:r>
        <w:rPr>
          <w:b w:val="0"/>
          <w:bCs/>
          <w:sz w:val="24"/>
          <w:szCs w:val="24"/>
        </w:rPr>
        <w:fldChar w:fldCharType="end"/>
      </w:r>
      <w:r>
        <w:rPr>
          <w:rFonts w:hint="eastAsia" w:ascii="宋体" w:hAnsi="宋体" w:eastAsia="宋体" w:cs="宋体"/>
          <w:b w:val="0"/>
          <w:bCs/>
          <w:sz w:val="24"/>
          <w:szCs w:val="24"/>
        </w:rPr>
        <w:fldChar w:fldCharType="end"/>
      </w:r>
    </w:p>
    <w:p>
      <w:pPr>
        <w:pStyle w:val="16"/>
        <w:tabs>
          <w:tab w:val="right" w:leader="dot" w:pos="8504"/>
        </w:tabs>
        <w:rPr>
          <w:b/>
          <w:bCs w:val="0"/>
          <w:sz w:val="24"/>
          <w:szCs w:val="24"/>
        </w:rPr>
      </w:pP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_Toc31637 </w:instrText>
      </w:r>
      <w:r>
        <w:rPr>
          <w:rFonts w:hint="eastAsia" w:ascii="宋体" w:hAnsi="宋体" w:eastAsia="宋体" w:cs="宋体"/>
          <w:b/>
          <w:bCs w:val="0"/>
          <w:sz w:val="24"/>
          <w:szCs w:val="24"/>
        </w:rPr>
        <w:fldChar w:fldCharType="separate"/>
      </w:r>
      <w:r>
        <w:rPr>
          <w:rFonts w:hint="eastAsia"/>
          <w:b/>
          <w:bCs w:val="0"/>
          <w:sz w:val="24"/>
          <w:szCs w:val="24"/>
          <w:lang w:val="en-US" w:eastAsia="zh-CN"/>
        </w:rPr>
        <w:t>3</w:t>
      </w:r>
      <w:r>
        <w:rPr>
          <w:b/>
          <w:bCs w:val="0"/>
          <w:sz w:val="24"/>
          <w:szCs w:val="24"/>
        </w:rPr>
        <w:t xml:space="preserve"> </w:t>
      </w:r>
      <w:r>
        <w:rPr>
          <w:rFonts w:hint="eastAsia"/>
          <w:b/>
          <w:bCs w:val="0"/>
          <w:sz w:val="24"/>
          <w:szCs w:val="24"/>
        </w:rPr>
        <w:t>突发环境事件及后果分析</w:t>
      </w:r>
      <w:r>
        <w:rPr>
          <w:b/>
          <w:bCs w:val="0"/>
          <w:sz w:val="24"/>
          <w:szCs w:val="24"/>
        </w:rPr>
        <w:tab/>
      </w:r>
      <w:r>
        <w:rPr>
          <w:b/>
          <w:bCs w:val="0"/>
          <w:sz w:val="24"/>
          <w:szCs w:val="24"/>
        </w:rPr>
        <w:fldChar w:fldCharType="begin"/>
      </w:r>
      <w:r>
        <w:rPr>
          <w:b/>
          <w:bCs w:val="0"/>
          <w:sz w:val="24"/>
          <w:szCs w:val="24"/>
        </w:rPr>
        <w:instrText xml:space="preserve"> PAGEREF _Toc31637 </w:instrText>
      </w:r>
      <w:r>
        <w:rPr>
          <w:b/>
          <w:bCs w:val="0"/>
          <w:sz w:val="24"/>
          <w:szCs w:val="24"/>
        </w:rPr>
        <w:fldChar w:fldCharType="separate"/>
      </w:r>
      <w:r>
        <w:rPr>
          <w:b/>
          <w:bCs w:val="0"/>
          <w:sz w:val="24"/>
          <w:szCs w:val="24"/>
        </w:rPr>
        <w:t>20</w:t>
      </w:r>
      <w:r>
        <w:rPr>
          <w:b/>
          <w:bCs w:val="0"/>
          <w:sz w:val="24"/>
          <w:szCs w:val="24"/>
        </w:rPr>
        <w:fldChar w:fldCharType="end"/>
      </w:r>
      <w:r>
        <w:rPr>
          <w:rFonts w:hint="eastAsia" w:ascii="宋体" w:hAnsi="宋体" w:eastAsia="宋体" w:cs="宋体"/>
          <w:b/>
          <w:bCs w:val="0"/>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_Toc23716 </w:instrText>
      </w:r>
      <w:r>
        <w:rPr>
          <w:rFonts w:hint="eastAsia" w:ascii="宋体" w:hAnsi="宋体" w:eastAsia="宋体" w:cs="宋体"/>
          <w:b w:val="0"/>
          <w:bCs/>
          <w:sz w:val="24"/>
          <w:szCs w:val="24"/>
        </w:rPr>
        <w:fldChar w:fldCharType="separate"/>
      </w:r>
      <w:r>
        <w:rPr>
          <w:rFonts w:hint="eastAsia"/>
          <w:b w:val="0"/>
          <w:bCs/>
          <w:sz w:val="24"/>
          <w:szCs w:val="24"/>
          <w:lang w:val="en-US" w:eastAsia="zh-CN"/>
        </w:rPr>
        <w:t>3</w:t>
      </w:r>
      <w:r>
        <w:rPr>
          <w:rFonts w:hint="eastAsia"/>
          <w:b w:val="0"/>
          <w:bCs/>
          <w:sz w:val="24"/>
          <w:szCs w:val="24"/>
        </w:rPr>
        <w:t>.1</w:t>
      </w:r>
      <w:r>
        <w:rPr>
          <w:b w:val="0"/>
          <w:bCs/>
          <w:sz w:val="24"/>
          <w:szCs w:val="24"/>
        </w:rPr>
        <w:t xml:space="preserve"> </w:t>
      </w:r>
      <w:r>
        <w:rPr>
          <w:rFonts w:hint="eastAsia"/>
          <w:b w:val="0"/>
          <w:bCs/>
          <w:sz w:val="24"/>
          <w:szCs w:val="24"/>
        </w:rPr>
        <w:t>突发环境事件情景分析</w:t>
      </w:r>
      <w:r>
        <w:rPr>
          <w:b w:val="0"/>
          <w:bCs/>
          <w:sz w:val="24"/>
          <w:szCs w:val="24"/>
        </w:rPr>
        <w:tab/>
      </w:r>
      <w:r>
        <w:rPr>
          <w:b w:val="0"/>
          <w:bCs/>
          <w:sz w:val="24"/>
          <w:szCs w:val="24"/>
        </w:rPr>
        <w:fldChar w:fldCharType="begin"/>
      </w:r>
      <w:r>
        <w:rPr>
          <w:b w:val="0"/>
          <w:bCs/>
          <w:sz w:val="24"/>
          <w:szCs w:val="24"/>
        </w:rPr>
        <w:instrText xml:space="preserve"> PAGEREF _Toc23716 </w:instrText>
      </w:r>
      <w:r>
        <w:rPr>
          <w:b w:val="0"/>
          <w:bCs/>
          <w:sz w:val="24"/>
          <w:szCs w:val="24"/>
        </w:rPr>
        <w:fldChar w:fldCharType="separate"/>
      </w:r>
      <w:r>
        <w:rPr>
          <w:b w:val="0"/>
          <w:bCs/>
          <w:sz w:val="24"/>
          <w:szCs w:val="24"/>
        </w:rPr>
        <w:t>20</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_Toc25614 </w:instrText>
      </w:r>
      <w:r>
        <w:rPr>
          <w:rFonts w:hint="eastAsia" w:ascii="宋体" w:hAnsi="宋体" w:eastAsia="宋体" w:cs="宋体"/>
          <w:b w:val="0"/>
          <w:bCs/>
          <w:sz w:val="24"/>
          <w:szCs w:val="24"/>
        </w:rPr>
        <w:fldChar w:fldCharType="separate"/>
      </w:r>
      <w:r>
        <w:rPr>
          <w:rFonts w:hint="eastAsia"/>
          <w:b w:val="0"/>
          <w:bCs/>
          <w:sz w:val="24"/>
          <w:szCs w:val="24"/>
          <w:lang w:val="en-US" w:eastAsia="zh-CN"/>
        </w:rPr>
        <w:t>3</w:t>
      </w:r>
      <w:r>
        <w:rPr>
          <w:rFonts w:hint="eastAsia"/>
          <w:b w:val="0"/>
          <w:bCs/>
          <w:sz w:val="24"/>
          <w:szCs w:val="24"/>
        </w:rPr>
        <w:t>.2</w:t>
      </w:r>
      <w:r>
        <w:rPr>
          <w:b w:val="0"/>
          <w:bCs/>
          <w:sz w:val="24"/>
          <w:szCs w:val="24"/>
        </w:rPr>
        <w:t xml:space="preserve"> </w:t>
      </w:r>
      <w:r>
        <w:rPr>
          <w:rFonts w:hint="eastAsia"/>
          <w:b w:val="0"/>
          <w:bCs/>
          <w:sz w:val="24"/>
          <w:szCs w:val="24"/>
        </w:rPr>
        <w:t>突发环境事件情景源强分析</w:t>
      </w:r>
      <w:r>
        <w:rPr>
          <w:b w:val="0"/>
          <w:bCs/>
          <w:sz w:val="24"/>
          <w:szCs w:val="24"/>
        </w:rPr>
        <w:tab/>
      </w:r>
      <w:r>
        <w:rPr>
          <w:b w:val="0"/>
          <w:bCs/>
          <w:sz w:val="24"/>
          <w:szCs w:val="24"/>
        </w:rPr>
        <w:fldChar w:fldCharType="begin"/>
      </w:r>
      <w:r>
        <w:rPr>
          <w:b w:val="0"/>
          <w:bCs/>
          <w:sz w:val="24"/>
          <w:szCs w:val="24"/>
        </w:rPr>
        <w:instrText xml:space="preserve"> PAGEREF _Toc25614 </w:instrText>
      </w:r>
      <w:r>
        <w:rPr>
          <w:b w:val="0"/>
          <w:bCs/>
          <w:sz w:val="24"/>
          <w:szCs w:val="24"/>
        </w:rPr>
        <w:fldChar w:fldCharType="separate"/>
      </w:r>
      <w:r>
        <w:rPr>
          <w:b w:val="0"/>
          <w:bCs/>
          <w:sz w:val="24"/>
          <w:szCs w:val="24"/>
        </w:rPr>
        <w:t>21</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_Toc5054 </w:instrText>
      </w:r>
      <w:r>
        <w:rPr>
          <w:rFonts w:hint="eastAsia" w:ascii="宋体" w:hAnsi="宋体" w:eastAsia="宋体" w:cs="宋体"/>
          <w:b w:val="0"/>
          <w:bCs/>
          <w:sz w:val="24"/>
          <w:szCs w:val="24"/>
        </w:rPr>
        <w:fldChar w:fldCharType="separate"/>
      </w:r>
      <w:r>
        <w:rPr>
          <w:rFonts w:hint="eastAsia"/>
          <w:b w:val="0"/>
          <w:bCs/>
          <w:sz w:val="24"/>
          <w:szCs w:val="24"/>
          <w:lang w:val="en-US" w:eastAsia="zh-CN"/>
        </w:rPr>
        <w:t>3</w:t>
      </w:r>
      <w:r>
        <w:rPr>
          <w:b w:val="0"/>
          <w:bCs/>
          <w:sz w:val="24"/>
          <w:szCs w:val="24"/>
        </w:rPr>
        <w:t>.3 风险物质扩散及防控、应急措施</w:t>
      </w:r>
      <w:r>
        <w:rPr>
          <w:b w:val="0"/>
          <w:bCs/>
          <w:sz w:val="24"/>
          <w:szCs w:val="24"/>
        </w:rPr>
        <w:tab/>
      </w:r>
      <w:r>
        <w:rPr>
          <w:b w:val="0"/>
          <w:bCs/>
          <w:sz w:val="24"/>
          <w:szCs w:val="24"/>
        </w:rPr>
        <w:fldChar w:fldCharType="begin"/>
      </w:r>
      <w:r>
        <w:rPr>
          <w:b w:val="0"/>
          <w:bCs/>
          <w:sz w:val="24"/>
          <w:szCs w:val="24"/>
        </w:rPr>
        <w:instrText xml:space="preserve"> PAGEREF _Toc5054 </w:instrText>
      </w:r>
      <w:r>
        <w:rPr>
          <w:b w:val="0"/>
          <w:bCs/>
          <w:sz w:val="24"/>
          <w:szCs w:val="24"/>
        </w:rPr>
        <w:fldChar w:fldCharType="separate"/>
      </w:r>
      <w:r>
        <w:rPr>
          <w:b w:val="0"/>
          <w:bCs/>
          <w:sz w:val="24"/>
          <w:szCs w:val="24"/>
        </w:rPr>
        <w:t>24</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_Toc8657 </w:instrText>
      </w:r>
      <w:r>
        <w:rPr>
          <w:rFonts w:hint="eastAsia" w:ascii="宋体" w:hAnsi="宋体" w:eastAsia="宋体" w:cs="宋体"/>
          <w:b w:val="0"/>
          <w:bCs/>
          <w:sz w:val="24"/>
          <w:szCs w:val="24"/>
        </w:rPr>
        <w:fldChar w:fldCharType="separate"/>
      </w:r>
      <w:r>
        <w:rPr>
          <w:rFonts w:hint="eastAsia"/>
          <w:b w:val="0"/>
          <w:bCs/>
          <w:sz w:val="24"/>
          <w:szCs w:val="24"/>
          <w:lang w:val="en-US" w:eastAsia="zh-CN"/>
        </w:rPr>
        <w:t>3</w:t>
      </w:r>
      <w:r>
        <w:rPr>
          <w:b w:val="0"/>
          <w:bCs/>
          <w:sz w:val="24"/>
          <w:szCs w:val="24"/>
        </w:rPr>
        <w:t>.4 可能发生的突发环境事件及后果分析</w:t>
      </w:r>
      <w:r>
        <w:rPr>
          <w:b w:val="0"/>
          <w:bCs/>
          <w:sz w:val="24"/>
          <w:szCs w:val="24"/>
        </w:rPr>
        <w:tab/>
      </w:r>
      <w:r>
        <w:rPr>
          <w:b w:val="0"/>
          <w:bCs/>
          <w:sz w:val="24"/>
          <w:szCs w:val="24"/>
        </w:rPr>
        <w:fldChar w:fldCharType="begin"/>
      </w:r>
      <w:r>
        <w:rPr>
          <w:b w:val="0"/>
          <w:bCs/>
          <w:sz w:val="24"/>
          <w:szCs w:val="24"/>
        </w:rPr>
        <w:instrText xml:space="preserve"> PAGEREF _Toc8657 </w:instrText>
      </w:r>
      <w:r>
        <w:rPr>
          <w:b w:val="0"/>
          <w:bCs/>
          <w:sz w:val="24"/>
          <w:szCs w:val="24"/>
        </w:rPr>
        <w:fldChar w:fldCharType="separate"/>
      </w:r>
      <w:r>
        <w:rPr>
          <w:b w:val="0"/>
          <w:bCs/>
          <w:sz w:val="24"/>
          <w:szCs w:val="24"/>
        </w:rPr>
        <w:t>27</w:t>
      </w:r>
      <w:r>
        <w:rPr>
          <w:b w:val="0"/>
          <w:bCs/>
          <w:sz w:val="24"/>
          <w:szCs w:val="24"/>
        </w:rPr>
        <w:fldChar w:fldCharType="end"/>
      </w:r>
      <w:r>
        <w:rPr>
          <w:rFonts w:hint="eastAsia" w:ascii="宋体" w:hAnsi="宋体" w:eastAsia="宋体" w:cs="宋体"/>
          <w:b w:val="0"/>
          <w:bCs/>
          <w:sz w:val="24"/>
          <w:szCs w:val="24"/>
        </w:rPr>
        <w:fldChar w:fldCharType="end"/>
      </w:r>
    </w:p>
    <w:p>
      <w:pPr>
        <w:pStyle w:val="16"/>
        <w:tabs>
          <w:tab w:val="right" w:leader="dot" w:pos="8504"/>
        </w:tabs>
        <w:rPr>
          <w:b/>
          <w:bCs w:val="0"/>
          <w:sz w:val="24"/>
          <w:szCs w:val="24"/>
        </w:rPr>
      </w:pP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_Toc4959 </w:instrText>
      </w:r>
      <w:r>
        <w:rPr>
          <w:rFonts w:hint="eastAsia" w:ascii="宋体" w:hAnsi="宋体" w:eastAsia="宋体" w:cs="宋体"/>
          <w:b/>
          <w:bCs w:val="0"/>
          <w:sz w:val="24"/>
          <w:szCs w:val="24"/>
        </w:rPr>
        <w:fldChar w:fldCharType="separate"/>
      </w:r>
      <w:r>
        <w:rPr>
          <w:rFonts w:hint="eastAsia"/>
          <w:b/>
          <w:bCs w:val="0"/>
          <w:sz w:val="24"/>
          <w:szCs w:val="24"/>
          <w:lang w:val="en-US" w:eastAsia="zh-CN"/>
        </w:rPr>
        <w:t>4</w:t>
      </w:r>
      <w:r>
        <w:rPr>
          <w:b/>
          <w:bCs w:val="0"/>
          <w:sz w:val="24"/>
          <w:szCs w:val="24"/>
        </w:rPr>
        <w:t xml:space="preserve"> </w:t>
      </w:r>
      <w:r>
        <w:rPr>
          <w:rFonts w:hint="eastAsia"/>
          <w:b/>
          <w:bCs w:val="0"/>
          <w:sz w:val="24"/>
          <w:szCs w:val="24"/>
        </w:rPr>
        <w:t>现有环境风险防控和应急措施差距分析</w:t>
      </w:r>
      <w:r>
        <w:rPr>
          <w:b/>
          <w:bCs w:val="0"/>
          <w:sz w:val="24"/>
          <w:szCs w:val="24"/>
        </w:rPr>
        <w:tab/>
      </w:r>
      <w:r>
        <w:rPr>
          <w:b/>
          <w:bCs w:val="0"/>
          <w:sz w:val="24"/>
          <w:szCs w:val="24"/>
        </w:rPr>
        <w:fldChar w:fldCharType="begin"/>
      </w:r>
      <w:r>
        <w:rPr>
          <w:b/>
          <w:bCs w:val="0"/>
          <w:sz w:val="24"/>
          <w:szCs w:val="24"/>
        </w:rPr>
        <w:instrText xml:space="preserve"> PAGEREF _Toc4959 </w:instrText>
      </w:r>
      <w:r>
        <w:rPr>
          <w:b/>
          <w:bCs w:val="0"/>
          <w:sz w:val="24"/>
          <w:szCs w:val="24"/>
        </w:rPr>
        <w:fldChar w:fldCharType="separate"/>
      </w:r>
      <w:r>
        <w:rPr>
          <w:b/>
          <w:bCs w:val="0"/>
          <w:sz w:val="24"/>
          <w:szCs w:val="24"/>
        </w:rPr>
        <w:t>28</w:t>
      </w:r>
      <w:r>
        <w:rPr>
          <w:b/>
          <w:bCs w:val="0"/>
          <w:sz w:val="24"/>
          <w:szCs w:val="24"/>
        </w:rPr>
        <w:fldChar w:fldCharType="end"/>
      </w:r>
      <w:r>
        <w:rPr>
          <w:rFonts w:hint="eastAsia" w:ascii="宋体" w:hAnsi="宋体" w:eastAsia="宋体" w:cs="宋体"/>
          <w:b/>
          <w:bCs w:val="0"/>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_Toc20946 </w:instrText>
      </w:r>
      <w:r>
        <w:rPr>
          <w:rFonts w:hint="eastAsia" w:ascii="宋体" w:hAnsi="宋体" w:eastAsia="宋体" w:cs="宋体"/>
          <w:b w:val="0"/>
          <w:bCs/>
          <w:sz w:val="24"/>
          <w:szCs w:val="24"/>
        </w:rPr>
        <w:fldChar w:fldCharType="separate"/>
      </w:r>
      <w:r>
        <w:rPr>
          <w:rFonts w:hint="eastAsia"/>
          <w:b w:val="0"/>
          <w:bCs/>
          <w:sz w:val="24"/>
          <w:szCs w:val="24"/>
          <w:lang w:val="en-US" w:eastAsia="zh-CN"/>
        </w:rPr>
        <w:t>4</w:t>
      </w:r>
      <w:r>
        <w:rPr>
          <w:rFonts w:hint="eastAsia"/>
          <w:b w:val="0"/>
          <w:bCs/>
          <w:sz w:val="24"/>
          <w:szCs w:val="24"/>
        </w:rPr>
        <w:t>.1</w:t>
      </w:r>
      <w:r>
        <w:rPr>
          <w:b w:val="0"/>
          <w:bCs/>
          <w:sz w:val="24"/>
          <w:szCs w:val="24"/>
        </w:rPr>
        <w:t xml:space="preserve"> </w:t>
      </w:r>
      <w:r>
        <w:rPr>
          <w:rFonts w:hint="eastAsia"/>
          <w:b w:val="0"/>
          <w:bCs/>
          <w:sz w:val="24"/>
          <w:szCs w:val="24"/>
        </w:rPr>
        <w:t>环境风险管理制度</w:t>
      </w:r>
      <w:r>
        <w:rPr>
          <w:b w:val="0"/>
          <w:bCs/>
          <w:sz w:val="24"/>
          <w:szCs w:val="24"/>
        </w:rPr>
        <w:tab/>
      </w:r>
      <w:r>
        <w:rPr>
          <w:b w:val="0"/>
          <w:bCs/>
          <w:sz w:val="24"/>
          <w:szCs w:val="24"/>
        </w:rPr>
        <w:fldChar w:fldCharType="begin"/>
      </w:r>
      <w:r>
        <w:rPr>
          <w:b w:val="0"/>
          <w:bCs/>
          <w:sz w:val="24"/>
          <w:szCs w:val="24"/>
        </w:rPr>
        <w:instrText xml:space="preserve"> PAGEREF _Toc20946 </w:instrText>
      </w:r>
      <w:r>
        <w:rPr>
          <w:b w:val="0"/>
          <w:bCs/>
          <w:sz w:val="24"/>
          <w:szCs w:val="24"/>
        </w:rPr>
        <w:fldChar w:fldCharType="separate"/>
      </w:r>
      <w:r>
        <w:rPr>
          <w:b w:val="0"/>
          <w:bCs/>
          <w:sz w:val="24"/>
          <w:szCs w:val="24"/>
        </w:rPr>
        <w:t>28</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_Toc27094 </w:instrText>
      </w:r>
      <w:r>
        <w:rPr>
          <w:rFonts w:hint="eastAsia" w:ascii="宋体" w:hAnsi="宋体" w:eastAsia="宋体" w:cs="宋体"/>
          <w:b w:val="0"/>
          <w:bCs/>
          <w:sz w:val="24"/>
          <w:szCs w:val="24"/>
        </w:rPr>
        <w:fldChar w:fldCharType="separate"/>
      </w:r>
      <w:r>
        <w:rPr>
          <w:rFonts w:hint="eastAsia"/>
          <w:b w:val="0"/>
          <w:bCs/>
          <w:sz w:val="24"/>
          <w:szCs w:val="24"/>
          <w:lang w:val="en-US" w:eastAsia="zh-CN"/>
        </w:rPr>
        <w:t>4</w:t>
      </w:r>
      <w:r>
        <w:rPr>
          <w:rFonts w:hint="eastAsia"/>
          <w:b w:val="0"/>
          <w:bCs/>
          <w:sz w:val="24"/>
          <w:szCs w:val="24"/>
        </w:rPr>
        <w:t>.2</w:t>
      </w:r>
      <w:r>
        <w:rPr>
          <w:b w:val="0"/>
          <w:bCs/>
          <w:sz w:val="24"/>
          <w:szCs w:val="24"/>
        </w:rPr>
        <w:t xml:space="preserve"> </w:t>
      </w:r>
      <w:r>
        <w:rPr>
          <w:rFonts w:hint="eastAsia"/>
          <w:b w:val="0"/>
          <w:bCs/>
          <w:sz w:val="24"/>
          <w:szCs w:val="24"/>
        </w:rPr>
        <w:t>环境风险防控与应急措施</w:t>
      </w:r>
      <w:r>
        <w:rPr>
          <w:b w:val="0"/>
          <w:bCs/>
          <w:sz w:val="24"/>
          <w:szCs w:val="24"/>
        </w:rPr>
        <w:tab/>
      </w:r>
      <w:r>
        <w:rPr>
          <w:b w:val="0"/>
          <w:bCs/>
          <w:sz w:val="24"/>
          <w:szCs w:val="24"/>
        </w:rPr>
        <w:fldChar w:fldCharType="begin"/>
      </w:r>
      <w:r>
        <w:rPr>
          <w:b w:val="0"/>
          <w:bCs/>
          <w:sz w:val="24"/>
          <w:szCs w:val="24"/>
        </w:rPr>
        <w:instrText xml:space="preserve"> PAGEREF _Toc27094 </w:instrText>
      </w:r>
      <w:r>
        <w:rPr>
          <w:b w:val="0"/>
          <w:bCs/>
          <w:sz w:val="24"/>
          <w:szCs w:val="24"/>
        </w:rPr>
        <w:fldChar w:fldCharType="separate"/>
      </w:r>
      <w:r>
        <w:rPr>
          <w:b w:val="0"/>
          <w:bCs/>
          <w:sz w:val="24"/>
          <w:szCs w:val="24"/>
        </w:rPr>
        <w:t>28</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_Toc16802 </w:instrText>
      </w:r>
      <w:r>
        <w:rPr>
          <w:rFonts w:hint="eastAsia" w:ascii="宋体" w:hAnsi="宋体" w:eastAsia="宋体" w:cs="宋体"/>
          <w:b w:val="0"/>
          <w:bCs/>
          <w:sz w:val="24"/>
          <w:szCs w:val="24"/>
        </w:rPr>
        <w:fldChar w:fldCharType="separate"/>
      </w:r>
      <w:r>
        <w:rPr>
          <w:rFonts w:hint="eastAsia"/>
          <w:b w:val="0"/>
          <w:bCs/>
          <w:sz w:val="24"/>
          <w:szCs w:val="24"/>
          <w:lang w:val="en-US" w:eastAsia="zh-CN"/>
        </w:rPr>
        <w:t>4</w:t>
      </w:r>
      <w:r>
        <w:rPr>
          <w:rFonts w:hint="eastAsia"/>
          <w:b w:val="0"/>
          <w:bCs/>
          <w:sz w:val="24"/>
          <w:szCs w:val="24"/>
        </w:rPr>
        <w:t>.3</w:t>
      </w:r>
      <w:r>
        <w:rPr>
          <w:b w:val="0"/>
          <w:bCs/>
          <w:sz w:val="24"/>
          <w:szCs w:val="24"/>
        </w:rPr>
        <w:t xml:space="preserve"> </w:t>
      </w:r>
      <w:r>
        <w:rPr>
          <w:rFonts w:hint="eastAsia"/>
          <w:b w:val="0"/>
          <w:bCs/>
          <w:sz w:val="24"/>
          <w:szCs w:val="24"/>
        </w:rPr>
        <w:t>环境应急资源表</w:t>
      </w:r>
      <w:r>
        <w:rPr>
          <w:b w:val="0"/>
          <w:bCs/>
          <w:sz w:val="24"/>
          <w:szCs w:val="24"/>
        </w:rPr>
        <w:tab/>
      </w:r>
      <w:r>
        <w:rPr>
          <w:b w:val="0"/>
          <w:bCs/>
          <w:sz w:val="24"/>
          <w:szCs w:val="24"/>
        </w:rPr>
        <w:fldChar w:fldCharType="begin"/>
      </w:r>
      <w:r>
        <w:rPr>
          <w:b w:val="0"/>
          <w:bCs/>
          <w:sz w:val="24"/>
          <w:szCs w:val="24"/>
        </w:rPr>
        <w:instrText xml:space="preserve"> PAGEREF _Toc16802 </w:instrText>
      </w:r>
      <w:r>
        <w:rPr>
          <w:b w:val="0"/>
          <w:bCs/>
          <w:sz w:val="24"/>
          <w:szCs w:val="24"/>
        </w:rPr>
        <w:fldChar w:fldCharType="separate"/>
      </w:r>
      <w:r>
        <w:rPr>
          <w:b w:val="0"/>
          <w:bCs/>
          <w:sz w:val="24"/>
          <w:szCs w:val="24"/>
        </w:rPr>
        <w:t>29</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_Toc19689 </w:instrText>
      </w:r>
      <w:r>
        <w:rPr>
          <w:rFonts w:hint="eastAsia" w:ascii="宋体" w:hAnsi="宋体" w:eastAsia="宋体" w:cs="宋体"/>
          <w:b w:val="0"/>
          <w:bCs/>
          <w:sz w:val="24"/>
          <w:szCs w:val="24"/>
        </w:rPr>
        <w:fldChar w:fldCharType="separate"/>
      </w:r>
      <w:r>
        <w:rPr>
          <w:rFonts w:hint="eastAsia"/>
          <w:b w:val="0"/>
          <w:bCs/>
          <w:sz w:val="24"/>
          <w:szCs w:val="24"/>
          <w:lang w:val="en-US" w:eastAsia="zh-CN"/>
        </w:rPr>
        <w:t>4</w:t>
      </w:r>
      <w:r>
        <w:rPr>
          <w:rFonts w:hint="eastAsia"/>
          <w:b w:val="0"/>
          <w:bCs/>
          <w:sz w:val="24"/>
          <w:szCs w:val="24"/>
        </w:rPr>
        <w:t>.4</w:t>
      </w:r>
      <w:r>
        <w:rPr>
          <w:b w:val="0"/>
          <w:bCs/>
          <w:sz w:val="24"/>
          <w:szCs w:val="24"/>
        </w:rPr>
        <w:t xml:space="preserve"> </w:t>
      </w:r>
      <w:r>
        <w:rPr>
          <w:rFonts w:hint="eastAsia"/>
          <w:b w:val="0"/>
          <w:bCs/>
          <w:sz w:val="24"/>
          <w:szCs w:val="24"/>
        </w:rPr>
        <w:t>历史经验教训总结</w:t>
      </w:r>
      <w:r>
        <w:rPr>
          <w:b w:val="0"/>
          <w:bCs/>
          <w:sz w:val="24"/>
          <w:szCs w:val="24"/>
        </w:rPr>
        <w:tab/>
      </w:r>
      <w:r>
        <w:rPr>
          <w:b w:val="0"/>
          <w:bCs/>
          <w:sz w:val="24"/>
          <w:szCs w:val="24"/>
        </w:rPr>
        <w:fldChar w:fldCharType="begin"/>
      </w:r>
      <w:r>
        <w:rPr>
          <w:b w:val="0"/>
          <w:bCs/>
          <w:sz w:val="24"/>
          <w:szCs w:val="24"/>
        </w:rPr>
        <w:instrText xml:space="preserve"> PAGEREF _Toc19689 </w:instrText>
      </w:r>
      <w:r>
        <w:rPr>
          <w:b w:val="0"/>
          <w:bCs/>
          <w:sz w:val="24"/>
          <w:szCs w:val="24"/>
        </w:rPr>
        <w:fldChar w:fldCharType="separate"/>
      </w:r>
      <w:r>
        <w:rPr>
          <w:b w:val="0"/>
          <w:bCs/>
          <w:sz w:val="24"/>
          <w:szCs w:val="24"/>
        </w:rPr>
        <w:t>30</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_Toc7459 </w:instrText>
      </w:r>
      <w:r>
        <w:rPr>
          <w:rFonts w:hint="eastAsia" w:ascii="宋体" w:hAnsi="宋体" w:eastAsia="宋体" w:cs="宋体"/>
          <w:b w:val="0"/>
          <w:bCs/>
          <w:sz w:val="24"/>
          <w:szCs w:val="24"/>
        </w:rPr>
        <w:fldChar w:fldCharType="separate"/>
      </w:r>
      <w:r>
        <w:rPr>
          <w:rFonts w:hint="eastAsia"/>
          <w:b w:val="0"/>
          <w:bCs/>
          <w:sz w:val="24"/>
          <w:szCs w:val="24"/>
          <w:lang w:val="en-US" w:eastAsia="zh-CN"/>
        </w:rPr>
        <w:t>4</w:t>
      </w:r>
      <w:r>
        <w:rPr>
          <w:rFonts w:hint="eastAsia"/>
          <w:b w:val="0"/>
          <w:bCs/>
          <w:sz w:val="24"/>
          <w:szCs w:val="24"/>
        </w:rPr>
        <w:t>.5</w:t>
      </w:r>
      <w:r>
        <w:rPr>
          <w:b w:val="0"/>
          <w:bCs/>
          <w:sz w:val="24"/>
          <w:szCs w:val="24"/>
        </w:rPr>
        <w:t xml:space="preserve"> </w:t>
      </w:r>
      <w:r>
        <w:rPr>
          <w:rFonts w:hint="eastAsia"/>
          <w:b w:val="0"/>
          <w:bCs/>
          <w:sz w:val="24"/>
          <w:szCs w:val="24"/>
        </w:rPr>
        <w:t>需要整改的短期、中期和长期项目内容</w:t>
      </w:r>
      <w:r>
        <w:rPr>
          <w:b w:val="0"/>
          <w:bCs/>
          <w:sz w:val="24"/>
          <w:szCs w:val="24"/>
        </w:rPr>
        <w:tab/>
      </w:r>
      <w:r>
        <w:rPr>
          <w:b w:val="0"/>
          <w:bCs/>
          <w:sz w:val="24"/>
          <w:szCs w:val="24"/>
        </w:rPr>
        <w:fldChar w:fldCharType="begin"/>
      </w:r>
      <w:r>
        <w:rPr>
          <w:b w:val="0"/>
          <w:bCs/>
          <w:sz w:val="24"/>
          <w:szCs w:val="24"/>
        </w:rPr>
        <w:instrText xml:space="preserve"> PAGEREF _Toc7459 </w:instrText>
      </w:r>
      <w:r>
        <w:rPr>
          <w:b w:val="0"/>
          <w:bCs/>
          <w:sz w:val="24"/>
          <w:szCs w:val="24"/>
        </w:rPr>
        <w:fldChar w:fldCharType="separate"/>
      </w:r>
      <w:r>
        <w:rPr>
          <w:b w:val="0"/>
          <w:bCs/>
          <w:sz w:val="24"/>
          <w:szCs w:val="24"/>
        </w:rPr>
        <w:t>30</w:t>
      </w:r>
      <w:r>
        <w:rPr>
          <w:b w:val="0"/>
          <w:bCs/>
          <w:sz w:val="24"/>
          <w:szCs w:val="24"/>
        </w:rPr>
        <w:fldChar w:fldCharType="end"/>
      </w:r>
      <w:r>
        <w:rPr>
          <w:rFonts w:hint="eastAsia" w:ascii="宋体" w:hAnsi="宋体" w:eastAsia="宋体" w:cs="宋体"/>
          <w:b w:val="0"/>
          <w:bCs/>
          <w:sz w:val="24"/>
          <w:szCs w:val="24"/>
        </w:rPr>
        <w:fldChar w:fldCharType="end"/>
      </w:r>
    </w:p>
    <w:p>
      <w:pPr>
        <w:pStyle w:val="16"/>
        <w:tabs>
          <w:tab w:val="right" w:leader="dot" w:pos="8504"/>
        </w:tabs>
        <w:rPr>
          <w:b/>
          <w:bCs w:val="0"/>
          <w:sz w:val="24"/>
          <w:szCs w:val="24"/>
        </w:rPr>
      </w:pP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_Toc16882 </w:instrText>
      </w:r>
      <w:r>
        <w:rPr>
          <w:rFonts w:hint="eastAsia" w:ascii="宋体" w:hAnsi="宋体" w:eastAsia="宋体" w:cs="宋体"/>
          <w:b/>
          <w:bCs w:val="0"/>
          <w:sz w:val="24"/>
          <w:szCs w:val="24"/>
        </w:rPr>
        <w:fldChar w:fldCharType="separate"/>
      </w:r>
      <w:r>
        <w:rPr>
          <w:rFonts w:hint="eastAsia"/>
          <w:b/>
          <w:bCs w:val="0"/>
          <w:sz w:val="24"/>
          <w:szCs w:val="24"/>
          <w:lang w:val="en-US" w:eastAsia="zh-CN"/>
        </w:rPr>
        <w:t>5</w:t>
      </w:r>
      <w:r>
        <w:rPr>
          <w:b/>
          <w:bCs w:val="0"/>
          <w:sz w:val="24"/>
          <w:szCs w:val="24"/>
        </w:rPr>
        <w:t xml:space="preserve"> </w:t>
      </w:r>
      <w:r>
        <w:rPr>
          <w:rFonts w:hint="eastAsia"/>
          <w:b/>
          <w:bCs w:val="0"/>
          <w:sz w:val="24"/>
          <w:szCs w:val="24"/>
        </w:rPr>
        <w:t>完善环境风险防控与应急措施的实施计划</w:t>
      </w:r>
      <w:r>
        <w:rPr>
          <w:b/>
          <w:bCs w:val="0"/>
          <w:sz w:val="24"/>
          <w:szCs w:val="24"/>
        </w:rPr>
        <w:tab/>
      </w:r>
      <w:r>
        <w:rPr>
          <w:b/>
          <w:bCs w:val="0"/>
          <w:sz w:val="24"/>
          <w:szCs w:val="24"/>
        </w:rPr>
        <w:fldChar w:fldCharType="begin"/>
      </w:r>
      <w:r>
        <w:rPr>
          <w:b/>
          <w:bCs w:val="0"/>
          <w:sz w:val="24"/>
          <w:szCs w:val="24"/>
        </w:rPr>
        <w:instrText xml:space="preserve"> PAGEREF _Toc16882 </w:instrText>
      </w:r>
      <w:r>
        <w:rPr>
          <w:b/>
          <w:bCs w:val="0"/>
          <w:sz w:val="24"/>
          <w:szCs w:val="24"/>
        </w:rPr>
        <w:fldChar w:fldCharType="separate"/>
      </w:r>
      <w:r>
        <w:rPr>
          <w:b/>
          <w:bCs w:val="0"/>
          <w:sz w:val="24"/>
          <w:szCs w:val="24"/>
        </w:rPr>
        <w:t>31</w:t>
      </w:r>
      <w:r>
        <w:rPr>
          <w:b/>
          <w:bCs w:val="0"/>
          <w:sz w:val="24"/>
          <w:szCs w:val="24"/>
        </w:rPr>
        <w:fldChar w:fldCharType="end"/>
      </w:r>
      <w:r>
        <w:rPr>
          <w:rFonts w:hint="eastAsia" w:ascii="宋体" w:hAnsi="宋体" w:eastAsia="宋体" w:cs="宋体"/>
          <w:b/>
          <w:bCs w:val="0"/>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_Toc16528 </w:instrText>
      </w:r>
      <w:r>
        <w:rPr>
          <w:rFonts w:hint="eastAsia" w:ascii="宋体" w:hAnsi="宋体" w:eastAsia="宋体" w:cs="宋体"/>
          <w:b w:val="0"/>
          <w:bCs/>
          <w:sz w:val="24"/>
          <w:szCs w:val="24"/>
        </w:rPr>
        <w:fldChar w:fldCharType="separate"/>
      </w:r>
      <w:r>
        <w:rPr>
          <w:rFonts w:hint="eastAsia"/>
          <w:b w:val="0"/>
          <w:bCs/>
          <w:sz w:val="24"/>
          <w:szCs w:val="24"/>
          <w:lang w:val="en-US" w:eastAsia="zh-CN"/>
        </w:rPr>
        <w:t>5</w:t>
      </w:r>
      <w:r>
        <w:rPr>
          <w:rFonts w:hint="eastAsia"/>
          <w:b w:val="0"/>
          <w:bCs/>
          <w:sz w:val="24"/>
          <w:szCs w:val="24"/>
        </w:rPr>
        <w:t>.1</w:t>
      </w:r>
      <w:r>
        <w:rPr>
          <w:b w:val="0"/>
          <w:bCs/>
          <w:sz w:val="24"/>
          <w:szCs w:val="24"/>
        </w:rPr>
        <w:t xml:space="preserve"> </w:t>
      </w:r>
      <w:r>
        <w:rPr>
          <w:rFonts w:hint="eastAsia"/>
          <w:b w:val="0"/>
          <w:bCs/>
          <w:sz w:val="24"/>
          <w:szCs w:val="24"/>
        </w:rPr>
        <w:t>进一步完善环境风险管理制度</w:t>
      </w:r>
      <w:r>
        <w:rPr>
          <w:b w:val="0"/>
          <w:bCs/>
          <w:sz w:val="24"/>
          <w:szCs w:val="24"/>
        </w:rPr>
        <w:tab/>
      </w:r>
      <w:r>
        <w:rPr>
          <w:b w:val="0"/>
          <w:bCs/>
          <w:sz w:val="24"/>
          <w:szCs w:val="24"/>
        </w:rPr>
        <w:fldChar w:fldCharType="begin"/>
      </w:r>
      <w:r>
        <w:rPr>
          <w:b w:val="0"/>
          <w:bCs/>
          <w:sz w:val="24"/>
          <w:szCs w:val="24"/>
        </w:rPr>
        <w:instrText xml:space="preserve"> PAGEREF _Toc16528 </w:instrText>
      </w:r>
      <w:r>
        <w:rPr>
          <w:b w:val="0"/>
          <w:bCs/>
          <w:sz w:val="24"/>
          <w:szCs w:val="24"/>
        </w:rPr>
        <w:fldChar w:fldCharType="separate"/>
      </w:r>
      <w:r>
        <w:rPr>
          <w:b w:val="0"/>
          <w:bCs/>
          <w:sz w:val="24"/>
          <w:szCs w:val="24"/>
        </w:rPr>
        <w:t>31</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_Toc23043 </w:instrText>
      </w:r>
      <w:r>
        <w:rPr>
          <w:rFonts w:hint="eastAsia" w:ascii="宋体" w:hAnsi="宋体" w:eastAsia="宋体" w:cs="宋体"/>
          <w:b w:val="0"/>
          <w:bCs/>
          <w:sz w:val="24"/>
          <w:szCs w:val="24"/>
        </w:rPr>
        <w:fldChar w:fldCharType="separate"/>
      </w:r>
      <w:r>
        <w:rPr>
          <w:rFonts w:hint="eastAsia" w:eastAsia="宋体"/>
          <w:b w:val="0"/>
          <w:bCs/>
          <w:sz w:val="24"/>
          <w:szCs w:val="24"/>
          <w:lang w:val="en-US" w:eastAsia="zh-CN"/>
        </w:rPr>
        <w:t>5</w:t>
      </w:r>
      <w:r>
        <w:rPr>
          <w:rFonts w:hint="eastAsia"/>
          <w:b w:val="0"/>
          <w:bCs/>
          <w:sz w:val="24"/>
          <w:szCs w:val="24"/>
        </w:rPr>
        <w:t>.2</w:t>
      </w:r>
      <w:r>
        <w:rPr>
          <w:b w:val="0"/>
          <w:bCs/>
          <w:sz w:val="24"/>
          <w:szCs w:val="24"/>
        </w:rPr>
        <w:t xml:space="preserve"> </w:t>
      </w:r>
      <w:r>
        <w:rPr>
          <w:rFonts w:hint="eastAsia"/>
          <w:b w:val="0"/>
          <w:bCs/>
          <w:sz w:val="24"/>
          <w:szCs w:val="24"/>
        </w:rPr>
        <w:t>环境风险防控措施、环境应急能力建设</w:t>
      </w:r>
      <w:r>
        <w:rPr>
          <w:b w:val="0"/>
          <w:bCs/>
          <w:sz w:val="24"/>
          <w:szCs w:val="24"/>
        </w:rPr>
        <w:tab/>
      </w:r>
      <w:r>
        <w:rPr>
          <w:b w:val="0"/>
          <w:bCs/>
          <w:sz w:val="24"/>
          <w:szCs w:val="24"/>
        </w:rPr>
        <w:fldChar w:fldCharType="begin"/>
      </w:r>
      <w:r>
        <w:rPr>
          <w:b w:val="0"/>
          <w:bCs/>
          <w:sz w:val="24"/>
          <w:szCs w:val="24"/>
        </w:rPr>
        <w:instrText xml:space="preserve"> PAGEREF _Toc23043 </w:instrText>
      </w:r>
      <w:r>
        <w:rPr>
          <w:b w:val="0"/>
          <w:bCs/>
          <w:sz w:val="24"/>
          <w:szCs w:val="24"/>
        </w:rPr>
        <w:fldChar w:fldCharType="separate"/>
      </w:r>
      <w:r>
        <w:rPr>
          <w:b w:val="0"/>
          <w:bCs/>
          <w:sz w:val="24"/>
          <w:szCs w:val="24"/>
        </w:rPr>
        <w:t>31</w:t>
      </w:r>
      <w:r>
        <w:rPr>
          <w:b w:val="0"/>
          <w:bCs/>
          <w:sz w:val="24"/>
          <w:szCs w:val="24"/>
        </w:rPr>
        <w:fldChar w:fldCharType="end"/>
      </w:r>
      <w:r>
        <w:rPr>
          <w:rFonts w:hint="eastAsia" w:ascii="宋体" w:hAnsi="宋体" w:eastAsia="宋体" w:cs="宋体"/>
          <w:b w:val="0"/>
          <w:bCs/>
          <w:sz w:val="24"/>
          <w:szCs w:val="24"/>
        </w:rPr>
        <w:fldChar w:fldCharType="end"/>
      </w:r>
    </w:p>
    <w:p>
      <w:pPr>
        <w:pStyle w:val="16"/>
        <w:tabs>
          <w:tab w:val="right" w:leader="dot" w:pos="8504"/>
        </w:tabs>
        <w:rPr>
          <w:b/>
          <w:bCs w:val="0"/>
          <w:sz w:val="24"/>
          <w:szCs w:val="24"/>
        </w:rPr>
      </w:pPr>
      <w:r>
        <w:rPr>
          <w:rFonts w:hint="eastAsia" w:ascii="宋体" w:hAnsi="宋体" w:eastAsia="宋体" w:cs="宋体"/>
          <w:b/>
          <w:bCs w:val="0"/>
          <w:sz w:val="24"/>
          <w:szCs w:val="24"/>
        </w:rPr>
        <w:fldChar w:fldCharType="begin"/>
      </w:r>
      <w:r>
        <w:rPr>
          <w:rFonts w:hint="eastAsia" w:ascii="宋体" w:hAnsi="宋体" w:eastAsia="宋体" w:cs="宋体"/>
          <w:b/>
          <w:bCs w:val="0"/>
          <w:sz w:val="24"/>
          <w:szCs w:val="24"/>
        </w:rPr>
        <w:instrText xml:space="preserve"> HYPERLINK \l _Toc30840 </w:instrText>
      </w:r>
      <w:r>
        <w:rPr>
          <w:rFonts w:hint="eastAsia" w:ascii="宋体" w:hAnsi="宋体" w:eastAsia="宋体" w:cs="宋体"/>
          <w:b/>
          <w:bCs w:val="0"/>
          <w:sz w:val="24"/>
          <w:szCs w:val="24"/>
        </w:rPr>
        <w:fldChar w:fldCharType="separate"/>
      </w:r>
      <w:r>
        <w:rPr>
          <w:rFonts w:hint="eastAsia"/>
          <w:b/>
          <w:bCs w:val="0"/>
          <w:sz w:val="24"/>
          <w:szCs w:val="24"/>
          <w:lang w:val="en-US" w:eastAsia="zh-CN"/>
        </w:rPr>
        <w:t>6</w:t>
      </w:r>
      <w:r>
        <w:rPr>
          <w:b/>
          <w:bCs w:val="0"/>
          <w:sz w:val="24"/>
          <w:szCs w:val="24"/>
        </w:rPr>
        <w:t xml:space="preserve"> </w:t>
      </w:r>
      <w:r>
        <w:rPr>
          <w:rFonts w:hint="eastAsia"/>
          <w:b/>
          <w:bCs w:val="0"/>
          <w:sz w:val="24"/>
          <w:szCs w:val="24"/>
        </w:rPr>
        <w:t>企业环境风险等级</w:t>
      </w:r>
      <w:r>
        <w:rPr>
          <w:b/>
          <w:bCs w:val="0"/>
          <w:sz w:val="24"/>
          <w:szCs w:val="24"/>
        </w:rPr>
        <w:tab/>
      </w:r>
      <w:r>
        <w:rPr>
          <w:b/>
          <w:bCs w:val="0"/>
          <w:sz w:val="24"/>
          <w:szCs w:val="24"/>
        </w:rPr>
        <w:fldChar w:fldCharType="begin"/>
      </w:r>
      <w:r>
        <w:rPr>
          <w:b/>
          <w:bCs w:val="0"/>
          <w:sz w:val="24"/>
          <w:szCs w:val="24"/>
        </w:rPr>
        <w:instrText xml:space="preserve"> PAGEREF _Toc30840 </w:instrText>
      </w:r>
      <w:r>
        <w:rPr>
          <w:b/>
          <w:bCs w:val="0"/>
          <w:sz w:val="24"/>
          <w:szCs w:val="24"/>
        </w:rPr>
        <w:fldChar w:fldCharType="separate"/>
      </w:r>
      <w:r>
        <w:rPr>
          <w:b/>
          <w:bCs w:val="0"/>
          <w:sz w:val="24"/>
          <w:szCs w:val="24"/>
        </w:rPr>
        <w:t>33</w:t>
      </w:r>
      <w:r>
        <w:rPr>
          <w:b/>
          <w:bCs w:val="0"/>
          <w:sz w:val="24"/>
          <w:szCs w:val="24"/>
        </w:rPr>
        <w:fldChar w:fldCharType="end"/>
      </w:r>
      <w:r>
        <w:rPr>
          <w:rFonts w:hint="eastAsia" w:ascii="宋体" w:hAnsi="宋体" w:eastAsia="宋体" w:cs="宋体"/>
          <w:b/>
          <w:bCs w:val="0"/>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_Toc7324 </w:instrText>
      </w:r>
      <w:r>
        <w:rPr>
          <w:rFonts w:hint="eastAsia" w:ascii="宋体" w:hAnsi="宋体" w:eastAsia="宋体" w:cs="宋体"/>
          <w:b w:val="0"/>
          <w:bCs/>
          <w:sz w:val="24"/>
          <w:szCs w:val="24"/>
        </w:rPr>
        <w:fldChar w:fldCharType="separate"/>
      </w:r>
      <w:r>
        <w:rPr>
          <w:rFonts w:hint="eastAsia"/>
          <w:b w:val="0"/>
          <w:bCs/>
          <w:sz w:val="24"/>
          <w:szCs w:val="24"/>
          <w:lang w:val="en-US" w:eastAsia="zh-CN"/>
        </w:rPr>
        <w:t>6</w:t>
      </w:r>
      <w:r>
        <w:rPr>
          <w:rFonts w:hint="eastAsia"/>
          <w:b w:val="0"/>
          <w:bCs/>
          <w:sz w:val="24"/>
          <w:szCs w:val="24"/>
        </w:rPr>
        <w:t>.1</w:t>
      </w:r>
      <w:r>
        <w:rPr>
          <w:b w:val="0"/>
          <w:bCs/>
          <w:sz w:val="24"/>
          <w:szCs w:val="24"/>
        </w:rPr>
        <w:t xml:space="preserve"> </w:t>
      </w:r>
      <w:r>
        <w:rPr>
          <w:rFonts w:hint="eastAsia"/>
          <w:b w:val="0"/>
          <w:bCs/>
          <w:sz w:val="24"/>
          <w:szCs w:val="24"/>
        </w:rPr>
        <w:t>确定环境风险物质数量与其临界量比值（Q）</w:t>
      </w:r>
      <w:r>
        <w:rPr>
          <w:b w:val="0"/>
          <w:bCs/>
          <w:sz w:val="24"/>
          <w:szCs w:val="24"/>
        </w:rPr>
        <w:tab/>
      </w:r>
      <w:r>
        <w:rPr>
          <w:b w:val="0"/>
          <w:bCs/>
          <w:sz w:val="24"/>
          <w:szCs w:val="24"/>
        </w:rPr>
        <w:fldChar w:fldCharType="begin"/>
      </w:r>
      <w:r>
        <w:rPr>
          <w:b w:val="0"/>
          <w:bCs/>
          <w:sz w:val="24"/>
          <w:szCs w:val="24"/>
        </w:rPr>
        <w:instrText xml:space="preserve"> PAGEREF _Toc7324 </w:instrText>
      </w:r>
      <w:r>
        <w:rPr>
          <w:b w:val="0"/>
          <w:bCs/>
          <w:sz w:val="24"/>
          <w:szCs w:val="24"/>
        </w:rPr>
        <w:fldChar w:fldCharType="separate"/>
      </w:r>
      <w:r>
        <w:rPr>
          <w:b w:val="0"/>
          <w:bCs/>
          <w:sz w:val="24"/>
          <w:szCs w:val="24"/>
        </w:rPr>
        <w:t>34</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_Toc12759 </w:instrText>
      </w:r>
      <w:r>
        <w:rPr>
          <w:rFonts w:hint="eastAsia" w:ascii="宋体" w:hAnsi="宋体" w:eastAsia="宋体" w:cs="宋体"/>
          <w:b w:val="0"/>
          <w:bCs/>
          <w:sz w:val="24"/>
          <w:szCs w:val="24"/>
        </w:rPr>
        <w:fldChar w:fldCharType="separate"/>
      </w:r>
      <w:r>
        <w:rPr>
          <w:rFonts w:hint="eastAsia"/>
          <w:b w:val="0"/>
          <w:bCs/>
          <w:sz w:val="24"/>
          <w:szCs w:val="24"/>
          <w:lang w:val="en-US" w:eastAsia="zh-CN"/>
        </w:rPr>
        <w:t>6</w:t>
      </w:r>
      <w:r>
        <w:rPr>
          <w:rFonts w:hint="eastAsia"/>
          <w:b w:val="0"/>
          <w:bCs/>
          <w:sz w:val="24"/>
          <w:szCs w:val="24"/>
        </w:rPr>
        <w:t>.2 突发大气环境事件风险等级评估</w:t>
      </w:r>
      <w:r>
        <w:rPr>
          <w:b w:val="0"/>
          <w:bCs/>
          <w:sz w:val="24"/>
          <w:szCs w:val="24"/>
        </w:rPr>
        <w:tab/>
      </w:r>
      <w:r>
        <w:rPr>
          <w:b w:val="0"/>
          <w:bCs/>
          <w:sz w:val="24"/>
          <w:szCs w:val="24"/>
        </w:rPr>
        <w:fldChar w:fldCharType="begin"/>
      </w:r>
      <w:r>
        <w:rPr>
          <w:b w:val="0"/>
          <w:bCs/>
          <w:sz w:val="24"/>
          <w:szCs w:val="24"/>
        </w:rPr>
        <w:instrText xml:space="preserve"> PAGEREF _Toc12759 </w:instrText>
      </w:r>
      <w:r>
        <w:rPr>
          <w:b w:val="0"/>
          <w:bCs/>
          <w:sz w:val="24"/>
          <w:szCs w:val="24"/>
        </w:rPr>
        <w:fldChar w:fldCharType="separate"/>
      </w:r>
      <w:r>
        <w:rPr>
          <w:b w:val="0"/>
          <w:bCs/>
          <w:sz w:val="24"/>
          <w:szCs w:val="24"/>
        </w:rPr>
        <w:t>35</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_Toc11419 </w:instrText>
      </w:r>
      <w:r>
        <w:rPr>
          <w:rFonts w:hint="eastAsia" w:ascii="宋体" w:hAnsi="宋体" w:eastAsia="宋体" w:cs="宋体"/>
          <w:b w:val="0"/>
          <w:bCs/>
          <w:sz w:val="24"/>
          <w:szCs w:val="24"/>
        </w:rPr>
        <w:fldChar w:fldCharType="separate"/>
      </w:r>
      <w:r>
        <w:rPr>
          <w:rFonts w:hint="eastAsia"/>
          <w:b w:val="0"/>
          <w:bCs/>
          <w:sz w:val="24"/>
          <w:szCs w:val="24"/>
          <w:lang w:val="en-US" w:eastAsia="zh-CN"/>
        </w:rPr>
        <w:t>6</w:t>
      </w:r>
      <w:r>
        <w:rPr>
          <w:rFonts w:hint="eastAsia"/>
          <w:b w:val="0"/>
          <w:bCs/>
          <w:sz w:val="24"/>
          <w:szCs w:val="24"/>
        </w:rPr>
        <w:t>.3 突发水环境事件风险等级评估</w:t>
      </w:r>
      <w:r>
        <w:rPr>
          <w:b w:val="0"/>
          <w:bCs/>
          <w:sz w:val="24"/>
          <w:szCs w:val="24"/>
        </w:rPr>
        <w:tab/>
      </w:r>
      <w:r>
        <w:rPr>
          <w:b w:val="0"/>
          <w:bCs/>
          <w:sz w:val="24"/>
          <w:szCs w:val="24"/>
        </w:rPr>
        <w:fldChar w:fldCharType="begin"/>
      </w:r>
      <w:r>
        <w:rPr>
          <w:b w:val="0"/>
          <w:bCs/>
          <w:sz w:val="24"/>
          <w:szCs w:val="24"/>
        </w:rPr>
        <w:instrText xml:space="preserve"> PAGEREF _Toc11419 </w:instrText>
      </w:r>
      <w:r>
        <w:rPr>
          <w:b w:val="0"/>
          <w:bCs/>
          <w:sz w:val="24"/>
          <w:szCs w:val="24"/>
        </w:rPr>
        <w:fldChar w:fldCharType="separate"/>
      </w:r>
      <w:r>
        <w:rPr>
          <w:b w:val="0"/>
          <w:bCs/>
          <w:sz w:val="24"/>
          <w:szCs w:val="24"/>
        </w:rPr>
        <w:t>37</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b w:val="0"/>
          <w:bCs/>
          <w:sz w:val="24"/>
          <w:szCs w:val="24"/>
        </w:rPr>
      </w:pPr>
      <w:r>
        <w:rPr>
          <w:rFonts w:hint="eastAsia" w:ascii="宋体" w:hAnsi="宋体" w:eastAsia="宋体" w:cs="宋体"/>
          <w:b w:val="0"/>
          <w:bCs/>
          <w:sz w:val="24"/>
          <w:szCs w:val="24"/>
        </w:rPr>
        <w:fldChar w:fldCharType="begin"/>
      </w:r>
      <w:r>
        <w:rPr>
          <w:rFonts w:hint="eastAsia" w:ascii="宋体" w:hAnsi="宋体" w:eastAsia="宋体" w:cs="宋体"/>
          <w:b w:val="0"/>
          <w:bCs/>
          <w:sz w:val="24"/>
          <w:szCs w:val="24"/>
        </w:rPr>
        <w:instrText xml:space="preserve"> HYPERLINK \l _Toc11402 </w:instrText>
      </w:r>
      <w:r>
        <w:rPr>
          <w:rFonts w:hint="eastAsia" w:ascii="宋体" w:hAnsi="宋体" w:eastAsia="宋体" w:cs="宋体"/>
          <w:b w:val="0"/>
          <w:bCs/>
          <w:sz w:val="24"/>
          <w:szCs w:val="24"/>
        </w:rPr>
        <w:fldChar w:fldCharType="separate"/>
      </w:r>
      <w:r>
        <w:rPr>
          <w:rFonts w:hint="eastAsia"/>
          <w:b w:val="0"/>
          <w:bCs/>
          <w:sz w:val="24"/>
          <w:szCs w:val="24"/>
          <w:lang w:val="en-US" w:eastAsia="zh-CN"/>
        </w:rPr>
        <w:t>6</w:t>
      </w:r>
      <w:r>
        <w:rPr>
          <w:rFonts w:hint="eastAsia"/>
          <w:b w:val="0"/>
          <w:bCs/>
          <w:sz w:val="24"/>
          <w:szCs w:val="24"/>
        </w:rPr>
        <w:t>.4 企业环境风险等级的确定</w:t>
      </w:r>
      <w:r>
        <w:rPr>
          <w:b w:val="0"/>
          <w:bCs/>
          <w:sz w:val="24"/>
          <w:szCs w:val="24"/>
        </w:rPr>
        <w:tab/>
      </w:r>
      <w:r>
        <w:rPr>
          <w:b w:val="0"/>
          <w:bCs/>
          <w:sz w:val="24"/>
          <w:szCs w:val="24"/>
        </w:rPr>
        <w:fldChar w:fldCharType="begin"/>
      </w:r>
      <w:r>
        <w:rPr>
          <w:b w:val="0"/>
          <w:bCs/>
          <w:sz w:val="24"/>
          <w:szCs w:val="24"/>
        </w:rPr>
        <w:instrText xml:space="preserve"> PAGEREF _Toc11402 </w:instrText>
      </w:r>
      <w:r>
        <w:rPr>
          <w:b w:val="0"/>
          <w:bCs/>
          <w:sz w:val="24"/>
          <w:szCs w:val="24"/>
        </w:rPr>
        <w:fldChar w:fldCharType="separate"/>
      </w:r>
      <w:r>
        <w:rPr>
          <w:b w:val="0"/>
          <w:bCs/>
          <w:sz w:val="24"/>
          <w:szCs w:val="24"/>
        </w:rPr>
        <w:t>41</w:t>
      </w:r>
      <w:r>
        <w:rPr>
          <w:b w:val="0"/>
          <w:bCs/>
          <w:sz w:val="24"/>
          <w:szCs w:val="24"/>
        </w:rPr>
        <w:fldChar w:fldCharType="end"/>
      </w:r>
      <w:r>
        <w:rPr>
          <w:rFonts w:hint="eastAsia" w:ascii="宋体" w:hAnsi="宋体" w:eastAsia="宋体" w:cs="宋体"/>
          <w:b w:val="0"/>
          <w:bCs/>
          <w:sz w:val="24"/>
          <w:szCs w:val="24"/>
        </w:rPr>
        <w:fldChar w:fldCharType="end"/>
      </w:r>
    </w:p>
    <w:p>
      <w:pPr>
        <w:pStyle w:val="18"/>
        <w:tabs>
          <w:tab w:val="right" w:leader="dot" w:pos="8504"/>
        </w:tabs>
        <w:rPr>
          <w:rFonts w:hint="eastAsia" w:ascii="黑体" w:hAnsi="黑体" w:eastAsia="黑体" w:cs="黑体"/>
          <w:b w:val="0"/>
          <w:bCs/>
          <w:sz w:val="24"/>
          <w:szCs w:val="24"/>
        </w:rPr>
      </w:pP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HYPERLINK \l _Toc5649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附图一 企业地理位置图</w:t>
      </w:r>
      <w:r>
        <w:rPr>
          <w:rFonts w:hint="eastAsia" w:ascii="黑体" w:hAnsi="黑体" w:eastAsia="黑体" w:cs="黑体"/>
          <w:b w:val="0"/>
          <w:bCs/>
          <w:sz w:val="24"/>
          <w:szCs w:val="24"/>
        </w:rPr>
        <w:tab/>
      </w: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PAGEREF _Toc5649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42</w:t>
      </w:r>
      <w:r>
        <w:rPr>
          <w:rFonts w:hint="eastAsia" w:ascii="黑体" w:hAnsi="黑体" w:eastAsia="黑体" w:cs="黑体"/>
          <w:b w:val="0"/>
          <w:bCs/>
          <w:sz w:val="24"/>
          <w:szCs w:val="24"/>
        </w:rPr>
        <w:fldChar w:fldCharType="end"/>
      </w:r>
      <w:r>
        <w:rPr>
          <w:rFonts w:hint="eastAsia" w:ascii="黑体" w:hAnsi="黑体" w:eastAsia="黑体" w:cs="黑体"/>
          <w:b w:val="0"/>
          <w:bCs/>
          <w:sz w:val="24"/>
          <w:szCs w:val="24"/>
        </w:rPr>
        <w:fldChar w:fldCharType="end"/>
      </w:r>
    </w:p>
    <w:p>
      <w:pPr>
        <w:pStyle w:val="18"/>
        <w:tabs>
          <w:tab w:val="right" w:leader="dot" w:pos="8504"/>
        </w:tabs>
        <w:rPr>
          <w:rFonts w:hint="eastAsia" w:ascii="黑体" w:hAnsi="黑体" w:eastAsia="黑体" w:cs="黑体"/>
          <w:b w:val="0"/>
          <w:bCs/>
          <w:sz w:val="24"/>
          <w:szCs w:val="24"/>
        </w:rPr>
      </w:pP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HYPERLINK \l _Toc8741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附图二 厂区</w:t>
      </w:r>
      <w:r>
        <w:rPr>
          <w:rFonts w:hint="eastAsia" w:ascii="黑体" w:hAnsi="黑体" w:eastAsia="黑体" w:cs="黑体"/>
          <w:b w:val="0"/>
          <w:bCs/>
          <w:sz w:val="24"/>
          <w:szCs w:val="24"/>
          <w:highlight w:val="none"/>
        </w:rPr>
        <w:t>平面布置图</w:t>
      </w:r>
      <w:r>
        <w:rPr>
          <w:rFonts w:hint="eastAsia" w:ascii="黑体" w:hAnsi="黑体" w:eastAsia="黑体" w:cs="黑体"/>
          <w:b w:val="0"/>
          <w:bCs/>
          <w:sz w:val="24"/>
          <w:szCs w:val="24"/>
        </w:rPr>
        <w:tab/>
      </w: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PAGEREF _Toc8741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43</w:t>
      </w:r>
      <w:r>
        <w:rPr>
          <w:rFonts w:hint="eastAsia" w:ascii="黑体" w:hAnsi="黑体" w:eastAsia="黑体" w:cs="黑体"/>
          <w:b w:val="0"/>
          <w:bCs/>
          <w:sz w:val="24"/>
          <w:szCs w:val="24"/>
        </w:rPr>
        <w:fldChar w:fldCharType="end"/>
      </w:r>
      <w:r>
        <w:rPr>
          <w:rFonts w:hint="eastAsia" w:ascii="黑体" w:hAnsi="黑体" w:eastAsia="黑体" w:cs="黑体"/>
          <w:b w:val="0"/>
          <w:bCs/>
          <w:sz w:val="24"/>
          <w:szCs w:val="24"/>
        </w:rPr>
        <w:fldChar w:fldCharType="end"/>
      </w:r>
    </w:p>
    <w:p>
      <w:pPr>
        <w:pStyle w:val="18"/>
        <w:tabs>
          <w:tab w:val="right" w:leader="dot" w:pos="8504"/>
        </w:tabs>
        <w:rPr>
          <w:rFonts w:hint="eastAsia" w:ascii="黑体" w:hAnsi="黑体" w:eastAsia="黑体" w:cs="黑体"/>
          <w:b w:val="0"/>
          <w:bCs/>
          <w:sz w:val="24"/>
          <w:szCs w:val="24"/>
        </w:rPr>
      </w:pP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HYPERLINK \l _Toc11418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附图三 周边环境风险受体分布图</w:t>
      </w:r>
      <w:r>
        <w:rPr>
          <w:rFonts w:hint="eastAsia" w:ascii="黑体" w:hAnsi="黑体" w:eastAsia="黑体" w:cs="黑体"/>
          <w:b w:val="0"/>
          <w:bCs/>
          <w:sz w:val="24"/>
          <w:szCs w:val="24"/>
        </w:rPr>
        <w:tab/>
      </w: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PAGEREF _Toc11418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44</w:t>
      </w:r>
      <w:r>
        <w:rPr>
          <w:rFonts w:hint="eastAsia" w:ascii="黑体" w:hAnsi="黑体" w:eastAsia="黑体" w:cs="黑体"/>
          <w:b w:val="0"/>
          <w:bCs/>
          <w:sz w:val="24"/>
          <w:szCs w:val="24"/>
        </w:rPr>
        <w:fldChar w:fldCharType="end"/>
      </w:r>
      <w:r>
        <w:rPr>
          <w:rFonts w:hint="eastAsia" w:ascii="黑体" w:hAnsi="黑体" w:eastAsia="黑体" w:cs="黑体"/>
          <w:b w:val="0"/>
          <w:bCs/>
          <w:sz w:val="24"/>
          <w:szCs w:val="24"/>
        </w:rPr>
        <w:fldChar w:fldCharType="end"/>
      </w:r>
    </w:p>
    <w:p>
      <w:pPr>
        <w:pStyle w:val="18"/>
        <w:tabs>
          <w:tab w:val="right" w:leader="dot" w:pos="8504"/>
        </w:tabs>
        <w:rPr>
          <w:rFonts w:hint="eastAsia" w:ascii="黑体" w:hAnsi="黑体" w:eastAsia="黑体" w:cs="黑体"/>
          <w:b w:val="0"/>
          <w:bCs/>
          <w:sz w:val="24"/>
          <w:szCs w:val="24"/>
        </w:rPr>
      </w:pP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HYPERLINK \l _Toc10011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附图四 应急资源图</w:t>
      </w:r>
      <w:r>
        <w:rPr>
          <w:rFonts w:hint="eastAsia" w:ascii="黑体" w:hAnsi="黑体" w:eastAsia="黑体" w:cs="黑体"/>
          <w:b w:val="0"/>
          <w:bCs/>
          <w:sz w:val="24"/>
          <w:szCs w:val="24"/>
        </w:rPr>
        <w:tab/>
      </w: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PAGEREF _Toc10011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45</w:t>
      </w:r>
      <w:r>
        <w:rPr>
          <w:rFonts w:hint="eastAsia" w:ascii="黑体" w:hAnsi="黑体" w:eastAsia="黑体" w:cs="黑体"/>
          <w:b w:val="0"/>
          <w:bCs/>
          <w:sz w:val="24"/>
          <w:szCs w:val="24"/>
        </w:rPr>
        <w:fldChar w:fldCharType="end"/>
      </w:r>
      <w:r>
        <w:rPr>
          <w:rFonts w:hint="eastAsia" w:ascii="黑体" w:hAnsi="黑体" w:eastAsia="黑体" w:cs="黑体"/>
          <w:b w:val="0"/>
          <w:bCs/>
          <w:sz w:val="24"/>
          <w:szCs w:val="24"/>
        </w:rPr>
        <w:fldChar w:fldCharType="end"/>
      </w:r>
    </w:p>
    <w:p>
      <w:pPr>
        <w:pStyle w:val="18"/>
        <w:tabs>
          <w:tab w:val="right" w:leader="dot" w:pos="8504"/>
        </w:tabs>
        <w:rPr>
          <w:rFonts w:hint="eastAsia" w:ascii="黑体" w:hAnsi="黑体" w:eastAsia="黑体" w:cs="黑体"/>
          <w:b w:val="0"/>
          <w:bCs/>
          <w:sz w:val="24"/>
          <w:szCs w:val="24"/>
        </w:rPr>
      </w:pP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HYPERLINK \l _Toc14383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附图五 项目雨水排水走向图</w:t>
      </w:r>
      <w:r>
        <w:rPr>
          <w:rFonts w:hint="eastAsia" w:ascii="黑体" w:hAnsi="黑体" w:eastAsia="黑体" w:cs="黑体"/>
          <w:b w:val="0"/>
          <w:bCs/>
          <w:sz w:val="24"/>
          <w:szCs w:val="24"/>
        </w:rPr>
        <w:tab/>
      </w: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PAGEREF _Toc14383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46</w:t>
      </w:r>
      <w:r>
        <w:rPr>
          <w:rFonts w:hint="eastAsia" w:ascii="黑体" w:hAnsi="黑体" w:eastAsia="黑体" w:cs="黑体"/>
          <w:b w:val="0"/>
          <w:bCs/>
          <w:sz w:val="24"/>
          <w:szCs w:val="24"/>
        </w:rPr>
        <w:fldChar w:fldCharType="end"/>
      </w:r>
      <w:r>
        <w:rPr>
          <w:rFonts w:hint="eastAsia" w:ascii="黑体" w:hAnsi="黑体" w:eastAsia="黑体" w:cs="黑体"/>
          <w:b w:val="0"/>
          <w:bCs/>
          <w:sz w:val="24"/>
          <w:szCs w:val="24"/>
        </w:rPr>
        <w:fldChar w:fldCharType="end"/>
      </w:r>
    </w:p>
    <w:p>
      <w:pPr>
        <w:pStyle w:val="18"/>
        <w:tabs>
          <w:tab w:val="right" w:leader="dot" w:pos="8504"/>
        </w:tabs>
        <w:rPr>
          <w:rFonts w:hint="eastAsia" w:ascii="黑体" w:hAnsi="黑体" w:eastAsia="黑体" w:cs="黑体"/>
          <w:b w:val="0"/>
          <w:bCs/>
          <w:sz w:val="24"/>
          <w:szCs w:val="24"/>
        </w:rPr>
      </w:pP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HYPERLINK \l _Toc22685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附图六 项目污水管网图</w:t>
      </w:r>
      <w:r>
        <w:rPr>
          <w:rFonts w:hint="eastAsia" w:ascii="黑体" w:hAnsi="黑体" w:eastAsia="黑体" w:cs="黑体"/>
          <w:b w:val="0"/>
          <w:bCs/>
          <w:sz w:val="24"/>
          <w:szCs w:val="24"/>
        </w:rPr>
        <w:tab/>
      </w:r>
      <w:r>
        <w:rPr>
          <w:rFonts w:hint="eastAsia" w:ascii="黑体" w:hAnsi="黑体" w:eastAsia="黑体" w:cs="黑体"/>
          <w:b w:val="0"/>
          <w:bCs/>
          <w:sz w:val="24"/>
          <w:szCs w:val="24"/>
        </w:rPr>
        <w:fldChar w:fldCharType="begin"/>
      </w:r>
      <w:r>
        <w:rPr>
          <w:rFonts w:hint="eastAsia" w:ascii="黑体" w:hAnsi="黑体" w:eastAsia="黑体" w:cs="黑体"/>
          <w:b w:val="0"/>
          <w:bCs/>
          <w:sz w:val="24"/>
          <w:szCs w:val="24"/>
        </w:rPr>
        <w:instrText xml:space="preserve"> PAGEREF _Toc22685 </w:instrText>
      </w:r>
      <w:r>
        <w:rPr>
          <w:rFonts w:hint="eastAsia" w:ascii="黑体" w:hAnsi="黑体" w:eastAsia="黑体" w:cs="黑体"/>
          <w:b w:val="0"/>
          <w:bCs/>
          <w:sz w:val="24"/>
          <w:szCs w:val="24"/>
        </w:rPr>
        <w:fldChar w:fldCharType="separate"/>
      </w:r>
      <w:r>
        <w:rPr>
          <w:rFonts w:hint="eastAsia" w:ascii="黑体" w:hAnsi="黑体" w:eastAsia="黑体" w:cs="黑体"/>
          <w:b w:val="0"/>
          <w:bCs/>
          <w:sz w:val="24"/>
          <w:szCs w:val="24"/>
        </w:rPr>
        <w:t>47</w:t>
      </w:r>
      <w:r>
        <w:rPr>
          <w:rFonts w:hint="eastAsia" w:ascii="黑体" w:hAnsi="黑体" w:eastAsia="黑体" w:cs="黑体"/>
          <w:b w:val="0"/>
          <w:bCs/>
          <w:sz w:val="24"/>
          <w:szCs w:val="24"/>
        </w:rPr>
        <w:fldChar w:fldCharType="end"/>
      </w:r>
      <w:r>
        <w:rPr>
          <w:rFonts w:hint="eastAsia" w:ascii="黑体" w:hAnsi="黑体" w:eastAsia="黑体" w:cs="黑体"/>
          <w:b w:val="0"/>
          <w:bCs/>
          <w:sz w:val="24"/>
          <w:szCs w:val="24"/>
        </w:rPr>
        <w:fldChar w:fldCharType="end"/>
      </w:r>
    </w:p>
    <w:p>
      <w:pPr>
        <w:pStyle w:val="3"/>
        <w:pageBreakBefore w:val="0"/>
        <w:kinsoku/>
        <w:wordWrap/>
        <w:overflowPunct/>
        <w:topLinePunct w:val="0"/>
        <w:autoSpaceDE/>
        <w:autoSpaceDN/>
        <w:bidi w:val="0"/>
        <w:adjustRightInd w:val="0"/>
        <w:snapToGrid w:val="0"/>
        <w:spacing w:before="0" w:beforeLines="0"/>
        <w:ind w:firstLine="0"/>
        <w:textAlignment w:val="auto"/>
        <w:rPr>
          <w:rFonts w:hint="eastAsia"/>
        </w:rPr>
        <w:sectPr>
          <w:headerReference r:id="rId3" w:type="default"/>
          <w:footerReference r:id="rId4" w:type="default"/>
          <w:pgSz w:w="11906" w:h="16838"/>
          <w:pgMar w:top="1417" w:right="1701" w:bottom="1417" w:left="1701" w:header="851" w:footer="992" w:gutter="0"/>
          <w:pgBorders>
            <w:top w:val="none" w:sz="0" w:space="0"/>
            <w:left w:val="none" w:sz="0" w:space="0"/>
            <w:bottom w:val="none" w:sz="0" w:space="0"/>
            <w:right w:val="none" w:sz="0" w:space="0"/>
          </w:pgBorders>
          <w:pgNumType w:fmt="upperRoman" w:start="1"/>
          <w:cols w:space="0" w:num="1"/>
          <w:rtlGutter w:val="0"/>
          <w:docGrid w:type="lines" w:linePitch="380" w:charSpace="0"/>
        </w:sectPr>
      </w:pPr>
      <w:r>
        <w:rPr>
          <w:rFonts w:hint="eastAsia" w:ascii="宋体" w:hAnsi="宋体" w:eastAsia="宋体" w:cs="宋体"/>
          <w:b w:val="0"/>
          <w:bCs/>
          <w:sz w:val="24"/>
          <w:szCs w:val="24"/>
        </w:rPr>
        <w:fldChar w:fldCharType="end"/>
      </w:r>
    </w:p>
    <w:p>
      <w:pPr>
        <w:pStyle w:val="3"/>
        <w:ind w:firstLine="0"/>
        <w:rPr>
          <w:rFonts w:hint="default"/>
        </w:rPr>
      </w:pPr>
      <w:bookmarkStart w:id="11" w:name="_Toc30465"/>
      <w:bookmarkStart w:id="12" w:name="_Toc377"/>
      <w:bookmarkStart w:id="13" w:name="_Toc4289"/>
      <w:r>
        <w:rPr>
          <w:rFonts w:hint="default"/>
        </w:rPr>
        <w:t>前</w:t>
      </w:r>
      <w:r>
        <w:rPr>
          <w:rFonts w:hint="default"/>
          <w:lang w:val="en-US" w:eastAsia="zh-CN"/>
        </w:rPr>
        <w:t xml:space="preserve">  </w:t>
      </w:r>
      <w:r>
        <w:rPr>
          <w:rFonts w:hint="default"/>
        </w:rPr>
        <w:t>言</w:t>
      </w:r>
      <w:bookmarkEnd w:id="4"/>
      <w:bookmarkEnd w:id="5"/>
      <w:bookmarkEnd w:id="6"/>
      <w:bookmarkEnd w:id="7"/>
      <w:bookmarkEnd w:id="8"/>
      <w:bookmarkEnd w:id="9"/>
      <w:bookmarkEnd w:id="10"/>
      <w:bookmarkEnd w:id="11"/>
      <w:bookmarkEnd w:id="12"/>
      <w:bookmarkEnd w:id="13"/>
    </w:p>
    <w:p>
      <w:pPr>
        <w:bidi w:val="0"/>
      </w:pPr>
    </w:p>
    <w:p>
      <w:pPr>
        <w:bidi w:val="0"/>
      </w:pPr>
      <w:r>
        <w:t>为贯彻落实</w:t>
      </w:r>
      <w:r>
        <w:rPr>
          <w:highlight w:val="none"/>
        </w:rPr>
        <w:t>《</w:t>
      </w:r>
      <w:r>
        <w:t>国家环境保护“十二五”规划</w:t>
      </w:r>
      <w:r>
        <w:rPr>
          <w:highlight w:val="none"/>
        </w:rPr>
        <w:t>》</w:t>
      </w:r>
      <w:r>
        <w:t>提出的“推进环境风险全过程管理，开展环境风险调查与评估”，《国务院关于加强环境保护重点工作的意见》（国发[2011]35号）对有效防范环境风险和妥善处理突发环境事件，完善以预防为主的环境风险管理制度，严格落实企业环境安全主体责任，</w:t>
      </w:r>
      <w:r>
        <w:rPr>
          <w:highlight w:val="none"/>
        </w:rPr>
        <w:t>环保部</w:t>
      </w:r>
      <w:r>
        <w:t>出台了《关于印发</w:t>
      </w:r>
      <w:r>
        <w:rPr>
          <w:highlight w:val="none"/>
        </w:rPr>
        <w:t>&lt;</w:t>
      </w:r>
      <w:r>
        <w:t>企业突发环境事件风险评估指南（试行）</w:t>
      </w:r>
      <w:r>
        <w:rPr>
          <w:highlight w:val="none"/>
        </w:rPr>
        <w:t>&gt;</w:t>
      </w:r>
      <w:r>
        <w:t>的通知》（环办[2014]34号）。江西省发布《关于进一步加强企业事业单位突发环境事件应急预案备案管理工作的通知》（赣环应急[2018]1号），明确环境风险评估是做好企业环境安全达标建设的重要前提。以保障人民群众的身体健康和环境安全，提高企业环境风险防控能力，并为环保部门根据企业环境风险等级实施分级差别化管理提供技术支持。</w:t>
      </w:r>
    </w:p>
    <w:p>
      <w:pPr>
        <w:bidi w:val="0"/>
      </w:pPr>
      <w:r>
        <w:rPr>
          <w:rFonts w:hint="eastAsia"/>
        </w:rPr>
        <w:t>南昌瀛宇金属制品有限公司委托江西南大融汇环境技术有限公司有限公司</w:t>
      </w:r>
      <w:r>
        <w:t>编制《</w:t>
      </w:r>
      <w:r>
        <w:rPr>
          <w:rFonts w:hint="eastAsia"/>
        </w:rPr>
        <w:t>南昌瀛宇金属制品有限公司</w:t>
      </w:r>
      <w:r>
        <w:t>突发环境事件风险评估报告》，以提高公司风险防范意识、有效防范环境污染事故，防止重大突发环境风险事故发生，完善环境风险管理机制，维护社会稳定，保障公众生命健康和财产安全，保护环境，促进社会全面、协调、可持续发展。同时有利于各地环保部门加强对高环境风险企业的针对性监督管理，提高管理效率，降低管理成本。</w:t>
      </w:r>
    </w:p>
    <w:p>
      <w:pPr>
        <w:ind w:firstLine="480"/>
      </w:pPr>
      <w:r>
        <w:br w:type="page"/>
      </w:r>
    </w:p>
    <w:p>
      <w:pPr>
        <w:pStyle w:val="3"/>
        <w:bidi w:val="0"/>
      </w:pPr>
      <w:bookmarkStart w:id="14" w:name="_Toc30784"/>
      <w:bookmarkStart w:id="15" w:name="_Toc16842"/>
      <w:bookmarkStart w:id="16" w:name="_Toc29490"/>
      <w:bookmarkStart w:id="17" w:name="_Toc6311"/>
      <w:bookmarkStart w:id="18" w:name="_Toc21289"/>
      <w:bookmarkStart w:id="19" w:name="_Toc13213"/>
      <w:bookmarkStart w:id="20" w:name="_Toc6208"/>
      <w:bookmarkStart w:id="21" w:name="_Toc5290"/>
      <w:bookmarkStart w:id="22" w:name="_Toc26066"/>
      <w:bookmarkStart w:id="23" w:name="_Toc37591890"/>
      <w:bookmarkStart w:id="24" w:name="_Toc548"/>
      <w:r>
        <w:rPr>
          <w:rFonts w:hint="eastAsia"/>
          <w:lang w:val="en-US" w:eastAsia="zh-CN"/>
        </w:rPr>
        <w:t xml:space="preserve">1 </w:t>
      </w:r>
      <w:r>
        <w:rPr>
          <w:rFonts w:hint="eastAsia"/>
        </w:rPr>
        <w:t>总则</w:t>
      </w:r>
      <w:bookmarkEnd w:id="14"/>
      <w:bookmarkEnd w:id="15"/>
      <w:bookmarkEnd w:id="16"/>
      <w:bookmarkEnd w:id="17"/>
      <w:bookmarkEnd w:id="18"/>
      <w:bookmarkEnd w:id="19"/>
      <w:bookmarkEnd w:id="20"/>
      <w:bookmarkEnd w:id="21"/>
      <w:bookmarkEnd w:id="22"/>
      <w:bookmarkEnd w:id="23"/>
      <w:bookmarkEnd w:id="24"/>
    </w:p>
    <w:p>
      <w:pPr>
        <w:pStyle w:val="4"/>
        <w:bidi w:val="0"/>
      </w:pPr>
      <w:bookmarkStart w:id="25" w:name="_Toc25832"/>
      <w:bookmarkStart w:id="26" w:name="_Toc20822"/>
      <w:bookmarkStart w:id="27" w:name="_Toc31949"/>
      <w:bookmarkStart w:id="28" w:name="_Toc20156"/>
      <w:bookmarkStart w:id="29" w:name="_Toc23535"/>
      <w:bookmarkStart w:id="30" w:name="_Toc4993"/>
      <w:bookmarkStart w:id="31" w:name="_Toc25776"/>
      <w:bookmarkStart w:id="32" w:name="_Toc26235"/>
      <w:bookmarkStart w:id="33" w:name="_Toc796"/>
      <w:bookmarkStart w:id="34" w:name="_Toc37591891"/>
      <w:bookmarkStart w:id="35" w:name="_Toc4956"/>
      <w:r>
        <w:rPr>
          <w:rFonts w:hint="eastAsia"/>
          <w:lang w:val="en-US" w:eastAsia="zh-CN"/>
        </w:rPr>
        <w:t>1</w:t>
      </w:r>
      <w:r>
        <w:rPr>
          <w:rFonts w:hint="eastAsia"/>
        </w:rPr>
        <w:t>.1</w:t>
      </w:r>
      <w:r>
        <w:t xml:space="preserve"> </w:t>
      </w:r>
      <w:r>
        <w:rPr>
          <w:rFonts w:hint="eastAsia"/>
        </w:rPr>
        <w:t>编制原则</w:t>
      </w:r>
      <w:bookmarkEnd w:id="25"/>
      <w:bookmarkEnd w:id="26"/>
      <w:bookmarkEnd w:id="27"/>
      <w:bookmarkEnd w:id="28"/>
      <w:bookmarkEnd w:id="29"/>
      <w:bookmarkEnd w:id="30"/>
      <w:bookmarkEnd w:id="31"/>
      <w:bookmarkEnd w:id="32"/>
      <w:bookmarkEnd w:id="33"/>
      <w:bookmarkEnd w:id="34"/>
      <w:bookmarkEnd w:id="35"/>
    </w:p>
    <w:p>
      <w:pPr>
        <w:bidi w:val="0"/>
      </w:pPr>
      <w:bookmarkStart w:id="36" w:name="_Toc27882"/>
      <w:r>
        <w:t>按照以人为本、合理保障人民群众的身体健康和环境安全，严格规范企业突发环境事件风险评估行为，全面落实企业环境风险防控主体，遵循以下原则开展环境风险评估工作：</w:t>
      </w:r>
    </w:p>
    <w:p>
      <w:pPr>
        <w:bidi w:val="0"/>
      </w:pPr>
      <w:r>
        <w:t>环境风险评估编制应体现科学性、规范性、客观性和真实性的原则。</w:t>
      </w:r>
    </w:p>
    <w:p>
      <w:pPr>
        <w:bidi w:val="0"/>
      </w:pPr>
      <w:r>
        <w:t>环境风险评估过程中应贯彻执行我国环保相关的法律法规、标准、政策，分析企业自身环境风险状况，明确环境风险防控措施。</w:t>
      </w:r>
    </w:p>
    <w:p>
      <w:pPr>
        <w:pStyle w:val="4"/>
        <w:bidi w:val="0"/>
      </w:pPr>
      <w:bookmarkStart w:id="37" w:name="_Toc25834"/>
      <w:bookmarkStart w:id="38" w:name="_Toc11876"/>
      <w:bookmarkStart w:id="39" w:name="_Toc28399"/>
      <w:bookmarkStart w:id="40" w:name="_Toc22710"/>
      <w:bookmarkStart w:id="41" w:name="_Toc26895"/>
      <w:bookmarkStart w:id="42" w:name="_Toc12597"/>
      <w:bookmarkStart w:id="43" w:name="_Toc23680"/>
      <w:bookmarkStart w:id="44" w:name="_Toc37591892"/>
      <w:bookmarkStart w:id="45" w:name="_Toc4568"/>
      <w:bookmarkStart w:id="46" w:name="_Toc29384"/>
      <w:r>
        <w:rPr>
          <w:rFonts w:hint="eastAsia"/>
          <w:lang w:val="en-US" w:eastAsia="zh-CN"/>
        </w:rPr>
        <w:t>1</w:t>
      </w:r>
      <w:r>
        <w:rPr>
          <w:rFonts w:hint="eastAsia"/>
        </w:rPr>
        <w:t>.2</w:t>
      </w:r>
      <w:r>
        <w:t xml:space="preserve"> </w:t>
      </w:r>
      <w:r>
        <w:rPr>
          <w:rFonts w:hint="eastAsia"/>
        </w:rPr>
        <w:t>编制依据</w:t>
      </w:r>
      <w:bookmarkEnd w:id="36"/>
      <w:bookmarkEnd w:id="37"/>
      <w:bookmarkEnd w:id="38"/>
      <w:bookmarkEnd w:id="39"/>
      <w:bookmarkEnd w:id="40"/>
      <w:bookmarkEnd w:id="41"/>
      <w:bookmarkEnd w:id="42"/>
      <w:bookmarkEnd w:id="43"/>
      <w:bookmarkEnd w:id="44"/>
      <w:bookmarkEnd w:id="45"/>
      <w:bookmarkEnd w:id="46"/>
    </w:p>
    <w:p>
      <w:pPr>
        <w:pStyle w:val="5"/>
        <w:bidi w:val="0"/>
      </w:pPr>
      <w:bookmarkStart w:id="47" w:name="_Toc133"/>
      <w:bookmarkStart w:id="48" w:name="_Toc428904829"/>
      <w:bookmarkStart w:id="49" w:name="_Toc27505"/>
      <w:bookmarkStart w:id="50" w:name="_Toc141"/>
      <w:bookmarkStart w:id="51" w:name="_Toc21909"/>
      <w:bookmarkStart w:id="52" w:name="_Toc455741273"/>
      <w:bookmarkStart w:id="53" w:name="_Toc37591893"/>
      <w:bookmarkStart w:id="54" w:name="_Toc14720"/>
      <w:bookmarkStart w:id="55" w:name="_Toc10761"/>
      <w:r>
        <w:rPr>
          <w:rFonts w:hint="eastAsia"/>
          <w:lang w:val="en-US" w:eastAsia="zh-CN"/>
        </w:rPr>
        <w:t>1</w:t>
      </w:r>
      <w:r>
        <w:rPr>
          <w:rFonts w:hint="eastAsia"/>
        </w:rPr>
        <w:t>.2.1</w:t>
      </w:r>
      <w:r>
        <w:t xml:space="preserve"> </w:t>
      </w:r>
      <w:r>
        <w:rPr>
          <w:rFonts w:hint="eastAsia"/>
        </w:rPr>
        <w:t>政策法规</w:t>
      </w:r>
      <w:bookmarkEnd w:id="47"/>
      <w:bookmarkEnd w:id="48"/>
      <w:bookmarkEnd w:id="49"/>
      <w:bookmarkEnd w:id="50"/>
      <w:bookmarkEnd w:id="51"/>
      <w:bookmarkEnd w:id="52"/>
      <w:bookmarkEnd w:id="53"/>
      <w:bookmarkEnd w:id="54"/>
      <w:bookmarkEnd w:id="55"/>
    </w:p>
    <w:p>
      <w:pPr>
        <w:bidi w:val="0"/>
      </w:pPr>
      <w:r>
        <w:t>（1）《中华人民共和国突发事件应对法》（2007年11月1日）；</w:t>
      </w:r>
    </w:p>
    <w:p>
      <w:pPr>
        <w:bidi w:val="0"/>
      </w:pPr>
      <w:r>
        <w:t>（2）《中华人民共和国环境保护法》(2015年1月1日)；</w:t>
      </w:r>
    </w:p>
    <w:p>
      <w:pPr>
        <w:bidi w:val="0"/>
      </w:pPr>
      <w:r>
        <w:t>（3）《中华人民共和国水污染防治法》（2018年1月1日）；</w:t>
      </w:r>
    </w:p>
    <w:p>
      <w:pPr>
        <w:bidi w:val="0"/>
      </w:pPr>
      <w:r>
        <w:t>（4）《中华人民共和国固体废物污染环境防治法》(201</w:t>
      </w:r>
      <w:r>
        <w:rPr>
          <w:rFonts w:hint="eastAsia"/>
        </w:rPr>
        <w:t>6</w:t>
      </w:r>
      <w:r>
        <w:t>年</w:t>
      </w:r>
      <w:r>
        <w:rPr>
          <w:rFonts w:hint="eastAsia"/>
        </w:rPr>
        <w:t>11</w:t>
      </w:r>
      <w:r>
        <w:t>月</w:t>
      </w:r>
      <w:r>
        <w:rPr>
          <w:rFonts w:hint="eastAsia"/>
        </w:rPr>
        <w:t>07</w:t>
      </w:r>
      <w:r>
        <w:t>日修</w:t>
      </w:r>
      <w:r>
        <w:rPr>
          <w:rFonts w:hint="eastAsia"/>
        </w:rPr>
        <w:t>正版</w:t>
      </w:r>
      <w:r>
        <w:t>)；</w:t>
      </w:r>
    </w:p>
    <w:p>
      <w:pPr>
        <w:bidi w:val="0"/>
      </w:pPr>
      <w:r>
        <w:t>（5）《中华人民共和国安全生产法》（2014年8月31日修订）；</w:t>
      </w:r>
    </w:p>
    <w:p>
      <w:pPr>
        <w:bidi w:val="0"/>
      </w:pPr>
      <w:r>
        <w:t>（6）《中华人民共和国消防法》（</w:t>
      </w:r>
      <w:r>
        <w:rPr>
          <w:rFonts w:hint="eastAsia"/>
        </w:rPr>
        <w:t>2019年修订</w:t>
      </w:r>
      <w:r>
        <w:t>）；</w:t>
      </w:r>
    </w:p>
    <w:p>
      <w:pPr>
        <w:bidi w:val="0"/>
      </w:pPr>
      <w:r>
        <w:t>（7）《中华人民共和国职业病防治法》（2011年12月31日）；</w:t>
      </w:r>
    </w:p>
    <w:p>
      <w:pPr>
        <w:bidi w:val="0"/>
      </w:pPr>
      <w:r>
        <w:t>（</w:t>
      </w:r>
      <w:r>
        <w:rPr>
          <w:rFonts w:hint="eastAsia"/>
        </w:rPr>
        <w:t>8</w:t>
      </w:r>
      <w:r>
        <w:t>）《企业事业单位突发环境事件应急预案管理暂行办法（试行）》（环发[2015]4号）；</w:t>
      </w:r>
    </w:p>
    <w:p>
      <w:pPr>
        <w:bidi w:val="0"/>
      </w:pPr>
      <w:r>
        <w:t>（</w:t>
      </w:r>
      <w:r>
        <w:rPr>
          <w:rFonts w:hint="eastAsia"/>
        </w:rPr>
        <w:t>9</w:t>
      </w:r>
      <w:r>
        <w:t>）《突发</w:t>
      </w:r>
      <w:r>
        <w:rPr>
          <w:rFonts w:hint="eastAsia"/>
        </w:rPr>
        <w:t>环境</w:t>
      </w:r>
      <w:r>
        <w:t>事件应急管理办法》（</w:t>
      </w:r>
      <w:r>
        <w:rPr>
          <w:rFonts w:hint="eastAsia"/>
        </w:rPr>
        <w:t>环境保护部令</w:t>
      </w:r>
      <w:r>
        <w:t>[201</w:t>
      </w:r>
      <w:r>
        <w:rPr>
          <w:rFonts w:hint="eastAsia"/>
        </w:rPr>
        <w:t>5</w:t>
      </w:r>
      <w:r>
        <w:t>]</w:t>
      </w:r>
      <w:r>
        <w:rPr>
          <w:rFonts w:hint="eastAsia"/>
        </w:rPr>
        <w:t>34号</w:t>
      </w:r>
      <w:r>
        <w:t>）</w:t>
      </w:r>
      <w:r>
        <w:rPr>
          <w:rFonts w:hint="eastAsia"/>
        </w:rPr>
        <w:t>试行</w:t>
      </w:r>
      <w:r>
        <w:t>；</w:t>
      </w:r>
    </w:p>
    <w:p>
      <w:pPr>
        <w:bidi w:val="0"/>
      </w:pPr>
      <w:r>
        <w:t>（1</w:t>
      </w:r>
      <w:r>
        <w:rPr>
          <w:rFonts w:hint="eastAsia"/>
        </w:rPr>
        <w:t>0</w:t>
      </w:r>
      <w:r>
        <w:t>）关于印发《企业突发环境事件风险评估指南（试行）》的通知（环办[2014]34号）；</w:t>
      </w:r>
    </w:p>
    <w:p>
      <w:pPr>
        <w:bidi w:val="0"/>
      </w:pPr>
      <w:r>
        <w:t>（1</w:t>
      </w:r>
      <w:r>
        <w:rPr>
          <w:rFonts w:hint="eastAsia"/>
        </w:rPr>
        <w:t>1</w:t>
      </w:r>
      <w:r>
        <w:t>）《危险化学品重大危险源监督管理暂行规定》（安全监管总局令第40号）；</w:t>
      </w:r>
    </w:p>
    <w:p>
      <w:pPr>
        <w:bidi w:val="0"/>
      </w:pPr>
      <w:r>
        <w:t>（</w:t>
      </w:r>
      <w:r>
        <w:rPr>
          <w:rFonts w:hint="eastAsia"/>
        </w:rPr>
        <w:t>12</w:t>
      </w:r>
      <w:r>
        <w:t>）《废弃危险化学品污染环境防治办法》(国家环境保护总局令第27号，2005年10月1日起施行)</w:t>
      </w:r>
      <w:r>
        <w:rPr>
          <w:rFonts w:hint="eastAsia"/>
        </w:rPr>
        <w:t>。</w:t>
      </w:r>
    </w:p>
    <w:p>
      <w:pPr>
        <w:pStyle w:val="5"/>
        <w:bidi w:val="0"/>
      </w:pPr>
      <w:bookmarkStart w:id="56" w:name="_Toc37591894"/>
      <w:bookmarkStart w:id="57" w:name="_Toc12786"/>
      <w:bookmarkStart w:id="58" w:name="_Toc27564"/>
      <w:bookmarkStart w:id="59" w:name="_Toc26916"/>
      <w:bookmarkStart w:id="60" w:name="_Toc455741274"/>
      <w:bookmarkStart w:id="61" w:name="_Toc6354"/>
      <w:bookmarkStart w:id="62" w:name="_Toc428904831"/>
      <w:bookmarkStart w:id="63" w:name="_Toc21375"/>
      <w:bookmarkStart w:id="64" w:name="_Toc2504"/>
      <w:r>
        <w:rPr>
          <w:rFonts w:hint="eastAsia"/>
          <w:lang w:val="en-US" w:eastAsia="zh-CN"/>
        </w:rPr>
        <w:t>1</w:t>
      </w:r>
      <w:r>
        <w:rPr>
          <w:rFonts w:hint="eastAsia"/>
        </w:rPr>
        <w:t>.2.2</w:t>
      </w:r>
      <w:r>
        <w:t xml:space="preserve"> </w:t>
      </w:r>
      <w:r>
        <w:rPr>
          <w:rFonts w:hint="eastAsia"/>
        </w:rPr>
        <w:t>技术规范、标准</w:t>
      </w:r>
      <w:bookmarkEnd w:id="56"/>
      <w:bookmarkEnd w:id="57"/>
      <w:bookmarkEnd w:id="58"/>
      <w:bookmarkEnd w:id="59"/>
      <w:bookmarkEnd w:id="60"/>
      <w:bookmarkEnd w:id="61"/>
      <w:bookmarkEnd w:id="62"/>
      <w:bookmarkEnd w:id="63"/>
      <w:bookmarkEnd w:id="64"/>
    </w:p>
    <w:p>
      <w:pPr>
        <w:bidi w:val="0"/>
      </w:pPr>
      <w:r>
        <w:t>（1）《危险化学品重大危险源辨识》（GB 18218-</w:t>
      </w:r>
      <w:r>
        <w:rPr>
          <w:rFonts w:hint="eastAsia"/>
        </w:rPr>
        <w:t>2018</w:t>
      </w:r>
      <w:r>
        <w:t>）；</w:t>
      </w:r>
    </w:p>
    <w:p>
      <w:pPr>
        <w:bidi w:val="0"/>
      </w:pPr>
      <w:r>
        <w:t>（</w:t>
      </w:r>
      <w:r>
        <w:rPr>
          <w:rFonts w:hint="eastAsia"/>
        </w:rPr>
        <w:t>2</w:t>
      </w:r>
      <w:r>
        <w:t>）《危险化学品</w:t>
      </w:r>
      <w:r>
        <w:rPr>
          <w:rFonts w:hint="eastAsia"/>
        </w:rPr>
        <w:t>目</w:t>
      </w:r>
      <w:r>
        <w:t>录》（2015年版）；</w:t>
      </w:r>
    </w:p>
    <w:p>
      <w:pPr>
        <w:bidi w:val="0"/>
      </w:pPr>
      <w:r>
        <w:t>（</w:t>
      </w:r>
      <w:r>
        <w:rPr>
          <w:rFonts w:hint="eastAsia"/>
        </w:rPr>
        <w:t>3</w:t>
      </w:r>
      <w:r>
        <w:t>）《工作场所有害因素职业接触限值》（GBZ2-2007）；</w:t>
      </w:r>
    </w:p>
    <w:p>
      <w:pPr>
        <w:bidi w:val="0"/>
      </w:pPr>
      <w:r>
        <w:t>（</w:t>
      </w:r>
      <w:r>
        <w:rPr>
          <w:rFonts w:hint="eastAsia"/>
        </w:rPr>
        <w:t>4</w:t>
      </w:r>
      <w:r>
        <w:t>）《国家危险废物名录》（20</w:t>
      </w:r>
      <w:r>
        <w:rPr>
          <w:rFonts w:hint="eastAsia"/>
        </w:rPr>
        <w:t>16</w:t>
      </w:r>
      <w:r>
        <w:t>年8月1日）；</w:t>
      </w:r>
    </w:p>
    <w:p>
      <w:pPr>
        <w:bidi w:val="0"/>
      </w:pPr>
      <w:r>
        <w:t>（</w:t>
      </w:r>
      <w:r>
        <w:rPr>
          <w:rFonts w:hint="eastAsia"/>
        </w:rPr>
        <w:t>5</w:t>
      </w:r>
      <w:r>
        <w:t>）《危险废物鉴别标准通则》（GB 5085.7-20</w:t>
      </w:r>
      <w:r>
        <w:rPr>
          <w:rFonts w:hint="eastAsia"/>
        </w:rPr>
        <w:t>19</w:t>
      </w:r>
      <w:r>
        <w:t>）；</w:t>
      </w:r>
    </w:p>
    <w:p>
      <w:pPr>
        <w:bidi w:val="0"/>
      </w:pPr>
      <w:r>
        <w:t>（</w:t>
      </w:r>
      <w:r>
        <w:rPr>
          <w:rFonts w:hint="eastAsia"/>
        </w:rPr>
        <w:t>6</w:t>
      </w:r>
      <w:r>
        <w:t>）《危险废物鉴别技术规范》（HJ298-20</w:t>
      </w:r>
      <w:r>
        <w:rPr>
          <w:rFonts w:hint="eastAsia"/>
        </w:rPr>
        <w:t>19</w:t>
      </w:r>
      <w:r>
        <w:t>）</w:t>
      </w:r>
    </w:p>
    <w:p>
      <w:pPr>
        <w:bidi w:val="0"/>
      </w:pPr>
      <w:r>
        <w:t>（</w:t>
      </w:r>
      <w:r>
        <w:rPr>
          <w:rFonts w:hint="eastAsia"/>
        </w:rPr>
        <w:t>7</w:t>
      </w:r>
      <w:r>
        <w:t>）《建设项目环境风险评价技术导则》（HJ169-20</w:t>
      </w:r>
      <w:r>
        <w:rPr>
          <w:rFonts w:hint="eastAsia"/>
        </w:rPr>
        <w:t>18</w:t>
      </w:r>
      <w:r>
        <w:t>）；</w:t>
      </w:r>
    </w:p>
    <w:p>
      <w:pPr>
        <w:bidi w:val="0"/>
      </w:pPr>
      <w:r>
        <w:t>（</w:t>
      </w:r>
      <w:r>
        <w:rPr>
          <w:rFonts w:hint="eastAsia"/>
        </w:rPr>
        <w:t>8</w:t>
      </w:r>
      <w:r>
        <w:t>）《工业企业设计卫生标准》（GBZ1-2010）；</w:t>
      </w:r>
    </w:p>
    <w:p>
      <w:pPr>
        <w:bidi w:val="0"/>
      </w:pPr>
      <w:r>
        <w:rPr>
          <w:rFonts w:hint="eastAsia"/>
        </w:rPr>
        <w:t>（9）《突发环境事件应急监测技术规范》（HJ 589-2010）</w:t>
      </w:r>
    </w:p>
    <w:p>
      <w:pPr>
        <w:bidi w:val="0"/>
      </w:pPr>
      <w:bookmarkStart w:id="65" w:name="_Toc428904832"/>
      <w:bookmarkStart w:id="66" w:name="_Toc455741275"/>
      <w:bookmarkStart w:id="67" w:name="_Toc914"/>
      <w:r>
        <w:rPr>
          <w:rFonts w:hint="eastAsia"/>
        </w:rPr>
        <w:t>（10）《企业突发环境事件风险分级方法》（HJ 941-2018）</w:t>
      </w:r>
    </w:p>
    <w:p>
      <w:pPr>
        <w:pStyle w:val="5"/>
        <w:bidi w:val="0"/>
      </w:pPr>
      <w:bookmarkStart w:id="68" w:name="_Toc19264"/>
      <w:bookmarkStart w:id="69" w:name="_Toc12617"/>
      <w:bookmarkStart w:id="70" w:name="_Toc37591895"/>
      <w:bookmarkStart w:id="71" w:name="_Toc30704"/>
      <w:bookmarkStart w:id="72" w:name="_Toc3215"/>
      <w:bookmarkStart w:id="73" w:name="_Toc16752"/>
      <w:r>
        <w:rPr>
          <w:rFonts w:hint="eastAsia"/>
          <w:lang w:val="en-US" w:eastAsia="zh-CN"/>
        </w:rPr>
        <w:t>1</w:t>
      </w:r>
      <w:r>
        <w:rPr>
          <w:rFonts w:hint="eastAsia"/>
        </w:rPr>
        <w:t>.2.3</w:t>
      </w:r>
      <w:r>
        <w:t xml:space="preserve"> </w:t>
      </w:r>
      <w:r>
        <w:rPr>
          <w:rFonts w:hint="eastAsia"/>
        </w:rPr>
        <w:t>其他参考资料</w:t>
      </w:r>
      <w:bookmarkEnd w:id="65"/>
      <w:bookmarkEnd w:id="66"/>
      <w:bookmarkEnd w:id="67"/>
      <w:bookmarkEnd w:id="68"/>
      <w:bookmarkEnd w:id="69"/>
      <w:bookmarkEnd w:id="70"/>
      <w:bookmarkEnd w:id="71"/>
      <w:bookmarkEnd w:id="72"/>
      <w:bookmarkEnd w:id="73"/>
    </w:p>
    <w:p>
      <w:pPr>
        <w:pStyle w:val="64"/>
        <w:ind w:firstLine="480"/>
      </w:pPr>
      <w:bookmarkStart w:id="74" w:name="_Toc24920"/>
      <w:r>
        <w:t>《南昌瀛宇金属制品有限公司年产6000万件空调压缩机配件项目</w:t>
      </w:r>
      <w:r>
        <w:rPr>
          <w:rFonts w:hint="eastAsia"/>
        </w:rPr>
        <w:t>环境影响报告表</w:t>
      </w:r>
      <w:r>
        <w:t>》及其批复</w:t>
      </w:r>
      <w:r>
        <w:rPr>
          <w:rFonts w:hint="eastAsia"/>
        </w:rPr>
        <w:t>，赣新环评字[2019]25号。</w:t>
      </w:r>
    </w:p>
    <w:p>
      <w:pPr>
        <w:pStyle w:val="4"/>
        <w:bidi w:val="0"/>
      </w:pPr>
      <w:bookmarkStart w:id="75" w:name="_Toc8757"/>
      <w:bookmarkStart w:id="76" w:name="_Toc27643"/>
      <w:bookmarkStart w:id="77" w:name="_Toc17231"/>
      <w:bookmarkStart w:id="78" w:name="_Toc37591896"/>
      <w:bookmarkStart w:id="79" w:name="_Toc31857"/>
      <w:bookmarkStart w:id="80" w:name="_Toc13440"/>
      <w:bookmarkStart w:id="81" w:name="_Toc4570"/>
      <w:bookmarkStart w:id="82" w:name="_Toc22364"/>
      <w:bookmarkStart w:id="83" w:name="_Toc2507"/>
      <w:bookmarkStart w:id="84" w:name="_Toc11056"/>
      <w:r>
        <w:rPr>
          <w:rFonts w:hint="eastAsia"/>
          <w:lang w:val="en-US" w:eastAsia="zh-CN"/>
        </w:rPr>
        <w:t>1</w:t>
      </w:r>
      <w:r>
        <w:rPr>
          <w:rFonts w:hint="eastAsia"/>
        </w:rPr>
        <w:t>.3</w:t>
      </w:r>
      <w:r>
        <w:t xml:space="preserve"> </w:t>
      </w:r>
      <w:r>
        <w:rPr>
          <w:rFonts w:hint="eastAsia"/>
        </w:rPr>
        <w:t>企业环境风险评估程序</w:t>
      </w:r>
      <w:bookmarkEnd w:id="74"/>
      <w:bookmarkEnd w:id="75"/>
      <w:bookmarkEnd w:id="76"/>
      <w:bookmarkEnd w:id="77"/>
      <w:bookmarkEnd w:id="78"/>
      <w:bookmarkEnd w:id="79"/>
      <w:bookmarkEnd w:id="80"/>
      <w:bookmarkEnd w:id="81"/>
      <w:bookmarkEnd w:id="82"/>
      <w:bookmarkEnd w:id="83"/>
      <w:bookmarkEnd w:id="84"/>
    </w:p>
    <w:p>
      <w:pPr>
        <w:bidi w:val="0"/>
      </w:pPr>
      <w:r>
        <w:rPr>
          <w:rFonts w:hint="eastAsia"/>
        </w:rPr>
        <w:t>企业环境风险评估，按照资料准备与环境风险识别、可能发生环境事件及其后果分析、现有环境风险防控和环境应急管理差距分析、制定完善环境风险防控和应急措施的实施计划、划定突发环境事件风险等级五个步骤实施。</w:t>
      </w:r>
    </w:p>
    <w:p>
      <w:pPr>
        <w:ind w:firstLine="0" w:firstLineChars="0"/>
        <w:sectPr>
          <w:footerReference r:id="rId5" w:type="default"/>
          <w:pgSz w:w="11906" w:h="16838"/>
          <w:pgMar w:top="1417" w:right="1701" w:bottom="1417" w:left="1701" w:header="851" w:footer="992" w:gutter="0"/>
          <w:pgBorders>
            <w:top w:val="none" w:sz="0" w:space="0"/>
            <w:left w:val="none" w:sz="0" w:space="0"/>
            <w:bottom w:val="none" w:sz="0" w:space="0"/>
            <w:right w:val="none" w:sz="0" w:space="0"/>
          </w:pgBorders>
          <w:pgNumType w:fmt="decimal" w:start="1"/>
          <w:cols w:space="0" w:num="1"/>
          <w:rtlGutter w:val="0"/>
          <w:docGrid w:type="lines" w:linePitch="380" w:charSpace="0"/>
        </w:sectPr>
      </w:pPr>
    </w:p>
    <w:p>
      <w:pPr>
        <w:pStyle w:val="3"/>
        <w:bidi w:val="0"/>
      </w:pPr>
      <w:bookmarkStart w:id="85" w:name="_Toc14060"/>
      <w:bookmarkStart w:id="86" w:name="_Toc29538"/>
      <w:bookmarkStart w:id="87" w:name="_Toc5926"/>
      <w:bookmarkStart w:id="88" w:name="_Toc37591897"/>
      <w:bookmarkStart w:id="89" w:name="_Toc1905"/>
      <w:bookmarkStart w:id="90" w:name="_Toc11285"/>
      <w:bookmarkStart w:id="91" w:name="_Toc20091"/>
      <w:bookmarkStart w:id="92" w:name="_Toc31648"/>
      <w:bookmarkStart w:id="93" w:name="_Toc7372"/>
      <w:bookmarkStart w:id="94" w:name="_Toc4138"/>
      <w:bookmarkStart w:id="95" w:name="_Toc29786"/>
      <w:r>
        <w:rPr>
          <w:rFonts w:hint="eastAsia"/>
          <w:lang w:val="en-US" w:eastAsia="zh-CN"/>
        </w:rPr>
        <w:t>2</w:t>
      </w:r>
      <w:r>
        <w:t xml:space="preserve"> </w:t>
      </w:r>
      <w:r>
        <w:rPr>
          <w:rFonts w:hint="eastAsia"/>
        </w:rPr>
        <w:t>资料准备与环境风险识别</w:t>
      </w:r>
      <w:bookmarkEnd w:id="85"/>
      <w:bookmarkEnd w:id="86"/>
      <w:bookmarkEnd w:id="87"/>
      <w:bookmarkEnd w:id="88"/>
      <w:bookmarkEnd w:id="89"/>
      <w:bookmarkEnd w:id="90"/>
      <w:bookmarkEnd w:id="91"/>
      <w:bookmarkEnd w:id="92"/>
      <w:bookmarkEnd w:id="93"/>
      <w:bookmarkEnd w:id="94"/>
      <w:bookmarkEnd w:id="95"/>
    </w:p>
    <w:p>
      <w:pPr>
        <w:pStyle w:val="4"/>
        <w:bidi w:val="0"/>
      </w:pPr>
      <w:bookmarkStart w:id="96" w:name="_Toc9361"/>
      <w:bookmarkStart w:id="97" w:name="_Toc970"/>
      <w:bookmarkStart w:id="98" w:name="_Toc18706"/>
      <w:bookmarkStart w:id="99" w:name="_Toc16466"/>
      <w:bookmarkStart w:id="100" w:name="_Toc31157"/>
      <w:bookmarkStart w:id="101" w:name="_Toc5816"/>
      <w:bookmarkStart w:id="102" w:name="_Toc30397"/>
      <w:bookmarkStart w:id="103" w:name="_Toc19862"/>
      <w:bookmarkStart w:id="104" w:name="_Toc16365"/>
      <w:bookmarkStart w:id="105" w:name="_Toc10478"/>
      <w:bookmarkStart w:id="106" w:name="_Toc37591898"/>
      <w:r>
        <w:rPr>
          <w:rFonts w:hint="eastAsia"/>
          <w:lang w:val="en-US" w:eastAsia="zh-CN"/>
        </w:rPr>
        <w:t>2</w:t>
      </w:r>
      <w:r>
        <w:rPr>
          <w:rFonts w:hint="eastAsia"/>
        </w:rPr>
        <w:t>.1</w:t>
      </w:r>
      <w:r>
        <w:t xml:space="preserve"> </w:t>
      </w:r>
      <w:r>
        <w:rPr>
          <w:rFonts w:hint="eastAsia"/>
        </w:rPr>
        <w:t>企业信息</w:t>
      </w:r>
      <w:bookmarkEnd w:id="96"/>
      <w:bookmarkEnd w:id="97"/>
      <w:bookmarkEnd w:id="98"/>
      <w:bookmarkEnd w:id="99"/>
      <w:bookmarkEnd w:id="100"/>
      <w:bookmarkEnd w:id="101"/>
      <w:bookmarkEnd w:id="102"/>
      <w:bookmarkEnd w:id="103"/>
      <w:bookmarkEnd w:id="104"/>
      <w:bookmarkEnd w:id="105"/>
      <w:bookmarkEnd w:id="106"/>
    </w:p>
    <w:p>
      <w:pPr>
        <w:pStyle w:val="5"/>
        <w:bidi w:val="0"/>
      </w:pPr>
      <w:bookmarkStart w:id="107" w:name="_Toc24410"/>
      <w:bookmarkStart w:id="108" w:name="_Toc10182"/>
      <w:bookmarkStart w:id="109" w:name="_Toc16452"/>
      <w:bookmarkStart w:id="110" w:name="_Toc455741279"/>
      <w:bookmarkStart w:id="111" w:name="_Toc7868"/>
      <w:bookmarkStart w:id="112" w:name="_Toc428904836"/>
      <w:bookmarkStart w:id="113" w:name="_Toc37591899"/>
      <w:bookmarkStart w:id="114" w:name="_Toc22777"/>
      <w:bookmarkStart w:id="115" w:name="_Toc25361"/>
      <w:r>
        <w:rPr>
          <w:rFonts w:hint="eastAsia"/>
          <w:lang w:val="en-US" w:eastAsia="zh-CN"/>
        </w:rPr>
        <w:t>2</w:t>
      </w:r>
      <w:r>
        <w:rPr>
          <w:rFonts w:hint="eastAsia"/>
        </w:rPr>
        <w:t>.1.1</w:t>
      </w:r>
      <w:r>
        <w:t xml:space="preserve"> </w:t>
      </w:r>
      <w:r>
        <w:rPr>
          <w:rFonts w:hint="eastAsia"/>
        </w:rPr>
        <w:t>企业基本情况</w:t>
      </w:r>
      <w:bookmarkEnd w:id="107"/>
      <w:bookmarkEnd w:id="108"/>
      <w:bookmarkEnd w:id="109"/>
      <w:bookmarkEnd w:id="110"/>
      <w:bookmarkEnd w:id="111"/>
      <w:bookmarkEnd w:id="112"/>
      <w:bookmarkEnd w:id="113"/>
      <w:bookmarkEnd w:id="114"/>
      <w:bookmarkEnd w:id="115"/>
    </w:p>
    <w:p>
      <w:pPr>
        <w:bidi w:val="0"/>
      </w:pPr>
      <w:bookmarkStart w:id="116" w:name="_Toc428904837"/>
      <w:bookmarkStart w:id="117" w:name="_Toc455741280"/>
      <w:r>
        <w:rPr>
          <w:rFonts w:hint="eastAsia"/>
        </w:rPr>
        <w:t>南昌瀛宇金属制品有限公司位于南昌经济技术开发区昱博科技园一期二#厂房内</w:t>
      </w:r>
      <w:r>
        <w:t>（江西省南昌经济技术开发区英雄大道以北，南北三路以东，西河路以西），中心地理坐标为：E 115°5</w:t>
      </w:r>
      <w:r>
        <w:rPr>
          <w:rFonts w:hint="eastAsia"/>
        </w:rPr>
        <w:t>3</w:t>
      </w:r>
      <w:r>
        <w:t>′</w:t>
      </w:r>
      <w:r>
        <w:rPr>
          <w:rFonts w:hint="eastAsia"/>
        </w:rPr>
        <w:t>52.701</w:t>
      </w:r>
      <w:r>
        <w:t>″，N28°4</w:t>
      </w:r>
      <w:r>
        <w:rPr>
          <w:rFonts w:hint="eastAsia"/>
        </w:rPr>
        <w:t>7</w:t>
      </w:r>
      <w:r>
        <w:t>′</w:t>
      </w:r>
      <w:r>
        <w:rPr>
          <w:rFonts w:hint="eastAsia"/>
        </w:rPr>
        <w:t>2.043</w:t>
      </w:r>
      <w:r>
        <w:t>″。</w:t>
      </w:r>
    </w:p>
    <w:p>
      <w:pPr>
        <w:bidi w:val="0"/>
      </w:pPr>
      <w:r>
        <w:rPr>
          <w:rFonts w:hint="eastAsia"/>
        </w:rPr>
        <w:t>南昌瀛宇金属制品有限公司以落料片、消声器加工品、排气管、接线柱、吊钩、防锈剂、脱脂剂、机油等为原材料，经冲压、剪切、车削、干燥、焊接、滚抛等工序加工生产空调压缩机配件，预计形成年产6000万件空调压缩机配件的生产规模。</w:t>
      </w:r>
    </w:p>
    <w:p>
      <w:pPr>
        <w:bidi w:val="0"/>
      </w:pPr>
      <w:r>
        <w:rPr>
          <w:rFonts w:hint="eastAsia"/>
        </w:rPr>
        <w:t>项目东面为南昌同兴达精密光电有限公司，南面为南昌昱博科技园办公室，西侧为毗邻园区道路，北侧为江西名匠智能系统有限公司。</w:t>
      </w:r>
    </w:p>
    <w:p>
      <w:pPr>
        <w:pStyle w:val="28"/>
        <w:bidi w:val="0"/>
      </w:pPr>
      <w:r>
        <w:rPr>
          <w:rFonts w:hint="eastAsia"/>
        </w:rPr>
        <w:t>表</w:t>
      </w:r>
      <w:r>
        <w:rPr>
          <w:rFonts w:hint="eastAsia"/>
          <w:lang w:val="en-US" w:eastAsia="zh-CN"/>
        </w:rPr>
        <w:t>2</w:t>
      </w:r>
      <w:r>
        <w:rPr>
          <w:rFonts w:hint="eastAsia"/>
        </w:rPr>
        <w:t>.1</w:t>
      </w:r>
      <w:r>
        <w:rPr>
          <w:rFonts w:hint="eastAsia"/>
          <w:lang w:val="en-US" w:eastAsia="zh-CN"/>
        </w:rPr>
        <w:t>.1</w:t>
      </w:r>
      <w:r>
        <w:rPr>
          <w:rFonts w:hint="eastAsia"/>
        </w:rPr>
        <w:t>-1</w:t>
      </w:r>
      <w:r>
        <w:t xml:space="preserve"> </w:t>
      </w:r>
      <w:r>
        <w:rPr>
          <w:rFonts w:hint="eastAsia"/>
        </w:rPr>
        <w:t>企业基本情况汇总表</w:t>
      </w:r>
    </w:p>
    <w:tbl>
      <w:tblPr>
        <w:tblStyle w:val="22"/>
        <w:tblW w:w="4850"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2067"/>
        <w:gridCol w:w="2372"/>
        <w:gridCol w:w="2066"/>
        <w:gridCol w:w="1953"/>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447" w:hRule="atLeast"/>
          <w:jc w:val="center"/>
        </w:trPr>
        <w:tc>
          <w:tcPr>
            <w:tcW w:w="1222" w:type="pct"/>
            <w:tcBorders>
              <w:tl2br w:val="nil"/>
              <w:tr2bl w:val="nil"/>
            </w:tcBorders>
            <w:vAlign w:val="center"/>
          </w:tcPr>
          <w:p>
            <w:pPr>
              <w:pStyle w:val="39"/>
              <w:bidi w:val="0"/>
              <w:rPr>
                <w:b/>
                <w:bCs/>
              </w:rPr>
            </w:pPr>
            <w:r>
              <w:rPr>
                <w:b/>
                <w:bCs/>
              </w:rPr>
              <w:t>建设单位</w:t>
            </w:r>
          </w:p>
        </w:tc>
        <w:tc>
          <w:tcPr>
            <w:tcW w:w="3777" w:type="pct"/>
            <w:gridSpan w:val="3"/>
            <w:tcBorders>
              <w:tl2br w:val="nil"/>
              <w:tr2bl w:val="nil"/>
            </w:tcBorders>
            <w:vAlign w:val="center"/>
          </w:tcPr>
          <w:p>
            <w:pPr>
              <w:pStyle w:val="39"/>
              <w:bidi w:val="0"/>
              <w:rPr>
                <w:b/>
                <w:bCs/>
              </w:rPr>
            </w:pPr>
            <w:r>
              <w:rPr>
                <w:b/>
                <w:bCs/>
              </w:rPr>
              <w:t>南昌瀛宇金属制品有限公司</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rPr>
                <w:highlight w:val="none"/>
              </w:rPr>
              <w:t>通讯地址</w:t>
            </w:r>
          </w:p>
        </w:tc>
        <w:tc>
          <w:tcPr>
            <w:tcW w:w="3777" w:type="pct"/>
            <w:gridSpan w:val="3"/>
            <w:tcBorders>
              <w:tl2br w:val="nil"/>
              <w:tr2bl w:val="nil"/>
            </w:tcBorders>
            <w:vAlign w:val="center"/>
          </w:tcPr>
          <w:p>
            <w:pPr>
              <w:pStyle w:val="39"/>
              <w:bidi w:val="0"/>
            </w:pPr>
            <w:r>
              <w:rPr>
                <w:rFonts w:hint="eastAsia"/>
              </w:rPr>
              <w:t>江西省南昌经济技术开发区昱博科技园一期二#厂房</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建设地点</w:t>
            </w:r>
          </w:p>
        </w:tc>
        <w:tc>
          <w:tcPr>
            <w:tcW w:w="3777" w:type="pct"/>
            <w:gridSpan w:val="3"/>
            <w:tcBorders>
              <w:tl2br w:val="nil"/>
              <w:tr2bl w:val="nil"/>
            </w:tcBorders>
            <w:vAlign w:val="center"/>
          </w:tcPr>
          <w:p>
            <w:pPr>
              <w:pStyle w:val="39"/>
              <w:bidi w:val="0"/>
            </w:pPr>
            <w:r>
              <w:rPr>
                <w:rFonts w:hint="eastAsia"/>
              </w:rPr>
              <w:t>江西省南昌经济技术开发区昱博科技园一期二#厂房</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地理位置</w:t>
            </w:r>
          </w:p>
        </w:tc>
        <w:tc>
          <w:tcPr>
            <w:tcW w:w="3777" w:type="pct"/>
            <w:gridSpan w:val="3"/>
            <w:tcBorders>
              <w:tl2br w:val="nil"/>
              <w:tr2bl w:val="nil"/>
            </w:tcBorders>
            <w:vAlign w:val="center"/>
          </w:tcPr>
          <w:p>
            <w:pPr>
              <w:pStyle w:val="39"/>
              <w:bidi w:val="0"/>
            </w:pPr>
            <w:r>
              <w:t>东经115°53′52.701″</w:t>
            </w:r>
            <w:r>
              <w:rPr>
                <w:rFonts w:hint="eastAsia"/>
              </w:rPr>
              <w:t>，</w:t>
            </w:r>
            <w:r>
              <w:t>北纬28°47′2.043″</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738" w:hRule="atLeast"/>
          <w:jc w:val="center"/>
        </w:trPr>
        <w:tc>
          <w:tcPr>
            <w:tcW w:w="1222" w:type="pct"/>
            <w:tcBorders>
              <w:tl2br w:val="nil"/>
              <w:tr2bl w:val="nil"/>
            </w:tcBorders>
            <w:vAlign w:val="center"/>
          </w:tcPr>
          <w:p>
            <w:pPr>
              <w:pStyle w:val="39"/>
              <w:bidi w:val="0"/>
            </w:pPr>
            <w:r>
              <w:t>营业执照注册号</w:t>
            </w:r>
          </w:p>
        </w:tc>
        <w:tc>
          <w:tcPr>
            <w:tcW w:w="1402" w:type="pct"/>
            <w:tcBorders>
              <w:tl2br w:val="nil"/>
              <w:tr2bl w:val="nil"/>
            </w:tcBorders>
            <w:vAlign w:val="center"/>
          </w:tcPr>
          <w:p>
            <w:pPr>
              <w:pStyle w:val="39"/>
              <w:bidi w:val="0"/>
            </w:pPr>
            <w:r>
              <w:rPr>
                <w:rFonts w:hint="eastAsia"/>
              </w:rPr>
              <w:t>913601085711983802</w:t>
            </w:r>
          </w:p>
        </w:tc>
        <w:tc>
          <w:tcPr>
            <w:tcW w:w="1221" w:type="pct"/>
            <w:tcBorders>
              <w:tl2br w:val="nil"/>
              <w:tr2bl w:val="nil"/>
            </w:tcBorders>
            <w:vAlign w:val="center"/>
          </w:tcPr>
          <w:p>
            <w:pPr>
              <w:pStyle w:val="39"/>
              <w:bidi w:val="0"/>
            </w:pPr>
            <w:r>
              <w:t>行业类别及代码</w:t>
            </w:r>
          </w:p>
        </w:tc>
        <w:tc>
          <w:tcPr>
            <w:tcW w:w="1153" w:type="pct"/>
            <w:tcBorders>
              <w:tl2br w:val="nil"/>
              <w:tr2bl w:val="nil"/>
            </w:tcBorders>
            <w:vAlign w:val="center"/>
          </w:tcPr>
          <w:p>
            <w:pPr>
              <w:pStyle w:val="39"/>
              <w:bidi w:val="0"/>
            </w:pPr>
            <w:r>
              <w:rPr>
                <w:rFonts w:hint="eastAsia"/>
              </w:rPr>
              <w:t>C3489其他通用零部件制造</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注册日期</w:t>
            </w:r>
          </w:p>
        </w:tc>
        <w:tc>
          <w:tcPr>
            <w:tcW w:w="1402" w:type="pct"/>
            <w:tcBorders>
              <w:tl2br w:val="nil"/>
              <w:tr2bl w:val="nil"/>
            </w:tcBorders>
            <w:vAlign w:val="center"/>
          </w:tcPr>
          <w:p>
            <w:pPr>
              <w:pStyle w:val="39"/>
              <w:bidi w:val="0"/>
            </w:pPr>
            <w:r>
              <w:t>201</w:t>
            </w:r>
            <w:r>
              <w:rPr>
                <w:rFonts w:hint="eastAsia"/>
              </w:rPr>
              <w:t>1</w:t>
            </w:r>
            <w:r>
              <w:t>年</w:t>
            </w:r>
            <w:r>
              <w:rPr>
                <w:rFonts w:hint="eastAsia"/>
              </w:rPr>
              <w:t>04</w:t>
            </w:r>
            <w:r>
              <w:t>月</w:t>
            </w:r>
            <w:r>
              <w:rPr>
                <w:rFonts w:hint="eastAsia"/>
              </w:rPr>
              <w:t>15</w:t>
            </w:r>
            <w:r>
              <w:t>日</w:t>
            </w:r>
          </w:p>
        </w:tc>
        <w:tc>
          <w:tcPr>
            <w:tcW w:w="1221" w:type="pct"/>
            <w:tcBorders>
              <w:tl2br w:val="nil"/>
              <w:tr2bl w:val="nil"/>
            </w:tcBorders>
            <w:vAlign w:val="center"/>
          </w:tcPr>
          <w:p>
            <w:pPr>
              <w:pStyle w:val="39"/>
              <w:bidi w:val="0"/>
            </w:pPr>
            <w:r>
              <w:t>最新技改、扩建时间</w:t>
            </w:r>
          </w:p>
        </w:tc>
        <w:tc>
          <w:tcPr>
            <w:tcW w:w="1153" w:type="pct"/>
            <w:tcBorders>
              <w:tl2br w:val="nil"/>
              <w:tr2bl w:val="nil"/>
            </w:tcBorders>
            <w:vAlign w:val="center"/>
          </w:tcPr>
          <w:p>
            <w:pPr>
              <w:pStyle w:val="39"/>
              <w:bidi w:val="0"/>
            </w:pPr>
            <w:r>
              <w:t>无</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rPr>
                <w:rFonts w:hint="eastAsia" w:eastAsia="宋体"/>
                <w:lang w:val="en-US" w:eastAsia="zh-CN"/>
              </w:rPr>
            </w:pPr>
            <w:r>
              <w:rPr>
                <w:rFonts w:hint="eastAsia"/>
                <w:lang w:val="en-US" w:eastAsia="zh-CN"/>
              </w:rPr>
              <w:t>法定代表人</w:t>
            </w:r>
          </w:p>
        </w:tc>
        <w:tc>
          <w:tcPr>
            <w:tcW w:w="1402" w:type="pct"/>
            <w:tcBorders>
              <w:tl2br w:val="nil"/>
              <w:tr2bl w:val="nil"/>
            </w:tcBorders>
            <w:vAlign w:val="center"/>
          </w:tcPr>
          <w:p>
            <w:pPr>
              <w:pStyle w:val="39"/>
              <w:bidi w:val="0"/>
            </w:pPr>
            <w:r>
              <w:rPr>
                <w:rFonts w:hint="eastAsia"/>
              </w:rPr>
              <w:t>俞建新</w:t>
            </w:r>
          </w:p>
        </w:tc>
        <w:tc>
          <w:tcPr>
            <w:tcW w:w="1221" w:type="pct"/>
            <w:tcBorders>
              <w:tl2br w:val="nil"/>
              <w:tr2bl w:val="nil"/>
            </w:tcBorders>
            <w:vAlign w:val="center"/>
          </w:tcPr>
          <w:p>
            <w:pPr>
              <w:pStyle w:val="39"/>
              <w:bidi w:val="0"/>
            </w:pPr>
            <w:r>
              <w:rPr>
                <w:rFonts w:hint="eastAsia"/>
              </w:rPr>
              <w:t>联系电话</w:t>
            </w:r>
          </w:p>
        </w:tc>
        <w:tc>
          <w:tcPr>
            <w:tcW w:w="1153" w:type="pct"/>
            <w:tcBorders>
              <w:tl2br w:val="nil"/>
              <w:tr2bl w:val="nil"/>
            </w:tcBorders>
            <w:vAlign w:val="center"/>
          </w:tcPr>
          <w:p>
            <w:pPr>
              <w:pStyle w:val="39"/>
              <w:bidi w:val="0"/>
            </w:pPr>
            <w:r>
              <w:rPr>
                <w:rFonts w:hint="eastAsia"/>
              </w:rPr>
              <w:t>13311871526</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rPr>
                <w:rFonts w:hint="eastAsia"/>
              </w:rPr>
              <w:t>联系人</w:t>
            </w:r>
          </w:p>
        </w:tc>
        <w:tc>
          <w:tcPr>
            <w:tcW w:w="1402" w:type="pct"/>
            <w:tcBorders>
              <w:tl2br w:val="nil"/>
              <w:tr2bl w:val="nil"/>
            </w:tcBorders>
            <w:vAlign w:val="center"/>
          </w:tcPr>
          <w:p>
            <w:pPr>
              <w:pStyle w:val="39"/>
              <w:bidi w:val="0"/>
            </w:pPr>
            <w:r>
              <w:rPr>
                <w:rFonts w:hint="eastAsia"/>
              </w:rPr>
              <w:t>秦俭</w:t>
            </w:r>
          </w:p>
        </w:tc>
        <w:tc>
          <w:tcPr>
            <w:tcW w:w="1221" w:type="pct"/>
            <w:tcBorders>
              <w:tl2br w:val="nil"/>
              <w:tr2bl w:val="nil"/>
            </w:tcBorders>
            <w:vAlign w:val="center"/>
          </w:tcPr>
          <w:p>
            <w:pPr>
              <w:pStyle w:val="39"/>
              <w:bidi w:val="0"/>
            </w:pPr>
            <w:r>
              <w:rPr>
                <w:rFonts w:hint="eastAsia"/>
              </w:rPr>
              <w:t>联系电话</w:t>
            </w:r>
          </w:p>
        </w:tc>
        <w:tc>
          <w:tcPr>
            <w:tcW w:w="1153" w:type="pct"/>
            <w:tcBorders>
              <w:tl2br w:val="nil"/>
              <w:tr2bl w:val="nil"/>
            </w:tcBorders>
            <w:vAlign w:val="center"/>
          </w:tcPr>
          <w:p>
            <w:pPr>
              <w:pStyle w:val="39"/>
              <w:bidi w:val="0"/>
            </w:pPr>
            <w:r>
              <w:rPr>
                <w:rFonts w:hint="eastAsia"/>
              </w:rPr>
              <w:t>13501660667</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项目投资</w:t>
            </w:r>
          </w:p>
        </w:tc>
        <w:tc>
          <w:tcPr>
            <w:tcW w:w="1402" w:type="pct"/>
            <w:tcBorders>
              <w:tl2br w:val="nil"/>
              <w:tr2bl w:val="nil"/>
            </w:tcBorders>
            <w:vAlign w:val="center"/>
          </w:tcPr>
          <w:p>
            <w:pPr>
              <w:pStyle w:val="39"/>
              <w:bidi w:val="0"/>
            </w:pPr>
            <w:r>
              <w:rPr>
                <w:rFonts w:hint="eastAsia"/>
              </w:rPr>
              <w:t>180万元</w:t>
            </w:r>
          </w:p>
        </w:tc>
        <w:tc>
          <w:tcPr>
            <w:tcW w:w="1221" w:type="pct"/>
            <w:tcBorders>
              <w:tl2br w:val="nil"/>
              <w:tr2bl w:val="nil"/>
            </w:tcBorders>
            <w:vAlign w:val="center"/>
          </w:tcPr>
          <w:p>
            <w:pPr>
              <w:pStyle w:val="39"/>
              <w:bidi w:val="0"/>
            </w:pPr>
            <w:r>
              <w:t>总产值</w:t>
            </w:r>
          </w:p>
        </w:tc>
        <w:tc>
          <w:tcPr>
            <w:tcW w:w="1153" w:type="pct"/>
            <w:tcBorders>
              <w:tl2br w:val="nil"/>
              <w:tr2bl w:val="nil"/>
            </w:tcBorders>
            <w:vAlign w:val="center"/>
          </w:tcPr>
          <w:p>
            <w:pPr>
              <w:pStyle w:val="39"/>
              <w:bidi w:val="0"/>
            </w:pPr>
            <w:r>
              <w:t>/</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项目现状</w:t>
            </w:r>
          </w:p>
        </w:tc>
        <w:tc>
          <w:tcPr>
            <w:tcW w:w="3777" w:type="pct"/>
            <w:gridSpan w:val="3"/>
            <w:tcBorders>
              <w:tl2br w:val="nil"/>
              <w:tr2bl w:val="nil"/>
            </w:tcBorders>
            <w:vAlign w:val="center"/>
          </w:tcPr>
          <w:p>
            <w:pPr>
              <w:pStyle w:val="39"/>
              <w:bidi w:val="0"/>
            </w:pPr>
            <w:r>
              <w:t>正常运行</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环评审批情况</w:t>
            </w:r>
          </w:p>
        </w:tc>
        <w:tc>
          <w:tcPr>
            <w:tcW w:w="3777" w:type="pct"/>
            <w:gridSpan w:val="3"/>
            <w:tcBorders>
              <w:tl2br w:val="nil"/>
              <w:tr2bl w:val="nil"/>
            </w:tcBorders>
            <w:vAlign w:val="center"/>
          </w:tcPr>
          <w:p>
            <w:pPr>
              <w:pStyle w:val="39"/>
              <w:bidi w:val="0"/>
            </w:pPr>
            <w:r>
              <w:t>已取得环评批复</w:t>
            </w:r>
            <w:r>
              <w:rPr>
                <w:rFonts w:hint="eastAsia"/>
              </w:rPr>
              <w:t>赣新环评字[2019]25号</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三同时验收情况</w:t>
            </w:r>
          </w:p>
        </w:tc>
        <w:tc>
          <w:tcPr>
            <w:tcW w:w="3777" w:type="pct"/>
            <w:gridSpan w:val="3"/>
            <w:tcBorders>
              <w:tl2br w:val="nil"/>
              <w:tr2bl w:val="nil"/>
            </w:tcBorders>
            <w:vAlign w:val="center"/>
          </w:tcPr>
          <w:p>
            <w:pPr>
              <w:pStyle w:val="39"/>
              <w:bidi w:val="0"/>
            </w:pPr>
            <w:r>
              <w:rPr>
                <w:rFonts w:hint="eastAsia"/>
              </w:rPr>
              <w:t>已验收</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95" w:hRule="atLeast"/>
          <w:jc w:val="center"/>
        </w:trPr>
        <w:tc>
          <w:tcPr>
            <w:tcW w:w="1222" w:type="pct"/>
            <w:tcBorders>
              <w:tl2br w:val="nil"/>
              <w:tr2bl w:val="nil"/>
            </w:tcBorders>
            <w:vAlign w:val="center"/>
          </w:tcPr>
          <w:p>
            <w:pPr>
              <w:pStyle w:val="39"/>
              <w:bidi w:val="0"/>
            </w:pPr>
            <w:r>
              <w:t>劳动定员</w:t>
            </w:r>
          </w:p>
        </w:tc>
        <w:tc>
          <w:tcPr>
            <w:tcW w:w="3777" w:type="pct"/>
            <w:gridSpan w:val="3"/>
            <w:tcBorders>
              <w:tl2br w:val="nil"/>
              <w:tr2bl w:val="nil"/>
            </w:tcBorders>
            <w:shd w:val="clear" w:color="auto" w:fill="auto"/>
            <w:vAlign w:val="center"/>
          </w:tcPr>
          <w:p>
            <w:pPr>
              <w:pStyle w:val="39"/>
              <w:bidi w:val="0"/>
            </w:pPr>
            <w:r>
              <w:t>劳动定员</w:t>
            </w:r>
            <w:r>
              <w:rPr>
                <w:rFonts w:hint="eastAsia"/>
              </w:rPr>
              <w:t>60</w:t>
            </w:r>
            <w:r>
              <w:t>人</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501" w:hRule="atLeast"/>
          <w:jc w:val="center"/>
        </w:trPr>
        <w:tc>
          <w:tcPr>
            <w:tcW w:w="1222" w:type="pct"/>
            <w:tcBorders>
              <w:tl2br w:val="nil"/>
              <w:tr2bl w:val="nil"/>
            </w:tcBorders>
            <w:vAlign w:val="center"/>
          </w:tcPr>
          <w:p>
            <w:pPr>
              <w:pStyle w:val="39"/>
              <w:bidi w:val="0"/>
            </w:pPr>
            <w:r>
              <w:t>工作制度</w:t>
            </w:r>
          </w:p>
        </w:tc>
        <w:tc>
          <w:tcPr>
            <w:tcW w:w="3777" w:type="pct"/>
            <w:gridSpan w:val="3"/>
            <w:tcBorders>
              <w:tl2br w:val="nil"/>
              <w:tr2bl w:val="nil"/>
            </w:tcBorders>
            <w:shd w:val="clear" w:color="auto" w:fill="auto"/>
            <w:vAlign w:val="center"/>
          </w:tcPr>
          <w:p>
            <w:pPr>
              <w:pStyle w:val="39"/>
              <w:bidi w:val="0"/>
            </w:pPr>
            <w:r>
              <w:rPr>
                <w:rFonts w:hint="eastAsia"/>
              </w:rPr>
              <w:t>年工作时间300d，值班人员8小时制，单班制</w:t>
            </w:r>
          </w:p>
        </w:tc>
      </w:tr>
      <w:bookmarkEnd w:id="116"/>
      <w:bookmarkEnd w:id="117"/>
    </w:tbl>
    <w:p>
      <w:pPr>
        <w:pStyle w:val="5"/>
        <w:bidi w:val="0"/>
      </w:pPr>
      <w:bookmarkStart w:id="118" w:name="_Toc29201"/>
      <w:bookmarkStart w:id="119" w:name="_Toc15476"/>
      <w:bookmarkStart w:id="120" w:name="_Toc455741281"/>
      <w:bookmarkStart w:id="121" w:name="_Toc37591900"/>
      <w:bookmarkStart w:id="122" w:name="_Toc23158"/>
      <w:bookmarkStart w:id="123" w:name="_Toc32488"/>
      <w:bookmarkStart w:id="124" w:name="_Toc29340"/>
      <w:bookmarkStart w:id="125" w:name="_Toc26026"/>
      <w:bookmarkStart w:id="126" w:name="_Toc428904838"/>
      <w:r>
        <w:rPr>
          <w:rFonts w:hint="eastAsia"/>
          <w:lang w:val="en-US" w:eastAsia="zh-CN"/>
        </w:rPr>
        <w:t>2</w:t>
      </w:r>
      <w:r>
        <w:rPr>
          <w:rFonts w:hint="eastAsia"/>
        </w:rPr>
        <w:t>.1.2</w:t>
      </w:r>
      <w:r>
        <w:t xml:space="preserve"> </w:t>
      </w:r>
      <w:r>
        <w:rPr>
          <w:rFonts w:hint="eastAsia"/>
        </w:rPr>
        <w:t>主要原辅材料</w:t>
      </w:r>
      <w:bookmarkEnd w:id="118"/>
      <w:bookmarkEnd w:id="119"/>
      <w:bookmarkEnd w:id="120"/>
      <w:bookmarkEnd w:id="121"/>
      <w:bookmarkEnd w:id="122"/>
      <w:bookmarkEnd w:id="123"/>
      <w:bookmarkEnd w:id="124"/>
      <w:bookmarkEnd w:id="125"/>
      <w:bookmarkEnd w:id="126"/>
    </w:p>
    <w:p>
      <w:pPr>
        <w:pStyle w:val="28"/>
        <w:bidi w:val="0"/>
      </w:pPr>
      <w:r>
        <w:rPr>
          <w:rFonts w:hint="eastAsia"/>
        </w:rPr>
        <w:t>表</w:t>
      </w:r>
      <w:r>
        <w:rPr>
          <w:rFonts w:hint="eastAsia"/>
          <w:lang w:val="en-US" w:eastAsia="zh-CN"/>
        </w:rPr>
        <w:t>2</w:t>
      </w:r>
      <w:r>
        <w:rPr>
          <w:rFonts w:hint="eastAsia"/>
        </w:rPr>
        <w:t>.1</w:t>
      </w:r>
      <w:r>
        <w:rPr>
          <w:rFonts w:hint="eastAsia"/>
          <w:lang w:val="en-US" w:eastAsia="zh-CN"/>
        </w:rPr>
        <w:t>.2</w:t>
      </w:r>
      <w:r>
        <w:rPr>
          <w:rFonts w:hint="eastAsia"/>
        </w:rPr>
        <w:t>-</w:t>
      </w:r>
      <w:r>
        <w:rPr>
          <w:rFonts w:hint="eastAsia"/>
          <w:lang w:val="en-US" w:eastAsia="zh-CN"/>
        </w:rPr>
        <w:t>1</w:t>
      </w:r>
      <w:r>
        <w:t xml:space="preserve"> </w:t>
      </w:r>
      <w:r>
        <w:rPr>
          <w:rFonts w:hint="eastAsia"/>
        </w:rPr>
        <w:t>公司主要原辅材料消耗</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1066"/>
        <w:gridCol w:w="2346"/>
        <w:gridCol w:w="1340"/>
        <w:gridCol w:w="1275"/>
        <w:gridCol w:w="172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13" w:hRule="atLeast"/>
          <w:jc w:val="center"/>
        </w:trPr>
        <w:tc>
          <w:tcPr>
            <w:tcW w:w="554" w:type="pct"/>
            <w:tcBorders>
              <w:bottom w:val="single" w:color="auto" w:sz="12" w:space="0"/>
            </w:tcBorders>
            <w:vAlign w:val="center"/>
          </w:tcPr>
          <w:p>
            <w:pPr>
              <w:pStyle w:val="39"/>
              <w:bidi w:val="0"/>
              <w:rPr>
                <w:b/>
                <w:bCs/>
              </w:rPr>
            </w:pPr>
            <w:r>
              <w:rPr>
                <w:rFonts w:hint="eastAsia"/>
                <w:b/>
                <w:bCs/>
              </w:rPr>
              <w:t>序号</w:t>
            </w:r>
          </w:p>
        </w:tc>
        <w:tc>
          <w:tcPr>
            <w:tcW w:w="611" w:type="pct"/>
            <w:tcBorders>
              <w:bottom w:val="single" w:color="auto" w:sz="12" w:space="0"/>
            </w:tcBorders>
            <w:vAlign w:val="center"/>
          </w:tcPr>
          <w:p>
            <w:pPr>
              <w:pStyle w:val="39"/>
              <w:bidi w:val="0"/>
              <w:rPr>
                <w:b/>
                <w:bCs/>
              </w:rPr>
            </w:pPr>
            <w:r>
              <w:rPr>
                <w:rFonts w:hint="eastAsia"/>
                <w:b/>
                <w:bCs/>
              </w:rPr>
              <w:t>类别</w:t>
            </w:r>
          </w:p>
        </w:tc>
        <w:tc>
          <w:tcPr>
            <w:tcW w:w="1345" w:type="pct"/>
            <w:tcBorders>
              <w:bottom w:val="single" w:color="auto" w:sz="12" w:space="0"/>
            </w:tcBorders>
            <w:vAlign w:val="center"/>
          </w:tcPr>
          <w:p>
            <w:pPr>
              <w:pStyle w:val="39"/>
              <w:bidi w:val="0"/>
              <w:rPr>
                <w:b/>
                <w:bCs/>
              </w:rPr>
            </w:pPr>
            <w:r>
              <w:rPr>
                <w:b/>
                <w:bCs/>
              </w:rPr>
              <w:t>名称</w:t>
            </w:r>
          </w:p>
        </w:tc>
        <w:tc>
          <w:tcPr>
            <w:tcW w:w="768" w:type="pct"/>
            <w:tcBorders>
              <w:bottom w:val="single" w:color="auto" w:sz="12" w:space="0"/>
            </w:tcBorders>
            <w:vAlign w:val="center"/>
          </w:tcPr>
          <w:p>
            <w:pPr>
              <w:pStyle w:val="39"/>
              <w:bidi w:val="0"/>
              <w:rPr>
                <w:b/>
                <w:bCs/>
              </w:rPr>
            </w:pPr>
            <w:r>
              <w:rPr>
                <w:rFonts w:hint="eastAsia"/>
                <w:b/>
                <w:bCs/>
              </w:rPr>
              <w:t>数量</w:t>
            </w:r>
          </w:p>
        </w:tc>
        <w:tc>
          <w:tcPr>
            <w:tcW w:w="731" w:type="pct"/>
            <w:tcBorders>
              <w:bottom w:val="single" w:color="auto" w:sz="12" w:space="0"/>
            </w:tcBorders>
            <w:vAlign w:val="center"/>
          </w:tcPr>
          <w:p>
            <w:pPr>
              <w:pStyle w:val="39"/>
              <w:bidi w:val="0"/>
              <w:rPr>
                <w:b/>
                <w:bCs/>
              </w:rPr>
            </w:pPr>
            <w:r>
              <w:rPr>
                <w:rFonts w:hint="eastAsia"/>
                <w:b/>
                <w:bCs/>
              </w:rPr>
              <w:t>最大储存量</w:t>
            </w:r>
          </w:p>
        </w:tc>
        <w:tc>
          <w:tcPr>
            <w:tcW w:w="988" w:type="pct"/>
            <w:tcBorders>
              <w:bottom w:val="single" w:color="auto" w:sz="12" w:space="0"/>
            </w:tcBorders>
            <w:vAlign w:val="center"/>
          </w:tcPr>
          <w:p>
            <w:pPr>
              <w:pStyle w:val="39"/>
              <w:bidi w:val="0"/>
              <w:rPr>
                <w:b/>
                <w:bCs/>
              </w:rPr>
            </w:pPr>
            <w:r>
              <w:rPr>
                <w:rFonts w:hint="eastAsia"/>
                <w:b/>
                <w:bCs/>
              </w:rPr>
              <w:t>来源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op w:val="single" w:color="auto" w:sz="12" w:space="0"/>
              <w:tl2br w:val="nil"/>
              <w:tr2bl w:val="nil"/>
            </w:tcBorders>
            <w:vAlign w:val="center"/>
          </w:tcPr>
          <w:p>
            <w:pPr>
              <w:pStyle w:val="39"/>
              <w:bidi w:val="0"/>
            </w:pPr>
            <w:r>
              <w:rPr>
                <w:rFonts w:hint="eastAsia"/>
              </w:rPr>
              <w:t>1</w:t>
            </w:r>
          </w:p>
        </w:tc>
        <w:tc>
          <w:tcPr>
            <w:tcW w:w="611" w:type="pct"/>
            <w:vMerge w:val="restart"/>
            <w:tcBorders>
              <w:top w:val="single" w:color="auto" w:sz="12" w:space="0"/>
              <w:tl2br w:val="nil"/>
              <w:tr2bl w:val="nil"/>
            </w:tcBorders>
            <w:vAlign w:val="center"/>
          </w:tcPr>
          <w:p>
            <w:pPr>
              <w:pStyle w:val="39"/>
              <w:bidi w:val="0"/>
            </w:pPr>
            <w:r>
              <w:rPr>
                <w:rFonts w:hint="eastAsia"/>
              </w:rPr>
              <w:t>原材料</w:t>
            </w:r>
          </w:p>
        </w:tc>
        <w:tc>
          <w:tcPr>
            <w:tcW w:w="1345" w:type="pct"/>
            <w:tcBorders>
              <w:top w:val="single" w:color="auto" w:sz="12" w:space="0"/>
              <w:tl2br w:val="nil"/>
              <w:tr2bl w:val="nil"/>
            </w:tcBorders>
            <w:vAlign w:val="center"/>
          </w:tcPr>
          <w:p>
            <w:pPr>
              <w:pStyle w:val="39"/>
              <w:bidi w:val="0"/>
            </w:pPr>
            <w:r>
              <w:rPr>
                <w:rFonts w:hint="eastAsia"/>
              </w:rPr>
              <w:t>落料片</w:t>
            </w:r>
          </w:p>
        </w:tc>
        <w:tc>
          <w:tcPr>
            <w:tcW w:w="768" w:type="pct"/>
            <w:tcBorders>
              <w:top w:val="single" w:color="auto" w:sz="12" w:space="0"/>
              <w:tl2br w:val="nil"/>
              <w:tr2bl w:val="nil"/>
            </w:tcBorders>
            <w:vAlign w:val="center"/>
          </w:tcPr>
          <w:p>
            <w:pPr>
              <w:pStyle w:val="39"/>
              <w:bidi w:val="0"/>
            </w:pPr>
            <w:r>
              <w:rPr>
                <w:rFonts w:hint="eastAsia"/>
              </w:rPr>
              <w:t>2000万片</w:t>
            </w:r>
          </w:p>
        </w:tc>
        <w:tc>
          <w:tcPr>
            <w:tcW w:w="731" w:type="pct"/>
            <w:tcBorders>
              <w:top w:val="single" w:color="auto" w:sz="12" w:space="0"/>
              <w:tl2br w:val="nil"/>
              <w:tr2bl w:val="nil"/>
            </w:tcBorders>
            <w:vAlign w:val="center"/>
          </w:tcPr>
          <w:p>
            <w:pPr>
              <w:pStyle w:val="39"/>
              <w:bidi w:val="0"/>
            </w:pPr>
            <w:r>
              <w:rPr>
                <w:rFonts w:hint="eastAsia"/>
              </w:rPr>
              <w:t>200万片</w:t>
            </w:r>
          </w:p>
        </w:tc>
        <w:tc>
          <w:tcPr>
            <w:tcW w:w="988" w:type="pct"/>
            <w:tcBorders>
              <w:top w:val="single" w:color="auto" w:sz="12" w:space="0"/>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2</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消声器加工品</w:t>
            </w:r>
          </w:p>
        </w:tc>
        <w:tc>
          <w:tcPr>
            <w:tcW w:w="768" w:type="pct"/>
            <w:tcBorders>
              <w:tl2br w:val="nil"/>
              <w:tr2bl w:val="nil"/>
            </w:tcBorders>
            <w:vAlign w:val="center"/>
          </w:tcPr>
          <w:p>
            <w:pPr>
              <w:pStyle w:val="39"/>
              <w:bidi w:val="0"/>
            </w:pPr>
            <w:r>
              <w:rPr>
                <w:rFonts w:hint="eastAsia"/>
              </w:rPr>
              <w:t>2000万个</w:t>
            </w:r>
          </w:p>
        </w:tc>
        <w:tc>
          <w:tcPr>
            <w:tcW w:w="731" w:type="pct"/>
            <w:tcBorders>
              <w:tl2br w:val="nil"/>
              <w:tr2bl w:val="nil"/>
            </w:tcBorders>
            <w:vAlign w:val="center"/>
          </w:tcPr>
          <w:p>
            <w:pPr>
              <w:pStyle w:val="39"/>
              <w:bidi w:val="0"/>
            </w:pPr>
            <w:r>
              <w:rPr>
                <w:rFonts w:hint="eastAsia"/>
              </w:rPr>
              <w:t>200万个</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3</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挡板加工品</w:t>
            </w:r>
          </w:p>
        </w:tc>
        <w:tc>
          <w:tcPr>
            <w:tcW w:w="768" w:type="pct"/>
            <w:tcBorders>
              <w:tl2br w:val="nil"/>
              <w:tr2bl w:val="nil"/>
            </w:tcBorders>
            <w:vAlign w:val="center"/>
          </w:tcPr>
          <w:p>
            <w:pPr>
              <w:pStyle w:val="39"/>
              <w:bidi w:val="0"/>
            </w:pPr>
            <w:r>
              <w:rPr>
                <w:rFonts w:hint="eastAsia"/>
              </w:rPr>
              <w:t>2000万个</w:t>
            </w:r>
          </w:p>
        </w:tc>
        <w:tc>
          <w:tcPr>
            <w:tcW w:w="731" w:type="pct"/>
            <w:tcBorders>
              <w:tl2br w:val="nil"/>
              <w:tr2bl w:val="nil"/>
            </w:tcBorders>
            <w:vAlign w:val="center"/>
          </w:tcPr>
          <w:p>
            <w:pPr>
              <w:pStyle w:val="39"/>
              <w:bidi w:val="0"/>
            </w:pPr>
            <w:r>
              <w:rPr>
                <w:rFonts w:hint="eastAsia"/>
              </w:rPr>
              <w:t>200万个</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4</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排气管</w:t>
            </w:r>
          </w:p>
        </w:tc>
        <w:tc>
          <w:tcPr>
            <w:tcW w:w="768" w:type="pct"/>
            <w:tcBorders>
              <w:tl2br w:val="nil"/>
              <w:tr2bl w:val="nil"/>
            </w:tcBorders>
            <w:vAlign w:val="center"/>
          </w:tcPr>
          <w:p>
            <w:pPr>
              <w:pStyle w:val="39"/>
              <w:bidi w:val="0"/>
            </w:pPr>
            <w:r>
              <w:rPr>
                <w:rFonts w:hint="eastAsia"/>
              </w:rPr>
              <w:t>1000万个</w:t>
            </w:r>
          </w:p>
        </w:tc>
        <w:tc>
          <w:tcPr>
            <w:tcW w:w="731" w:type="pct"/>
            <w:tcBorders>
              <w:tl2br w:val="nil"/>
              <w:tr2bl w:val="nil"/>
            </w:tcBorders>
            <w:vAlign w:val="center"/>
          </w:tcPr>
          <w:p>
            <w:pPr>
              <w:pStyle w:val="39"/>
              <w:bidi w:val="0"/>
            </w:pPr>
            <w:r>
              <w:rPr>
                <w:rFonts w:hint="eastAsia"/>
              </w:rPr>
              <w:t>100万个</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5</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接线柱</w:t>
            </w:r>
          </w:p>
        </w:tc>
        <w:tc>
          <w:tcPr>
            <w:tcW w:w="768" w:type="pct"/>
            <w:tcBorders>
              <w:tl2br w:val="nil"/>
              <w:tr2bl w:val="nil"/>
            </w:tcBorders>
            <w:vAlign w:val="center"/>
          </w:tcPr>
          <w:p>
            <w:pPr>
              <w:pStyle w:val="39"/>
              <w:bidi w:val="0"/>
            </w:pPr>
            <w:r>
              <w:rPr>
                <w:rFonts w:hint="eastAsia"/>
              </w:rPr>
              <w:t>1000万个</w:t>
            </w:r>
          </w:p>
        </w:tc>
        <w:tc>
          <w:tcPr>
            <w:tcW w:w="731" w:type="pct"/>
            <w:tcBorders>
              <w:tl2br w:val="nil"/>
              <w:tr2bl w:val="nil"/>
            </w:tcBorders>
            <w:vAlign w:val="center"/>
          </w:tcPr>
          <w:p>
            <w:pPr>
              <w:pStyle w:val="39"/>
              <w:bidi w:val="0"/>
            </w:pPr>
            <w:r>
              <w:rPr>
                <w:rFonts w:hint="eastAsia"/>
              </w:rPr>
              <w:t>100万个</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6</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吊钩</w:t>
            </w:r>
          </w:p>
        </w:tc>
        <w:tc>
          <w:tcPr>
            <w:tcW w:w="768" w:type="pct"/>
            <w:tcBorders>
              <w:tl2br w:val="nil"/>
              <w:tr2bl w:val="nil"/>
            </w:tcBorders>
            <w:vAlign w:val="center"/>
          </w:tcPr>
          <w:p>
            <w:pPr>
              <w:pStyle w:val="39"/>
              <w:bidi w:val="0"/>
            </w:pPr>
            <w:r>
              <w:rPr>
                <w:rFonts w:hint="eastAsia"/>
              </w:rPr>
              <w:t>1000万个</w:t>
            </w:r>
          </w:p>
        </w:tc>
        <w:tc>
          <w:tcPr>
            <w:tcW w:w="731" w:type="pct"/>
            <w:tcBorders>
              <w:tl2br w:val="nil"/>
              <w:tr2bl w:val="nil"/>
            </w:tcBorders>
            <w:vAlign w:val="center"/>
          </w:tcPr>
          <w:p>
            <w:pPr>
              <w:pStyle w:val="39"/>
              <w:bidi w:val="0"/>
            </w:pPr>
            <w:r>
              <w:rPr>
                <w:rFonts w:hint="eastAsia"/>
              </w:rPr>
              <w:t>100万个</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7</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脱脂剂</w:t>
            </w:r>
          </w:p>
        </w:tc>
        <w:tc>
          <w:tcPr>
            <w:tcW w:w="768" w:type="pct"/>
            <w:tcBorders>
              <w:tl2br w:val="nil"/>
              <w:tr2bl w:val="nil"/>
            </w:tcBorders>
            <w:vAlign w:val="center"/>
          </w:tcPr>
          <w:p>
            <w:pPr>
              <w:pStyle w:val="39"/>
              <w:bidi w:val="0"/>
            </w:pPr>
            <w:r>
              <w:rPr>
                <w:rFonts w:hint="eastAsia"/>
              </w:rPr>
              <w:t>4t</w:t>
            </w:r>
          </w:p>
        </w:tc>
        <w:tc>
          <w:tcPr>
            <w:tcW w:w="731" w:type="pct"/>
            <w:tcBorders>
              <w:tl2br w:val="nil"/>
              <w:tr2bl w:val="nil"/>
            </w:tcBorders>
            <w:vAlign w:val="center"/>
          </w:tcPr>
          <w:p>
            <w:pPr>
              <w:pStyle w:val="39"/>
              <w:bidi w:val="0"/>
            </w:pPr>
            <w:r>
              <w:rPr>
                <w:rFonts w:hint="eastAsia"/>
              </w:rPr>
              <w:t>0.3t</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8</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防锈剂</w:t>
            </w:r>
          </w:p>
        </w:tc>
        <w:tc>
          <w:tcPr>
            <w:tcW w:w="768" w:type="pct"/>
            <w:tcBorders>
              <w:tl2br w:val="nil"/>
              <w:tr2bl w:val="nil"/>
            </w:tcBorders>
            <w:vAlign w:val="center"/>
          </w:tcPr>
          <w:p>
            <w:pPr>
              <w:pStyle w:val="39"/>
              <w:bidi w:val="0"/>
            </w:pPr>
            <w:r>
              <w:rPr>
                <w:rFonts w:hint="eastAsia"/>
              </w:rPr>
              <w:t>1t</w:t>
            </w:r>
          </w:p>
        </w:tc>
        <w:tc>
          <w:tcPr>
            <w:tcW w:w="731" w:type="pct"/>
            <w:tcBorders>
              <w:tl2br w:val="nil"/>
              <w:tr2bl w:val="nil"/>
            </w:tcBorders>
            <w:vAlign w:val="center"/>
          </w:tcPr>
          <w:p>
            <w:pPr>
              <w:pStyle w:val="39"/>
              <w:bidi w:val="0"/>
            </w:pPr>
            <w:r>
              <w:rPr>
                <w:rFonts w:hint="eastAsia"/>
              </w:rPr>
              <w:t>0.1t</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9</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机油</w:t>
            </w:r>
          </w:p>
        </w:tc>
        <w:tc>
          <w:tcPr>
            <w:tcW w:w="768" w:type="pct"/>
            <w:tcBorders>
              <w:tl2br w:val="nil"/>
              <w:tr2bl w:val="nil"/>
            </w:tcBorders>
            <w:vAlign w:val="center"/>
          </w:tcPr>
          <w:p>
            <w:pPr>
              <w:pStyle w:val="39"/>
              <w:bidi w:val="0"/>
            </w:pPr>
            <w:r>
              <w:rPr>
                <w:rFonts w:hint="eastAsia"/>
              </w:rPr>
              <w:t>0.2t</w:t>
            </w:r>
          </w:p>
        </w:tc>
        <w:tc>
          <w:tcPr>
            <w:tcW w:w="731" w:type="pct"/>
            <w:tcBorders>
              <w:tl2br w:val="nil"/>
              <w:tr2bl w:val="nil"/>
            </w:tcBorders>
            <w:vAlign w:val="center"/>
          </w:tcPr>
          <w:p>
            <w:pPr>
              <w:pStyle w:val="39"/>
              <w:bidi w:val="0"/>
            </w:pPr>
            <w:r>
              <w:rPr>
                <w:rFonts w:hint="eastAsia"/>
              </w:rPr>
              <w:t>0.1t</w:t>
            </w:r>
          </w:p>
        </w:tc>
        <w:tc>
          <w:tcPr>
            <w:tcW w:w="988" w:type="pct"/>
            <w:tcBorders>
              <w:tl2br w:val="nil"/>
              <w:tr2bl w:val="nil"/>
            </w:tcBorders>
            <w:vAlign w:val="center"/>
          </w:tcPr>
          <w:p>
            <w:pPr>
              <w:pStyle w:val="39"/>
              <w:bidi w:val="0"/>
            </w:pPr>
            <w:r>
              <w:rPr>
                <w:rFonts w:hint="eastAsia"/>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10</w:t>
            </w:r>
          </w:p>
        </w:tc>
        <w:tc>
          <w:tcPr>
            <w:tcW w:w="611" w:type="pct"/>
            <w:vMerge w:val="restart"/>
            <w:tcBorders>
              <w:tl2br w:val="nil"/>
              <w:tr2bl w:val="nil"/>
            </w:tcBorders>
            <w:vAlign w:val="center"/>
          </w:tcPr>
          <w:p>
            <w:pPr>
              <w:pStyle w:val="39"/>
              <w:bidi w:val="0"/>
            </w:pPr>
            <w:r>
              <w:rPr>
                <w:rFonts w:hint="eastAsia"/>
              </w:rPr>
              <w:t>能源消耗</w:t>
            </w:r>
          </w:p>
        </w:tc>
        <w:tc>
          <w:tcPr>
            <w:tcW w:w="1345" w:type="pct"/>
            <w:tcBorders>
              <w:tl2br w:val="nil"/>
              <w:tr2bl w:val="nil"/>
            </w:tcBorders>
            <w:vAlign w:val="center"/>
          </w:tcPr>
          <w:p>
            <w:pPr>
              <w:pStyle w:val="39"/>
              <w:bidi w:val="0"/>
            </w:pPr>
            <w:r>
              <w:rPr>
                <w:rFonts w:hint="eastAsia"/>
              </w:rPr>
              <w:t>电</w:t>
            </w:r>
          </w:p>
        </w:tc>
        <w:tc>
          <w:tcPr>
            <w:tcW w:w="768" w:type="pct"/>
            <w:tcBorders>
              <w:tl2br w:val="nil"/>
              <w:tr2bl w:val="nil"/>
            </w:tcBorders>
            <w:vAlign w:val="center"/>
          </w:tcPr>
          <w:p>
            <w:pPr>
              <w:pStyle w:val="39"/>
              <w:bidi w:val="0"/>
            </w:pPr>
            <w:r>
              <w:rPr>
                <w:rFonts w:hint="eastAsia"/>
              </w:rPr>
              <w:t>200万KWh</w:t>
            </w:r>
          </w:p>
        </w:tc>
        <w:tc>
          <w:tcPr>
            <w:tcW w:w="731" w:type="pct"/>
            <w:tcBorders>
              <w:tl2br w:val="nil"/>
              <w:tr2bl w:val="nil"/>
            </w:tcBorders>
            <w:vAlign w:val="center"/>
          </w:tcPr>
          <w:p>
            <w:pPr>
              <w:pStyle w:val="39"/>
              <w:bidi w:val="0"/>
            </w:pPr>
            <w:r>
              <w:rPr>
                <w:rFonts w:hint="eastAsia"/>
              </w:rPr>
              <w:t>/</w:t>
            </w:r>
          </w:p>
        </w:tc>
        <w:tc>
          <w:tcPr>
            <w:tcW w:w="988"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554" w:type="pct"/>
            <w:tcBorders>
              <w:tl2br w:val="nil"/>
              <w:tr2bl w:val="nil"/>
            </w:tcBorders>
            <w:vAlign w:val="center"/>
          </w:tcPr>
          <w:p>
            <w:pPr>
              <w:pStyle w:val="39"/>
              <w:bidi w:val="0"/>
            </w:pPr>
            <w:r>
              <w:rPr>
                <w:rFonts w:hint="eastAsia"/>
              </w:rPr>
              <w:t>11</w:t>
            </w:r>
          </w:p>
        </w:tc>
        <w:tc>
          <w:tcPr>
            <w:tcW w:w="611" w:type="pct"/>
            <w:vMerge w:val="continue"/>
            <w:tcBorders>
              <w:tl2br w:val="nil"/>
              <w:tr2bl w:val="nil"/>
            </w:tcBorders>
            <w:vAlign w:val="center"/>
          </w:tcPr>
          <w:p>
            <w:pPr>
              <w:pStyle w:val="39"/>
              <w:bidi w:val="0"/>
            </w:pPr>
          </w:p>
        </w:tc>
        <w:tc>
          <w:tcPr>
            <w:tcW w:w="1345" w:type="pct"/>
            <w:tcBorders>
              <w:tl2br w:val="nil"/>
              <w:tr2bl w:val="nil"/>
            </w:tcBorders>
            <w:vAlign w:val="center"/>
          </w:tcPr>
          <w:p>
            <w:pPr>
              <w:pStyle w:val="39"/>
              <w:bidi w:val="0"/>
            </w:pPr>
            <w:r>
              <w:rPr>
                <w:rFonts w:hint="eastAsia"/>
              </w:rPr>
              <w:t>水</w:t>
            </w:r>
          </w:p>
        </w:tc>
        <w:tc>
          <w:tcPr>
            <w:tcW w:w="768" w:type="pct"/>
            <w:tcBorders>
              <w:tl2br w:val="nil"/>
              <w:tr2bl w:val="nil"/>
            </w:tcBorders>
            <w:vAlign w:val="center"/>
          </w:tcPr>
          <w:p>
            <w:pPr>
              <w:pStyle w:val="39"/>
              <w:bidi w:val="0"/>
            </w:pPr>
            <w:r>
              <w:rPr>
                <w:rFonts w:hint="eastAsia"/>
              </w:rPr>
              <w:t>1346m³/h</w:t>
            </w:r>
          </w:p>
        </w:tc>
        <w:tc>
          <w:tcPr>
            <w:tcW w:w="731" w:type="pct"/>
            <w:tcBorders>
              <w:tl2br w:val="nil"/>
              <w:tr2bl w:val="nil"/>
            </w:tcBorders>
            <w:vAlign w:val="center"/>
          </w:tcPr>
          <w:p>
            <w:pPr>
              <w:pStyle w:val="39"/>
              <w:bidi w:val="0"/>
            </w:pPr>
            <w:r>
              <w:rPr>
                <w:rFonts w:hint="eastAsia"/>
              </w:rPr>
              <w:t>/</w:t>
            </w:r>
          </w:p>
        </w:tc>
        <w:tc>
          <w:tcPr>
            <w:tcW w:w="988" w:type="pct"/>
            <w:tcBorders>
              <w:tl2br w:val="nil"/>
              <w:tr2bl w:val="nil"/>
            </w:tcBorders>
            <w:vAlign w:val="center"/>
          </w:tcPr>
          <w:p>
            <w:pPr>
              <w:pStyle w:val="39"/>
              <w:bidi w:val="0"/>
            </w:pPr>
            <w:r>
              <w:rPr>
                <w:rFonts w:hint="eastAsia"/>
              </w:rPr>
              <w:t>/</w:t>
            </w:r>
          </w:p>
        </w:tc>
      </w:tr>
    </w:tbl>
    <w:p>
      <w:pPr>
        <w:pStyle w:val="28"/>
        <w:bidi w:val="0"/>
      </w:pPr>
      <w:bookmarkStart w:id="127" w:name="_Toc414966937"/>
      <w:bookmarkStart w:id="128" w:name="_Toc455741282"/>
      <w:bookmarkStart w:id="129" w:name="_Toc20161"/>
      <w:bookmarkStart w:id="130" w:name="_Toc428904839"/>
      <w:r>
        <w:rPr>
          <w:rFonts w:hint="eastAsia"/>
        </w:rPr>
        <w:t>表</w:t>
      </w:r>
      <w:r>
        <w:rPr>
          <w:rFonts w:hint="eastAsia"/>
          <w:lang w:val="en-US" w:eastAsia="zh-CN"/>
        </w:rPr>
        <w:t>2</w:t>
      </w:r>
      <w:r>
        <w:rPr>
          <w:rFonts w:hint="eastAsia"/>
        </w:rPr>
        <w:t>.1</w:t>
      </w:r>
      <w:r>
        <w:rPr>
          <w:rFonts w:hint="eastAsia"/>
          <w:lang w:val="en-US" w:eastAsia="zh-CN"/>
        </w:rPr>
        <w:t>.2</w:t>
      </w:r>
      <w:r>
        <w:rPr>
          <w:rFonts w:hint="eastAsia"/>
        </w:rPr>
        <w:t>-</w:t>
      </w:r>
      <w:r>
        <w:rPr>
          <w:rFonts w:hint="eastAsia"/>
          <w:lang w:val="en-US" w:eastAsia="zh-CN"/>
        </w:rPr>
        <w:t xml:space="preserve">2 </w:t>
      </w:r>
      <w:r>
        <w:t>原辅</w:t>
      </w:r>
      <w:r>
        <w:rPr>
          <w:rFonts w:hint="eastAsia"/>
        </w:rPr>
        <w:t>材料成分分析</w:t>
      </w:r>
    </w:p>
    <w:tbl>
      <w:tblPr>
        <w:tblStyle w:val="22"/>
        <w:tblW w:w="4999" w:type="pct"/>
        <w:tblInd w:w="0" w:type="dxa"/>
        <w:shd w:val="clear" w:color="auto" w:fill="auto"/>
        <w:tblLayout w:type="autofit"/>
        <w:tblCellMar>
          <w:top w:w="0" w:type="dxa"/>
          <w:left w:w="0" w:type="dxa"/>
          <w:bottom w:w="0" w:type="dxa"/>
          <w:right w:w="0" w:type="dxa"/>
        </w:tblCellMar>
      </w:tblPr>
      <w:tblGrid>
        <w:gridCol w:w="649"/>
        <w:gridCol w:w="912"/>
        <w:gridCol w:w="3962"/>
        <w:gridCol w:w="3009"/>
      </w:tblGrid>
      <w:tr>
        <w:tblPrEx>
          <w:shd w:val="clear" w:color="auto" w:fill="auto"/>
          <w:tblCellMar>
            <w:top w:w="0" w:type="dxa"/>
            <w:left w:w="0" w:type="dxa"/>
            <w:bottom w:w="0" w:type="dxa"/>
            <w:right w:w="0" w:type="dxa"/>
          </w:tblCellMar>
        </w:tblPrEx>
        <w:trPr>
          <w:trHeight w:val="480" w:hRule="atLeast"/>
        </w:trPr>
        <w:tc>
          <w:tcPr>
            <w:tcW w:w="380" w:type="pct"/>
            <w:tcBorders>
              <w:top w:val="single" w:color="000000" w:sz="12" w:space="0"/>
              <w:left w:val="nil"/>
              <w:bottom w:val="single" w:color="000000" w:sz="12"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序号</w:t>
            </w:r>
          </w:p>
        </w:tc>
        <w:tc>
          <w:tcPr>
            <w:tcW w:w="534" w:type="pct"/>
            <w:tcBorders>
              <w:top w:val="single" w:color="000000" w:sz="12" w:space="0"/>
              <w:left w:val="single" w:color="000000" w:sz="4" w:space="0"/>
              <w:bottom w:val="single" w:color="000000" w:sz="12"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原材料</w:t>
            </w:r>
          </w:p>
        </w:tc>
        <w:tc>
          <w:tcPr>
            <w:tcW w:w="2321" w:type="pct"/>
            <w:tcBorders>
              <w:top w:val="single" w:color="000000" w:sz="12" w:space="0"/>
              <w:left w:val="single" w:color="000000" w:sz="4" w:space="0"/>
              <w:bottom w:val="single" w:color="000000" w:sz="12"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成分</w:t>
            </w:r>
          </w:p>
        </w:tc>
        <w:tc>
          <w:tcPr>
            <w:tcW w:w="1763" w:type="pct"/>
            <w:tcBorders>
              <w:top w:val="single" w:color="000000" w:sz="12" w:space="0"/>
              <w:left w:val="single" w:color="000000" w:sz="4" w:space="0"/>
              <w:bottom w:val="single" w:color="000000" w:sz="12" w:space="0"/>
              <w:right w:val="nil"/>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备注</w:t>
            </w:r>
          </w:p>
        </w:tc>
      </w:tr>
      <w:tr>
        <w:tblPrEx>
          <w:shd w:val="clear" w:color="auto" w:fill="auto"/>
          <w:tblCellMar>
            <w:top w:w="0" w:type="dxa"/>
            <w:left w:w="0" w:type="dxa"/>
            <w:bottom w:w="0" w:type="dxa"/>
            <w:right w:w="0" w:type="dxa"/>
          </w:tblCellMar>
        </w:tblPrEx>
        <w:trPr>
          <w:trHeight w:val="480" w:hRule="atLeast"/>
        </w:trPr>
        <w:tc>
          <w:tcPr>
            <w:tcW w:w="380" w:type="pct"/>
            <w:tcBorders>
              <w:top w:val="single" w:color="000000" w:sz="12" w:space="0"/>
              <w:left w:val="nil"/>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w:t>
            </w:r>
          </w:p>
        </w:tc>
        <w:tc>
          <w:tcPr>
            <w:tcW w:w="534" w:type="pct"/>
            <w:tcBorders>
              <w:top w:val="single" w:color="000000" w:sz="12"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脱脂剂</w:t>
            </w:r>
          </w:p>
        </w:tc>
        <w:tc>
          <w:tcPr>
            <w:tcW w:w="2321" w:type="pct"/>
            <w:tcBorders>
              <w:top w:val="single" w:color="000000" w:sz="12"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水、偏硅酸钠（15%</w:t>
            </w:r>
            <w:r>
              <w:rPr>
                <w:rStyle w:val="85"/>
                <w:lang w:val="en-US" w:eastAsia="zh-CN" w:bidi="ar"/>
              </w:rPr>
              <w:t>）、氢氧化钠（</w:t>
            </w:r>
            <w:r>
              <w:rPr>
                <w:rStyle w:val="86"/>
                <w:rFonts w:eastAsia="宋体"/>
                <w:lang w:val="en-US" w:eastAsia="zh-CN" w:bidi="ar"/>
              </w:rPr>
              <w:t>8%</w:t>
            </w:r>
            <w:r>
              <w:rPr>
                <w:rStyle w:val="85"/>
                <w:lang w:val="en-US" w:eastAsia="zh-CN" w:bidi="ar"/>
              </w:rPr>
              <w:t>）、碳酸钠（</w:t>
            </w:r>
            <w:r>
              <w:rPr>
                <w:rStyle w:val="86"/>
                <w:rFonts w:eastAsia="宋体"/>
                <w:lang w:val="en-US" w:eastAsia="zh-CN" w:bidi="ar"/>
              </w:rPr>
              <w:t>15%</w:t>
            </w:r>
            <w:r>
              <w:rPr>
                <w:rStyle w:val="85"/>
                <w:lang w:val="en-US" w:eastAsia="zh-CN" w:bidi="ar"/>
              </w:rPr>
              <w:t>）、表面活性剂（</w:t>
            </w:r>
            <w:r>
              <w:rPr>
                <w:rStyle w:val="86"/>
                <w:rFonts w:eastAsia="宋体"/>
                <w:lang w:val="en-US" w:eastAsia="zh-CN" w:bidi="ar"/>
              </w:rPr>
              <w:t>1%</w:t>
            </w:r>
            <w:r>
              <w:rPr>
                <w:rStyle w:val="85"/>
                <w:lang w:val="en-US" w:eastAsia="zh-CN" w:bidi="ar"/>
              </w:rPr>
              <w:t>）</w:t>
            </w:r>
          </w:p>
        </w:tc>
        <w:tc>
          <w:tcPr>
            <w:tcW w:w="1763" w:type="pct"/>
            <w:tcBorders>
              <w:top w:val="single" w:color="000000" w:sz="12" w:space="0"/>
              <w:left w:val="single" w:color="000000" w:sz="4" w:space="0"/>
              <w:bottom w:val="single" w:color="000000" w:sz="4" w:space="0"/>
              <w:right w:val="nil"/>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根据危险化学品目录</w:t>
            </w:r>
            <w:r>
              <w:rPr>
                <w:rStyle w:val="85"/>
                <w:lang w:val="en-US" w:eastAsia="zh-CN" w:bidi="ar"/>
              </w:rPr>
              <w:t>，成分中氢氧化钠属于危化品</w:t>
            </w:r>
          </w:p>
        </w:tc>
      </w:tr>
      <w:tr>
        <w:tblPrEx>
          <w:shd w:val="clear" w:color="auto" w:fill="auto"/>
          <w:tblCellMar>
            <w:top w:w="0" w:type="dxa"/>
            <w:left w:w="0" w:type="dxa"/>
            <w:bottom w:w="0" w:type="dxa"/>
            <w:right w:w="0" w:type="dxa"/>
          </w:tblCellMar>
        </w:tblPrEx>
        <w:trPr>
          <w:trHeight w:val="480" w:hRule="atLeast"/>
        </w:trPr>
        <w:tc>
          <w:tcPr>
            <w:tcW w:w="38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2</w:t>
            </w:r>
          </w:p>
        </w:tc>
        <w:tc>
          <w:tcPr>
            <w:tcW w:w="534"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防锈剂</w:t>
            </w:r>
          </w:p>
        </w:tc>
        <w:tc>
          <w:tcPr>
            <w:tcW w:w="232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单乙醇胺、二乙醇胺、三乙醇胺、羧酸、水</w:t>
            </w:r>
          </w:p>
        </w:tc>
        <w:tc>
          <w:tcPr>
            <w:tcW w:w="1763" w:type="pct"/>
            <w:tcBorders>
              <w:top w:val="single" w:color="000000" w:sz="4" w:space="0"/>
              <w:left w:val="single" w:color="000000" w:sz="4" w:space="0"/>
              <w:bottom w:val="single" w:color="000000" w:sz="4" w:space="0"/>
              <w:right w:val="nil"/>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根据危险化学品目录</w:t>
            </w:r>
            <w:r>
              <w:rPr>
                <w:rStyle w:val="85"/>
                <w:lang w:val="en-US" w:eastAsia="zh-CN" w:bidi="ar"/>
              </w:rPr>
              <w:t>，成分中二乙醇胺属于危化品</w:t>
            </w:r>
          </w:p>
        </w:tc>
      </w:tr>
      <w:tr>
        <w:tblPrEx>
          <w:shd w:val="clear" w:color="auto" w:fill="auto"/>
          <w:tblCellMar>
            <w:top w:w="0" w:type="dxa"/>
            <w:left w:w="0" w:type="dxa"/>
            <w:bottom w:w="0" w:type="dxa"/>
            <w:right w:w="0" w:type="dxa"/>
          </w:tblCellMar>
        </w:tblPrEx>
        <w:trPr>
          <w:trHeight w:val="480" w:hRule="atLeast"/>
        </w:trPr>
        <w:tc>
          <w:tcPr>
            <w:tcW w:w="380" w:type="pct"/>
            <w:tcBorders>
              <w:top w:val="single" w:color="000000" w:sz="4" w:space="0"/>
              <w:left w:val="nil"/>
              <w:bottom w:val="single" w:color="000000" w:sz="12"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3</w:t>
            </w:r>
          </w:p>
        </w:tc>
        <w:tc>
          <w:tcPr>
            <w:tcW w:w="534" w:type="pct"/>
            <w:tcBorders>
              <w:top w:val="single" w:color="000000" w:sz="4" w:space="0"/>
              <w:left w:val="single" w:color="000000" w:sz="4" w:space="0"/>
              <w:bottom w:val="single" w:color="000000" w:sz="12"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机油</w:t>
            </w:r>
          </w:p>
        </w:tc>
        <w:tc>
          <w:tcPr>
            <w:tcW w:w="2321" w:type="pct"/>
            <w:tcBorders>
              <w:top w:val="single" w:color="000000" w:sz="4" w:space="0"/>
              <w:left w:val="single" w:color="000000" w:sz="4" w:space="0"/>
              <w:bottom w:val="single" w:color="000000" w:sz="12"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w:t>
            </w:r>
          </w:p>
        </w:tc>
        <w:tc>
          <w:tcPr>
            <w:tcW w:w="1763" w:type="pct"/>
            <w:tcBorders>
              <w:top w:val="single" w:color="000000" w:sz="4" w:space="0"/>
              <w:left w:val="single" w:color="000000" w:sz="4" w:space="0"/>
              <w:bottom w:val="single" w:color="000000" w:sz="12" w:space="0"/>
              <w:right w:val="nil"/>
            </w:tcBorders>
            <w:shd w:val="clear" w:color="auto" w:fill="auto"/>
            <w:tcMar>
              <w:top w:w="15" w:type="dxa"/>
              <w:left w:w="15" w:type="dxa"/>
              <w:right w:w="15" w:type="dxa"/>
            </w:tcMar>
            <w:vAlign w:val="center"/>
          </w:tcPr>
          <w:p>
            <w:pPr>
              <w:keepNext w:val="0"/>
              <w:keepLines w:val="0"/>
              <w:widowControl/>
              <w:suppressLineNumbers w:val="0"/>
              <w:spacing w:line="240" w:lineRule="auto"/>
              <w:ind w:firstLine="0" w:firstLineChars="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《国家危险废物名录》，</w:t>
            </w:r>
            <w:r>
              <w:rPr>
                <w:rStyle w:val="85"/>
                <w:lang w:val="en-US" w:eastAsia="zh-CN" w:bidi="ar"/>
              </w:rPr>
              <w:t>该物质</w:t>
            </w:r>
            <w:r>
              <w:rPr>
                <w:rStyle w:val="86"/>
                <w:rFonts w:eastAsia="宋体"/>
                <w:lang w:val="en-US" w:eastAsia="zh-CN" w:bidi="ar"/>
              </w:rPr>
              <w:t>属危险废物</w:t>
            </w:r>
          </w:p>
        </w:tc>
      </w:tr>
    </w:tbl>
    <w:p>
      <w:pPr>
        <w:pStyle w:val="28"/>
        <w:bidi w:val="0"/>
        <w:rPr>
          <w:rFonts w:hint="eastAsia"/>
        </w:rPr>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p>
    <w:p>
      <w:pPr>
        <w:pStyle w:val="28"/>
        <w:bidi w:val="0"/>
      </w:pPr>
      <w:r>
        <w:rPr>
          <w:rFonts w:hint="eastAsia"/>
        </w:rPr>
        <w:t>表</w:t>
      </w:r>
      <w:r>
        <w:rPr>
          <w:rFonts w:hint="eastAsia"/>
          <w:lang w:val="en-US" w:eastAsia="zh-CN"/>
        </w:rPr>
        <w:t>2</w:t>
      </w:r>
      <w:r>
        <w:rPr>
          <w:rFonts w:hint="eastAsia"/>
        </w:rPr>
        <w:t>.1</w:t>
      </w:r>
      <w:r>
        <w:rPr>
          <w:rFonts w:hint="eastAsia"/>
          <w:lang w:val="en-US" w:eastAsia="zh-CN"/>
        </w:rPr>
        <w:t>.2</w:t>
      </w:r>
      <w:r>
        <w:rPr>
          <w:rFonts w:hint="eastAsia"/>
        </w:rPr>
        <w:t>-</w:t>
      </w:r>
      <w:r>
        <w:rPr>
          <w:rFonts w:hint="eastAsia"/>
          <w:lang w:val="en-US" w:eastAsia="zh-CN"/>
        </w:rPr>
        <w:t>3</w:t>
      </w:r>
      <w:r>
        <w:t xml:space="preserve"> </w:t>
      </w:r>
      <w:r>
        <w:rPr>
          <w:rFonts w:hint="eastAsia"/>
        </w:rPr>
        <w:t>项目主要化学品理化性质及风险识别表</w:t>
      </w:r>
    </w:p>
    <w:p>
      <w:pPr>
        <w:bidi w:val="0"/>
        <w:rPr>
          <w:b/>
          <w:bCs/>
        </w:rPr>
      </w:pPr>
      <w:r>
        <w:rPr>
          <w:rFonts w:hint="eastAsia"/>
          <w:b/>
          <w:bCs/>
        </w:rPr>
        <w:t>①脱脂剂（氢氧化钠）</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00"/>
        <w:gridCol w:w="2157"/>
        <w:gridCol w:w="1371"/>
        <w:gridCol w:w="1371"/>
        <w:gridCol w:w="1374"/>
        <w:gridCol w:w="144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574" w:type="pct"/>
            <w:tcBorders>
              <w:tl2br w:val="nil"/>
              <w:tr2bl w:val="nil"/>
            </w:tcBorders>
            <w:vAlign w:val="center"/>
          </w:tcPr>
          <w:p>
            <w:pPr>
              <w:pStyle w:val="39"/>
              <w:bidi w:val="0"/>
              <w:rPr>
                <w:b/>
                <w:bCs/>
              </w:rPr>
            </w:pPr>
            <w:r>
              <w:rPr>
                <w:b/>
                <w:bCs/>
              </w:rPr>
              <w:t>品   名</w:t>
            </w:r>
          </w:p>
        </w:tc>
        <w:tc>
          <w:tcPr>
            <w:tcW w:w="1237" w:type="pct"/>
            <w:tcBorders>
              <w:tl2br w:val="nil"/>
              <w:tr2bl w:val="nil"/>
            </w:tcBorders>
            <w:vAlign w:val="center"/>
          </w:tcPr>
          <w:p>
            <w:pPr>
              <w:pStyle w:val="39"/>
              <w:bidi w:val="0"/>
              <w:rPr>
                <w:b/>
                <w:bCs/>
              </w:rPr>
            </w:pPr>
            <w:r>
              <w:rPr>
                <w:rFonts w:hint="eastAsia"/>
                <w:b/>
                <w:bCs/>
              </w:rPr>
              <w:t>氢氧化钠</w:t>
            </w:r>
          </w:p>
        </w:tc>
        <w:tc>
          <w:tcPr>
            <w:tcW w:w="786" w:type="pct"/>
            <w:tcBorders>
              <w:tl2br w:val="nil"/>
              <w:tr2bl w:val="nil"/>
            </w:tcBorders>
            <w:vAlign w:val="center"/>
          </w:tcPr>
          <w:p>
            <w:pPr>
              <w:pStyle w:val="39"/>
              <w:bidi w:val="0"/>
              <w:rPr>
                <w:b/>
                <w:bCs/>
              </w:rPr>
            </w:pPr>
            <w:r>
              <w:rPr>
                <w:b/>
                <w:bCs/>
              </w:rPr>
              <w:t>别   名</w:t>
            </w:r>
          </w:p>
        </w:tc>
        <w:tc>
          <w:tcPr>
            <w:tcW w:w="786" w:type="pct"/>
            <w:tcBorders>
              <w:tl2br w:val="nil"/>
              <w:tr2bl w:val="nil"/>
            </w:tcBorders>
            <w:vAlign w:val="center"/>
          </w:tcPr>
          <w:p>
            <w:pPr>
              <w:pStyle w:val="39"/>
              <w:bidi w:val="0"/>
              <w:rPr>
                <w:b/>
                <w:bCs/>
              </w:rPr>
            </w:pPr>
          </w:p>
        </w:tc>
        <w:tc>
          <w:tcPr>
            <w:tcW w:w="788" w:type="pct"/>
            <w:tcBorders>
              <w:tl2br w:val="nil"/>
              <w:tr2bl w:val="nil"/>
            </w:tcBorders>
            <w:vAlign w:val="center"/>
          </w:tcPr>
          <w:p>
            <w:pPr>
              <w:pStyle w:val="39"/>
              <w:bidi w:val="0"/>
              <w:rPr>
                <w:b/>
                <w:bCs/>
              </w:rPr>
            </w:pPr>
            <w:r>
              <w:rPr>
                <w:b/>
                <w:bCs/>
              </w:rPr>
              <w:t>分子式</w:t>
            </w:r>
          </w:p>
        </w:tc>
        <w:tc>
          <w:tcPr>
            <w:tcW w:w="827" w:type="pct"/>
            <w:tcBorders>
              <w:tl2br w:val="nil"/>
              <w:tr2bl w:val="nil"/>
            </w:tcBorders>
            <w:vAlign w:val="center"/>
          </w:tcPr>
          <w:p>
            <w:pPr>
              <w:pStyle w:val="39"/>
              <w:bidi w:val="0"/>
              <w:rPr>
                <w:b/>
                <w:bCs/>
              </w:rPr>
            </w:pPr>
            <w:r>
              <w:rPr>
                <w:b/>
                <w:bCs/>
              </w:rPr>
              <w:t>NaOH</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574" w:type="pct"/>
            <w:tcBorders>
              <w:tl2br w:val="nil"/>
              <w:tr2bl w:val="nil"/>
            </w:tcBorders>
            <w:vAlign w:val="center"/>
          </w:tcPr>
          <w:p>
            <w:pPr>
              <w:pStyle w:val="39"/>
              <w:bidi w:val="0"/>
              <w:rPr>
                <w:b/>
                <w:bCs/>
              </w:rPr>
            </w:pPr>
            <w:r>
              <w:rPr>
                <w:b/>
                <w:bCs/>
              </w:rPr>
              <w:t>英文名称</w:t>
            </w:r>
          </w:p>
        </w:tc>
        <w:tc>
          <w:tcPr>
            <w:tcW w:w="1237" w:type="pct"/>
            <w:tcBorders>
              <w:tl2br w:val="nil"/>
              <w:tr2bl w:val="nil"/>
            </w:tcBorders>
            <w:vAlign w:val="center"/>
          </w:tcPr>
          <w:p>
            <w:pPr>
              <w:pStyle w:val="39"/>
              <w:bidi w:val="0"/>
              <w:rPr>
                <w:b/>
                <w:bCs/>
              </w:rPr>
            </w:pPr>
            <w:r>
              <w:rPr>
                <w:b/>
                <w:bCs/>
              </w:rPr>
              <w:t xml:space="preserve">Sodium hydroxide </w:t>
            </w:r>
            <w:r>
              <w:rPr>
                <w:b/>
                <w:bCs/>
                <w:highlight w:val="none"/>
              </w:rPr>
              <w:t>;</w:t>
            </w:r>
          </w:p>
        </w:tc>
        <w:tc>
          <w:tcPr>
            <w:tcW w:w="786" w:type="pct"/>
            <w:tcBorders>
              <w:tl2br w:val="nil"/>
              <w:tr2bl w:val="nil"/>
            </w:tcBorders>
            <w:vAlign w:val="center"/>
          </w:tcPr>
          <w:p>
            <w:pPr>
              <w:pStyle w:val="39"/>
              <w:bidi w:val="0"/>
              <w:rPr>
                <w:b/>
                <w:bCs/>
              </w:rPr>
            </w:pPr>
            <w:r>
              <w:rPr>
                <w:b/>
                <w:bCs/>
              </w:rPr>
              <w:t>分   子   量</w:t>
            </w:r>
          </w:p>
        </w:tc>
        <w:tc>
          <w:tcPr>
            <w:tcW w:w="786" w:type="pct"/>
            <w:tcBorders>
              <w:tl2br w:val="nil"/>
              <w:tr2bl w:val="nil"/>
            </w:tcBorders>
            <w:vAlign w:val="center"/>
          </w:tcPr>
          <w:p>
            <w:pPr>
              <w:pStyle w:val="39"/>
              <w:bidi w:val="0"/>
              <w:rPr>
                <w:b/>
                <w:bCs/>
              </w:rPr>
            </w:pPr>
            <w:r>
              <w:rPr>
                <w:b/>
                <w:bCs/>
              </w:rPr>
              <w:t>39.9971</w:t>
            </w:r>
          </w:p>
        </w:tc>
        <w:tc>
          <w:tcPr>
            <w:tcW w:w="788" w:type="pct"/>
            <w:tcBorders>
              <w:tl2br w:val="nil"/>
              <w:tr2bl w:val="nil"/>
            </w:tcBorders>
            <w:vAlign w:val="center"/>
          </w:tcPr>
          <w:p>
            <w:pPr>
              <w:pStyle w:val="39"/>
              <w:bidi w:val="0"/>
              <w:rPr>
                <w:b/>
                <w:bCs/>
              </w:rPr>
            </w:pPr>
            <w:r>
              <w:rPr>
                <w:b/>
                <w:bCs/>
              </w:rPr>
              <w:t>C A S号</w:t>
            </w:r>
          </w:p>
        </w:tc>
        <w:tc>
          <w:tcPr>
            <w:tcW w:w="827" w:type="pct"/>
            <w:tcBorders>
              <w:tl2br w:val="nil"/>
              <w:tr2bl w:val="nil"/>
            </w:tcBorders>
            <w:vAlign w:val="center"/>
          </w:tcPr>
          <w:p>
            <w:pPr>
              <w:pStyle w:val="39"/>
              <w:bidi w:val="0"/>
              <w:rPr>
                <w:b/>
                <w:bCs/>
              </w:rPr>
            </w:pPr>
            <w:r>
              <w:rPr>
                <w:rFonts w:hint="eastAsia"/>
                <w:b/>
                <w:bCs/>
              </w:rPr>
              <w:t>1310-58-3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1327" w:hRule="atLeast"/>
          <w:jc w:val="center"/>
        </w:trPr>
        <w:tc>
          <w:tcPr>
            <w:tcW w:w="574" w:type="pct"/>
            <w:tcBorders>
              <w:tl2br w:val="nil"/>
              <w:tr2bl w:val="nil"/>
            </w:tcBorders>
            <w:vAlign w:val="center"/>
          </w:tcPr>
          <w:p>
            <w:pPr>
              <w:pStyle w:val="39"/>
              <w:bidi w:val="0"/>
              <w:rPr>
                <w:b/>
                <w:bCs/>
              </w:rPr>
            </w:pPr>
            <w:r>
              <w:rPr>
                <w:b/>
                <w:bCs/>
              </w:rPr>
              <w:t>理</w:t>
            </w:r>
          </w:p>
          <w:p>
            <w:pPr>
              <w:pStyle w:val="39"/>
              <w:bidi w:val="0"/>
              <w:rPr>
                <w:b/>
                <w:bCs/>
              </w:rPr>
            </w:pPr>
            <w:r>
              <w:rPr>
                <w:b/>
                <w:bCs/>
              </w:rPr>
              <w:t>化</w:t>
            </w:r>
          </w:p>
          <w:p>
            <w:pPr>
              <w:pStyle w:val="39"/>
              <w:bidi w:val="0"/>
              <w:rPr>
                <w:b/>
                <w:bCs/>
              </w:rPr>
            </w:pPr>
            <w:r>
              <w:rPr>
                <w:b/>
                <w:bCs/>
              </w:rPr>
              <w:t>性</w:t>
            </w:r>
          </w:p>
          <w:p>
            <w:pPr>
              <w:pStyle w:val="39"/>
              <w:bidi w:val="0"/>
              <w:rPr>
                <w:b/>
                <w:bCs/>
              </w:rPr>
            </w:pPr>
            <w:r>
              <w:rPr>
                <w:b/>
                <w:bCs/>
              </w:rPr>
              <w:t>质</w:t>
            </w:r>
          </w:p>
        </w:tc>
        <w:tc>
          <w:tcPr>
            <w:tcW w:w="4425" w:type="pct"/>
            <w:gridSpan w:val="5"/>
            <w:tcBorders>
              <w:tl2br w:val="nil"/>
              <w:tr2bl w:val="nil"/>
            </w:tcBorders>
            <w:vAlign w:val="center"/>
          </w:tcPr>
          <w:p>
            <w:pPr>
              <w:pStyle w:val="39"/>
              <w:bidi w:val="0"/>
              <w:jc w:val="left"/>
            </w:pPr>
            <w:r>
              <w:t>外观与性状：氢氧化钠为白色半透明结晶状固体。其水溶液有涩味和滑腻感。</w:t>
            </w:r>
          </w:p>
          <w:p>
            <w:pPr>
              <w:pStyle w:val="39"/>
              <w:bidi w:val="0"/>
              <w:jc w:val="left"/>
            </w:pPr>
            <w:r>
              <w:t>主要用途：用于肥皂工业、石油精炼、造纸、人造丝、染色、制革、医药、有机合成等</w:t>
            </w:r>
          </w:p>
          <w:p>
            <w:pPr>
              <w:pStyle w:val="39"/>
              <w:bidi w:val="0"/>
              <w:jc w:val="left"/>
            </w:pPr>
            <w:r>
              <w:t>相对密度：1.097</w:t>
            </w:r>
            <w:r>
              <w:rPr>
                <w:rFonts w:hint="eastAsia"/>
              </w:rPr>
              <w:t>。</w:t>
            </w:r>
          </w:p>
          <w:p>
            <w:pPr>
              <w:pStyle w:val="39"/>
              <w:bidi w:val="0"/>
              <w:jc w:val="left"/>
            </w:pPr>
            <w:r>
              <w:t>溶解性：</w:t>
            </w:r>
            <w:r>
              <w:rPr>
                <w:rFonts w:hint="eastAsia"/>
              </w:rPr>
              <w:t>易溶于水</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91" w:hRule="atLeast"/>
          <w:jc w:val="center"/>
        </w:trPr>
        <w:tc>
          <w:tcPr>
            <w:tcW w:w="574" w:type="pct"/>
            <w:tcBorders>
              <w:tl2br w:val="nil"/>
              <w:tr2bl w:val="nil"/>
            </w:tcBorders>
            <w:vAlign w:val="center"/>
          </w:tcPr>
          <w:p>
            <w:pPr>
              <w:pStyle w:val="39"/>
              <w:bidi w:val="0"/>
              <w:rPr>
                <w:b/>
                <w:bCs/>
              </w:rPr>
            </w:pPr>
            <w:r>
              <w:rPr>
                <w:b/>
                <w:bCs/>
              </w:rPr>
              <w:t>燃</w:t>
            </w:r>
          </w:p>
          <w:p>
            <w:pPr>
              <w:pStyle w:val="39"/>
              <w:bidi w:val="0"/>
              <w:rPr>
                <w:b/>
                <w:bCs/>
              </w:rPr>
            </w:pPr>
            <w:r>
              <w:rPr>
                <w:b/>
                <w:bCs/>
              </w:rPr>
              <w:t>烧</w:t>
            </w:r>
          </w:p>
          <w:p>
            <w:pPr>
              <w:pStyle w:val="39"/>
              <w:bidi w:val="0"/>
              <w:rPr>
                <w:b/>
                <w:bCs/>
              </w:rPr>
            </w:pPr>
            <w:r>
              <w:rPr>
                <w:b/>
                <w:bCs/>
              </w:rPr>
              <w:t>爆</w:t>
            </w:r>
          </w:p>
          <w:p>
            <w:pPr>
              <w:pStyle w:val="39"/>
              <w:bidi w:val="0"/>
              <w:rPr>
                <w:b/>
                <w:bCs/>
              </w:rPr>
            </w:pPr>
            <w:r>
              <w:rPr>
                <w:b/>
                <w:bCs/>
              </w:rPr>
              <w:t>炸</w:t>
            </w:r>
          </w:p>
          <w:p>
            <w:pPr>
              <w:pStyle w:val="39"/>
              <w:bidi w:val="0"/>
              <w:rPr>
                <w:b/>
                <w:bCs/>
              </w:rPr>
            </w:pPr>
            <w:r>
              <w:rPr>
                <w:b/>
                <w:bCs/>
              </w:rPr>
              <w:t>危</w:t>
            </w:r>
          </w:p>
          <w:p>
            <w:pPr>
              <w:pStyle w:val="39"/>
              <w:bidi w:val="0"/>
              <w:rPr>
                <w:b/>
                <w:bCs/>
              </w:rPr>
            </w:pPr>
            <w:r>
              <w:rPr>
                <w:b/>
                <w:bCs/>
              </w:rPr>
              <w:t>险</w:t>
            </w:r>
          </w:p>
          <w:p>
            <w:pPr>
              <w:pStyle w:val="39"/>
              <w:bidi w:val="0"/>
              <w:rPr>
                <w:b/>
                <w:bCs/>
              </w:rPr>
            </w:pPr>
            <w:r>
              <w:rPr>
                <w:b/>
                <w:bCs/>
              </w:rPr>
              <w:t>性</w:t>
            </w:r>
          </w:p>
        </w:tc>
        <w:tc>
          <w:tcPr>
            <w:tcW w:w="4425" w:type="pct"/>
            <w:gridSpan w:val="5"/>
            <w:tcBorders>
              <w:tl2br w:val="nil"/>
              <w:tr2bl w:val="nil"/>
            </w:tcBorders>
          </w:tcPr>
          <w:p>
            <w:pPr>
              <w:pStyle w:val="39"/>
              <w:bidi w:val="0"/>
              <w:jc w:val="left"/>
            </w:pPr>
            <w:r>
              <w:t>燃烧性：</w:t>
            </w:r>
            <w:r>
              <w:rPr>
                <w:rFonts w:hint="eastAsia"/>
              </w:rPr>
              <w:t>不燃烧</w:t>
            </w:r>
          </w:p>
          <w:p>
            <w:pPr>
              <w:pStyle w:val="39"/>
              <w:bidi w:val="0"/>
              <w:jc w:val="left"/>
            </w:pPr>
            <w:r>
              <w:t>建规火险等级：</w:t>
            </w:r>
          </w:p>
          <w:p>
            <w:pPr>
              <w:pStyle w:val="39"/>
              <w:bidi w:val="0"/>
              <w:jc w:val="left"/>
            </w:pPr>
            <w:r>
              <w:t>闪点：无意义；</w:t>
            </w:r>
          </w:p>
          <w:p>
            <w:pPr>
              <w:pStyle w:val="39"/>
              <w:bidi w:val="0"/>
              <w:jc w:val="left"/>
            </w:pPr>
            <w:r>
              <w:rPr>
                <w:highlight w:val="none"/>
              </w:rPr>
              <w:t>自燃点</w:t>
            </w:r>
            <w:r>
              <w:t>：</w:t>
            </w:r>
          </w:p>
          <w:p>
            <w:pPr>
              <w:pStyle w:val="39"/>
              <w:bidi w:val="0"/>
              <w:jc w:val="left"/>
            </w:pPr>
            <w:r>
              <w:t>建筑防火设计规范火险等级：</w:t>
            </w:r>
          </w:p>
          <w:p>
            <w:pPr>
              <w:pStyle w:val="39"/>
              <w:bidi w:val="0"/>
              <w:jc w:val="left"/>
            </w:pPr>
            <w:r>
              <w:t>爆炸下限</w:t>
            </w:r>
            <w:r>
              <w:rPr>
                <w:highlight w:val="none"/>
              </w:rPr>
              <w:t>(</w:t>
            </w:r>
            <w:r>
              <w:t>V%</w:t>
            </w:r>
            <w:r>
              <w:rPr>
                <w:highlight w:val="none"/>
              </w:rPr>
              <w:t>)</w:t>
            </w:r>
            <w:r>
              <w:t>：</w:t>
            </w:r>
          </w:p>
          <w:p>
            <w:pPr>
              <w:pStyle w:val="39"/>
              <w:bidi w:val="0"/>
              <w:jc w:val="left"/>
            </w:pPr>
            <w:r>
              <w:t>爆炸上限</w:t>
            </w:r>
            <w:r>
              <w:rPr>
                <w:highlight w:val="none"/>
              </w:rPr>
              <w:t>(</w:t>
            </w:r>
            <w:r>
              <w:t>V%</w:t>
            </w:r>
            <w:r>
              <w:rPr>
                <w:highlight w:val="none"/>
              </w:rPr>
              <w:t>)</w:t>
            </w:r>
            <w:r>
              <w:t>：</w:t>
            </w:r>
          </w:p>
          <w:p>
            <w:pPr>
              <w:pStyle w:val="39"/>
              <w:bidi w:val="0"/>
              <w:jc w:val="left"/>
            </w:pPr>
            <w:r>
              <w:t>灭火方法：</w:t>
            </w:r>
            <w:r>
              <w:rPr>
                <w:rFonts w:hint="eastAsia"/>
              </w:rPr>
              <w:t>雾状水，</w:t>
            </w:r>
            <w:r>
              <w:rPr>
                <w:rFonts w:hint="eastAsia"/>
                <w:highlight w:val="none"/>
              </w:rPr>
              <w:t>砂土</w:t>
            </w:r>
          </w:p>
          <w:p>
            <w:pPr>
              <w:pStyle w:val="39"/>
              <w:bidi w:val="0"/>
              <w:jc w:val="left"/>
            </w:pPr>
            <w:r>
              <w:t>危险特性：</w:t>
            </w:r>
            <w:r>
              <w:rPr>
                <w:rFonts w:hint="eastAsia"/>
              </w:rPr>
              <w:t>本品不会燃烧，遇水和水蒸气大量放热，形成腐蚀性溶液。与酸发生中和反应并放热。具有强腐蚀性。</w:t>
            </w:r>
          </w:p>
          <w:p>
            <w:pPr>
              <w:pStyle w:val="39"/>
              <w:bidi w:val="0"/>
              <w:jc w:val="left"/>
            </w:pPr>
            <w:r>
              <w:t xml:space="preserve">稳定性： 稳定 </w:t>
            </w:r>
          </w:p>
          <w:p>
            <w:pPr>
              <w:pStyle w:val="39"/>
              <w:bidi w:val="0"/>
              <w:jc w:val="left"/>
            </w:pPr>
            <w:r>
              <w:t>聚合危害：</w:t>
            </w:r>
            <w:r>
              <w:br w:type="textWrapping"/>
            </w:r>
            <w:r>
              <w:t>避免接触的条件：</w:t>
            </w:r>
            <w:r>
              <w:br w:type="textWrapping"/>
            </w:r>
            <w:r>
              <w:t>禁忌物：</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jc w:val="center"/>
        </w:trPr>
        <w:tc>
          <w:tcPr>
            <w:tcW w:w="574" w:type="pct"/>
            <w:tcBorders>
              <w:tl2br w:val="nil"/>
              <w:tr2bl w:val="nil"/>
            </w:tcBorders>
            <w:vAlign w:val="center"/>
          </w:tcPr>
          <w:p>
            <w:pPr>
              <w:pStyle w:val="39"/>
              <w:bidi w:val="0"/>
              <w:rPr>
                <w:b/>
                <w:bCs/>
              </w:rPr>
            </w:pPr>
            <w:r>
              <w:rPr>
                <w:b/>
                <w:bCs/>
              </w:rPr>
              <w:t>包</w:t>
            </w:r>
          </w:p>
          <w:p>
            <w:pPr>
              <w:pStyle w:val="39"/>
              <w:bidi w:val="0"/>
              <w:rPr>
                <w:b/>
                <w:bCs/>
              </w:rPr>
            </w:pPr>
            <w:r>
              <w:rPr>
                <w:b/>
                <w:bCs/>
              </w:rPr>
              <w:t>装</w:t>
            </w:r>
          </w:p>
          <w:p>
            <w:pPr>
              <w:pStyle w:val="39"/>
              <w:bidi w:val="0"/>
              <w:rPr>
                <w:b/>
                <w:bCs/>
              </w:rPr>
            </w:pPr>
            <w:r>
              <w:rPr>
                <w:b/>
                <w:bCs/>
              </w:rPr>
              <w:t>与</w:t>
            </w:r>
          </w:p>
          <w:p>
            <w:pPr>
              <w:pStyle w:val="39"/>
              <w:bidi w:val="0"/>
              <w:rPr>
                <w:b/>
                <w:bCs/>
              </w:rPr>
            </w:pPr>
            <w:r>
              <w:rPr>
                <w:b/>
                <w:bCs/>
              </w:rPr>
              <w:t>储</w:t>
            </w:r>
          </w:p>
          <w:p>
            <w:pPr>
              <w:pStyle w:val="39"/>
              <w:bidi w:val="0"/>
              <w:rPr>
                <w:b/>
                <w:bCs/>
              </w:rPr>
            </w:pPr>
            <w:r>
              <w:rPr>
                <w:b/>
                <w:bCs/>
              </w:rPr>
              <w:t>运</w:t>
            </w:r>
          </w:p>
        </w:tc>
        <w:tc>
          <w:tcPr>
            <w:tcW w:w="4425" w:type="pct"/>
            <w:gridSpan w:val="5"/>
            <w:tcBorders>
              <w:tl2br w:val="nil"/>
              <w:tr2bl w:val="nil"/>
            </w:tcBorders>
            <w:vAlign w:val="center"/>
          </w:tcPr>
          <w:p>
            <w:pPr>
              <w:pStyle w:val="39"/>
              <w:bidi w:val="0"/>
              <w:jc w:val="left"/>
            </w:pPr>
            <w:r>
              <w:t>危险性类别：第2．1类易燃气体；</w:t>
            </w:r>
          </w:p>
          <w:p>
            <w:pPr>
              <w:pStyle w:val="39"/>
              <w:bidi w:val="0"/>
              <w:jc w:val="left"/>
            </w:pPr>
            <w:r>
              <w:t>危险货物包装标志：</w:t>
            </w:r>
            <w:r>
              <w:rPr>
                <w:rFonts w:hint="eastAsia"/>
              </w:rPr>
              <w:t>4</w:t>
            </w:r>
            <w:r>
              <w:t>；</w:t>
            </w:r>
          </w:p>
          <w:p>
            <w:pPr>
              <w:pStyle w:val="39"/>
              <w:bidi w:val="0"/>
              <w:jc w:val="left"/>
            </w:pPr>
            <w:r>
              <w:t>包装类别：</w:t>
            </w:r>
            <w:r>
              <w:fldChar w:fldCharType="begin"/>
            </w:r>
            <w:r>
              <w:instrText xml:space="preserve"> = 2 \* ROMAN </w:instrText>
            </w:r>
            <w:r>
              <w:fldChar w:fldCharType="separate"/>
            </w:r>
            <w:r>
              <w:rPr>
                <w:highlight w:val="none"/>
              </w:rPr>
              <w:t>II</w:t>
            </w:r>
            <w:r>
              <w:fldChar w:fldCharType="end"/>
            </w:r>
            <w:r>
              <w:t>；</w:t>
            </w:r>
          </w:p>
          <w:p>
            <w:pPr>
              <w:pStyle w:val="39"/>
              <w:bidi w:val="0"/>
              <w:jc w:val="left"/>
            </w:pPr>
            <w:r>
              <w:t>储运注意事项：易燃压缩气体。储存于阴凉、干燥、通风良好的不燃库房。仓温不宜超过30℃。远离火种、热源。防止阳光直射。应与氧气、压缩空气、卤素</w:t>
            </w:r>
            <w:r>
              <w:rPr>
                <w:highlight w:val="none"/>
              </w:rPr>
              <w:t>(</w:t>
            </w:r>
            <w:r>
              <w:t>氟、氯、溴</w:t>
            </w:r>
            <w:r>
              <w:rPr>
                <w:highlight w:val="none"/>
              </w:rPr>
              <w:t>)</w:t>
            </w:r>
            <w:r>
              <w:t>、氧化剂等分开存放。储存间内的照明、通风等设施应采用防爆型。若是储罐存放，储罐区域要有禁火标志和防火防爆技术措施。禁止使用易产生火花的机械设备和工具。槽车运送时要灌装适量，不可超压超量运输。搬运时轻装轻卸，防止钢瓶及附件破损。</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jc w:val="center"/>
        </w:trPr>
        <w:tc>
          <w:tcPr>
            <w:tcW w:w="574" w:type="pct"/>
            <w:tcBorders>
              <w:tl2br w:val="nil"/>
              <w:tr2bl w:val="nil"/>
            </w:tcBorders>
            <w:vAlign w:val="center"/>
          </w:tcPr>
          <w:p>
            <w:pPr>
              <w:pStyle w:val="39"/>
              <w:bidi w:val="0"/>
              <w:rPr>
                <w:b/>
                <w:bCs/>
              </w:rPr>
            </w:pPr>
            <w:r>
              <w:rPr>
                <w:b/>
                <w:bCs/>
              </w:rPr>
              <w:t>毒性</w:t>
            </w:r>
          </w:p>
          <w:p>
            <w:pPr>
              <w:pStyle w:val="39"/>
              <w:bidi w:val="0"/>
              <w:rPr>
                <w:b/>
                <w:bCs/>
              </w:rPr>
            </w:pPr>
            <w:r>
              <w:rPr>
                <w:b/>
                <w:bCs/>
              </w:rPr>
              <w:t>及</w:t>
            </w:r>
          </w:p>
          <w:p>
            <w:pPr>
              <w:pStyle w:val="39"/>
              <w:bidi w:val="0"/>
              <w:rPr>
                <w:b/>
                <w:bCs/>
              </w:rPr>
            </w:pPr>
            <w:r>
              <w:rPr>
                <w:b/>
                <w:bCs/>
              </w:rPr>
              <w:t>健康</w:t>
            </w:r>
          </w:p>
          <w:p>
            <w:pPr>
              <w:pStyle w:val="39"/>
              <w:bidi w:val="0"/>
              <w:rPr>
                <w:b/>
                <w:bCs/>
              </w:rPr>
            </w:pPr>
            <w:r>
              <w:rPr>
                <w:b/>
                <w:bCs/>
              </w:rPr>
              <w:t>危害</w:t>
            </w:r>
          </w:p>
          <w:p>
            <w:pPr>
              <w:pStyle w:val="39"/>
              <w:bidi w:val="0"/>
              <w:rPr>
                <w:b/>
                <w:bCs/>
              </w:rPr>
            </w:pPr>
            <w:r>
              <w:rPr>
                <w:b/>
                <w:bCs/>
              </w:rPr>
              <w:t>性</w:t>
            </w:r>
          </w:p>
        </w:tc>
        <w:tc>
          <w:tcPr>
            <w:tcW w:w="4425" w:type="pct"/>
            <w:gridSpan w:val="5"/>
            <w:tcBorders>
              <w:tl2br w:val="nil"/>
              <w:tr2bl w:val="nil"/>
            </w:tcBorders>
            <w:vAlign w:val="center"/>
          </w:tcPr>
          <w:p>
            <w:pPr>
              <w:pStyle w:val="39"/>
              <w:bidi w:val="0"/>
              <w:jc w:val="left"/>
            </w:pPr>
            <w:r>
              <w:t>接触限值：</w:t>
            </w:r>
            <w:r>
              <w:rPr>
                <w:rFonts w:hint="eastAsia"/>
              </w:rPr>
              <w:t>未制定标准</w:t>
            </w:r>
          </w:p>
          <w:p>
            <w:pPr>
              <w:pStyle w:val="39"/>
              <w:bidi w:val="0"/>
              <w:jc w:val="left"/>
            </w:pPr>
            <w:r>
              <w:t>侵入途径：吸入。</w:t>
            </w:r>
          </w:p>
          <w:p>
            <w:pPr>
              <w:pStyle w:val="39"/>
              <w:bidi w:val="0"/>
              <w:jc w:val="left"/>
            </w:pPr>
            <w:r>
              <w:t>毒性：</w:t>
            </w:r>
          </w:p>
          <w:p>
            <w:pPr>
              <w:pStyle w:val="39"/>
              <w:bidi w:val="0"/>
              <w:jc w:val="left"/>
            </w:pPr>
            <w:r>
              <w:t>健康危害：</w:t>
            </w:r>
            <w:r>
              <w:rPr>
                <w:rFonts w:hint="eastAsia"/>
              </w:rPr>
              <w:t>本品有强烈刺激和腐蚀性。粉尘或烟雾刺激眼和呼吸道，腐蚀鼻中隔，皮肤和眼直接接触可引起灼伤，误服可造成消化道灼伤，黏膜糜烂、出血和休克。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jc w:val="center"/>
        </w:trPr>
        <w:tc>
          <w:tcPr>
            <w:tcW w:w="574" w:type="pct"/>
            <w:tcBorders>
              <w:tl2br w:val="nil"/>
              <w:tr2bl w:val="nil"/>
            </w:tcBorders>
            <w:vAlign w:val="center"/>
          </w:tcPr>
          <w:p>
            <w:pPr>
              <w:pStyle w:val="39"/>
              <w:bidi w:val="0"/>
              <w:rPr>
                <w:b/>
                <w:bCs/>
              </w:rPr>
            </w:pPr>
            <w:r>
              <w:rPr>
                <w:b/>
                <w:bCs/>
              </w:rPr>
              <w:t>急</w:t>
            </w:r>
          </w:p>
          <w:p>
            <w:pPr>
              <w:pStyle w:val="39"/>
              <w:bidi w:val="0"/>
              <w:rPr>
                <w:b/>
                <w:bCs/>
              </w:rPr>
            </w:pPr>
          </w:p>
          <w:p>
            <w:pPr>
              <w:pStyle w:val="39"/>
              <w:bidi w:val="0"/>
              <w:rPr>
                <w:b/>
                <w:bCs/>
              </w:rPr>
            </w:pPr>
            <w:r>
              <w:rPr>
                <w:b/>
                <w:bCs/>
              </w:rPr>
              <w:t>救</w:t>
            </w:r>
          </w:p>
        </w:tc>
        <w:tc>
          <w:tcPr>
            <w:tcW w:w="4425" w:type="pct"/>
            <w:gridSpan w:val="5"/>
            <w:tcBorders>
              <w:tl2br w:val="nil"/>
              <w:tr2bl w:val="nil"/>
            </w:tcBorders>
            <w:vAlign w:val="center"/>
          </w:tcPr>
          <w:p>
            <w:pPr>
              <w:pStyle w:val="39"/>
              <w:bidi w:val="0"/>
              <w:jc w:val="left"/>
            </w:pPr>
            <w:r>
              <w:rPr>
                <w:rFonts w:hint="eastAsia"/>
              </w:rPr>
              <w:t>吸入：迅速脱离现场至空气新鲜处。必要进行人工呼吸。就医</w:t>
            </w:r>
          </w:p>
          <w:p>
            <w:pPr>
              <w:pStyle w:val="39"/>
              <w:bidi w:val="0"/>
              <w:jc w:val="left"/>
            </w:pPr>
            <w:r>
              <w:rPr>
                <w:rFonts w:hint="eastAsia"/>
              </w:rPr>
              <w:t>食入：患者清醒时立即漱口，口服稀释的醋或柠檬汁，就医</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jc w:val="center"/>
        </w:trPr>
        <w:tc>
          <w:tcPr>
            <w:tcW w:w="574" w:type="pct"/>
            <w:tcBorders>
              <w:tl2br w:val="nil"/>
              <w:tr2bl w:val="nil"/>
            </w:tcBorders>
            <w:vAlign w:val="center"/>
          </w:tcPr>
          <w:p>
            <w:pPr>
              <w:pStyle w:val="39"/>
              <w:bidi w:val="0"/>
              <w:rPr>
                <w:b/>
                <w:bCs/>
              </w:rPr>
            </w:pPr>
            <w:r>
              <w:rPr>
                <w:b/>
                <w:bCs/>
              </w:rPr>
              <w:t>防</w:t>
            </w:r>
          </w:p>
          <w:p>
            <w:pPr>
              <w:pStyle w:val="39"/>
              <w:bidi w:val="0"/>
              <w:rPr>
                <w:b/>
                <w:bCs/>
              </w:rPr>
            </w:pPr>
            <w:r>
              <w:rPr>
                <w:b/>
                <w:bCs/>
              </w:rPr>
              <w:t>护</w:t>
            </w:r>
          </w:p>
          <w:p>
            <w:pPr>
              <w:pStyle w:val="39"/>
              <w:bidi w:val="0"/>
              <w:rPr>
                <w:b/>
                <w:bCs/>
              </w:rPr>
            </w:pPr>
            <w:r>
              <w:rPr>
                <w:b/>
                <w:bCs/>
              </w:rPr>
              <w:t>措</w:t>
            </w:r>
          </w:p>
          <w:p>
            <w:pPr>
              <w:pStyle w:val="39"/>
              <w:bidi w:val="0"/>
              <w:rPr>
                <w:b/>
                <w:bCs/>
              </w:rPr>
            </w:pPr>
            <w:r>
              <w:rPr>
                <w:b/>
                <w:bCs/>
              </w:rPr>
              <w:t>施</w:t>
            </w:r>
          </w:p>
        </w:tc>
        <w:tc>
          <w:tcPr>
            <w:tcW w:w="4425" w:type="pct"/>
            <w:gridSpan w:val="5"/>
            <w:tcBorders>
              <w:tl2br w:val="nil"/>
              <w:tr2bl w:val="nil"/>
            </w:tcBorders>
            <w:vAlign w:val="center"/>
          </w:tcPr>
          <w:p>
            <w:pPr>
              <w:pStyle w:val="39"/>
              <w:bidi w:val="0"/>
              <w:jc w:val="left"/>
            </w:pPr>
            <w:r>
              <w:t>工程控制：密闭操作，注意通风。</w:t>
            </w:r>
            <w:r>
              <w:br w:type="textWrapping"/>
            </w:r>
            <w:r>
              <w:t>呼吸系统防护：</w:t>
            </w:r>
            <w:r>
              <w:rPr>
                <w:rFonts w:hint="eastAsia"/>
              </w:rPr>
              <w:t>必要时</w:t>
            </w:r>
            <w:r>
              <w:rPr>
                <w:rFonts w:hint="eastAsia"/>
                <w:lang w:val="en-US" w:eastAsia="zh-CN"/>
              </w:rPr>
              <w:t>佩戴</w:t>
            </w:r>
            <w:r>
              <w:rPr>
                <w:rFonts w:hint="eastAsia"/>
              </w:rPr>
              <w:t>防毒口罩</w:t>
            </w:r>
            <w:r>
              <w:t>。</w:t>
            </w:r>
            <w:r>
              <w:br w:type="textWrapping"/>
            </w:r>
            <w:r>
              <w:t>眼睛防护：戴化学安全防护眼镜。</w:t>
            </w:r>
            <w:r>
              <w:br w:type="textWrapping"/>
            </w:r>
            <w:r>
              <w:t>身体防护：穿工作服</w:t>
            </w:r>
            <w:r>
              <w:rPr>
                <w:rFonts w:hint="eastAsia"/>
              </w:rPr>
              <w:t>（防腐材料制作）</w:t>
            </w:r>
            <w:r>
              <w:t>。</w:t>
            </w:r>
            <w:r>
              <w:br w:type="textWrapping"/>
            </w:r>
            <w:r>
              <w:t>手防护：</w:t>
            </w:r>
            <w:r>
              <w:rPr>
                <w:rFonts w:hint="eastAsia"/>
              </w:rPr>
              <w:t>戴橡皮</w:t>
            </w:r>
            <w:r>
              <w:t>手套。</w:t>
            </w:r>
            <w:r>
              <w:br w:type="textWrapping"/>
            </w:r>
            <w:r>
              <w:rPr>
                <w:highlight w:val="none"/>
              </w:rPr>
              <w:t>其它</w:t>
            </w:r>
            <w:r>
              <w:t>：</w:t>
            </w:r>
            <w:r>
              <w:rPr>
                <w:rFonts w:hint="eastAsia"/>
              </w:rPr>
              <w:t>工作后，淋浴更衣。注意个人清洁卫生</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jc w:val="center"/>
        </w:trPr>
        <w:tc>
          <w:tcPr>
            <w:tcW w:w="574" w:type="pct"/>
            <w:tcBorders>
              <w:tl2br w:val="nil"/>
              <w:tr2bl w:val="nil"/>
            </w:tcBorders>
            <w:vAlign w:val="center"/>
          </w:tcPr>
          <w:p>
            <w:pPr>
              <w:pStyle w:val="39"/>
              <w:bidi w:val="0"/>
              <w:rPr>
                <w:b/>
                <w:bCs/>
              </w:rPr>
            </w:pPr>
            <w:r>
              <w:rPr>
                <w:b/>
                <w:bCs/>
              </w:rPr>
              <w:t>泄</w:t>
            </w:r>
          </w:p>
          <w:p>
            <w:pPr>
              <w:pStyle w:val="39"/>
              <w:bidi w:val="0"/>
              <w:rPr>
                <w:b/>
                <w:bCs/>
              </w:rPr>
            </w:pPr>
            <w:r>
              <w:rPr>
                <w:b/>
                <w:bCs/>
              </w:rPr>
              <w:t>漏</w:t>
            </w:r>
          </w:p>
          <w:p>
            <w:pPr>
              <w:pStyle w:val="39"/>
              <w:bidi w:val="0"/>
              <w:rPr>
                <w:b/>
                <w:bCs/>
              </w:rPr>
            </w:pPr>
            <w:r>
              <w:rPr>
                <w:b/>
                <w:bCs/>
              </w:rPr>
              <w:t>处</w:t>
            </w:r>
          </w:p>
          <w:p>
            <w:pPr>
              <w:pStyle w:val="39"/>
              <w:bidi w:val="0"/>
              <w:rPr>
                <w:b/>
                <w:bCs/>
              </w:rPr>
            </w:pPr>
            <w:r>
              <w:rPr>
                <w:b/>
                <w:bCs/>
              </w:rPr>
              <w:t>置</w:t>
            </w:r>
          </w:p>
        </w:tc>
        <w:tc>
          <w:tcPr>
            <w:tcW w:w="4425" w:type="pct"/>
            <w:gridSpan w:val="5"/>
            <w:tcBorders>
              <w:tl2br w:val="nil"/>
              <w:tr2bl w:val="nil"/>
            </w:tcBorders>
            <w:vAlign w:val="center"/>
          </w:tcPr>
          <w:p>
            <w:pPr>
              <w:pStyle w:val="39"/>
              <w:bidi w:val="0"/>
              <w:jc w:val="left"/>
            </w:pPr>
            <w:r>
              <w:rPr>
                <w:rFonts w:hint="eastAsia"/>
              </w:rPr>
              <w:t>隔离泄露污染区，周围设警告标志，建议应急处理人员戴好防毒面具，穿化学防护服。不要直接接触泄漏物，用洁清的铲子收集于干燥净洁有盖容器中，以少量加入大量水中，调节至中性，再放入废水系统。也可以用大量水冲洗，经稀释的洗水放入废水系统。如大量泄露，收集回收或无害化处理后废弃。</w:t>
            </w:r>
          </w:p>
        </w:tc>
      </w:tr>
    </w:tbl>
    <w:p>
      <w:pPr>
        <w:keepNext w:val="0"/>
        <w:keepLines w:val="0"/>
        <w:pageBreakBefore w:val="0"/>
        <w:widowControl w:val="0"/>
        <w:kinsoku/>
        <w:wordWrap/>
        <w:overflowPunct/>
        <w:topLinePunct w:val="0"/>
        <w:autoSpaceDE/>
        <w:autoSpaceDN/>
        <w:bidi w:val="0"/>
        <w:adjustRightInd w:val="0"/>
        <w:snapToGrid w:val="0"/>
        <w:spacing w:before="191" w:beforeLines="50"/>
        <w:textAlignment w:val="auto"/>
        <w:rPr>
          <w:b/>
          <w:bCs/>
        </w:rPr>
      </w:pPr>
      <w:r>
        <w:rPr>
          <w:rFonts w:hint="eastAsia"/>
          <w:b/>
          <w:bCs/>
        </w:rPr>
        <w:t>②防锈剂（二乙醇胺）</w:t>
      </w:r>
    </w:p>
    <w:tbl>
      <w:tblPr>
        <w:tblStyle w:val="22"/>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0"/>
        <w:gridCol w:w="2157"/>
        <w:gridCol w:w="1371"/>
        <w:gridCol w:w="1371"/>
        <w:gridCol w:w="1374"/>
        <w:gridCol w:w="14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trPr>
        <w:tc>
          <w:tcPr>
            <w:tcW w:w="574" w:type="pct"/>
            <w:vAlign w:val="center"/>
          </w:tcPr>
          <w:p>
            <w:pPr>
              <w:pStyle w:val="39"/>
              <w:bidi w:val="0"/>
              <w:rPr>
                <w:b/>
                <w:bCs/>
              </w:rPr>
            </w:pPr>
            <w:r>
              <w:rPr>
                <w:b/>
                <w:bCs/>
              </w:rPr>
              <w:t>品   名</w:t>
            </w:r>
          </w:p>
        </w:tc>
        <w:tc>
          <w:tcPr>
            <w:tcW w:w="1237" w:type="pct"/>
            <w:vAlign w:val="center"/>
          </w:tcPr>
          <w:p>
            <w:pPr>
              <w:pStyle w:val="39"/>
              <w:bidi w:val="0"/>
              <w:rPr>
                <w:b/>
                <w:bCs/>
              </w:rPr>
            </w:pPr>
            <w:r>
              <w:rPr>
                <w:rFonts w:hint="eastAsia"/>
                <w:b/>
                <w:bCs/>
              </w:rPr>
              <w:t>二乙醇胺</w:t>
            </w:r>
          </w:p>
        </w:tc>
        <w:tc>
          <w:tcPr>
            <w:tcW w:w="786" w:type="pct"/>
            <w:vAlign w:val="center"/>
          </w:tcPr>
          <w:p>
            <w:pPr>
              <w:pStyle w:val="39"/>
              <w:bidi w:val="0"/>
              <w:rPr>
                <w:b/>
                <w:bCs/>
              </w:rPr>
            </w:pPr>
            <w:r>
              <w:rPr>
                <w:b/>
                <w:bCs/>
              </w:rPr>
              <w:t>别   名</w:t>
            </w:r>
          </w:p>
        </w:tc>
        <w:tc>
          <w:tcPr>
            <w:tcW w:w="786" w:type="pct"/>
            <w:vAlign w:val="center"/>
          </w:tcPr>
          <w:p>
            <w:pPr>
              <w:pStyle w:val="39"/>
              <w:bidi w:val="0"/>
              <w:rPr>
                <w:b/>
                <w:bCs/>
              </w:rPr>
            </w:pPr>
          </w:p>
        </w:tc>
        <w:tc>
          <w:tcPr>
            <w:tcW w:w="788" w:type="pct"/>
            <w:vAlign w:val="center"/>
          </w:tcPr>
          <w:p>
            <w:pPr>
              <w:pStyle w:val="39"/>
              <w:bidi w:val="0"/>
              <w:rPr>
                <w:b/>
                <w:bCs/>
              </w:rPr>
            </w:pPr>
            <w:r>
              <w:rPr>
                <w:b/>
                <w:bCs/>
              </w:rPr>
              <w:t>分子式</w:t>
            </w:r>
          </w:p>
        </w:tc>
        <w:tc>
          <w:tcPr>
            <w:tcW w:w="827" w:type="pct"/>
            <w:vAlign w:val="center"/>
          </w:tcPr>
          <w:p>
            <w:pPr>
              <w:pStyle w:val="39"/>
              <w:bidi w:val="0"/>
              <w:rPr>
                <w:b/>
                <w:bCs/>
              </w:rPr>
            </w:pPr>
            <w:r>
              <w:rPr>
                <w:b/>
                <w:bCs/>
              </w:rPr>
              <w:t>C4H11NO2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trPr>
        <w:tc>
          <w:tcPr>
            <w:tcW w:w="574" w:type="pct"/>
            <w:vAlign w:val="center"/>
          </w:tcPr>
          <w:p>
            <w:pPr>
              <w:pStyle w:val="39"/>
              <w:bidi w:val="0"/>
              <w:rPr>
                <w:b/>
                <w:bCs/>
              </w:rPr>
            </w:pPr>
            <w:r>
              <w:rPr>
                <w:b/>
                <w:bCs/>
              </w:rPr>
              <w:t>英文名称</w:t>
            </w:r>
          </w:p>
        </w:tc>
        <w:tc>
          <w:tcPr>
            <w:tcW w:w="1237" w:type="pct"/>
            <w:vAlign w:val="center"/>
          </w:tcPr>
          <w:p>
            <w:pPr>
              <w:pStyle w:val="39"/>
              <w:bidi w:val="0"/>
              <w:rPr>
                <w:b/>
                <w:bCs/>
              </w:rPr>
            </w:pPr>
            <w:r>
              <w:rPr>
                <w:b/>
                <w:bCs/>
              </w:rPr>
              <w:t xml:space="preserve">Diethanolamine </w:t>
            </w:r>
            <w:r>
              <w:rPr>
                <w:b/>
                <w:bCs/>
                <w:highlight w:val="none"/>
              </w:rPr>
              <w:t>;</w:t>
            </w:r>
          </w:p>
        </w:tc>
        <w:tc>
          <w:tcPr>
            <w:tcW w:w="786" w:type="pct"/>
            <w:vAlign w:val="center"/>
          </w:tcPr>
          <w:p>
            <w:pPr>
              <w:pStyle w:val="39"/>
              <w:bidi w:val="0"/>
              <w:rPr>
                <w:b/>
                <w:bCs/>
              </w:rPr>
            </w:pPr>
            <w:r>
              <w:rPr>
                <w:b/>
                <w:bCs/>
              </w:rPr>
              <w:t>分   子   量</w:t>
            </w:r>
          </w:p>
        </w:tc>
        <w:tc>
          <w:tcPr>
            <w:tcW w:w="786" w:type="pct"/>
            <w:vAlign w:val="center"/>
          </w:tcPr>
          <w:p>
            <w:pPr>
              <w:pStyle w:val="39"/>
              <w:bidi w:val="0"/>
              <w:rPr>
                <w:b/>
                <w:bCs/>
              </w:rPr>
            </w:pPr>
            <w:r>
              <w:rPr>
                <w:b/>
                <w:bCs/>
              </w:rPr>
              <w:t>105.14</w:t>
            </w:r>
          </w:p>
        </w:tc>
        <w:tc>
          <w:tcPr>
            <w:tcW w:w="788" w:type="pct"/>
            <w:vAlign w:val="center"/>
          </w:tcPr>
          <w:p>
            <w:pPr>
              <w:pStyle w:val="39"/>
              <w:bidi w:val="0"/>
              <w:rPr>
                <w:b/>
                <w:bCs/>
              </w:rPr>
            </w:pPr>
            <w:r>
              <w:rPr>
                <w:b/>
                <w:bCs/>
              </w:rPr>
              <w:t>C A S号</w:t>
            </w:r>
          </w:p>
        </w:tc>
        <w:tc>
          <w:tcPr>
            <w:tcW w:w="827" w:type="pct"/>
            <w:vAlign w:val="center"/>
          </w:tcPr>
          <w:p>
            <w:pPr>
              <w:pStyle w:val="39"/>
              <w:bidi w:val="0"/>
              <w:rPr>
                <w:b/>
                <w:bCs/>
              </w:rPr>
            </w:pPr>
            <w:r>
              <w:rPr>
                <w:b/>
                <w:bCs/>
              </w:rPr>
              <w:t>111-42-2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27" w:hRule="atLeast"/>
        </w:trPr>
        <w:tc>
          <w:tcPr>
            <w:tcW w:w="574" w:type="pct"/>
            <w:tcBorders>
              <w:bottom w:val="single" w:color="auto" w:sz="4" w:space="0"/>
            </w:tcBorders>
            <w:vAlign w:val="center"/>
          </w:tcPr>
          <w:p>
            <w:pPr>
              <w:pStyle w:val="39"/>
              <w:bidi w:val="0"/>
              <w:rPr>
                <w:b/>
                <w:bCs/>
              </w:rPr>
            </w:pPr>
            <w:r>
              <w:rPr>
                <w:b/>
                <w:bCs/>
              </w:rPr>
              <w:t>理</w:t>
            </w:r>
          </w:p>
          <w:p>
            <w:pPr>
              <w:pStyle w:val="39"/>
              <w:bidi w:val="0"/>
              <w:rPr>
                <w:b/>
                <w:bCs/>
              </w:rPr>
            </w:pPr>
            <w:r>
              <w:rPr>
                <w:b/>
                <w:bCs/>
              </w:rPr>
              <w:t>化</w:t>
            </w:r>
          </w:p>
          <w:p>
            <w:pPr>
              <w:pStyle w:val="39"/>
              <w:bidi w:val="0"/>
              <w:rPr>
                <w:b/>
                <w:bCs/>
              </w:rPr>
            </w:pPr>
            <w:r>
              <w:rPr>
                <w:b/>
                <w:bCs/>
              </w:rPr>
              <w:t>性</w:t>
            </w:r>
          </w:p>
          <w:p>
            <w:pPr>
              <w:pStyle w:val="39"/>
              <w:bidi w:val="0"/>
              <w:rPr>
                <w:b/>
                <w:bCs/>
              </w:rPr>
            </w:pPr>
            <w:r>
              <w:rPr>
                <w:b/>
                <w:bCs/>
              </w:rPr>
              <w:t>质</w:t>
            </w:r>
          </w:p>
        </w:tc>
        <w:tc>
          <w:tcPr>
            <w:tcW w:w="4425" w:type="pct"/>
            <w:gridSpan w:val="5"/>
            <w:tcBorders>
              <w:bottom w:val="single" w:color="auto" w:sz="4" w:space="0"/>
            </w:tcBorders>
            <w:vAlign w:val="center"/>
          </w:tcPr>
          <w:p>
            <w:pPr>
              <w:pStyle w:val="39"/>
              <w:bidi w:val="0"/>
              <w:jc w:val="left"/>
            </w:pPr>
            <w:r>
              <w:t>外观与性状：无色黏性液体或结晶。</w:t>
            </w:r>
          </w:p>
          <w:p>
            <w:pPr>
              <w:pStyle w:val="39"/>
              <w:bidi w:val="0"/>
              <w:jc w:val="left"/>
            </w:pPr>
            <w:r>
              <w:t>主要用途：主要用作CO2、H2S和SO2等酸性气体吸收剂、非离子表面活性剂、乳化剂、擦光剂、工业气体净化剂、润滑剂。亚氨基二乙醇又称二乙醇胺，是除草剂</w:t>
            </w:r>
            <w:r>
              <w:fldChar w:fldCharType="begin"/>
            </w:r>
            <w:r>
              <w:instrText xml:space="preserve"> HYPERLINK "https://baike.so.com/doc/785866-831492.html" \t "https://baike.so.com/doc/_blank" </w:instrText>
            </w:r>
            <w:r>
              <w:fldChar w:fldCharType="separate"/>
            </w:r>
            <w:r>
              <w:t>草甘膦</w:t>
            </w:r>
            <w:r>
              <w:fldChar w:fldCharType="end"/>
            </w:r>
            <w:r>
              <w:t>的中间体。用作气体的净化剂，也用作合成药物及有机合成的原料。</w:t>
            </w:r>
          </w:p>
          <w:p>
            <w:pPr>
              <w:pStyle w:val="39"/>
              <w:bidi w:val="0"/>
              <w:jc w:val="left"/>
            </w:pPr>
            <w:r>
              <w:t>相对密度：（水=1）：1.092</w:t>
            </w:r>
            <w:r>
              <w:rPr>
                <w:rFonts w:hint="eastAsia"/>
              </w:rPr>
              <w:t>。</w:t>
            </w:r>
          </w:p>
          <w:p>
            <w:pPr>
              <w:pStyle w:val="39"/>
              <w:bidi w:val="0"/>
              <w:jc w:val="left"/>
            </w:pPr>
            <w:r>
              <w:t>溶解性：</w:t>
            </w:r>
            <w:r>
              <w:rPr>
                <w:rFonts w:hint="eastAsia"/>
              </w:rPr>
              <w:t>易溶于水</w:t>
            </w: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1" w:hRule="atLeast"/>
        </w:trPr>
        <w:tc>
          <w:tcPr>
            <w:tcW w:w="574" w:type="pct"/>
            <w:tcBorders>
              <w:bottom w:val="single" w:color="auto" w:sz="4" w:space="0"/>
            </w:tcBorders>
            <w:vAlign w:val="center"/>
          </w:tcPr>
          <w:p>
            <w:pPr>
              <w:pStyle w:val="39"/>
              <w:bidi w:val="0"/>
              <w:rPr>
                <w:b/>
                <w:bCs/>
              </w:rPr>
            </w:pPr>
            <w:r>
              <w:rPr>
                <w:b/>
                <w:bCs/>
              </w:rPr>
              <w:t>燃</w:t>
            </w:r>
          </w:p>
          <w:p>
            <w:pPr>
              <w:pStyle w:val="39"/>
              <w:bidi w:val="0"/>
              <w:rPr>
                <w:b/>
                <w:bCs/>
              </w:rPr>
            </w:pPr>
            <w:r>
              <w:rPr>
                <w:b/>
                <w:bCs/>
              </w:rPr>
              <w:t>烧</w:t>
            </w:r>
          </w:p>
          <w:p>
            <w:pPr>
              <w:pStyle w:val="39"/>
              <w:bidi w:val="0"/>
              <w:rPr>
                <w:b/>
                <w:bCs/>
              </w:rPr>
            </w:pPr>
            <w:r>
              <w:rPr>
                <w:b/>
                <w:bCs/>
              </w:rPr>
              <w:t>爆</w:t>
            </w:r>
          </w:p>
          <w:p>
            <w:pPr>
              <w:pStyle w:val="39"/>
              <w:bidi w:val="0"/>
              <w:rPr>
                <w:b/>
                <w:bCs/>
              </w:rPr>
            </w:pPr>
            <w:r>
              <w:rPr>
                <w:b/>
                <w:bCs/>
              </w:rPr>
              <w:t>炸</w:t>
            </w:r>
          </w:p>
          <w:p>
            <w:pPr>
              <w:pStyle w:val="39"/>
              <w:bidi w:val="0"/>
              <w:rPr>
                <w:b/>
                <w:bCs/>
              </w:rPr>
            </w:pPr>
            <w:r>
              <w:rPr>
                <w:b/>
                <w:bCs/>
              </w:rPr>
              <w:t>危</w:t>
            </w:r>
          </w:p>
          <w:p>
            <w:pPr>
              <w:pStyle w:val="39"/>
              <w:bidi w:val="0"/>
              <w:rPr>
                <w:b/>
                <w:bCs/>
              </w:rPr>
            </w:pPr>
            <w:r>
              <w:rPr>
                <w:b/>
                <w:bCs/>
              </w:rPr>
              <w:t>险</w:t>
            </w:r>
          </w:p>
          <w:p>
            <w:pPr>
              <w:pStyle w:val="39"/>
              <w:bidi w:val="0"/>
              <w:rPr>
                <w:b/>
                <w:bCs/>
              </w:rPr>
            </w:pPr>
            <w:r>
              <w:rPr>
                <w:b/>
                <w:bCs/>
              </w:rPr>
              <w:t>性</w:t>
            </w:r>
          </w:p>
        </w:tc>
        <w:tc>
          <w:tcPr>
            <w:tcW w:w="4425" w:type="pct"/>
            <w:gridSpan w:val="5"/>
          </w:tcPr>
          <w:p>
            <w:pPr>
              <w:pStyle w:val="39"/>
              <w:bidi w:val="0"/>
              <w:jc w:val="left"/>
            </w:pPr>
            <w:r>
              <w:t>燃烧性：</w:t>
            </w:r>
            <w:r>
              <w:rPr>
                <w:rFonts w:hint="eastAsia"/>
              </w:rPr>
              <w:t>可燃</w:t>
            </w:r>
          </w:p>
          <w:p>
            <w:pPr>
              <w:pStyle w:val="39"/>
              <w:bidi w:val="0"/>
              <w:jc w:val="left"/>
            </w:pPr>
            <w:r>
              <w:t>建规火险等级：</w:t>
            </w:r>
            <w:r>
              <w:rPr>
                <w:rFonts w:hint="eastAsia"/>
              </w:rPr>
              <w:t>丙</w:t>
            </w:r>
          </w:p>
          <w:p>
            <w:pPr>
              <w:pStyle w:val="39"/>
              <w:bidi w:val="0"/>
              <w:jc w:val="left"/>
            </w:pPr>
            <w:r>
              <w:t>闪点：137（CC）；134（OC）；</w:t>
            </w:r>
          </w:p>
          <w:p>
            <w:pPr>
              <w:pStyle w:val="39"/>
              <w:bidi w:val="0"/>
              <w:jc w:val="left"/>
            </w:pPr>
            <w:r>
              <w:rPr>
                <w:highlight w:val="none"/>
              </w:rPr>
              <w:t>自燃点</w:t>
            </w:r>
            <w:r>
              <w:t>：</w:t>
            </w:r>
          </w:p>
          <w:p>
            <w:pPr>
              <w:pStyle w:val="39"/>
              <w:bidi w:val="0"/>
              <w:jc w:val="left"/>
            </w:pPr>
            <w:r>
              <w:t>建筑防火设计规范火险等级：</w:t>
            </w:r>
          </w:p>
          <w:p>
            <w:pPr>
              <w:pStyle w:val="39"/>
              <w:bidi w:val="0"/>
              <w:jc w:val="left"/>
            </w:pPr>
            <w:r>
              <w:t>爆炸下限</w:t>
            </w:r>
            <w:r>
              <w:rPr>
                <w:highlight w:val="none"/>
              </w:rPr>
              <w:t>(</w:t>
            </w:r>
            <w:r>
              <w:t>V%</w:t>
            </w:r>
            <w:r>
              <w:rPr>
                <w:highlight w:val="none"/>
              </w:rPr>
              <w:t>)</w:t>
            </w:r>
            <w:r>
              <w:t>：1.8</w:t>
            </w:r>
          </w:p>
          <w:p>
            <w:pPr>
              <w:pStyle w:val="39"/>
              <w:bidi w:val="0"/>
              <w:jc w:val="left"/>
            </w:pPr>
            <w:r>
              <w:t>爆炸上限</w:t>
            </w:r>
            <w:r>
              <w:rPr>
                <w:highlight w:val="none"/>
              </w:rPr>
              <w:t>(</w:t>
            </w:r>
            <w:r>
              <w:t>V%</w:t>
            </w:r>
            <w:r>
              <w:rPr>
                <w:highlight w:val="none"/>
              </w:rPr>
              <w:t>)</w:t>
            </w:r>
            <w:r>
              <w:t>：13.4</w:t>
            </w:r>
          </w:p>
          <w:p>
            <w:pPr>
              <w:pStyle w:val="39"/>
              <w:bidi w:val="0"/>
              <w:jc w:val="left"/>
            </w:pPr>
            <w:r>
              <w:t>灭火方法：</w:t>
            </w:r>
            <w:r>
              <w:rPr>
                <w:rFonts w:hint="eastAsia"/>
              </w:rPr>
              <w:t>喷水保持火场容器冷却，直至灭火结束。灭火剂：水、干粉、二氧化碳、抗溶性泡沫。</w:t>
            </w:r>
          </w:p>
          <w:p>
            <w:pPr>
              <w:pStyle w:val="39"/>
              <w:bidi w:val="0"/>
              <w:jc w:val="left"/>
            </w:pPr>
            <w:r>
              <w:t>危险特性：</w:t>
            </w:r>
            <w:r>
              <w:rPr>
                <w:rFonts w:hint="eastAsia"/>
              </w:rPr>
              <w:t>遇明火、高热可燃。受热分解放出有毒的氧化氮烟气。与强氧化剂接触可发生化学反应。能腐蚀铜及铜的化合物。</w:t>
            </w:r>
          </w:p>
          <w:p>
            <w:pPr>
              <w:pStyle w:val="39"/>
              <w:bidi w:val="0"/>
              <w:jc w:val="left"/>
            </w:pPr>
            <w:r>
              <w:t xml:space="preserve">稳定性： 稳定 </w:t>
            </w:r>
          </w:p>
          <w:p>
            <w:pPr>
              <w:pStyle w:val="39"/>
              <w:bidi w:val="0"/>
              <w:jc w:val="left"/>
            </w:pPr>
            <w:r>
              <w:t>聚合危害：不聚合</w:t>
            </w:r>
            <w:r>
              <w:br w:type="textWrapping"/>
            </w:r>
            <w:r>
              <w:t>避免接触的条件：受热</w:t>
            </w:r>
            <w:r>
              <w:br w:type="textWrapping"/>
            </w:r>
            <w:r>
              <w:t>禁忌物：酸类、强氧化剂、铜、锌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vAlign w:val="center"/>
          </w:tcPr>
          <w:p>
            <w:pPr>
              <w:pStyle w:val="39"/>
              <w:bidi w:val="0"/>
              <w:rPr>
                <w:b/>
                <w:bCs/>
              </w:rPr>
            </w:pPr>
            <w:r>
              <w:rPr>
                <w:b/>
                <w:bCs/>
              </w:rPr>
              <w:t>包</w:t>
            </w:r>
          </w:p>
          <w:p>
            <w:pPr>
              <w:pStyle w:val="39"/>
              <w:bidi w:val="0"/>
              <w:rPr>
                <w:b/>
                <w:bCs/>
              </w:rPr>
            </w:pPr>
            <w:r>
              <w:rPr>
                <w:b/>
                <w:bCs/>
              </w:rPr>
              <w:t>装</w:t>
            </w:r>
          </w:p>
          <w:p>
            <w:pPr>
              <w:pStyle w:val="39"/>
              <w:bidi w:val="0"/>
              <w:rPr>
                <w:b/>
                <w:bCs/>
              </w:rPr>
            </w:pPr>
            <w:r>
              <w:rPr>
                <w:b/>
                <w:bCs/>
              </w:rPr>
              <w:t>与</w:t>
            </w:r>
          </w:p>
          <w:p>
            <w:pPr>
              <w:pStyle w:val="39"/>
              <w:bidi w:val="0"/>
              <w:rPr>
                <w:b/>
                <w:bCs/>
              </w:rPr>
            </w:pPr>
            <w:r>
              <w:rPr>
                <w:b/>
                <w:bCs/>
              </w:rPr>
              <w:t>储</w:t>
            </w:r>
          </w:p>
          <w:p>
            <w:pPr>
              <w:pStyle w:val="39"/>
              <w:bidi w:val="0"/>
              <w:rPr>
                <w:b/>
                <w:bCs/>
              </w:rPr>
            </w:pPr>
            <w:r>
              <w:rPr>
                <w:b/>
                <w:bCs/>
              </w:rPr>
              <w:t>运</w:t>
            </w:r>
          </w:p>
        </w:tc>
        <w:tc>
          <w:tcPr>
            <w:tcW w:w="4425" w:type="pct"/>
            <w:gridSpan w:val="5"/>
            <w:vAlign w:val="center"/>
          </w:tcPr>
          <w:p>
            <w:pPr>
              <w:pStyle w:val="39"/>
              <w:bidi w:val="0"/>
              <w:jc w:val="left"/>
            </w:pPr>
            <w:r>
              <w:t>危险性类别：</w:t>
            </w:r>
          </w:p>
          <w:p>
            <w:pPr>
              <w:pStyle w:val="39"/>
              <w:bidi w:val="0"/>
              <w:jc w:val="left"/>
            </w:pPr>
            <w:r>
              <w:t>危险货物包装标志：</w:t>
            </w:r>
          </w:p>
          <w:p>
            <w:pPr>
              <w:pStyle w:val="39"/>
              <w:bidi w:val="0"/>
              <w:jc w:val="left"/>
            </w:pPr>
            <w:r>
              <w:t>包装类别：</w:t>
            </w:r>
          </w:p>
          <w:p>
            <w:pPr>
              <w:pStyle w:val="39"/>
              <w:bidi w:val="0"/>
              <w:jc w:val="left"/>
            </w:pPr>
            <w:r>
              <w:t>储运注意事项：储存于阴凉、通风的库房。远离火种、热源。包装密封。应与氧化剂、酸类等分开存放，切忌混储。配备相应品种和数量的</w:t>
            </w:r>
            <w:r>
              <w:fldChar w:fldCharType="begin"/>
            </w:r>
            <w:r>
              <w:instrText xml:space="preserve"> HYPERLINK "https://baike.so.com/doc/5394226-5631323.html" \t "https://baike.so.com/doc/_blank" </w:instrText>
            </w:r>
            <w:r>
              <w:fldChar w:fldCharType="separate"/>
            </w:r>
            <w:r>
              <w:t>消防器材</w:t>
            </w:r>
            <w:r>
              <w:fldChar w:fldCharType="end"/>
            </w:r>
            <w:r>
              <w:t>。储区应备有泄漏应急处理设备和合适的收容材料。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vAlign w:val="center"/>
          </w:tcPr>
          <w:p>
            <w:pPr>
              <w:pStyle w:val="39"/>
              <w:bidi w:val="0"/>
              <w:rPr>
                <w:b/>
                <w:bCs/>
              </w:rPr>
            </w:pPr>
            <w:r>
              <w:rPr>
                <w:b/>
                <w:bCs/>
              </w:rPr>
              <w:t>毒性</w:t>
            </w:r>
          </w:p>
          <w:p>
            <w:pPr>
              <w:pStyle w:val="39"/>
              <w:bidi w:val="0"/>
              <w:rPr>
                <w:b/>
                <w:bCs/>
              </w:rPr>
            </w:pPr>
            <w:r>
              <w:rPr>
                <w:b/>
                <w:bCs/>
              </w:rPr>
              <w:t>及</w:t>
            </w:r>
          </w:p>
          <w:p>
            <w:pPr>
              <w:pStyle w:val="39"/>
              <w:bidi w:val="0"/>
              <w:rPr>
                <w:b/>
                <w:bCs/>
              </w:rPr>
            </w:pPr>
            <w:r>
              <w:rPr>
                <w:b/>
                <w:bCs/>
              </w:rPr>
              <w:t>健康</w:t>
            </w:r>
          </w:p>
          <w:p>
            <w:pPr>
              <w:pStyle w:val="39"/>
              <w:bidi w:val="0"/>
              <w:rPr>
                <w:b/>
                <w:bCs/>
              </w:rPr>
            </w:pPr>
            <w:r>
              <w:rPr>
                <w:b/>
                <w:bCs/>
              </w:rPr>
              <w:t>危害</w:t>
            </w:r>
          </w:p>
          <w:p>
            <w:pPr>
              <w:pStyle w:val="39"/>
              <w:bidi w:val="0"/>
              <w:rPr>
                <w:b/>
                <w:bCs/>
              </w:rPr>
            </w:pPr>
            <w:r>
              <w:rPr>
                <w:b/>
                <w:bCs/>
              </w:rPr>
              <w:t>性</w:t>
            </w:r>
          </w:p>
        </w:tc>
        <w:tc>
          <w:tcPr>
            <w:tcW w:w="4425" w:type="pct"/>
            <w:gridSpan w:val="5"/>
            <w:vAlign w:val="center"/>
          </w:tcPr>
          <w:p>
            <w:pPr>
              <w:pStyle w:val="39"/>
              <w:bidi w:val="0"/>
              <w:jc w:val="left"/>
            </w:pPr>
            <w:r>
              <w:t>接触限值：</w:t>
            </w:r>
            <w:r>
              <w:rPr>
                <w:rFonts w:hint="eastAsia"/>
              </w:rPr>
              <w:t>未制定标准</w:t>
            </w:r>
          </w:p>
          <w:p>
            <w:pPr>
              <w:pStyle w:val="39"/>
              <w:bidi w:val="0"/>
              <w:jc w:val="left"/>
            </w:pPr>
            <w:r>
              <w:t>侵入途径：吸入。</w:t>
            </w:r>
          </w:p>
          <w:p>
            <w:pPr>
              <w:pStyle w:val="39"/>
              <w:bidi w:val="0"/>
              <w:jc w:val="left"/>
            </w:pPr>
            <w:r>
              <w:t>毒性：</w:t>
            </w:r>
          </w:p>
          <w:p>
            <w:pPr>
              <w:pStyle w:val="39"/>
              <w:bidi w:val="0"/>
              <w:jc w:val="left"/>
            </w:pPr>
            <w:r>
              <w:t>健康危害：</w:t>
            </w:r>
            <w:r>
              <w:rPr>
                <w:rFonts w:hint="eastAsia"/>
              </w:rPr>
              <w:t>吸入本品蒸汽或雾，刺激呼吸道。高浓度吸入出现咳嗽、头痛、恶心、呕吐、昏迷。蒸汽对眼有强烈刺激性/液体或雾可致严重眼损害，甚至导致失明。长时间皮肤接触，可致灼伤。大量口服出现恶、呕吐和腹痛。慢性影响：长期反复接触可能引起肝肾损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vAlign w:val="center"/>
          </w:tcPr>
          <w:p>
            <w:pPr>
              <w:pStyle w:val="39"/>
              <w:bidi w:val="0"/>
              <w:rPr>
                <w:b/>
                <w:bCs/>
              </w:rPr>
            </w:pPr>
            <w:r>
              <w:rPr>
                <w:b/>
                <w:bCs/>
              </w:rPr>
              <w:t>急</w:t>
            </w:r>
          </w:p>
          <w:p>
            <w:pPr>
              <w:pStyle w:val="39"/>
              <w:bidi w:val="0"/>
              <w:rPr>
                <w:b/>
                <w:bCs/>
              </w:rPr>
            </w:pPr>
          </w:p>
          <w:p>
            <w:pPr>
              <w:pStyle w:val="39"/>
              <w:bidi w:val="0"/>
              <w:rPr>
                <w:b/>
                <w:bCs/>
              </w:rPr>
            </w:pPr>
            <w:r>
              <w:rPr>
                <w:b/>
                <w:bCs/>
              </w:rPr>
              <w:t>救</w:t>
            </w:r>
          </w:p>
        </w:tc>
        <w:tc>
          <w:tcPr>
            <w:tcW w:w="4425" w:type="pct"/>
            <w:gridSpan w:val="5"/>
            <w:vAlign w:val="center"/>
          </w:tcPr>
          <w:p>
            <w:pPr>
              <w:pStyle w:val="39"/>
              <w:bidi w:val="0"/>
              <w:jc w:val="left"/>
            </w:pPr>
            <w:r>
              <w:rPr>
                <w:rFonts w:hint="eastAsia"/>
              </w:rPr>
              <w:t>吸入：迅速脱离现场至空气新鲜处。必要进行人工呼吸。就医</w:t>
            </w:r>
          </w:p>
          <w:p>
            <w:pPr>
              <w:pStyle w:val="39"/>
              <w:bidi w:val="0"/>
              <w:jc w:val="left"/>
            </w:pPr>
            <w:r>
              <w:rPr>
                <w:rFonts w:hint="eastAsia"/>
              </w:rPr>
              <w:t>食入：误服者立即漱口，给饮牛奶或蛋清。就医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vAlign w:val="center"/>
          </w:tcPr>
          <w:p>
            <w:pPr>
              <w:pStyle w:val="39"/>
              <w:bidi w:val="0"/>
              <w:rPr>
                <w:b/>
                <w:bCs/>
              </w:rPr>
            </w:pPr>
            <w:r>
              <w:rPr>
                <w:b/>
                <w:bCs/>
              </w:rPr>
              <w:t>防</w:t>
            </w:r>
          </w:p>
          <w:p>
            <w:pPr>
              <w:pStyle w:val="39"/>
              <w:bidi w:val="0"/>
              <w:rPr>
                <w:b/>
                <w:bCs/>
              </w:rPr>
            </w:pPr>
            <w:r>
              <w:rPr>
                <w:b/>
                <w:bCs/>
              </w:rPr>
              <w:t>护</w:t>
            </w:r>
          </w:p>
          <w:p>
            <w:pPr>
              <w:pStyle w:val="39"/>
              <w:bidi w:val="0"/>
              <w:rPr>
                <w:b/>
                <w:bCs/>
              </w:rPr>
            </w:pPr>
            <w:r>
              <w:rPr>
                <w:b/>
                <w:bCs/>
              </w:rPr>
              <w:t>措</w:t>
            </w:r>
          </w:p>
          <w:p>
            <w:pPr>
              <w:pStyle w:val="39"/>
              <w:bidi w:val="0"/>
              <w:rPr>
                <w:b/>
                <w:bCs/>
              </w:rPr>
            </w:pPr>
            <w:r>
              <w:rPr>
                <w:b/>
                <w:bCs/>
              </w:rPr>
              <w:t>施</w:t>
            </w:r>
          </w:p>
        </w:tc>
        <w:tc>
          <w:tcPr>
            <w:tcW w:w="4425" w:type="pct"/>
            <w:gridSpan w:val="5"/>
            <w:vAlign w:val="center"/>
          </w:tcPr>
          <w:p>
            <w:pPr>
              <w:pStyle w:val="39"/>
              <w:bidi w:val="0"/>
              <w:jc w:val="left"/>
            </w:pPr>
            <w:r>
              <w:t>工程控制：密闭操作，注意通风。</w:t>
            </w:r>
            <w:r>
              <w:br w:type="textWrapping"/>
            </w:r>
            <w:r>
              <w:t>呼吸系统防护：可能接触其蒸气时，</w:t>
            </w:r>
            <w:r>
              <w:rPr>
                <w:rFonts w:hint="eastAsia"/>
                <w:lang w:val="en-US" w:eastAsia="zh-CN"/>
              </w:rPr>
              <w:t>佩戴</w:t>
            </w:r>
            <w:r>
              <w:t>防毒面具。紧急事态抢救或逃生时，建议</w:t>
            </w:r>
            <w:r>
              <w:rPr>
                <w:rFonts w:hint="eastAsia"/>
                <w:lang w:val="en-US" w:eastAsia="zh-CN"/>
              </w:rPr>
              <w:t>配戴</w:t>
            </w:r>
            <w:r>
              <w:t>自给式呼吸器。</w:t>
            </w:r>
            <w:r>
              <w:br w:type="textWrapping"/>
            </w:r>
            <w:r>
              <w:t>眼睛防护：戴化学安全防护眼镜。</w:t>
            </w:r>
            <w:r>
              <w:br w:type="textWrapping"/>
            </w:r>
            <w:r>
              <w:t>身体防护：穿工作服</w:t>
            </w:r>
            <w:r>
              <w:rPr>
                <w:rFonts w:hint="eastAsia"/>
              </w:rPr>
              <w:t>（防腐材料制作）</w:t>
            </w:r>
            <w:r>
              <w:t>。</w:t>
            </w:r>
            <w:r>
              <w:br w:type="textWrapping"/>
            </w:r>
            <w:r>
              <w:t>手防护：</w:t>
            </w:r>
            <w:r>
              <w:rPr>
                <w:rFonts w:hint="eastAsia"/>
              </w:rPr>
              <w:t>戴橡皮</w:t>
            </w:r>
            <w:r>
              <w:t>手套。</w:t>
            </w:r>
            <w:r>
              <w:br w:type="textWrapping"/>
            </w:r>
            <w:r>
              <w:rPr>
                <w:highlight w:val="none"/>
              </w:rPr>
              <w:t>其它</w:t>
            </w:r>
            <w:r>
              <w:t>：工作现场禁止吸烟、进食和饮水。工作后，淋浴更衣。进行就业前和定期的体检。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vAlign w:val="center"/>
          </w:tcPr>
          <w:p>
            <w:pPr>
              <w:pStyle w:val="39"/>
              <w:bidi w:val="0"/>
              <w:rPr>
                <w:b/>
                <w:bCs/>
              </w:rPr>
            </w:pPr>
            <w:r>
              <w:rPr>
                <w:b/>
                <w:bCs/>
              </w:rPr>
              <w:t>泄</w:t>
            </w:r>
          </w:p>
          <w:p>
            <w:pPr>
              <w:pStyle w:val="39"/>
              <w:bidi w:val="0"/>
              <w:rPr>
                <w:b/>
                <w:bCs/>
              </w:rPr>
            </w:pPr>
            <w:r>
              <w:rPr>
                <w:b/>
                <w:bCs/>
              </w:rPr>
              <w:t>漏</w:t>
            </w:r>
          </w:p>
          <w:p>
            <w:pPr>
              <w:pStyle w:val="39"/>
              <w:bidi w:val="0"/>
              <w:rPr>
                <w:b/>
                <w:bCs/>
              </w:rPr>
            </w:pPr>
            <w:r>
              <w:rPr>
                <w:b/>
                <w:bCs/>
              </w:rPr>
              <w:t>处</w:t>
            </w:r>
          </w:p>
          <w:p>
            <w:pPr>
              <w:pStyle w:val="39"/>
              <w:bidi w:val="0"/>
              <w:rPr>
                <w:b/>
                <w:bCs/>
              </w:rPr>
            </w:pPr>
            <w:r>
              <w:rPr>
                <w:b/>
                <w:bCs/>
              </w:rPr>
              <w:t>置</w:t>
            </w:r>
          </w:p>
        </w:tc>
        <w:tc>
          <w:tcPr>
            <w:tcW w:w="4425" w:type="pct"/>
            <w:gridSpan w:val="5"/>
            <w:vAlign w:val="center"/>
          </w:tcPr>
          <w:p>
            <w:pPr>
              <w:pStyle w:val="39"/>
              <w:bidi w:val="0"/>
              <w:jc w:val="left"/>
            </w:pPr>
            <w:r>
              <w:t>疏散泄漏污染区人员至安全区，禁止无关人员进入污染区，建议应急处理人员戴好防毒面具，穿化学防护服。不要直接接触泄漏物，在确保安全情况下堵漏。用沙土</w:t>
            </w:r>
            <w:r>
              <w:rPr>
                <w:highlight w:val="none"/>
              </w:rPr>
              <w:t>或其它</w:t>
            </w:r>
            <w:r>
              <w:t>不燃性吸附剂混合吸收，然后收集运至废物处理场所处置。也可以用大量水冲洗，经稀释的洗水放入废水系统。如大量泄漏，利用围堤收容，然后收集、转移、回收或无害处理后废弃。</w:t>
            </w:r>
          </w:p>
        </w:tc>
      </w:tr>
    </w:tbl>
    <w:p>
      <w:pPr>
        <w:keepNext w:val="0"/>
        <w:keepLines w:val="0"/>
        <w:pageBreakBefore w:val="0"/>
        <w:widowControl w:val="0"/>
        <w:kinsoku/>
        <w:wordWrap/>
        <w:overflowPunct/>
        <w:topLinePunct w:val="0"/>
        <w:autoSpaceDE/>
        <w:autoSpaceDN/>
        <w:bidi w:val="0"/>
        <w:adjustRightInd w:val="0"/>
        <w:snapToGrid w:val="0"/>
        <w:spacing w:before="191" w:beforeLines="50"/>
        <w:textAlignment w:val="auto"/>
        <w:rPr>
          <w:b/>
          <w:bCs/>
        </w:rPr>
      </w:pPr>
      <w:r>
        <w:rPr>
          <w:rFonts w:hint="eastAsia"/>
          <w:b/>
          <w:bCs/>
        </w:rPr>
        <w:t>③机油</w:t>
      </w:r>
    </w:p>
    <w:tbl>
      <w:tblPr>
        <w:tblStyle w:val="22"/>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00"/>
        <w:gridCol w:w="2157"/>
        <w:gridCol w:w="1371"/>
        <w:gridCol w:w="1371"/>
        <w:gridCol w:w="1374"/>
        <w:gridCol w:w="144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6" w:hRule="atLeast"/>
        </w:trPr>
        <w:tc>
          <w:tcPr>
            <w:tcW w:w="574" w:type="pct"/>
            <w:tcBorders>
              <w:tl2br w:val="nil"/>
              <w:tr2bl w:val="nil"/>
            </w:tcBorders>
            <w:vAlign w:val="center"/>
          </w:tcPr>
          <w:p>
            <w:pPr>
              <w:pStyle w:val="39"/>
              <w:bidi w:val="0"/>
              <w:rPr>
                <w:b/>
                <w:bCs/>
              </w:rPr>
            </w:pPr>
            <w:r>
              <w:rPr>
                <w:b/>
                <w:bCs/>
              </w:rPr>
              <w:t>品   名</w:t>
            </w:r>
          </w:p>
        </w:tc>
        <w:tc>
          <w:tcPr>
            <w:tcW w:w="1237" w:type="pct"/>
            <w:tcBorders>
              <w:tl2br w:val="nil"/>
              <w:tr2bl w:val="nil"/>
            </w:tcBorders>
            <w:vAlign w:val="center"/>
          </w:tcPr>
          <w:p>
            <w:pPr>
              <w:pStyle w:val="39"/>
              <w:bidi w:val="0"/>
              <w:rPr>
                <w:b/>
                <w:bCs/>
              </w:rPr>
            </w:pPr>
            <w:r>
              <w:rPr>
                <w:rFonts w:hint="eastAsia"/>
                <w:b/>
                <w:bCs/>
              </w:rPr>
              <w:t>机油</w:t>
            </w:r>
          </w:p>
        </w:tc>
        <w:tc>
          <w:tcPr>
            <w:tcW w:w="786" w:type="pct"/>
            <w:tcBorders>
              <w:tl2br w:val="nil"/>
              <w:tr2bl w:val="nil"/>
            </w:tcBorders>
            <w:vAlign w:val="center"/>
          </w:tcPr>
          <w:p>
            <w:pPr>
              <w:pStyle w:val="39"/>
              <w:bidi w:val="0"/>
              <w:rPr>
                <w:b/>
                <w:bCs/>
              </w:rPr>
            </w:pPr>
            <w:r>
              <w:rPr>
                <w:b/>
                <w:bCs/>
              </w:rPr>
              <w:t>别   名</w:t>
            </w:r>
          </w:p>
        </w:tc>
        <w:tc>
          <w:tcPr>
            <w:tcW w:w="786" w:type="pct"/>
            <w:tcBorders>
              <w:tl2br w:val="nil"/>
              <w:tr2bl w:val="nil"/>
            </w:tcBorders>
            <w:vAlign w:val="center"/>
          </w:tcPr>
          <w:p>
            <w:pPr>
              <w:pStyle w:val="39"/>
              <w:bidi w:val="0"/>
              <w:rPr>
                <w:b/>
                <w:bCs/>
              </w:rPr>
            </w:pPr>
          </w:p>
        </w:tc>
        <w:tc>
          <w:tcPr>
            <w:tcW w:w="788" w:type="pct"/>
            <w:tcBorders>
              <w:tl2br w:val="nil"/>
              <w:tr2bl w:val="nil"/>
            </w:tcBorders>
            <w:vAlign w:val="center"/>
          </w:tcPr>
          <w:p>
            <w:pPr>
              <w:pStyle w:val="39"/>
              <w:bidi w:val="0"/>
              <w:rPr>
                <w:b/>
                <w:bCs/>
              </w:rPr>
            </w:pPr>
            <w:r>
              <w:rPr>
                <w:b/>
                <w:bCs/>
              </w:rPr>
              <w:t>分子式</w:t>
            </w:r>
          </w:p>
        </w:tc>
        <w:tc>
          <w:tcPr>
            <w:tcW w:w="827" w:type="pct"/>
            <w:tcBorders>
              <w:tl2br w:val="nil"/>
              <w:tr2bl w:val="nil"/>
            </w:tcBorders>
            <w:vAlign w:val="center"/>
          </w:tcPr>
          <w:p>
            <w:pPr>
              <w:pStyle w:val="39"/>
              <w:bidi w:val="0"/>
              <w:rPr>
                <w:b/>
                <w:bCs/>
              </w:rPr>
            </w:pPr>
            <w:r>
              <w:rPr>
                <w:rFonts w:hint="eastAsia"/>
                <w:b/>
                <w:bCs/>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6" w:hRule="atLeast"/>
        </w:trPr>
        <w:tc>
          <w:tcPr>
            <w:tcW w:w="574" w:type="pct"/>
            <w:tcBorders>
              <w:tl2br w:val="nil"/>
              <w:tr2bl w:val="nil"/>
            </w:tcBorders>
            <w:vAlign w:val="center"/>
          </w:tcPr>
          <w:p>
            <w:pPr>
              <w:pStyle w:val="39"/>
              <w:bidi w:val="0"/>
              <w:rPr>
                <w:b/>
                <w:bCs/>
              </w:rPr>
            </w:pPr>
            <w:r>
              <w:rPr>
                <w:b/>
                <w:bCs/>
              </w:rPr>
              <w:t>英文名称</w:t>
            </w:r>
          </w:p>
        </w:tc>
        <w:tc>
          <w:tcPr>
            <w:tcW w:w="1237" w:type="pct"/>
            <w:tcBorders>
              <w:tl2br w:val="nil"/>
              <w:tr2bl w:val="nil"/>
            </w:tcBorders>
            <w:vAlign w:val="center"/>
          </w:tcPr>
          <w:p>
            <w:pPr>
              <w:pStyle w:val="39"/>
              <w:bidi w:val="0"/>
              <w:rPr>
                <w:b/>
                <w:bCs/>
              </w:rPr>
            </w:pPr>
            <w:r>
              <w:rPr>
                <w:rFonts w:hint="eastAsia"/>
                <w:b/>
                <w:bCs/>
              </w:rPr>
              <w:t>Lube oil</w:t>
            </w:r>
            <w:r>
              <w:rPr>
                <w:b/>
                <w:bCs/>
                <w:highlight w:val="none"/>
              </w:rPr>
              <w:t>;</w:t>
            </w:r>
          </w:p>
        </w:tc>
        <w:tc>
          <w:tcPr>
            <w:tcW w:w="786" w:type="pct"/>
            <w:tcBorders>
              <w:tl2br w:val="nil"/>
              <w:tr2bl w:val="nil"/>
            </w:tcBorders>
            <w:vAlign w:val="center"/>
          </w:tcPr>
          <w:p>
            <w:pPr>
              <w:pStyle w:val="39"/>
              <w:bidi w:val="0"/>
              <w:rPr>
                <w:b/>
                <w:bCs/>
              </w:rPr>
            </w:pPr>
            <w:r>
              <w:rPr>
                <w:b/>
                <w:bCs/>
              </w:rPr>
              <w:t>分   子   量</w:t>
            </w:r>
          </w:p>
        </w:tc>
        <w:tc>
          <w:tcPr>
            <w:tcW w:w="786" w:type="pct"/>
            <w:tcBorders>
              <w:tl2br w:val="nil"/>
              <w:tr2bl w:val="nil"/>
            </w:tcBorders>
            <w:vAlign w:val="center"/>
          </w:tcPr>
          <w:p>
            <w:pPr>
              <w:pStyle w:val="39"/>
              <w:bidi w:val="0"/>
              <w:rPr>
                <w:b/>
                <w:bCs/>
              </w:rPr>
            </w:pPr>
            <w:r>
              <w:rPr>
                <w:rFonts w:hint="eastAsia"/>
                <w:b/>
                <w:bCs/>
              </w:rPr>
              <w:t>/</w:t>
            </w:r>
          </w:p>
        </w:tc>
        <w:tc>
          <w:tcPr>
            <w:tcW w:w="788" w:type="pct"/>
            <w:tcBorders>
              <w:tl2br w:val="nil"/>
              <w:tr2bl w:val="nil"/>
            </w:tcBorders>
            <w:vAlign w:val="center"/>
          </w:tcPr>
          <w:p>
            <w:pPr>
              <w:pStyle w:val="39"/>
              <w:bidi w:val="0"/>
              <w:rPr>
                <w:b/>
                <w:bCs/>
              </w:rPr>
            </w:pPr>
            <w:r>
              <w:rPr>
                <w:b/>
                <w:bCs/>
              </w:rPr>
              <w:t>C A S号</w:t>
            </w:r>
          </w:p>
        </w:tc>
        <w:tc>
          <w:tcPr>
            <w:tcW w:w="827" w:type="pct"/>
            <w:tcBorders>
              <w:tl2br w:val="nil"/>
              <w:tr2bl w:val="nil"/>
            </w:tcBorders>
            <w:vAlign w:val="center"/>
          </w:tcPr>
          <w:p>
            <w:pPr>
              <w:pStyle w:val="39"/>
              <w:bidi w:val="0"/>
              <w:rPr>
                <w:b/>
                <w:bCs/>
              </w:rPr>
            </w:pPr>
            <w:r>
              <w:rPr>
                <w:rFonts w:hint="eastAsia"/>
                <w:b/>
                <w:bCs/>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1327" w:hRule="atLeast"/>
        </w:trPr>
        <w:tc>
          <w:tcPr>
            <w:tcW w:w="574" w:type="pct"/>
            <w:tcBorders>
              <w:tl2br w:val="nil"/>
              <w:tr2bl w:val="nil"/>
            </w:tcBorders>
            <w:vAlign w:val="center"/>
          </w:tcPr>
          <w:p>
            <w:pPr>
              <w:pStyle w:val="39"/>
              <w:bidi w:val="0"/>
            </w:pPr>
            <w:r>
              <w:t>理</w:t>
            </w:r>
          </w:p>
          <w:p>
            <w:pPr>
              <w:pStyle w:val="39"/>
              <w:bidi w:val="0"/>
            </w:pPr>
            <w:r>
              <w:t>化</w:t>
            </w:r>
          </w:p>
          <w:p>
            <w:pPr>
              <w:pStyle w:val="39"/>
              <w:bidi w:val="0"/>
            </w:pPr>
            <w:r>
              <w:t>性</w:t>
            </w:r>
          </w:p>
          <w:p>
            <w:pPr>
              <w:pStyle w:val="39"/>
              <w:bidi w:val="0"/>
            </w:pPr>
            <w:r>
              <w:t>质</w:t>
            </w:r>
          </w:p>
        </w:tc>
        <w:tc>
          <w:tcPr>
            <w:tcW w:w="4425" w:type="pct"/>
            <w:gridSpan w:val="5"/>
            <w:tcBorders>
              <w:tl2br w:val="nil"/>
              <w:tr2bl w:val="nil"/>
            </w:tcBorders>
            <w:vAlign w:val="center"/>
          </w:tcPr>
          <w:p>
            <w:pPr>
              <w:pStyle w:val="39"/>
              <w:bidi w:val="0"/>
              <w:jc w:val="left"/>
            </w:pPr>
            <w:r>
              <w:t>外观与性状：</w:t>
            </w:r>
            <w:r>
              <w:rPr>
                <w:rFonts w:hint="eastAsia"/>
              </w:rPr>
              <w:t>油状液体，淡黄色至褐色，无气味</w:t>
            </w:r>
            <w:r>
              <w:t xml:space="preserve">。 </w:t>
            </w:r>
          </w:p>
          <w:p>
            <w:pPr>
              <w:pStyle w:val="39"/>
              <w:bidi w:val="0"/>
              <w:jc w:val="left"/>
            </w:pPr>
            <w:r>
              <w:t>主要用途：</w:t>
            </w:r>
            <w:r>
              <w:rPr>
                <w:rFonts w:hint="eastAsia"/>
              </w:rPr>
              <w:t>用于机械的摩擦部分，起润滑、冷却和密封作用。</w:t>
            </w:r>
          </w:p>
          <w:p>
            <w:pPr>
              <w:pStyle w:val="39"/>
              <w:bidi w:val="0"/>
              <w:jc w:val="left"/>
            </w:pPr>
            <w:r>
              <w:t>相对密度：（空气=1）：</w:t>
            </w:r>
          </w:p>
          <w:p>
            <w:pPr>
              <w:pStyle w:val="39"/>
              <w:bidi w:val="0"/>
              <w:jc w:val="left"/>
            </w:pPr>
            <w:r>
              <w:t>饱和蒸气压</w:t>
            </w:r>
            <w:r>
              <w:rPr>
                <w:highlight w:val="none"/>
              </w:rPr>
              <w:t>(</w:t>
            </w:r>
            <w:r>
              <w:t>kPa</w:t>
            </w:r>
            <w:r>
              <w:rPr>
                <w:highlight w:val="none"/>
              </w:rPr>
              <w:t>)</w:t>
            </w:r>
            <w:r>
              <w:t>：</w:t>
            </w:r>
            <w:r>
              <w:rPr>
                <w:rFonts w:hint="eastAsia"/>
              </w:rPr>
              <w:t>/</w:t>
            </w:r>
          </w:p>
          <w:p>
            <w:pPr>
              <w:pStyle w:val="39"/>
              <w:bidi w:val="0"/>
              <w:jc w:val="left"/>
            </w:pPr>
            <w:r>
              <w:t>溶解性：</w:t>
            </w: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91" w:hRule="atLeast"/>
        </w:trPr>
        <w:tc>
          <w:tcPr>
            <w:tcW w:w="574" w:type="pct"/>
            <w:tcBorders>
              <w:tl2br w:val="nil"/>
              <w:tr2bl w:val="nil"/>
            </w:tcBorders>
            <w:vAlign w:val="center"/>
          </w:tcPr>
          <w:p>
            <w:pPr>
              <w:pStyle w:val="39"/>
              <w:bidi w:val="0"/>
            </w:pPr>
            <w:r>
              <w:t>燃</w:t>
            </w:r>
          </w:p>
          <w:p>
            <w:pPr>
              <w:pStyle w:val="39"/>
              <w:bidi w:val="0"/>
            </w:pPr>
            <w:r>
              <w:t>烧</w:t>
            </w:r>
          </w:p>
          <w:p>
            <w:pPr>
              <w:pStyle w:val="39"/>
              <w:bidi w:val="0"/>
            </w:pPr>
            <w:r>
              <w:t>爆</w:t>
            </w:r>
          </w:p>
          <w:p>
            <w:pPr>
              <w:pStyle w:val="39"/>
              <w:bidi w:val="0"/>
            </w:pPr>
            <w:r>
              <w:t>炸</w:t>
            </w:r>
          </w:p>
          <w:p>
            <w:pPr>
              <w:pStyle w:val="39"/>
              <w:bidi w:val="0"/>
            </w:pPr>
            <w:r>
              <w:t>危</w:t>
            </w:r>
          </w:p>
          <w:p>
            <w:pPr>
              <w:pStyle w:val="39"/>
              <w:bidi w:val="0"/>
            </w:pPr>
            <w:r>
              <w:t>险</w:t>
            </w:r>
          </w:p>
          <w:p>
            <w:pPr>
              <w:pStyle w:val="39"/>
              <w:bidi w:val="0"/>
            </w:pPr>
            <w:r>
              <w:t>性</w:t>
            </w:r>
          </w:p>
        </w:tc>
        <w:tc>
          <w:tcPr>
            <w:tcW w:w="4425" w:type="pct"/>
            <w:gridSpan w:val="5"/>
            <w:tcBorders>
              <w:tl2br w:val="nil"/>
              <w:tr2bl w:val="nil"/>
            </w:tcBorders>
          </w:tcPr>
          <w:p>
            <w:pPr>
              <w:pStyle w:val="39"/>
              <w:bidi w:val="0"/>
              <w:jc w:val="left"/>
            </w:pPr>
            <w:r>
              <w:t>燃烧性：</w:t>
            </w:r>
            <w:r>
              <w:rPr>
                <w:rFonts w:hint="eastAsia"/>
              </w:rPr>
              <w:t>可燃</w:t>
            </w:r>
          </w:p>
          <w:p>
            <w:pPr>
              <w:pStyle w:val="39"/>
              <w:bidi w:val="0"/>
              <w:jc w:val="left"/>
            </w:pPr>
            <w:r>
              <w:t>建规火险等级：</w:t>
            </w:r>
            <w:r>
              <w:rPr>
                <w:rFonts w:hint="eastAsia"/>
              </w:rPr>
              <w:t>甲</w:t>
            </w:r>
          </w:p>
          <w:p>
            <w:pPr>
              <w:pStyle w:val="39"/>
              <w:bidi w:val="0"/>
              <w:jc w:val="left"/>
            </w:pPr>
            <w:r>
              <w:t>闪点：</w:t>
            </w:r>
            <w:r>
              <w:rPr>
                <w:rFonts w:hint="eastAsia"/>
              </w:rPr>
              <w:t>76℃</w:t>
            </w:r>
            <w:r>
              <w:t xml:space="preserve">；                   </w:t>
            </w:r>
          </w:p>
          <w:p>
            <w:pPr>
              <w:pStyle w:val="39"/>
              <w:bidi w:val="0"/>
              <w:jc w:val="left"/>
            </w:pPr>
            <w:r>
              <w:rPr>
                <w:highlight w:val="none"/>
              </w:rPr>
              <w:t>自燃点</w:t>
            </w:r>
            <w:r>
              <w:t>：无意义；</w:t>
            </w:r>
          </w:p>
          <w:p>
            <w:pPr>
              <w:pStyle w:val="39"/>
              <w:bidi w:val="0"/>
              <w:jc w:val="left"/>
            </w:pPr>
            <w:r>
              <w:t>爆炸下限：无意义；</w:t>
            </w:r>
          </w:p>
          <w:p>
            <w:pPr>
              <w:pStyle w:val="39"/>
              <w:bidi w:val="0"/>
              <w:jc w:val="left"/>
            </w:pPr>
            <w:r>
              <w:t>爆炸上限：无意义；</w:t>
            </w:r>
          </w:p>
          <w:p>
            <w:pPr>
              <w:pStyle w:val="39"/>
              <w:bidi w:val="0"/>
              <w:jc w:val="left"/>
            </w:pPr>
            <w:r>
              <w:t>危险特性：能对发动机起到润滑减磨、辅助冷却降温、密封防漏、防锈防蚀、减震缓冲等作用。</w:t>
            </w:r>
          </w:p>
          <w:p>
            <w:pPr>
              <w:pStyle w:val="39"/>
              <w:bidi w:val="0"/>
              <w:jc w:val="left"/>
            </w:pPr>
            <w:r>
              <w:t xml:space="preserve">稳定性： 稳定 </w:t>
            </w:r>
          </w:p>
          <w:p>
            <w:pPr>
              <w:pStyle w:val="39"/>
              <w:bidi w:val="0"/>
              <w:jc w:val="left"/>
            </w:pPr>
            <w:r>
              <w:t>聚合危害： 不出现；</w:t>
            </w:r>
            <w:r>
              <w:br w:type="textWrapping"/>
            </w:r>
            <w:r>
              <w:t>避免接触的条件：</w:t>
            </w:r>
            <w:r>
              <w:rPr>
                <w:rFonts w:hint="eastAsia"/>
              </w:rPr>
              <w:t>极端温度和阳光直晒</w:t>
            </w:r>
            <w:r>
              <w:t>。</w:t>
            </w:r>
            <w:r>
              <w:br w:type="textWrapping"/>
            </w:r>
            <w:r>
              <w:t>禁忌物：</w:t>
            </w:r>
            <w:r>
              <w:rPr>
                <w:rFonts w:hint="eastAsia"/>
              </w:rPr>
              <w:t>强氧化剂</w:t>
            </w:r>
            <w:r>
              <w:t>。</w:t>
            </w:r>
          </w:p>
          <w:p>
            <w:pPr>
              <w:pStyle w:val="39"/>
              <w:bidi w:val="0"/>
              <w:jc w:val="left"/>
            </w:pPr>
            <w:r>
              <w:t>灭火方法：</w:t>
            </w:r>
            <w:r>
              <w:rPr>
                <w:rFonts w:hint="eastAsia"/>
              </w:rPr>
              <w:t>沙子、泥土、灭火器</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tcBorders>
              <w:tl2br w:val="nil"/>
              <w:tr2bl w:val="nil"/>
            </w:tcBorders>
            <w:vAlign w:val="center"/>
          </w:tcPr>
          <w:p>
            <w:pPr>
              <w:pStyle w:val="39"/>
              <w:bidi w:val="0"/>
            </w:pPr>
            <w:r>
              <w:t>包</w:t>
            </w:r>
          </w:p>
          <w:p>
            <w:pPr>
              <w:pStyle w:val="39"/>
              <w:bidi w:val="0"/>
            </w:pPr>
            <w:r>
              <w:t>装</w:t>
            </w:r>
          </w:p>
          <w:p>
            <w:pPr>
              <w:pStyle w:val="39"/>
              <w:bidi w:val="0"/>
            </w:pPr>
            <w:r>
              <w:t>与</w:t>
            </w:r>
          </w:p>
          <w:p>
            <w:pPr>
              <w:pStyle w:val="39"/>
              <w:bidi w:val="0"/>
            </w:pPr>
            <w:r>
              <w:t>储</w:t>
            </w:r>
          </w:p>
          <w:p>
            <w:pPr>
              <w:pStyle w:val="39"/>
              <w:bidi w:val="0"/>
            </w:pPr>
            <w:r>
              <w:t>运</w:t>
            </w:r>
          </w:p>
        </w:tc>
        <w:tc>
          <w:tcPr>
            <w:tcW w:w="4425" w:type="pct"/>
            <w:gridSpan w:val="5"/>
            <w:tcBorders>
              <w:tl2br w:val="nil"/>
              <w:tr2bl w:val="nil"/>
            </w:tcBorders>
            <w:vAlign w:val="center"/>
          </w:tcPr>
          <w:p>
            <w:pPr>
              <w:pStyle w:val="39"/>
              <w:bidi w:val="0"/>
              <w:jc w:val="left"/>
            </w:pPr>
            <w:r>
              <w:t>危险性类别：</w:t>
            </w:r>
            <w:r>
              <w:rPr>
                <w:rFonts w:hint="eastAsia"/>
              </w:rPr>
              <w:t>/</w:t>
            </w:r>
            <w:r>
              <w:t>；</w:t>
            </w:r>
          </w:p>
          <w:p>
            <w:pPr>
              <w:pStyle w:val="39"/>
              <w:bidi w:val="0"/>
              <w:jc w:val="left"/>
            </w:pPr>
            <w:r>
              <w:t>危险货物包装标志：</w:t>
            </w:r>
            <w:r>
              <w:rPr>
                <w:rFonts w:hint="eastAsia"/>
              </w:rPr>
              <w:t>/</w:t>
            </w:r>
            <w:r>
              <w:t>；</w:t>
            </w:r>
          </w:p>
          <w:p>
            <w:pPr>
              <w:pStyle w:val="39"/>
              <w:bidi w:val="0"/>
              <w:jc w:val="left"/>
            </w:pPr>
            <w:r>
              <w:t>包装类别：</w:t>
            </w:r>
            <w:r>
              <w:rPr>
                <w:rFonts w:hint="eastAsia"/>
              </w:rPr>
              <w:t>Z01</w:t>
            </w:r>
            <w:r>
              <w:t>；</w:t>
            </w:r>
          </w:p>
          <w:p>
            <w:pPr>
              <w:pStyle w:val="39"/>
              <w:bidi w:val="0"/>
              <w:jc w:val="left"/>
            </w:pPr>
            <w:r>
              <w:t>储运注意事项：</w:t>
            </w:r>
            <w:r>
              <w:rPr>
                <w:rFonts w:hint="eastAsia"/>
              </w:rPr>
              <w:t>保存在凉爽、通风好的地方。使用正确的、贴有标签的、可封闭的容器。避</w:t>
            </w:r>
          </w:p>
          <w:p>
            <w:pPr>
              <w:pStyle w:val="39"/>
              <w:bidi w:val="0"/>
              <w:jc w:val="left"/>
            </w:pPr>
            <w:r>
              <w:rPr>
                <w:rFonts w:hint="eastAsia"/>
              </w:rPr>
              <w:t>开阳光直晒、热源和强氧化剂</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tcBorders>
              <w:tl2br w:val="nil"/>
              <w:tr2bl w:val="nil"/>
            </w:tcBorders>
            <w:vAlign w:val="center"/>
          </w:tcPr>
          <w:p>
            <w:pPr>
              <w:pStyle w:val="39"/>
              <w:bidi w:val="0"/>
            </w:pPr>
            <w:r>
              <w:t>毒性</w:t>
            </w:r>
          </w:p>
          <w:p>
            <w:pPr>
              <w:pStyle w:val="39"/>
              <w:bidi w:val="0"/>
            </w:pPr>
            <w:r>
              <w:t>及</w:t>
            </w:r>
          </w:p>
          <w:p>
            <w:pPr>
              <w:pStyle w:val="39"/>
              <w:bidi w:val="0"/>
            </w:pPr>
            <w:r>
              <w:t>健康</w:t>
            </w:r>
          </w:p>
          <w:p>
            <w:pPr>
              <w:pStyle w:val="39"/>
              <w:bidi w:val="0"/>
            </w:pPr>
            <w:r>
              <w:t>危害</w:t>
            </w:r>
          </w:p>
          <w:p>
            <w:pPr>
              <w:pStyle w:val="39"/>
              <w:bidi w:val="0"/>
            </w:pPr>
            <w:r>
              <w:t>性</w:t>
            </w:r>
          </w:p>
        </w:tc>
        <w:tc>
          <w:tcPr>
            <w:tcW w:w="4425" w:type="pct"/>
            <w:gridSpan w:val="5"/>
            <w:tcBorders>
              <w:tl2br w:val="nil"/>
              <w:tr2bl w:val="nil"/>
            </w:tcBorders>
            <w:vAlign w:val="center"/>
          </w:tcPr>
          <w:p>
            <w:pPr>
              <w:pStyle w:val="39"/>
              <w:bidi w:val="0"/>
              <w:jc w:val="left"/>
            </w:pPr>
            <w:r>
              <w:t>接触限值：</w:t>
            </w:r>
            <w:r>
              <w:rPr>
                <w:rFonts w:hint="eastAsia"/>
              </w:rPr>
              <w:t>无标准限值</w:t>
            </w:r>
            <w:r>
              <w:t>。</w:t>
            </w:r>
          </w:p>
          <w:p>
            <w:pPr>
              <w:pStyle w:val="39"/>
              <w:bidi w:val="0"/>
              <w:jc w:val="left"/>
            </w:pPr>
            <w:r>
              <w:t>毒性：</w:t>
            </w:r>
          </w:p>
          <w:p>
            <w:pPr>
              <w:pStyle w:val="39"/>
              <w:bidi w:val="0"/>
              <w:jc w:val="left"/>
            </w:pPr>
            <w:r>
              <w:t>LD50：</w:t>
            </w:r>
            <w:r>
              <w:rPr>
                <w:rFonts w:hint="eastAsia"/>
              </w:rPr>
              <w:t>200</w:t>
            </w:r>
            <w:r>
              <w:t>0mg</w:t>
            </w:r>
            <w:r>
              <w:rPr>
                <w:rFonts w:hint="eastAsia"/>
              </w:rPr>
              <w:t>/</w:t>
            </w:r>
            <w:r>
              <w:t>kg。</w:t>
            </w:r>
          </w:p>
          <w:p>
            <w:pPr>
              <w:pStyle w:val="39"/>
              <w:bidi w:val="0"/>
              <w:jc w:val="left"/>
            </w:pPr>
            <w:r>
              <w:t>健康危害：</w:t>
            </w:r>
            <w:r>
              <w:rPr>
                <w:rFonts w:hint="eastAsia"/>
              </w:rPr>
              <w:t>急性吸入，可出现乏力、头晕、头痛、恶心，严重者可引起油脂性肺炎。慢接触者，暴露部位可发生油性痤疮和接触性皮炎。可引起神经衰弱综合征，呼吸道和眼刺激症状及慢性油脂性肺炎。有资料报道，接触石油润滑油类的工人，有致癌的病例报告</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tcBorders>
              <w:tl2br w:val="nil"/>
              <w:tr2bl w:val="nil"/>
            </w:tcBorders>
            <w:vAlign w:val="center"/>
          </w:tcPr>
          <w:p>
            <w:pPr>
              <w:pStyle w:val="39"/>
              <w:bidi w:val="0"/>
            </w:pPr>
            <w:r>
              <w:t>急</w:t>
            </w:r>
          </w:p>
          <w:p>
            <w:pPr>
              <w:pStyle w:val="39"/>
              <w:bidi w:val="0"/>
            </w:pPr>
          </w:p>
          <w:p>
            <w:pPr>
              <w:pStyle w:val="39"/>
              <w:bidi w:val="0"/>
            </w:pPr>
            <w:r>
              <w:t>救</w:t>
            </w:r>
          </w:p>
        </w:tc>
        <w:tc>
          <w:tcPr>
            <w:tcW w:w="4425" w:type="pct"/>
            <w:gridSpan w:val="5"/>
            <w:tcBorders>
              <w:tl2br w:val="nil"/>
              <w:tr2bl w:val="nil"/>
            </w:tcBorders>
            <w:vAlign w:val="center"/>
          </w:tcPr>
          <w:p>
            <w:pPr>
              <w:pStyle w:val="39"/>
              <w:bidi w:val="0"/>
              <w:jc w:val="left"/>
            </w:pPr>
            <w:r>
              <w:t>皮肤接触：</w:t>
            </w:r>
            <w:r>
              <w:rPr>
                <w:rFonts w:hint="eastAsia"/>
              </w:rPr>
              <w:t>脱去污染的衣着，用大量流动清水冲洗。就医</w:t>
            </w:r>
            <w:r>
              <w:t>。</w:t>
            </w:r>
          </w:p>
          <w:p>
            <w:pPr>
              <w:pStyle w:val="39"/>
              <w:bidi w:val="0"/>
              <w:jc w:val="left"/>
            </w:pPr>
            <w:r>
              <w:t>眼睛接触：</w:t>
            </w:r>
            <w:r>
              <w:rPr>
                <w:rFonts w:hint="eastAsia"/>
              </w:rPr>
              <w:t>提起眼睑，用流动清水或生理盐水冲洗。就医。</w:t>
            </w:r>
          </w:p>
          <w:p>
            <w:pPr>
              <w:pStyle w:val="39"/>
              <w:bidi w:val="0"/>
              <w:jc w:val="left"/>
            </w:pPr>
            <w:r>
              <w:t>吸入：</w:t>
            </w:r>
            <w:r>
              <w:rPr>
                <w:rFonts w:hint="eastAsia"/>
              </w:rPr>
              <w:t>迅速脱离现场至空气新鲜处。保持呼吸道通畅。如呼吸困难，给输氧。如呼吸停止，立即进行人工呼吸。就医</w:t>
            </w:r>
            <w:r>
              <w:t>。</w:t>
            </w:r>
          </w:p>
          <w:p>
            <w:pPr>
              <w:pStyle w:val="39"/>
              <w:bidi w:val="0"/>
              <w:jc w:val="left"/>
            </w:pPr>
            <w:r>
              <w:t>食入：</w:t>
            </w:r>
            <w:r>
              <w:rPr>
                <w:rFonts w:hint="eastAsia"/>
              </w:rPr>
              <w:t>饮足量温水，催吐。就医</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tcBorders>
              <w:tl2br w:val="nil"/>
              <w:tr2bl w:val="nil"/>
            </w:tcBorders>
            <w:vAlign w:val="center"/>
          </w:tcPr>
          <w:p>
            <w:pPr>
              <w:pStyle w:val="39"/>
              <w:bidi w:val="0"/>
            </w:pPr>
            <w:r>
              <w:t>防</w:t>
            </w:r>
          </w:p>
          <w:p>
            <w:pPr>
              <w:pStyle w:val="39"/>
              <w:bidi w:val="0"/>
            </w:pPr>
            <w:r>
              <w:t>护</w:t>
            </w:r>
          </w:p>
          <w:p>
            <w:pPr>
              <w:pStyle w:val="39"/>
              <w:bidi w:val="0"/>
            </w:pPr>
            <w:r>
              <w:t>措</w:t>
            </w:r>
          </w:p>
          <w:p>
            <w:pPr>
              <w:pStyle w:val="39"/>
              <w:bidi w:val="0"/>
            </w:pPr>
            <w:r>
              <w:t>施</w:t>
            </w:r>
          </w:p>
        </w:tc>
        <w:tc>
          <w:tcPr>
            <w:tcW w:w="4425" w:type="pct"/>
            <w:gridSpan w:val="5"/>
            <w:tcBorders>
              <w:tl2br w:val="nil"/>
              <w:tr2bl w:val="nil"/>
            </w:tcBorders>
            <w:vAlign w:val="center"/>
          </w:tcPr>
          <w:p>
            <w:pPr>
              <w:pStyle w:val="39"/>
              <w:bidi w:val="0"/>
              <w:jc w:val="left"/>
            </w:pPr>
            <w:r>
              <w:t>工程控制：密闭操作，注意通风。</w:t>
            </w:r>
          </w:p>
          <w:p>
            <w:pPr>
              <w:pStyle w:val="39"/>
              <w:bidi w:val="0"/>
              <w:jc w:val="left"/>
            </w:pPr>
            <w:r>
              <w:t>呼吸系统防护：</w:t>
            </w:r>
            <w:r>
              <w:rPr>
                <w:rFonts w:hint="eastAsia"/>
              </w:rPr>
              <w:t>空气中浓度超标时，必须佩戴自吸过滤式防毒面具（半面罩）。紧急事态抢救或撤离时，应该佩戴空气呼吸器</w:t>
            </w:r>
            <w:r>
              <w:t>。</w:t>
            </w:r>
            <w:r>
              <w:br w:type="textWrapping"/>
            </w:r>
            <w:r>
              <w:t>眼睛防护：戴化学安全防护眼镜。</w:t>
            </w:r>
            <w:r>
              <w:br w:type="textWrapping"/>
            </w:r>
            <w:r>
              <w:t>身体防护：穿</w:t>
            </w:r>
            <w:r>
              <w:rPr>
                <w:rFonts w:hint="eastAsia"/>
              </w:rPr>
              <w:t>防毒物渗透工作</w:t>
            </w:r>
            <w:r>
              <w:t>服。</w:t>
            </w:r>
            <w:r>
              <w:br w:type="textWrapping"/>
            </w:r>
            <w:r>
              <w:t>手防护：戴橡胶耐</w:t>
            </w:r>
            <w:r>
              <w:rPr>
                <w:rFonts w:hint="eastAsia"/>
              </w:rPr>
              <w:t>油</w:t>
            </w:r>
            <w:r>
              <w:t>手套。</w:t>
            </w:r>
          </w:p>
          <w:p>
            <w:pPr>
              <w:pStyle w:val="39"/>
              <w:bidi w:val="0"/>
              <w:jc w:val="left"/>
            </w:pPr>
            <w:r>
              <w:rPr>
                <w:highlight w:val="none"/>
              </w:rPr>
              <w:t>其它</w:t>
            </w:r>
            <w:r>
              <w:t>：</w:t>
            </w:r>
            <w:r>
              <w:rPr>
                <w:rFonts w:hint="eastAsia"/>
              </w:rPr>
              <w:t>工作现场严禁吸烟。避免长期反复接触</w:t>
            </w: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66" w:hRule="atLeast"/>
        </w:trPr>
        <w:tc>
          <w:tcPr>
            <w:tcW w:w="574" w:type="pct"/>
            <w:tcBorders>
              <w:tl2br w:val="nil"/>
              <w:tr2bl w:val="nil"/>
            </w:tcBorders>
            <w:vAlign w:val="center"/>
          </w:tcPr>
          <w:p>
            <w:pPr>
              <w:pStyle w:val="39"/>
              <w:bidi w:val="0"/>
            </w:pPr>
            <w:r>
              <w:t>泄</w:t>
            </w:r>
          </w:p>
          <w:p>
            <w:pPr>
              <w:pStyle w:val="39"/>
              <w:bidi w:val="0"/>
            </w:pPr>
            <w:r>
              <w:t>漏</w:t>
            </w:r>
          </w:p>
          <w:p>
            <w:pPr>
              <w:pStyle w:val="39"/>
              <w:bidi w:val="0"/>
            </w:pPr>
            <w:r>
              <w:t>处</w:t>
            </w:r>
          </w:p>
          <w:p>
            <w:pPr>
              <w:pStyle w:val="39"/>
              <w:bidi w:val="0"/>
            </w:pPr>
            <w:r>
              <w:t>置</w:t>
            </w:r>
          </w:p>
        </w:tc>
        <w:tc>
          <w:tcPr>
            <w:tcW w:w="4425" w:type="pct"/>
            <w:gridSpan w:val="5"/>
            <w:tcBorders>
              <w:tl2br w:val="nil"/>
              <w:tr2bl w:val="nil"/>
            </w:tcBorders>
            <w:vAlign w:val="center"/>
          </w:tcPr>
          <w:p>
            <w:pPr>
              <w:pStyle w:val="39"/>
              <w:bidi w:val="0"/>
              <w:jc w:val="left"/>
            </w:pPr>
            <w:r>
              <w:t>迅速撤离泄漏污染区人员至安全区，</w:t>
            </w:r>
            <w:r>
              <w:rPr>
                <w:rFonts w:hint="eastAsia"/>
              </w:rPr>
              <w:t>并进行隔离，严格限制出入。切断火源</w:t>
            </w:r>
            <w:r>
              <w:t>。</w:t>
            </w:r>
            <w:r>
              <w:rPr>
                <w:rFonts w:hint="eastAsia"/>
              </w:rPr>
              <w:t>建议应急处理人员戴空气呼吸器，穿防毒服。尽可能切断泄漏源。防止流入下水道、排洪沟等限制性空间。小量泄漏：用</w:t>
            </w:r>
            <w:r>
              <w:rPr>
                <w:rFonts w:hint="eastAsia"/>
                <w:highlight w:val="none"/>
                <w:lang w:val="en-US" w:eastAsia="zh-CN"/>
              </w:rPr>
              <w:t>沙</w:t>
            </w:r>
            <w:r>
              <w:rPr>
                <w:rFonts w:hint="eastAsia"/>
                <w:highlight w:val="none"/>
              </w:rPr>
              <w:t>土</w:t>
            </w:r>
            <w:r>
              <w:rPr>
                <w:rFonts w:hint="eastAsia"/>
              </w:rPr>
              <w:t>或其他不燃材料吸附或吸收。大量泄漏：构筑围堤或挖坑收容。用泵转移至槽车或专用运至废物处理所处置。</w:t>
            </w:r>
          </w:p>
        </w:tc>
      </w:tr>
    </w:tbl>
    <w:p>
      <w:pPr>
        <w:pStyle w:val="5"/>
        <w:bidi w:val="0"/>
      </w:pPr>
      <w:bookmarkStart w:id="131" w:name="_Toc16953"/>
      <w:bookmarkStart w:id="132" w:name="_Toc4033"/>
      <w:bookmarkStart w:id="133" w:name="_Toc5897"/>
      <w:bookmarkStart w:id="134" w:name="_Toc37591901"/>
      <w:bookmarkStart w:id="135" w:name="_Toc23672"/>
      <w:bookmarkStart w:id="136" w:name="_Toc20926"/>
      <w:r>
        <w:rPr>
          <w:rFonts w:hint="eastAsia"/>
          <w:lang w:val="en-US" w:eastAsia="zh-CN"/>
        </w:rPr>
        <w:t>2</w:t>
      </w:r>
      <w:r>
        <w:rPr>
          <w:rFonts w:hint="eastAsia"/>
        </w:rPr>
        <w:t>.1.</w:t>
      </w:r>
      <w:r>
        <w:rPr>
          <w:rFonts w:hint="eastAsia"/>
          <w:lang w:val="en-US" w:eastAsia="zh-CN"/>
        </w:rPr>
        <w:t>3</w:t>
      </w:r>
      <w:r>
        <w:t xml:space="preserve"> </w:t>
      </w:r>
      <w:r>
        <w:rPr>
          <w:rFonts w:hint="eastAsia"/>
        </w:rPr>
        <w:t>主要设备情况</w:t>
      </w:r>
      <w:bookmarkEnd w:id="127"/>
      <w:bookmarkEnd w:id="128"/>
      <w:bookmarkEnd w:id="129"/>
      <w:bookmarkEnd w:id="130"/>
      <w:bookmarkEnd w:id="131"/>
      <w:bookmarkEnd w:id="132"/>
      <w:bookmarkEnd w:id="133"/>
      <w:bookmarkEnd w:id="134"/>
      <w:bookmarkEnd w:id="135"/>
      <w:bookmarkEnd w:id="136"/>
    </w:p>
    <w:p>
      <w:pPr>
        <w:bidi w:val="0"/>
      </w:pPr>
      <w:r>
        <w:rPr>
          <w:rFonts w:hint="eastAsia"/>
        </w:rPr>
        <w:t>公司建立了完善的设备检修制度，定期对公司设备进行巡查、检修，并做好相关记录，确保设备正常运转，有力保证了生产，确保产品产量和质量的稳定。公司主要设备情况见表3.1.</w:t>
      </w:r>
      <w:r>
        <w:rPr>
          <w:rFonts w:hint="eastAsia"/>
          <w:lang w:val="en-US" w:eastAsia="zh-CN"/>
        </w:rPr>
        <w:t>3</w:t>
      </w:r>
      <w:r>
        <w:rPr>
          <w:rFonts w:hint="eastAsia"/>
        </w:rPr>
        <w:t>-1。</w:t>
      </w:r>
    </w:p>
    <w:p>
      <w:pPr>
        <w:pStyle w:val="28"/>
        <w:bidi w:val="0"/>
      </w:pPr>
      <w:r>
        <w:rPr>
          <w:rFonts w:hint="eastAsia"/>
        </w:rPr>
        <w:t>表</w:t>
      </w:r>
      <w:r>
        <w:rPr>
          <w:rFonts w:hint="eastAsia"/>
          <w:lang w:val="en-US" w:eastAsia="zh-CN"/>
        </w:rPr>
        <w:t>2</w:t>
      </w:r>
      <w:r>
        <w:rPr>
          <w:rFonts w:hint="eastAsia"/>
        </w:rPr>
        <w:t>.1</w:t>
      </w:r>
      <w:r>
        <w:rPr>
          <w:rFonts w:hint="eastAsia"/>
          <w:lang w:val="en-US" w:eastAsia="zh-CN"/>
        </w:rPr>
        <w:t>.3</w:t>
      </w:r>
      <w:r>
        <w:rPr>
          <w:rFonts w:hint="eastAsia"/>
        </w:rPr>
        <w:t>-</w:t>
      </w:r>
      <w:r>
        <w:rPr>
          <w:rFonts w:hint="eastAsia"/>
          <w:lang w:val="en-US" w:eastAsia="zh-CN"/>
        </w:rPr>
        <w:t>1</w:t>
      </w:r>
      <w:r>
        <w:t xml:space="preserve"> </w:t>
      </w:r>
      <w:r>
        <w:rPr>
          <w:rFonts w:hint="eastAsia"/>
        </w:rPr>
        <w:t>项目生产工艺设备一览表</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03"/>
        <w:gridCol w:w="1879"/>
        <w:gridCol w:w="1751"/>
        <w:gridCol w:w="1211"/>
        <w:gridCol w:w="1341"/>
        <w:gridCol w:w="18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403" w:type="pct"/>
            <w:tcBorders>
              <w:bottom w:val="single" w:color="auto" w:sz="12" w:space="0"/>
            </w:tcBorders>
            <w:vAlign w:val="center"/>
          </w:tcPr>
          <w:p>
            <w:pPr>
              <w:pStyle w:val="39"/>
              <w:bidi w:val="0"/>
              <w:rPr>
                <w:b/>
                <w:bCs/>
              </w:rPr>
            </w:pPr>
            <w:r>
              <w:rPr>
                <w:b/>
                <w:bCs/>
              </w:rPr>
              <w:t>序号</w:t>
            </w:r>
          </w:p>
        </w:tc>
        <w:tc>
          <w:tcPr>
            <w:tcW w:w="1077" w:type="pct"/>
            <w:tcBorders>
              <w:bottom w:val="single" w:color="auto" w:sz="12" w:space="0"/>
            </w:tcBorders>
            <w:vAlign w:val="center"/>
          </w:tcPr>
          <w:p>
            <w:pPr>
              <w:pStyle w:val="39"/>
              <w:bidi w:val="0"/>
              <w:rPr>
                <w:b/>
                <w:bCs/>
              </w:rPr>
            </w:pPr>
            <w:r>
              <w:rPr>
                <w:b/>
                <w:bCs/>
              </w:rPr>
              <w:t>设备名称</w:t>
            </w:r>
          </w:p>
        </w:tc>
        <w:tc>
          <w:tcPr>
            <w:tcW w:w="1004" w:type="pct"/>
            <w:tcBorders>
              <w:bottom w:val="single" w:color="auto" w:sz="12" w:space="0"/>
            </w:tcBorders>
            <w:vAlign w:val="center"/>
          </w:tcPr>
          <w:p>
            <w:pPr>
              <w:pStyle w:val="39"/>
              <w:bidi w:val="0"/>
              <w:rPr>
                <w:b/>
                <w:bCs/>
              </w:rPr>
            </w:pPr>
            <w:r>
              <w:rPr>
                <w:rFonts w:hint="eastAsia"/>
                <w:b/>
                <w:bCs/>
              </w:rPr>
              <w:t>型号</w:t>
            </w:r>
          </w:p>
        </w:tc>
        <w:tc>
          <w:tcPr>
            <w:tcW w:w="694" w:type="pct"/>
            <w:tcBorders>
              <w:bottom w:val="single" w:color="auto" w:sz="12" w:space="0"/>
            </w:tcBorders>
            <w:vAlign w:val="center"/>
          </w:tcPr>
          <w:p>
            <w:pPr>
              <w:pStyle w:val="39"/>
              <w:bidi w:val="0"/>
              <w:rPr>
                <w:b/>
                <w:bCs/>
              </w:rPr>
            </w:pPr>
            <w:r>
              <w:rPr>
                <w:b/>
                <w:bCs/>
              </w:rPr>
              <w:t>数量</w:t>
            </w:r>
            <w:r>
              <w:rPr>
                <w:b/>
                <w:bCs/>
                <w:highlight w:val="none"/>
              </w:rPr>
              <w:t>(</w:t>
            </w:r>
            <w:r>
              <w:rPr>
                <w:b/>
                <w:bCs/>
              </w:rPr>
              <w:t>台/套</w:t>
            </w:r>
            <w:r>
              <w:rPr>
                <w:b/>
                <w:bCs/>
                <w:highlight w:val="none"/>
              </w:rPr>
              <w:t>)</w:t>
            </w:r>
          </w:p>
        </w:tc>
        <w:tc>
          <w:tcPr>
            <w:tcW w:w="769" w:type="pct"/>
            <w:tcBorders>
              <w:bottom w:val="single" w:color="auto" w:sz="12" w:space="0"/>
            </w:tcBorders>
            <w:vAlign w:val="center"/>
          </w:tcPr>
          <w:p>
            <w:pPr>
              <w:pStyle w:val="39"/>
              <w:bidi w:val="0"/>
              <w:rPr>
                <w:b/>
                <w:bCs/>
              </w:rPr>
            </w:pPr>
            <w:r>
              <w:rPr>
                <w:rFonts w:hint="eastAsia"/>
                <w:b/>
                <w:bCs/>
              </w:rPr>
              <w:t>备注</w:t>
            </w:r>
          </w:p>
        </w:tc>
        <w:tc>
          <w:tcPr>
            <w:tcW w:w="1050" w:type="pct"/>
            <w:tcBorders>
              <w:bottom w:val="single" w:color="auto" w:sz="12" w:space="0"/>
            </w:tcBorders>
            <w:vAlign w:val="center"/>
          </w:tcPr>
          <w:p>
            <w:pPr>
              <w:pStyle w:val="39"/>
              <w:bidi w:val="0"/>
              <w:rPr>
                <w:b/>
                <w:bCs/>
              </w:rPr>
            </w:pPr>
            <w:r>
              <w:rPr>
                <w:b/>
                <w:bCs/>
              </w:rPr>
              <w:t>放置位置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3" w:type="pct"/>
            <w:tcBorders>
              <w:top w:val="single" w:color="auto" w:sz="12" w:space="0"/>
              <w:tl2br w:val="nil"/>
              <w:tr2bl w:val="nil"/>
            </w:tcBorders>
            <w:vAlign w:val="center"/>
          </w:tcPr>
          <w:p>
            <w:pPr>
              <w:pStyle w:val="39"/>
              <w:bidi w:val="0"/>
            </w:pPr>
            <w:r>
              <w:rPr>
                <w:rFonts w:hint="eastAsia"/>
              </w:rPr>
              <w:t>1</w:t>
            </w:r>
          </w:p>
        </w:tc>
        <w:tc>
          <w:tcPr>
            <w:tcW w:w="1077" w:type="pct"/>
            <w:tcBorders>
              <w:top w:val="single" w:color="auto" w:sz="12" w:space="0"/>
              <w:tl2br w:val="nil"/>
              <w:tr2bl w:val="nil"/>
            </w:tcBorders>
            <w:vAlign w:val="center"/>
          </w:tcPr>
          <w:p>
            <w:pPr>
              <w:pStyle w:val="39"/>
              <w:bidi w:val="0"/>
            </w:pPr>
            <w:r>
              <w:rPr>
                <w:rFonts w:hint="eastAsia"/>
              </w:rPr>
              <w:t>数控机床</w:t>
            </w:r>
          </w:p>
        </w:tc>
        <w:tc>
          <w:tcPr>
            <w:tcW w:w="1004" w:type="pct"/>
            <w:tcBorders>
              <w:top w:val="single" w:color="auto" w:sz="12" w:space="0"/>
              <w:tl2br w:val="nil"/>
              <w:tr2bl w:val="nil"/>
            </w:tcBorders>
            <w:vAlign w:val="center"/>
          </w:tcPr>
          <w:p>
            <w:pPr>
              <w:pStyle w:val="39"/>
              <w:bidi w:val="0"/>
            </w:pPr>
            <w:r>
              <w:t>/</w:t>
            </w:r>
          </w:p>
        </w:tc>
        <w:tc>
          <w:tcPr>
            <w:tcW w:w="694" w:type="pct"/>
            <w:tcBorders>
              <w:top w:val="single" w:color="auto" w:sz="12" w:space="0"/>
              <w:tl2br w:val="nil"/>
              <w:tr2bl w:val="nil"/>
            </w:tcBorders>
            <w:vAlign w:val="center"/>
          </w:tcPr>
          <w:p>
            <w:pPr>
              <w:pStyle w:val="39"/>
              <w:bidi w:val="0"/>
            </w:pPr>
            <w:r>
              <w:t>1</w:t>
            </w:r>
            <w:r>
              <w:rPr>
                <w:rFonts w:hint="eastAsia"/>
              </w:rPr>
              <w:t>3</w:t>
            </w:r>
            <w:r>
              <w:t>套</w:t>
            </w:r>
          </w:p>
        </w:tc>
        <w:tc>
          <w:tcPr>
            <w:tcW w:w="769" w:type="pct"/>
            <w:tcBorders>
              <w:top w:val="single" w:color="auto" w:sz="12" w:space="0"/>
              <w:tl2br w:val="nil"/>
              <w:tr2bl w:val="nil"/>
            </w:tcBorders>
            <w:vAlign w:val="center"/>
          </w:tcPr>
          <w:p>
            <w:pPr>
              <w:pStyle w:val="39"/>
              <w:bidi w:val="0"/>
            </w:pPr>
            <w:r>
              <w:rPr>
                <w:rFonts w:hint="eastAsia"/>
              </w:rPr>
              <w:t>/</w:t>
            </w:r>
          </w:p>
        </w:tc>
        <w:tc>
          <w:tcPr>
            <w:tcW w:w="1050" w:type="pct"/>
            <w:tcBorders>
              <w:top w:val="single" w:color="auto" w:sz="12" w:space="0"/>
              <w:tl2br w:val="nil"/>
              <w:tr2bl w:val="nil"/>
            </w:tcBorders>
            <w:vAlign w:val="center"/>
          </w:tcPr>
          <w:p>
            <w:pPr>
              <w:pStyle w:val="39"/>
              <w:bidi w:val="0"/>
            </w:pPr>
            <w:r>
              <w:rPr>
                <w:rFonts w:hint="eastAsia"/>
              </w:rPr>
              <w:t>冲压、车削工序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3" w:type="pct"/>
            <w:tcBorders>
              <w:tl2br w:val="nil"/>
              <w:tr2bl w:val="nil"/>
            </w:tcBorders>
            <w:vAlign w:val="center"/>
          </w:tcPr>
          <w:p>
            <w:pPr>
              <w:pStyle w:val="39"/>
              <w:bidi w:val="0"/>
            </w:pPr>
            <w:r>
              <w:rPr>
                <w:rFonts w:hint="eastAsia"/>
              </w:rPr>
              <w:t>2</w:t>
            </w:r>
          </w:p>
        </w:tc>
        <w:tc>
          <w:tcPr>
            <w:tcW w:w="1077" w:type="pct"/>
            <w:tcBorders>
              <w:tl2br w:val="nil"/>
              <w:tr2bl w:val="nil"/>
            </w:tcBorders>
            <w:vAlign w:val="center"/>
          </w:tcPr>
          <w:p>
            <w:pPr>
              <w:pStyle w:val="39"/>
              <w:bidi w:val="0"/>
            </w:pPr>
            <w:r>
              <w:rPr>
                <w:rFonts w:hint="eastAsia"/>
              </w:rPr>
              <w:t>冲床</w:t>
            </w:r>
          </w:p>
        </w:tc>
        <w:tc>
          <w:tcPr>
            <w:tcW w:w="1004" w:type="pct"/>
            <w:tcBorders>
              <w:tl2br w:val="nil"/>
              <w:tr2bl w:val="nil"/>
            </w:tcBorders>
            <w:vAlign w:val="center"/>
          </w:tcPr>
          <w:p>
            <w:pPr>
              <w:pStyle w:val="39"/>
              <w:bidi w:val="0"/>
            </w:pPr>
            <w:r>
              <w:t>/</w:t>
            </w:r>
          </w:p>
        </w:tc>
        <w:tc>
          <w:tcPr>
            <w:tcW w:w="694" w:type="pct"/>
            <w:tcBorders>
              <w:tl2br w:val="nil"/>
              <w:tr2bl w:val="nil"/>
            </w:tcBorders>
            <w:vAlign w:val="center"/>
          </w:tcPr>
          <w:p>
            <w:pPr>
              <w:pStyle w:val="39"/>
              <w:bidi w:val="0"/>
            </w:pPr>
            <w:r>
              <w:rPr>
                <w:rFonts w:hint="eastAsia"/>
              </w:rPr>
              <w:t>3</w:t>
            </w:r>
            <w:r>
              <w:t>套</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冲压工序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3</w:t>
            </w:r>
          </w:p>
        </w:tc>
        <w:tc>
          <w:tcPr>
            <w:tcW w:w="1077" w:type="pct"/>
            <w:tcBorders>
              <w:tl2br w:val="nil"/>
              <w:tr2bl w:val="nil"/>
            </w:tcBorders>
            <w:vAlign w:val="center"/>
          </w:tcPr>
          <w:p>
            <w:pPr>
              <w:pStyle w:val="39"/>
              <w:bidi w:val="0"/>
            </w:pPr>
            <w:r>
              <w:rPr>
                <w:rFonts w:hint="eastAsia"/>
              </w:rPr>
              <w:t>切割机</w:t>
            </w:r>
          </w:p>
        </w:tc>
        <w:tc>
          <w:tcPr>
            <w:tcW w:w="1004" w:type="pct"/>
            <w:tcBorders>
              <w:tl2br w:val="nil"/>
              <w:tr2bl w:val="nil"/>
            </w:tcBorders>
            <w:vAlign w:val="center"/>
          </w:tcPr>
          <w:p>
            <w:pPr>
              <w:pStyle w:val="39"/>
              <w:bidi w:val="0"/>
            </w:pPr>
            <w:r>
              <w:t>/</w:t>
            </w:r>
          </w:p>
        </w:tc>
        <w:tc>
          <w:tcPr>
            <w:tcW w:w="694" w:type="pct"/>
            <w:tcBorders>
              <w:tl2br w:val="nil"/>
              <w:tr2bl w:val="nil"/>
            </w:tcBorders>
            <w:vAlign w:val="center"/>
          </w:tcPr>
          <w:p>
            <w:pPr>
              <w:pStyle w:val="39"/>
              <w:bidi w:val="0"/>
            </w:pPr>
            <w:r>
              <w:rPr>
                <w:rFonts w:hint="eastAsia"/>
              </w:rPr>
              <w:t>2套</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车削工序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4</w:t>
            </w:r>
          </w:p>
        </w:tc>
        <w:tc>
          <w:tcPr>
            <w:tcW w:w="1077" w:type="pct"/>
            <w:tcBorders>
              <w:tl2br w:val="nil"/>
              <w:tr2bl w:val="nil"/>
            </w:tcBorders>
            <w:vAlign w:val="center"/>
          </w:tcPr>
          <w:p>
            <w:pPr>
              <w:pStyle w:val="39"/>
              <w:bidi w:val="0"/>
            </w:pPr>
            <w:r>
              <w:rPr>
                <w:rFonts w:hint="eastAsia"/>
              </w:rPr>
              <w:t>压力机</w:t>
            </w:r>
          </w:p>
        </w:tc>
        <w:tc>
          <w:tcPr>
            <w:tcW w:w="1004" w:type="pct"/>
            <w:tcBorders>
              <w:tl2br w:val="nil"/>
              <w:tr2bl w:val="nil"/>
            </w:tcBorders>
            <w:vAlign w:val="center"/>
          </w:tcPr>
          <w:p>
            <w:pPr>
              <w:pStyle w:val="39"/>
              <w:bidi w:val="0"/>
            </w:pPr>
            <w:r>
              <w:t>/</w:t>
            </w:r>
          </w:p>
        </w:tc>
        <w:tc>
          <w:tcPr>
            <w:tcW w:w="694" w:type="pct"/>
            <w:tcBorders>
              <w:tl2br w:val="nil"/>
              <w:tr2bl w:val="nil"/>
            </w:tcBorders>
            <w:vAlign w:val="center"/>
          </w:tcPr>
          <w:p>
            <w:pPr>
              <w:pStyle w:val="39"/>
              <w:bidi w:val="0"/>
            </w:pPr>
            <w:r>
              <w:rPr>
                <w:rFonts w:hint="eastAsia"/>
              </w:rPr>
              <w:t>27台</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冲压工序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5</w:t>
            </w:r>
          </w:p>
        </w:tc>
        <w:tc>
          <w:tcPr>
            <w:tcW w:w="1077" w:type="pct"/>
            <w:tcBorders>
              <w:tl2br w:val="nil"/>
              <w:tr2bl w:val="nil"/>
            </w:tcBorders>
            <w:vAlign w:val="center"/>
          </w:tcPr>
          <w:p>
            <w:pPr>
              <w:pStyle w:val="39"/>
              <w:bidi w:val="0"/>
            </w:pPr>
            <w:r>
              <w:rPr>
                <w:rFonts w:hint="eastAsia"/>
              </w:rPr>
              <w:t>剪切机</w:t>
            </w:r>
          </w:p>
        </w:tc>
        <w:tc>
          <w:tcPr>
            <w:tcW w:w="1004" w:type="pct"/>
            <w:tcBorders>
              <w:tl2br w:val="nil"/>
              <w:tr2bl w:val="nil"/>
            </w:tcBorders>
            <w:vAlign w:val="center"/>
          </w:tcPr>
          <w:p>
            <w:pPr>
              <w:pStyle w:val="39"/>
              <w:bidi w:val="0"/>
            </w:pPr>
            <w:r>
              <w:t>/</w:t>
            </w:r>
          </w:p>
        </w:tc>
        <w:tc>
          <w:tcPr>
            <w:tcW w:w="694" w:type="pct"/>
            <w:tcBorders>
              <w:tl2br w:val="nil"/>
              <w:tr2bl w:val="nil"/>
            </w:tcBorders>
            <w:vAlign w:val="center"/>
          </w:tcPr>
          <w:p>
            <w:pPr>
              <w:pStyle w:val="39"/>
              <w:bidi w:val="0"/>
            </w:pPr>
            <w:r>
              <w:rPr>
                <w:rFonts w:hint="eastAsia"/>
              </w:rPr>
              <w:t>4台</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剪切工序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6</w:t>
            </w:r>
          </w:p>
        </w:tc>
        <w:tc>
          <w:tcPr>
            <w:tcW w:w="1077" w:type="pct"/>
            <w:tcBorders>
              <w:tl2br w:val="nil"/>
              <w:tr2bl w:val="nil"/>
            </w:tcBorders>
            <w:vAlign w:val="center"/>
          </w:tcPr>
          <w:p>
            <w:pPr>
              <w:pStyle w:val="39"/>
              <w:bidi w:val="0"/>
            </w:pPr>
            <w:r>
              <w:rPr>
                <w:rFonts w:hint="eastAsia"/>
              </w:rPr>
              <w:t>焊接机</w:t>
            </w:r>
          </w:p>
        </w:tc>
        <w:tc>
          <w:tcPr>
            <w:tcW w:w="1004" w:type="pct"/>
            <w:tcBorders>
              <w:tl2br w:val="nil"/>
              <w:tr2bl w:val="nil"/>
            </w:tcBorders>
            <w:vAlign w:val="center"/>
          </w:tcPr>
          <w:p>
            <w:pPr>
              <w:pStyle w:val="39"/>
              <w:bidi w:val="0"/>
            </w:pPr>
            <w:r>
              <w:t>/</w:t>
            </w:r>
          </w:p>
        </w:tc>
        <w:tc>
          <w:tcPr>
            <w:tcW w:w="694" w:type="pct"/>
            <w:tcBorders>
              <w:tl2br w:val="nil"/>
              <w:tr2bl w:val="nil"/>
            </w:tcBorders>
            <w:vAlign w:val="center"/>
          </w:tcPr>
          <w:p>
            <w:pPr>
              <w:pStyle w:val="39"/>
              <w:bidi w:val="0"/>
            </w:pPr>
            <w:r>
              <w:rPr>
                <w:rFonts w:hint="eastAsia"/>
              </w:rPr>
              <w:t>17套</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焊接工序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7</w:t>
            </w:r>
          </w:p>
        </w:tc>
        <w:tc>
          <w:tcPr>
            <w:tcW w:w="1077" w:type="pct"/>
            <w:tcBorders>
              <w:tl2br w:val="nil"/>
              <w:tr2bl w:val="nil"/>
            </w:tcBorders>
            <w:vAlign w:val="center"/>
          </w:tcPr>
          <w:p>
            <w:pPr>
              <w:pStyle w:val="39"/>
              <w:bidi w:val="0"/>
            </w:pPr>
            <w:r>
              <w:rPr>
                <w:rFonts w:hint="eastAsia"/>
              </w:rPr>
              <w:t>空压机</w:t>
            </w:r>
          </w:p>
        </w:tc>
        <w:tc>
          <w:tcPr>
            <w:tcW w:w="1004" w:type="pct"/>
            <w:tcBorders>
              <w:tl2br w:val="nil"/>
              <w:tr2bl w:val="nil"/>
            </w:tcBorders>
            <w:vAlign w:val="center"/>
          </w:tcPr>
          <w:p>
            <w:pPr>
              <w:pStyle w:val="39"/>
              <w:bidi w:val="0"/>
            </w:pPr>
            <w:r>
              <w:rPr>
                <w:rFonts w:hint="eastAsia"/>
              </w:rPr>
              <w:t>QRF-20A-8</w:t>
            </w:r>
          </w:p>
        </w:tc>
        <w:tc>
          <w:tcPr>
            <w:tcW w:w="694" w:type="pct"/>
            <w:tcBorders>
              <w:tl2br w:val="nil"/>
              <w:tr2bl w:val="nil"/>
            </w:tcBorders>
            <w:vAlign w:val="center"/>
          </w:tcPr>
          <w:p>
            <w:pPr>
              <w:pStyle w:val="39"/>
              <w:bidi w:val="0"/>
            </w:pPr>
            <w:r>
              <w:rPr>
                <w:rFonts w:hint="eastAsia"/>
              </w:rPr>
              <w:t>2</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水洗工序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8</w:t>
            </w:r>
          </w:p>
        </w:tc>
        <w:tc>
          <w:tcPr>
            <w:tcW w:w="1077" w:type="pct"/>
            <w:tcBorders>
              <w:tl2br w:val="nil"/>
              <w:tr2bl w:val="nil"/>
            </w:tcBorders>
            <w:vAlign w:val="center"/>
          </w:tcPr>
          <w:p>
            <w:pPr>
              <w:pStyle w:val="39"/>
              <w:bidi w:val="0"/>
            </w:pPr>
            <w:r>
              <w:rPr>
                <w:rFonts w:hint="eastAsia"/>
              </w:rPr>
              <w:t>螺旋振动抛光机</w:t>
            </w:r>
          </w:p>
        </w:tc>
        <w:tc>
          <w:tcPr>
            <w:tcW w:w="1004" w:type="pct"/>
            <w:tcBorders>
              <w:tl2br w:val="nil"/>
              <w:tr2bl w:val="nil"/>
            </w:tcBorders>
            <w:vAlign w:val="center"/>
          </w:tcPr>
          <w:p>
            <w:pPr>
              <w:pStyle w:val="39"/>
              <w:bidi w:val="0"/>
            </w:pPr>
            <w:r>
              <w:t>/</w:t>
            </w:r>
          </w:p>
        </w:tc>
        <w:tc>
          <w:tcPr>
            <w:tcW w:w="694" w:type="pct"/>
            <w:tcBorders>
              <w:tl2br w:val="nil"/>
              <w:tr2bl w:val="nil"/>
            </w:tcBorders>
            <w:vAlign w:val="center"/>
          </w:tcPr>
          <w:p>
            <w:pPr>
              <w:pStyle w:val="39"/>
              <w:bidi w:val="0"/>
            </w:pPr>
            <w:r>
              <w:rPr>
                <w:rFonts w:hint="eastAsia"/>
              </w:rPr>
              <w:t>1</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滚抛工序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9</w:t>
            </w:r>
          </w:p>
        </w:tc>
        <w:tc>
          <w:tcPr>
            <w:tcW w:w="1077" w:type="pct"/>
            <w:tcBorders>
              <w:tl2br w:val="nil"/>
              <w:tr2bl w:val="nil"/>
            </w:tcBorders>
            <w:vAlign w:val="center"/>
          </w:tcPr>
          <w:p>
            <w:pPr>
              <w:pStyle w:val="39"/>
              <w:bidi w:val="0"/>
            </w:pPr>
            <w:r>
              <w:rPr>
                <w:rFonts w:hint="eastAsia"/>
              </w:rPr>
              <w:t>连续通过式水洗机</w:t>
            </w:r>
          </w:p>
        </w:tc>
        <w:tc>
          <w:tcPr>
            <w:tcW w:w="1004" w:type="pct"/>
            <w:tcBorders>
              <w:tl2br w:val="nil"/>
              <w:tr2bl w:val="nil"/>
            </w:tcBorders>
            <w:vAlign w:val="center"/>
          </w:tcPr>
          <w:p>
            <w:pPr>
              <w:pStyle w:val="39"/>
              <w:bidi w:val="0"/>
            </w:pPr>
            <w:r>
              <w:rPr>
                <w:rFonts w:hint="eastAsia"/>
              </w:rPr>
              <w:t>BZJ-802-00</w:t>
            </w:r>
          </w:p>
        </w:tc>
        <w:tc>
          <w:tcPr>
            <w:tcW w:w="694" w:type="pct"/>
            <w:tcBorders>
              <w:tl2br w:val="nil"/>
              <w:tr2bl w:val="nil"/>
            </w:tcBorders>
            <w:vAlign w:val="center"/>
          </w:tcPr>
          <w:p>
            <w:pPr>
              <w:pStyle w:val="39"/>
              <w:bidi w:val="0"/>
            </w:pPr>
            <w:r>
              <w:rPr>
                <w:rFonts w:hint="eastAsia"/>
              </w:rPr>
              <w:t>1</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水洗、干燥工序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2" w:hRule="atLeast"/>
          <w:jc w:val="center"/>
        </w:trPr>
        <w:tc>
          <w:tcPr>
            <w:tcW w:w="403" w:type="pct"/>
            <w:tcBorders>
              <w:tl2br w:val="nil"/>
              <w:tr2bl w:val="nil"/>
            </w:tcBorders>
            <w:vAlign w:val="center"/>
          </w:tcPr>
          <w:p>
            <w:pPr>
              <w:pStyle w:val="39"/>
              <w:bidi w:val="0"/>
            </w:pPr>
            <w:r>
              <w:rPr>
                <w:rFonts w:hint="eastAsia"/>
              </w:rPr>
              <w:t>10</w:t>
            </w:r>
          </w:p>
        </w:tc>
        <w:tc>
          <w:tcPr>
            <w:tcW w:w="1077" w:type="pct"/>
            <w:tcBorders>
              <w:tl2br w:val="nil"/>
              <w:tr2bl w:val="nil"/>
            </w:tcBorders>
            <w:vAlign w:val="center"/>
          </w:tcPr>
          <w:p>
            <w:pPr>
              <w:pStyle w:val="39"/>
              <w:bidi w:val="0"/>
            </w:pPr>
            <w:r>
              <w:rPr>
                <w:rFonts w:hint="eastAsia"/>
              </w:rPr>
              <w:t>超声波清洗机</w:t>
            </w:r>
          </w:p>
        </w:tc>
        <w:tc>
          <w:tcPr>
            <w:tcW w:w="1004" w:type="pct"/>
            <w:tcBorders>
              <w:tl2br w:val="nil"/>
              <w:tr2bl w:val="nil"/>
            </w:tcBorders>
            <w:vAlign w:val="center"/>
          </w:tcPr>
          <w:p>
            <w:pPr>
              <w:pStyle w:val="39"/>
              <w:bidi w:val="0"/>
            </w:pPr>
            <w:r>
              <w:rPr>
                <w:rFonts w:hint="eastAsia"/>
              </w:rPr>
              <w:t>BZJ-802-00</w:t>
            </w:r>
          </w:p>
        </w:tc>
        <w:tc>
          <w:tcPr>
            <w:tcW w:w="694" w:type="pct"/>
            <w:tcBorders>
              <w:tl2br w:val="nil"/>
              <w:tr2bl w:val="nil"/>
            </w:tcBorders>
            <w:vAlign w:val="center"/>
          </w:tcPr>
          <w:p>
            <w:pPr>
              <w:pStyle w:val="39"/>
              <w:bidi w:val="0"/>
            </w:pPr>
            <w:r>
              <w:rPr>
                <w:rFonts w:hint="eastAsia"/>
              </w:rPr>
              <w:t>1</w:t>
            </w:r>
          </w:p>
        </w:tc>
        <w:tc>
          <w:tcPr>
            <w:tcW w:w="769" w:type="pct"/>
            <w:tcBorders>
              <w:tl2br w:val="nil"/>
              <w:tr2bl w:val="nil"/>
            </w:tcBorders>
            <w:vAlign w:val="center"/>
          </w:tcPr>
          <w:p>
            <w:pPr>
              <w:pStyle w:val="39"/>
              <w:bidi w:val="0"/>
            </w:pPr>
            <w:r>
              <w:rPr>
                <w:rFonts w:hint="eastAsia"/>
              </w:rPr>
              <w:t>/</w:t>
            </w:r>
          </w:p>
        </w:tc>
        <w:tc>
          <w:tcPr>
            <w:tcW w:w="1050" w:type="pct"/>
            <w:tcBorders>
              <w:tl2br w:val="nil"/>
              <w:tr2bl w:val="nil"/>
            </w:tcBorders>
            <w:vAlign w:val="center"/>
          </w:tcPr>
          <w:p>
            <w:pPr>
              <w:pStyle w:val="39"/>
              <w:bidi w:val="0"/>
            </w:pPr>
            <w:r>
              <w:rPr>
                <w:rFonts w:hint="eastAsia"/>
              </w:rPr>
              <w:t>水洗、干燥工序</w:t>
            </w:r>
          </w:p>
        </w:tc>
      </w:tr>
    </w:tbl>
    <w:p>
      <w:pPr>
        <w:pStyle w:val="37"/>
        <w:spacing w:beforeLines="0"/>
        <w:outlineLvl w:val="9"/>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bookmarkStart w:id="137" w:name="_Toc455741283"/>
      <w:bookmarkStart w:id="138" w:name="_Toc428904840"/>
      <w:bookmarkStart w:id="139" w:name="_Toc414966938"/>
      <w:bookmarkStart w:id="140" w:name="_Toc8191"/>
    </w:p>
    <w:p>
      <w:pPr>
        <w:pStyle w:val="5"/>
        <w:bidi w:val="0"/>
      </w:pPr>
      <w:bookmarkStart w:id="141" w:name="_Toc425"/>
      <w:bookmarkStart w:id="142" w:name="_Toc10500"/>
      <w:bookmarkStart w:id="143" w:name="_Toc14104"/>
      <w:bookmarkStart w:id="144" w:name="_Toc37591902"/>
      <w:bookmarkStart w:id="145" w:name="_Toc19360"/>
      <w:bookmarkStart w:id="146" w:name="_Toc30561"/>
      <w:r>
        <w:rPr>
          <w:rFonts w:hint="eastAsia"/>
          <w:lang w:val="en-US" w:eastAsia="zh-CN"/>
        </w:rPr>
        <w:t>2</w:t>
      </w:r>
      <w:r>
        <w:rPr>
          <w:rFonts w:hint="eastAsia"/>
        </w:rPr>
        <w:t>.1.</w:t>
      </w:r>
      <w:r>
        <w:rPr>
          <w:rFonts w:hint="eastAsia"/>
          <w:lang w:val="en-US" w:eastAsia="zh-CN"/>
        </w:rPr>
        <w:t>4</w:t>
      </w:r>
      <w:r>
        <w:t xml:space="preserve"> </w:t>
      </w:r>
      <w:r>
        <w:rPr>
          <w:rFonts w:hint="eastAsia"/>
        </w:rPr>
        <w:t>生产工艺</w:t>
      </w:r>
      <w:bookmarkEnd w:id="137"/>
      <w:bookmarkEnd w:id="138"/>
      <w:bookmarkEnd w:id="139"/>
      <w:bookmarkEnd w:id="140"/>
      <w:bookmarkEnd w:id="141"/>
      <w:bookmarkEnd w:id="142"/>
      <w:bookmarkEnd w:id="143"/>
      <w:bookmarkEnd w:id="144"/>
      <w:bookmarkEnd w:id="145"/>
      <w:bookmarkEnd w:id="146"/>
      <w:bookmarkStart w:id="147" w:name="_Toc414966939"/>
    </w:p>
    <w:p>
      <w:pPr>
        <w:ind w:firstLine="560"/>
        <w:jc w:val="center"/>
      </w:pPr>
      <w:r>
        <w:rPr>
          <w:rFonts w:hint="eastAsia"/>
        </w:rPr>
        <w:drawing>
          <wp:inline distT="0" distB="0" distL="114300" distR="114300">
            <wp:extent cx="2425065" cy="3131820"/>
            <wp:effectExtent l="9525" t="9525" r="22860" b="20955"/>
            <wp:docPr id="15" name="图片 15" descr="D:\桌面\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D:\桌面\图片1.png图片1"/>
                    <pic:cNvPicPr>
                      <a:picLocks noChangeAspect="1"/>
                    </pic:cNvPicPr>
                  </pic:nvPicPr>
                  <pic:blipFill>
                    <a:blip r:embed="rId7"/>
                    <a:srcRect/>
                    <a:stretch>
                      <a:fillRect/>
                    </a:stretch>
                  </pic:blipFill>
                  <pic:spPr>
                    <a:xfrm>
                      <a:off x="0" y="0"/>
                      <a:ext cx="2425065" cy="3131820"/>
                    </a:xfrm>
                    <a:prstGeom prst="rect">
                      <a:avLst/>
                    </a:prstGeom>
                    <a:ln>
                      <a:solidFill>
                        <a:schemeClr val="tx1"/>
                      </a:solidFill>
                    </a:ln>
                  </pic:spPr>
                </pic:pic>
              </a:graphicData>
            </a:graphic>
          </wp:inline>
        </w:drawing>
      </w:r>
      <w:r>
        <w:rPr>
          <w:rFonts w:hint="eastAsia"/>
        </w:rPr>
        <w:drawing>
          <wp:inline distT="0" distB="0" distL="114300" distR="114300">
            <wp:extent cx="2605405" cy="3131820"/>
            <wp:effectExtent l="9525" t="9525" r="13970" b="20955"/>
            <wp:docPr id="16" name="图片 16" descr="D:\桌面\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D:\桌面\图片2.png图片2"/>
                    <pic:cNvPicPr>
                      <a:picLocks noChangeAspect="1"/>
                    </pic:cNvPicPr>
                  </pic:nvPicPr>
                  <pic:blipFill>
                    <a:blip r:embed="rId8"/>
                    <a:srcRect/>
                    <a:stretch>
                      <a:fillRect/>
                    </a:stretch>
                  </pic:blipFill>
                  <pic:spPr>
                    <a:xfrm>
                      <a:off x="0" y="0"/>
                      <a:ext cx="2605405" cy="3131820"/>
                    </a:xfrm>
                    <a:prstGeom prst="rect">
                      <a:avLst/>
                    </a:prstGeom>
                    <a:ln>
                      <a:solidFill>
                        <a:schemeClr val="tx1"/>
                      </a:solidFill>
                    </a:ln>
                  </pic:spPr>
                </pic:pic>
              </a:graphicData>
            </a:graphic>
          </wp:inline>
        </w:drawing>
      </w:r>
      <w:r>
        <w:rPr>
          <w:rFonts w:hint="eastAsia"/>
        </w:rPr>
        <w:drawing>
          <wp:inline distT="0" distB="0" distL="114300" distR="114300">
            <wp:extent cx="2912110" cy="3239135"/>
            <wp:effectExtent l="9525" t="9525" r="12065" b="27940"/>
            <wp:docPr id="17" name="图片 17" descr="D:\桌面\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D:\桌面\图片3.png图片3"/>
                    <pic:cNvPicPr>
                      <a:picLocks noChangeAspect="1"/>
                    </pic:cNvPicPr>
                  </pic:nvPicPr>
                  <pic:blipFill>
                    <a:blip r:embed="rId9"/>
                    <a:srcRect/>
                    <a:stretch>
                      <a:fillRect/>
                    </a:stretch>
                  </pic:blipFill>
                  <pic:spPr>
                    <a:xfrm>
                      <a:off x="0" y="0"/>
                      <a:ext cx="2912110" cy="3239135"/>
                    </a:xfrm>
                    <a:prstGeom prst="rect">
                      <a:avLst/>
                    </a:prstGeom>
                    <a:ln>
                      <a:solidFill>
                        <a:schemeClr val="tx1"/>
                      </a:solidFill>
                    </a:ln>
                  </pic:spPr>
                </pic:pic>
              </a:graphicData>
            </a:graphic>
          </wp:inline>
        </w:drawing>
      </w:r>
    </w:p>
    <w:p>
      <w:pPr>
        <w:bidi w:val="0"/>
        <w:spacing w:line="240" w:lineRule="auto"/>
        <w:jc w:val="center"/>
        <w:rPr>
          <w:rFonts w:hint="eastAsia" w:ascii="黑体" w:hAnsi="黑体" w:eastAsia="黑体" w:cs="黑体"/>
        </w:rPr>
      </w:pPr>
      <w:bookmarkStart w:id="148" w:name="_Toc37591903"/>
      <w:r>
        <w:rPr>
          <w:rFonts w:hint="eastAsia" w:ascii="黑体" w:hAnsi="黑体" w:eastAsia="黑体" w:cs="黑体"/>
        </w:rPr>
        <w:t>图</w:t>
      </w:r>
      <w:r>
        <w:rPr>
          <w:rFonts w:hint="eastAsia" w:ascii="黑体" w:hAnsi="黑体" w:eastAsia="黑体" w:cs="黑体"/>
          <w:lang w:val="en-US" w:eastAsia="zh-CN"/>
        </w:rPr>
        <w:t>2</w:t>
      </w:r>
      <w:r>
        <w:rPr>
          <w:rFonts w:hint="eastAsia" w:ascii="黑体" w:hAnsi="黑体" w:eastAsia="黑体" w:cs="黑体"/>
        </w:rPr>
        <w:t>.1</w:t>
      </w:r>
      <w:r>
        <w:rPr>
          <w:rFonts w:hint="eastAsia" w:ascii="黑体" w:hAnsi="黑体" w:eastAsia="黑体" w:cs="黑体"/>
          <w:lang w:val="en-US" w:eastAsia="zh-CN"/>
        </w:rPr>
        <w:t>.4</w:t>
      </w:r>
      <w:r>
        <w:rPr>
          <w:rFonts w:hint="eastAsia" w:ascii="黑体" w:hAnsi="黑体" w:eastAsia="黑体" w:cs="黑体"/>
        </w:rPr>
        <w:t>-</w:t>
      </w:r>
      <w:r>
        <w:rPr>
          <w:rFonts w:hint="eastAsia" w:ascii="黑体" w:hAnsi="黑体" w:eastAsia="黑体" w:cs="黑体"/>
          <w:lang w:val="en-US" w:eastAsia="zh-CN"/>
        </w:rPr>
        <w:t>1</w:t>
      </w:r>
      <w:r>
        <w:rPr>
          <w:rFonts w:hint="eastAsia" w:ascii="黑体" w:hAnsi="黑体" w:eastAsia="黑体" w:cs="黑体"/>
        </w:rPr>
        <w:t xml:space="preserve"> 工艺流程</w:t>
      </w:r>
      <w:bookmarkEnd w:id="148"/>
    </w:p>
    <w:p>
      <w:pPr>
        <w:bidi w:val="0"/>
      </w:pPr>
      <w:r>
        <w:rPr>
          <w:rFonts w:hint="eastAsia"/>
        </w:rPr>
        <w:t>工艺流程说明：</w:t>
      </w:r>
    </w:p>
    <w:p>
      <w:pPr>
        <w:bidi w:val="0"/>
      </w:pPr>
      <w:bookmarkStart w:id="149" w:name="_Toc28053"/>
      <w:bookmarkStart w:id="150" w:name="_Toc428904841"/>
      <w:bookmarkStart w:id="151" w:name="_Toc455741284"/>
      <w:r>
        <w:rPr>
          <w:rFonts w:hint="eastAsia"/>
        </w:rPr>
        <w:t>上壳体生产工艺流程说明：</w:t>
      </w:r>
    </w:p>
    <w:p>
      <w:pPr>
        <w:bidi w:val="0"/>
      </w:pPr>
      <w:r>
        <w:rPr>
          <w:rFonts w:hint="eastAsia"/>
        </w:rPr>
        <w:t>①冲压：落料片经压力机、冲床等设备冲压成产品所需规格。</w:t>
      </w:r>
    </w:p>
    <w:p>
      <w:pPr>
        <w:bidi w:val="0"/>
      </w:pPr>
      <w:r>
        <w:rPr>
          <w:rFonts w:hint="eastAsia"/>
        </w:rPr>
        <w:t>②车削：冲压成型的壳盖经数控机床、剪切机、切割机等设备削去壳盖内外的毛刺。</w:t>
      </w:r>
    </w:p>
    <w:p>
      <w:pPr>
        <w:bidi w:val="0"/>
      </w:pPr>
      <w:r>
        <w:rPr>
          <w:rFonts w:hint="eastAsia"/>
        </w:rPr>
        <w:t>③清洗、干燥：将去除毛刺后的壳盖经连续通过式水洗机清洗并经其自带热风烘干系统（采用电加热）烘干后进入下一道工序，水洗机清洗过程中加入脱脂剂、防锈剂。</w:t>
      </w:r>
    </w:p>
    <w:p>
      <w:pPr>
        <w:bidi w:val="0"/>
      </w:pPr>
      <w:r>
        <w:rPr>
          <w:rFonts w:hint="eastAsia"/>
        </w:rPr>
        <w:t>④焊接：将排气管、接线柱、吊钩等配件组装成整体，组装过程包含电焊工艺，采用高频焊接，不使用焊丝，故无焊接扬尘产生。</w:t>
      </w:r>
    </w:p>
    <w:p>
      <w:pPr>
        <w:bidi w:val="0"/>
      </w:pPr>
      <w:r>
        <w:rPr>
          <w:rFonts w:hint="eastAsia"/>
        </w:rPr>
        <w:t>⑤检验入库：检查外壳表面是否清洗干净，不合格品经收集后外售，经检验合格后即为成品并入库。</w:t>
      </w:r>
    </w:p>
    <w:p>
      <w:pPr>
        <w:bidi w:val="0"/>
      </w:pPr>
      <w:r>
        <w:rPr>
          <w:rFonts w:hint="eastAsia"/>
        </w:rPr>
        <w:t>下壳体生产工艺流程说明：</w:t>
      </w:r>
    </w:p>
    <w:p>
      <w:pPr>
        <w:bidi w:val="0"/>
      </w:pPr>
      <w:r>
        <w:rPr>
          <w:rFonts w:hint="eastAsia"/>
        </w:rPr>
        <w:t>①冲压：落料片经压力机、冲床等设备冲压成产品所需规格。</w:t>
      </w:r>
    </w:p>
    <w:p>
      <w:pPr>
        <w:bidi w:val="0"/>
      </w:pPr>
      <w:r>
        <w:rPr>
          <w:rFonts w:hint="eastAsia"/>
        </w:rPr>
        <w:t>②车削：冲压成型的壳盖经数控机床、剪切机、切割机等设备削去壳盖内外的毛刺。</w:t>
      </w:r>
    </w:p>
    <w:p>
      <w:pPr>
        <w:bidi w:val="0"/>
      </w:pPr>
      <w:r>
        <w:rPr>
          <w:rFonts w:hint="eastAsia"/>
        </w:rPr>
        <w:t>③清洗、干燥：将去除毛刺后的壳盖经水洗机清洗烘干后进入下一道工序，水洗机清洗过程中加入脱脂剂、防锈剂。</w:t>
      </w:r>
    </w:p>
    <w:p>
      <w:pPr>
        <w:bidi w:val="0"/>
      </w:pPr>
      <w:r>
        <w:rPr>
          <w:rFonts w:hint="eastAsia"/>
        </w:rPr>
        <w:t>④检验入库：检查外壳表面是否清洗干净，不合格品经收集后外售，经检验合格后即为成品并入库。</w:t>
      </w:r>
    </w:p>
    <w:p>
      <w:pPr>
        <w:bidi w:val="0"/>
      </w:pPr>
      <w:r>
        <w:rPr>
          <w:rFonts w:hint="eastAsia"/>
        </w:rPr>
        <w:t>消声器生产工艺流程说明：</w:t>
      </w:r>
    </w:p>
    <w:p>
      <w:pPr>
        <w:bidi w:val="0"/>
      </w:pPr>
      <w:r>
        <w:rPr>
          <w:rFonts w:hint="eastAsia"/>
        </w:rPr>
        <w:t>①冲压、剪切：落料片经压力机、冲床等设备冲压成产品所需规格。</w:t>
      </w:r>
    </w:p>
    <w:p>
      <w:pPr>
        <w:bidi w:val="0"/>
      </w:pPr>
      <w:r>
        <w:rPr>
          <w:rFonts w:hint="eastAsia"/>
        </w:rPr>
        <w:t>②滚抛：将冲压成型的消声器片放入螺旋振动抛光机内，加入滚抛石、脱脂剂、水等物质进行滚抛，去除工件表面毛刺。</w:t>
      </w:r>
    </w:p>
    <w:p>
      <w:pPr>
        <w:bidi w:val="0"/>
      </w:pPr>
      <w:r>
        <w:rPr>
          <w:rFonts w:hint="eastAsia"/>
        </w:rPr>
        <w:t>③清洗、干燥：将去除毛刺后的壳盖经水洗机清洗烘干后进入下一道工序，水洗机清洗过程中加入脱脂剂、防锈剂。</w:t>
      </w:r>
    </w:p>
    <w:p>
      <w:pPr>
        <w:bidi w:val="0"/>
        <w:rPr>
          <w:rFonts w:hint="eastAsia"/>
        </w:rPr>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r>
        <w:rPr>
          <w:rFonts w:hint="eastAsia"/>
        </w:rPr>
        <w:t>④检验入库：检查外壳表面是否清洗干净，不合格品经收集后外售，经检验合格后即为成品并入库。</w:t>
      </w:r>
    </w:p>
    <w:p>
      <w:pPr>
        <w:pStyle w:val="5"/>
        <w:bidi w:val="0"/>
      </w:pPr>
      <w:bookmarkStart w:id="152" w:name="_Toc37591904"/>
      <w:bookmarkStart w:id="153" w:name="_Toc4854"/>
      <w:bookmarkStart w:id="154" w:name="_Toc1778"/>
      <w:bookmarkStart w:id="155" w:name="_Toc6105"/>
      <w:bookmarkStart w:id="156" w:name="_Toc16779"/>
      <w:bookmarkStart w:id="157" w:name="_Toc32672"/>
      <w:r>
        <w:rPr>
          <w:rFonts w:hint="eastAsia"/>
          <w:lang w:val="en-US" w:eastAsia="zh-CN"/>
        </w:rPr>
        <w:t>2</w:t>
      </w:r>
      <w:r>
        <w:rPr>
          <w:rFonts w:hint="eastAsia"/>
        </w:rPr>
        <w:t>.1.</w:t>
      </w:r>
      <w:r>
        <w:rPr>
          <w:rFonts w:hint="eastAsia"/>
          <w:lang w:val="en-US" w:eastAsia="zh-CN"/>
        </w:rPr>
        <w:t>5</w:t>
      </w:r>
      <w:r>
        <w:t xml:space="preserve"> </w:t>
      </w:r>
      <w:r>
        <w:rPr>
          <w:rFonts w:hint="eastAsia"/>
        </w:rPr>
        <w:t>本公司污染物产生及处理情况</w:t>
      </w:r>
      <w:bookmarkEnd w:id="147"/>
      <w:bookmarkEnd w:id="149"/>
      <w:bookmarkEnd w:id="150"/>
      <w:bookmarkEnd w:id="151"/>
      <w:bookmarkEnd w:id="152"/>
      <w:bookmarkEnd w:id="153"/>
      <w:bookmarkEnd w:id="154"/>
      <w:bookmarkEnd w:id="155"/>
      <w:bookmarkEnd w:id="156"/>
      <w:bookmarkEnd w:id="157"/>
    </w:p>
    <w:p>
      <w:pPr>
        <w:pStyle w:val="6"/>
        <w:bidi w:val="0"/>
      </w:pPr>
      <w:r>
        <w:rPr>
          <w:rFonts w:hint="eastAsia"/>
          <w:lang w:val="en-US" w:eastAsia="zh-CN"/>
        </w:rPr>
        <w:t>2</w:t>
      </w:r>
      <w:r>
        <w:rPr>
          <w:rFonts w:hint="eastAsia"/>
        </w:rPr>
        <w:t>.1.</w:t>
      </w:r>
      <w:r>
        <w:rPr>
          <w:rFonts w:hint="eastAsia"/>
          <w:lang w:val="en-US" w:eastAsia="zh-CN"/>
        </w:rPr>
        <w:t>5</w:t>
      </w:r>
      <w:r>
        <w:rPr>
          <w:rFonts w:hint="eastAsia"/>
        </w:rPr>
        <w:t>.1</w:t>
      </w:r>
      <w:r>
        <w:t xml:space="preserve"> </w:t>
      </w:r>
      <w:r>
        <w:rPr>
          <w:rFonts w:hint="eastAsia"/>
        </w:rPr>
        <w:t>主要污染污物</w:t>
      </w:r>
    </w:p>
    <w:p>
      <w:pPr>
        <w:pStyle w:val="29"/>
        <w:spacing w:before="190"/>
      </w:pPr>
      <w:r>
        <w:rPr>
          <w:rStyle w:val="30"/>
          <w:rFonts w:hint="eastAsia"/>
        </w:rPr>
        <w:t>表</w:t>
      </w:r>
      <w:r>
        <w:rPr>
          <w:rStyle w:val="30"/>
          <w:rFonts w:hint="eastAsia" w:eastAsia="宋体"/>
          <w:lang w:val="en-US" w:eastAsia="zh-CN"/>
        </w:rPr>
        <w:t>2</w:t>
      </w:r>
      <w:r>
        <w:rPr>
          <w:rStyle w:val="30"/>
          <w:rFonts w:hint="eastAsia"/>
        </w:rPr>
        <w:t>.1</w:t>
      </w:r>
      <w:r>
        <w:rPr>
          <w:rStyle w:val="30"/>
          <w:rFonts w:hint="eastAsia"/>
          <w:lang w:val="en-US" w:eastAsia="zh-CN"/>
        </w:rPr>
        <w:t>.5</w:t>
      </w:r>
      <w:r>
        <w:rPr>
          <w:rStyle w:val="30"/>
          <w:rFonts w:hint="eastAsia"/>
        </w:rPr>
        <w:t>-</w:t>
      </w:r>
      <w:r>
        <w:rPr>
          <w:rStyle w:val="30"/>
          <w:rFonts w:hint="eastAsia"/>
          <w:lang w:val="en-US" w:eastAsia="zh-CN"/>
        </w:rPr>
        <w:t>1</w:t>
      </w:r>
      <w:r>
        <w:rPr>
          <w:rStyle w:val="30"/>
        </w:rPr>
        <w:t xml:space="preserve"> </w:t>
      </w:r>
      <w:r>
        <w:rPr>
          <w:rStyle w:val="30"/>
          <w:rFonts w:hint="eastAsia"/>
        </w:rPr>
        <w:t>本公司主要污染工序一览表</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1487"/>
        <w:gridCol w:w="2054"/>
        <w:gridCol w:w="1843"/>
        <w:gridCol w:w="178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888" w:type="pct"/>
            <w:tcBorders>
              <w:bottom w:val="single" w:color="auto" w:sz="12" w:space="0"/>
            </w:tcBorders>
            <w:vAlign w:val="center"/>
          </w:tcPr>
          <w:p>
            <w:pPr>
              <w:pStyle w:val="39"/>
              <w:bidi w:val="0"/>
              <w:rPr>
                <w:b/>
                <w:bCs/>
              </w:rPr>
            </w:pPr>
            <w:r>
              <w:rPr>
                <w:rFonts w:hint="eastAsia"/>
                <w:b/>
                <w:bCs/>
              </w:rPr>
              <w:t>时段</w:t>
            </w:r>
          </w:p>
        </w:tc>
        <w:tc>
          <w:tcPr>
            <w:tcW w:w="853" w:type="pct"/>
            <w:tcBorders>
              <w:bottom w:val="single" w:color="auto" w:sz="12" w:space="0"/>
            </w:tcBorders>
            <w:vAlign w:val="center"/>
          </w:tcPr>
          <w:p>
            <w:pPr>
              <w:pStyle w:val="39"/>
              <w:bidi w:val="0"/>
              <w:rPr>
                <w:b/>
                <w:bCs/>
              </w:rPr>
            </w:pPr>
            <w:r>
              <w:rPr>
                <w:rFonts w:hint="eastAsia"/>
                <w:b/>
                <w:bCs/>
              </w:rPr>
              <w:t>污染因子</w:t>
            </w:r>
          </w:p>
        </w:tc>
        <w:tc>
          <w:tcPr>
            <w:tcW w:w="1178" w:type="pct"/>
            <w:tcBorders>
              <w:bottom w:val="single" w:color="auto" w:sz="12" w:space="0"/>
            </w:tcBorders>
            <w:vAlign w:val="center"/>
          </w:tcPr>
          <w:p>
            <w:pPr>
              <w:pStyle w:val="39"/>
              <w:bidi w:val="0"/>
              <w:rPr>
                <w:b/>
                <w:bCs/>
              </w:rPr>
            </w:pPr>
            <w:r>
              <w:rPr>
                <w:rFonts w:hint="eastAsia"/>
                <w:b/>
                <w:bCs/>
              </w:rPr>
              <w:t>来源</w:t>
            </w:r>
          </w:p>
        </w:tc>
        <w:tc>
          <w:tcPr>
            <w:tcW w:w="1057" w:type="pct"/>
            <w:tcBorders>
              <w:bottom w:val="single" w:color="auto" w:sz="12" w:space="0"/>
            </w:tcBorders>
            <w:vAlign w:val="center"/>
          </w:tcPr>
          <w:p>
            <w:pPr>
              <w:pStyle w:val="39"/>
              <w:bidi w:val="0"/>
              <w:rPr>
                <w:b/>
                <w:bCs/>
              </w:rPr>
            </w:pPr>
            <w:r>
              <w:rPr>
                <w:rFonts w:hint="eastAsia"/>
                <w:b/>
                <w:bCs/>
              </w:rPr>
              <w:t>污染物种类</w:t>
            </w:r>
          </w:p>
        </w:tc>
        <w:tc>
          <w:tcPr>
            <w:tcW w:w="1023" w:type="pct"/>
            <w:tcBorders>
              <w:bottom w:val="single" w:color="auto" w:sz="12" w:space="0"/>
            </w:tcBorders>
            <w:vAlign w:val="center"/>
          </w:tcPr>
          <w:p>
            <w:pPr>
              <w:pStyle w:val="39"/>
              <w:bidi w:val="0"/>
              <w:rPr>
                <w:b/>
                <w:bCs/>
              </w:rPr>
            </w:pPr>
            <w:r>
              <w:rPr>
                <w:rFonts w:hint="eastAsia"/>
                <w:b/>
                <w:bCs/>
              </w:rPr>
              <w:t>排放方式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00" w:hRule="atLeast"/>
          <w:jc w:val="center"/>
        </w:trPr>
        <w:tc>
          <w:tcPr>
            <w:tcW w:w="888" w:type="pct"/>
            <w:vMerge w:val="restart"/>
            <w:tcBorders>
              <w:top w:val="single" w:color="auto" w:sz="12" w:space="0"/>
              <w:tl2br w:val="nil"/>
              <w:tr2bl w:val="nil"/>
            </w:tcBorders>
            <w:vAlign w:val="center"/>
          </w:tcPr>
          <w:p>
            <w:pPr>
              <w:pStyle w:val="39"/>
              <w:bidi w:val="0"/>
            </w:pPr>
            <w:r>
              <w:rPr>
                <w:rFonts w:hint="eastAsia"/>
              </w:rPr>
              <w:t>营运期</w:t>
            </w:r>
          </w:p>
        </w:tc>
        <w:tc>
          <w:tcPr>
            <w:tcW w:w="853" w:type="pct"/>
            <w:tcBorders>
              <w:top w:val="single" w:color="auto" w:sz="12" w:space="0"/>
              <w:tl2br w:val="nil"/>
              <w:tr2bl w:val="nil"/>
            </w:tcBorders>
            <w:vAlign w:val="center"/>
          </w:tcPr>
          <w:p>
            <w:pPr>
              <w:pStyle w:val="39"/>
              <w:bidi w:val="0"/>
            </w:pPr>
            <w:r>
              <w:rPr>
                <w:rFonts w:hint="eastAsia"/>
              </w:rPr>
              <w:t>废气</w:t>
            </w:r>
          </w:p>
        </w:tc>
        <w:tc>
          <w:tcPr>
            <w:tcW w:w="1178" w:type="pct"/>
            <w:tcBorders>
              <w:top w:val="single" w:color="auto" w:sz="12" w:space="0"/>
              <w:tl2br w:val="nil"/>
              <w:tr2bl w:val="nil"/>
            </w:tcBorders>
            <w:vAlign w:val="center"/>
          </w:tcPr>
          <w:p>
            <w:pPr>
              <w:pStyle w:val="39"/>
              <w:bidi w:val="0"/>
            </w:pPr>
            <w:r>
              <w:rPr>
                <w:rFonts w:hint="eastAsia"/>
              </w:rPr>
              <w:t>车削</w:t>
            </w:r>
          </w:p>
        </w:tc>
        <w:tc>
          <w:tcPr>
            <w:tcW w:w="1057" w:type="pct"/>
            <w:tcBorders>
              <w:top w:val="single" w:color="auto" w:sz="12" w:space="0"/>
              <w:tl2br w:val="nil"/>
              <w:tr2bl w:val="nil"/>
            </w:tcBorders>
            <w:vAlign w:val="center"/>
          </w:tcPr>
          <w:p>
            <w:pPr>
              <w:pStyle w:val="39"/>
              <w:bidi w:val="0"/>
            </w:pPr>
            <w:r>
              <w:rPr>
                <w:rFonts w:hint="eastAsia"/>
              </w:rPr>
              <w:t>金属粉尘</w:t>
            </w:r>
          </w:p>
        </w:tc>
        <w:tc>
          <w:tcPr>
            <w:tcW w:w="1023" w:type="pct"/>
            <w:tcBorders>
              <w:top w:val="single" w:color="auto" w:sz="12" w:space="0"/>
              <w:tl2br w:val="nil"/>
              <w:tr2bl w:val="nil"/>
            </w:tcBorders>
            <w:vAlign w:val="center"/>
          </w:tcPr>
          <w:p>
            <w:pPr>
              <w:pStyle w:val="39"/>
              <w:bidi w:val="0"/>
            </w:pPr>
            <w:r>
              <w:rPr>
                <w:rFonts w:hint="eastAsia"/>
              </w:rPr>
              <w:t>无组织，自然沉降</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00" w:hRule="atLeast"/>
          <w:jc w:val="center"/>
        </w:trPr>
        <w:tc>
          <w:tcPr>
            <w:tcW w:w="888" w:type="pct"/>
            <w:vMerge w:val="continue"/>
            <w:tcBorders>
              <w:tl2br w:val="nil"/>
              <w:tr2bl w:val="nil"/>
            </w:tcBorders>
            <w:vAlign w:val="center"/>
          </w:tcPr>
          <w:p>
            <w:pPr>
              <w:pStyle w:val="39"/>
              <w:bidi w:val="0"/>
            </w:pPr>
          </w:p>
        </w:tc>
        <w:tc>
          <w:tcPr>
            <w:tcW w:w="853" w:type="pct"/>
            <w:tcBorders>
              <w:tl2br w:val="nil"/>
              <w:tr2bl w:val="nil"/>
            </w:tcBorders>
            <w:vAlign w:val="center"/>
          </w:tcPr>
          <w:p>
            <w:pPr>
              <w:pStyle w:val="39"/>
              <w:bidi w:val="0"/>
            </w:pPr>
            <w:r>
              <w:rPr>
                <w:rFonts w:hint="eastAsia"/>
              </w:rPr>
              <w:t>废水</w:t>
            </w:r>
          </w:p>
        </w:tc>
        <w:tc>
          <w:tcPr>
            <w:tcW w:w="1178" w:type="pct"/>
            <w:tcBorders>
              <w:tl2br w:val="nil"/>
              <w:tr2bl w:val="nil"/>
            </w:tcBorders>
            <w:vAlign w:val="center"/>
          </w:tcPr>
          <w:p>
            <w:pPr>
              <w:pStyle w:val="39"/>
              <w:bidi w:val="0"/>
            </w:pPr>
            <w:r>
              <w:rPr>
                <w:rFonts w:hint="eastAsia"/>
              </w:rPr>
              <w:t>工作人员，生产过程</w:t>
            </w:r>
          </w:p>
        </w:tc>
        <w:tc>
          <w:tcPr>
            <w:tcW w:w="1057" w:type="pct"/>
            <w:tcBorders>
              <w:tl2br w:val="nil"/>
              <w:tr2bl w:val="nil"/>
            </w:tcBorders>
            <w:vAlign w:val="center"/>
          </w:tcPr>
          <w:p>
            <w:pPr>
              <w:pStyle w:val="39"/>
              <w:bidi w:val="0"/>
            </w:pPr>
            <w:r>
              <w:rPr>
                <w:rFonts w:hint="eastAsia"/>
              </w:rPr>
              <w:t>CODcr、BOD5、SS、NH3-N、石油类、LAS</w:t>
            </w:r>
          </w:p>
        </w:tc>
        <w:tc>
          <w:tcPr>
            <w:tcW w:w="1023" w:type="pct"/>
            <w:tcBorders>
              <w:tl2br w:val="nil"/>
              <w:tr2bl w:val="nil"/>
            </w:tcBorders>
            <w:vAlign w:val="center"/>
          </w:tcPr>
          <w:p>
            <w:pPr>
              <w:pStyle w:val="39"/>
              <w:bidi w:val="0"/>
            </w:pPr>
            <w:r>
              <w:rPr>
                <w:rFonts w:hint="eastAsia"/>
              </w:rPr>
              <w:t>间断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00" w:hRule="atLeast"/>
          <w:jc w:val="center"/>
        </w:trPr>
        <w:tc>
          <w:tcPr>
            <w:tcW w:w="888" w:type="pct"/>
            <w:vMerge w:val="continue"/>
            <w:tcBorders>
              <w:tl2br w:val="nil"/>
              <w:tr2bl w:val="nil"/>
            </w:tcBorders>
            <w:vAlign w:val="center"/>
          </w:tcPr>
          <w:p>
            <w:pPr>
              <w:pStyle w:val="39"/>
              <w:bidi w:val="0"/>
            </w:pPr>
          </w:p>
        </w:tc>
        <w:tc>
          <w:tcPr>
            <w:tcW w:w="853" w:type="pct"/>
            <w:tcBorders>
              <w:tl2br w:val="nil"/>
              <w:tr2bl w:val="nil"/>
            </w:tcBorders>
            <w:vAlign w:val="center"/>
          </w:tcPr>
          <w:p>
            <w:pPr>
              <w:pStyle w:val="39"/>
              <w:bidi w:val="0"/>
            </w:pPr>
            <w:r>
              <w:rPr>
                <w:rFonts w:hint="eastAsia"/>
              </w:rPr>
              <w:t>噪声</w:t>
            </w:r>
          </w:p>
        </w:tc>
        <w:tc>
          <w:tcPr>
            <w:tcW w:w="1178" w:type="pct"/>
            <w:tcBorders>
              <w:tl2br w:val="nil"/>
              <w:tr2bl w:val="nil"/>
            </w:tcBorders>
            <w:vAlign w:val="center"/>
          </w:tcPr>
          <w:p>
            <w:pPr>
              <w:pStyle w:val="39"/>
              <w:bidi w:val="0"/>
            </w:pPr>
            <w:r>
              <w:rPr>
                <w:rFonts w:hint="eastAsia"/>
              </w:rPr>
              <w:t>设备生产噪声</w:t>
            </w:r>
          </w:p>
        </w:tc>
        <w:tc>
          <w:tcPr>
            <w:tcW w:w="1057" w:type="pct"/>
            <w:tcBorders>
              <w:tl2br w:val="nil"/>
              <w:tr2bl w:val="nil"/>
            </w:tcBorders>
            <w:vAlign w:val="center"/>
          </w:tcPr>
          <w:p>
            <w:pPr>
              <w:pStyle w:val="39"/>
              <w:bidi w:val="0"/>
            </w:pPr>
            <w:r>
              <w:rPr>
                <w:rFonts w:hint="eastAsia"/>
              </w:rPr>
              <w:t>机械噪声</w:t>
            </w:r>
          </w:p>
        </w:tc>
        <w:tc>
          <w:tcPr>
            <w:tcW w:w="1023" w:type="pct"/>
            <w:tcBorders>
              <w:tl2br w:val="nil"/>
              <w:tr2bl w:val="nil"/>
            </w:tcBorders>
            <w:vAlign w:val="center"/>
          </w:tcPr>
          <w:p>
            <w:pPr>
              <w:pStyle w:val="39"/>
              <w:bidi w:val="0"/>
            </w:pPr>
            <w:r>
              <w:rPr>
                <w:rFonts w:hint="eastAsia"/>
              </w:rPr>
              <w:t>连续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500" w:hRule="atLeast"/>
          <w:jc w:val="center"/>
        </w:trPr>
        <w:tc>
          <w:tcPr>
            <w:tcW w:w="888" w:type="pct"/>
            <w:vMerge w:val="continue"/>
            <w:tcBorders>
              <w:tl2br w:val="nil"/>
              <w:tr2bl w:val="nil"/>
            </w:tcBorders>
            <w:vAlign w:val="center"/>
          </w:tcPr>
          <w:p>
            <w:pPr>
              <w:pStyle w:val="39"/>
              <w:bidi w:val="0"/>
            </w:pPr>
          </w:p>
        </w:tc>
        <w:tc>
          <w:tcPr>
            <w:tcW w:w="853" w:type="pct"/>
            <w:tcBorders>
              <w:tl2br w:val="nil"/>
              <w:tr2bl w:val="nil"/>
            </w:tcBorders>
            <w:vAlign w:val="center"/>
          </w:tcPr>
          <w:p>
            <w:pPr>
              <w:pStyle w:val="39"/>
              <w:bidi w:val="0"/>
            </w:pPr>
            <w:r>
              <w:rPr>
                <w:rFonts w:hint="eastAsia"/>
              </w:rPr>
              <w:t>固体废物</w:t>
            </w:r>
          </w:p>
        </w:tc>
        <w:tc>
          <w:tcPr>
            <w:tcW w:w="1178" w:type="pct"/>
            <w:tcBorders>
              <w:tl2br w:val="nil"/>
              <w:tr2bl w:val="nil"/>
            </w:tcBorders>
            <w:vAlign w:val="center"/>
          </w:tcPr>
          <w:p>
            <w:pPr>
              <w:pStyle w:val="39"/>
              <w:bidi w:val="0"/>
            </w:pPr>
            <w:r>
              <w:rPr>
                <w:rFonts w:hint="eastAsia"/>
              </w:rPr>
              <w:t>生产过程，工作人员</w:t>
            </w:r>
          </w:p>
        </w:tc>
        <w:tc>
          <w:tcPr>
            <w:tcW w:w="1057" w:type="pct"/>
            <w:tcBorders>
              <w:tl2br w:val="nil"/>
              <w:tr2bl w:val="nil"/>
            </w:tcBorders>
            <w:vAlign w:val="center"/>
          </w:tcPr>
          <w:p>
            <w:pPr>
              <w:pStyle w:val="39"/>
              <w:bidi w:val="0"/>
            </w:pPr>
            <w:r>
              <w:rPr>
                <w:rFonts w:hint="eastAsia"/>
              </w:rPr>
              <w:t>生活垃圾，工业固废</w:t>
            </w:r>
          </w:p>
        </w:tc>
        <w:tc>
          <w:tcPr>
            <w:tcW w:w="1023" w:type="pct"/>
            <w:tcBorders>
              <w:tl2br w:val="nil"/>
              <w:tr2bl w:val="nil"/>
            </w:tcBorders>
            <w:vAlign w:val="center"/>
          </w:tcPr>
          <w:p>
            <w:pPr>
              <w:pStyle w:val="39"/>
              <w:bidi w:val="0"/>
            </w:pPr>
            <w:r>
              <w:rPr>
                <w:rFonts w:hint="eastAsia"/>
              </w:rPr>
              <w:t>连续</w:t>
            </w:r>
          </w:p>
        </w:tc>
      </w:tr>
    </w:tbl>
    <w:p>
      <w:pPr>
        <w:pStyle w:val="28"/>
        <w:bidi w:val="0"/>
      </w:pPr>
      <w:r>
        <w:rPr>
          <w:rFonts w:hint="eastAsia"/>
        </w:rPr>
        <w:t>表</w:t>
      </w:r>
      <w:r>
        <w:rPr>
          <w:rFonts w:hint="eastAsia"/>
          <w:lang w:val="en-US" w:eastAsia="zh-CN"/>
        </w:rPr>
        <w:t>2</w:t>
      </w:r>
      <w:r>
        <w:rPr>
          <w:rFonts w:hint="eastAsia"/>
        </w:rPr>
        <w:t>.1</w:t>
      </w:r>
      <w:r>
        <w:rPr>
          <w:rFonts w:hint="eastAsia"/>
          <w:lang w:val="en-US" w:eastAsia="zh-CN"/>
        </w:rPr>
        <w:t>.5</w:t>
      </w:r>
      <w:r>
        <w:rPr>
          <w:rFonts w:hint="eastAsia"/>
        </w:rPr>
        <w:t>-</w:t>
      </w:r>
      <w:r>
        <w:rPr>
          <w:rFonts w:hint="eastAsia"/>
          <w:lang w:val="en-US" w:eastAsia="zh-CN"/>
        </w:rPr>
        <w:t>2</w:t>
      </w:r>
      <w:r>
        <w:t xml:space="preserve"> </w:t>
      </w:r>
      <w:r>
        <w:rPr>
          <w:rFonts w:hint="eastAsia"/>
        </w:rPr>
        <w:t>本公司废水污染物产排情况表</w:t>
      </w:r>
    </w:p>
    <w:tbl>
      <w:tblPr>
        <w:tblStyle w:val="22"/>
        <w:tblW w:w="494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39"/>
        <w:gridCol w:w="1817"/>
        <w:gridCol w:w="899"/>
        <w:gridCol w:w="794"/>
        <w:gridCol w:w="835"/>
        <w:gridCol w:w="928"/>
        <w:gridCol w:w="899"/>
        <w:gridCol w:w="100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12" w:hRule="atLeast"/>
          <w:jc w:val="center"/>
        </w:trPr>
        <w:tc>
          <w:tcPr>
            <w:tcW w:w="1889" w:type="pct"/>
            <w:gridSpan w:val="2"/>
            <w:tcBorders>
              <w:bottom w:val="single" w:color="auto" w:sz="12" w:space="0"/>
            </w:tcBorders>
            <w:vAlign w:val="center"/>
          </w:tcPr>
          <w:p>
            <w:pPr>
              <w:pStyle w:val="39"/>
              <w:bidi w:val="0"/>
              <w:rPr>
                <w:b/>
                <w:bCs/>
              </w:rPr>
            </w:pPr>
            <w:r>
              <w:rPr>
                <w:rFonts w:hint="eastAsia"/>
                <w:b/>
                <w:bCs/>
              </w:rPr>
              <w:t>类别</w:t>
            </w:r>
          </w:p>
        </w:tc>
        <w:tc>
          <w:tcPr>
            <w:tcW w:w="520" w:type="pct"/>
            <w:tcBorders>
              <w:bottom w:val="single" w:color="auto" w:sz="12" w:space="0"/>
            </w:tcBorders>
            <w:vAlign w:val="center"/>
          </w:tcPr>
          <w:p>
            <w:pPr>
              <w:pStyle w:val="39"/>
              <w:bidi w:val="0"/>
              <w:rPr>
                <w:b/>
                <w:bCs/>
              </w:rPr>
            </w:pPr>
            <w:r>
              <w:rPr>
                <w:rFonts w:hint="eastAsia"/>
                <w:b/>
                <w:bCs/>
              </w:rPr>
              <w:t>CODcr</w:t>
            </w:r>
          </w:p>
        </w:tc>
        <w:tc>
          <w:tcPr>
            <w:tcW w:w="459" w:type="pct"/>
            <w:tcBorders>
              <w:bottom w:val="single" w:color="auto" w:sz="12" w:space="0"/>
            </w:tcBorders>
            <w:vAlign w:val="center"/>
          </w:tcPr>
          <w:p>
            <w:pPr>
              <w:pStyle w:val="39"/>
              <w:bidi w:val="0"/>
              <w:rPr>
                <w:b/>
                <w:bCs/>
              </w:rPr>
            </w:pPr>
            <w:r>
              <w:rPr>
                <w:rFonts w:hint="eastAsia"/>
                <w:b/>
                <w:bCs/>
              </w:rPr>
              <w:t>SS</w:t>
            </w:r>
          </w:p>
        </w:tc>
        <w:tc>
          <w:tcPr>
            <w:tcW w:w="486" w:type="pct"/>
            <w:tcBorders>
              <w:bottom w:val="single" w:color="auto" w:sz="12" w:space="0"/>
            </w:tcBorders>
            <w:vAlign w:val="center"/>
          </w:tcPr>
          <w:p>
            <w:pPr>
              <w:pStyle w:val="39"/>
              <w:bidi w:val="0"/>
              <w:rPr>
                <w:b/>
                <w:bCs/>
              </w:rPr>
            </w:pPr>
            <w:r>
              <w:rPr>
                <w:rFonts w:hint="eastAsia"/>
                <w:b/>
                <w:bCs/>
              </w:rPr>
              <w:t>BOD5</w:t>
            </w:r>
          </w:p>
        </w:tc>
        <w:tc>
          <w:tcPr>
            <w:tcW w:w="540" w:type="pct"/>
            <w:tcBorders>
              <w:bottom w:val="single" w:color="auto" w:sz="12" w:space="0"/>
            </w:tcBorders>
            <w:vAlign w:val="center"/>
          </w:tcPr>
          <w:p>
            <w:pPr>
              <w:pStyle w:val="39"/>
              <w:bidi w:val="0"/>
              <w:rPr>
                <w:b/>
                <w:bCs/>
              </w:rPr>
            </w:pPr>
            <w:r>
              <w:rPr>
                <w:rFonts w:hint="eastAsia"/>
                <w:b/>
                <w:bCs/>
              </w:rPr>
              <w:t>NH3-N</w:t>
            </w:r>
          </w:p>
        </w:tc>
        <w:tc>
          <w:tcPr>
            <w:tcW w:w="521" w:type="pct"/>
            <w:tcBorders>
              <w:bottom w:val="single" w:color="auto" w:sz="12" w:space="0"/>
            </w:tcBorders>
            <w:vAlign w:val="center"/>
          </w:tcPr>
          <w:p>
            <w:pPr>
              <w:pStyle w:val="39"/>
              <w:bidi w:val="0"/>
              <w:rPr>
                <w:b/>
                <w:bCs/>
              </w:rPr>
            </w:pPr>
            <w:r>
              <w:rPr>
                <w:rFonts w:hint="eastAsia"/>
                <w:b/>
                <w:bCs/>
              </w:rPr>
              <w:t>石油类</w:t>
            </w:r>
          </w:p>
        </w:tc>
        <w:tc>
          <w:tcPr>
            <w:tcW w:w="581" w:type="pct"/>
            <w:tcBorders>
              <w:bottom w:val="single" w:color="auto" w:sz="12" w:space="0"/>
            </w:tcBorders>
            <w:vAlign w:val="center"/>
          </w:tcPr>
          <w:p>
            <w:pPr>
              <w:pStyle w:val="39"/>
              <w:bidi w:val="0"/>
              <w:rPr>
                <w:b/>
                <w:bCs/>
              </w:rPr>
            </w:pPr>
            <w:r>
              <w:rPr>
                <w:rFonts w:hint="eastAsia"/>
                <w:b/>
                <w:bCs/>
              </w:rPr>
              <w:t>LAS</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12" w:hRule="atLeast"/>
          <w:jc w:val="center"/>
        </w:trPr>
        <w:tc>
          <w:tcPr>
            <w:tcW w:w="833" w:type="pct"/>
            <w:vMerge w:val="restart"/>
            <w:tcBorders>
              <w:top w:val="single" w:color="auto" w:sz="12" w:space="0"/>
              <w:tl2br w:val="nil"/>
              <w:tr2bl w:val="nil"/>
            </w:tcBorders>
            <w:vAlign w:val="center"/>
          </w:tcPr>
          <w:p>
            <w:pPr>
              <w:pStyle w:val="39"/>
              <w:bidi w:val="0"/>
            </w:pPr>
            <w:r>
              <w:t>生活污水（</w:t>
            </w:r>
            <w:r>
              <w:rPr>
                <w:rFonts w:hint="eastAsia"/>
              </w:rPr>
              <w:t>720</w:t>
            </w:r>
            <w:r>
              <w:rPr>
                <w:highlight w:val="none"/>
              </w:rPr>
              <w:t>m</w:t>
            </w:r>
            <w:r>
              <w:rPr>
                <w:highlight w:val="none"/>
                <w:vertAlign w:val="superscript"/>
              </w:rPr>
              <w:t>3</w:t>
            </w:r>
            <w:r>
              <w:t>/a）</w:t>
            </w:r>
          </w:p>
        </w:tc>
        <w:tc>
          <w:tcPr>
            <w:tcW w:w="1056" w:type="pct"/>
            <w:tcBorders>
              <w:top w:val="single" w:color="auto" w:sz="12" w:space="0"/>
              <w:tl2br w:val="nil"/>
              <w:tr2bl w:val="nil"/>
            </w:tcBorders>
            <w:vAlign w:val="center"/>
          </w:tcPr>
          <w:p>
            <w:pPr>
              <w:pStyle w:val="39"/>
              <w:bidi w:val="0"/>
            </w:pPr>
            <w:r>
              <w:t>产生浓度 mg/L</w:t>
            </w:r>
          </w:p>
        </w:tc>
        <w:tc>
          <w:tcPr>
            <w:tcW w:w="520" w:type="pct"/>
            <w:tcBorders>
              <w:top w:val="single" w:color="auto" w:sz="12" w:space="0"/>
              <w:tl2br w:val="nil"/>
              <w:tr2bl w:val="nil"/>
            </w:tcBorders>
            <w:vAlign w:val="center"/>
          </w:tcPr>
          <w:p>
            <w:pPr>
              <w:pStyle w:val="39"/>
              <w:bidi w:val="0"/>
            </w:pPr>
            <w:r>
              <w:rPr>
                <w:rFonts w:hint="eastAsia"/>
              </w:rPr>
              <w:t>250</w:t>
            </w:r>
          </w:p>
        </w:tc>
        <w:tc>
          <w:tcPr>
            <w:tcW w:w="459" w:type="pct"/>
            <w:tcBorders>
              <w:top w:val="single" w:color="auto" w:sz="12" w:space="0"/>
              <w:tl2br w:val="nil"/>
              <w:tr2bl w:val="nil"/>
            </w:tcBorders>
            <w:vAlign w:val="center"/>
          </w:tcPr>
          <w:p>
            <w:pPr>
              <w:pStyle w:val="39"/>
              <w:bidi w:val="0"/>
            </w:pPr>
            <w:r>
              <w:rPr>
                <w:rFonts w:hint="eastAsia"/>
              </w:rPr>
              <w:t>150</w:t>
            </w:r>
          </w:p>
        </w:tc>
        <w:tc>
          <w:tcPr>
            <w:tcW w:w="486" w:type="pct"/>
            <w:tcBorders>
              <w:top w:val="single" w:color="auto" w:sz="12" w:space="0"/>
              <w:tl2br w:val="nil"/>
              <w:tr2bl w:val="nil"/>
            </w:tcBorders>
            <w:vAlign w:val="center"/>
          </w:tcPr>
          <w:p>
            <w:pPr>
              <w:pStyle w:val="39"/>
              <w:bidi w:val="0"/>
            </w:pPr>
            <w:r>
              <w:rPr>
                <w:rFonts w:hint="eastAsia"/>
              </w:rPr>
              <w:t>100</w:t>
            </w:r>
          </w:p>
        </w:tc>
        <w:tc>
          <w:tcPr>
            <w:tcW w:w="540" w:type="pct"/>
            <w:tcBorders>
              <w:top w:val="single" w:color="auto" w:sz="12" w:space="0"/>
              <w:tl2br w:val="nil"/>
              <w:tr2bl w:val="nil"/>
            </w:tcBorders>
            <w:vAlign w:val="center"/>
          </w:tcPr>
          <w:p>
            <w:pPr>
              <w:pStyle w:val="39"/>
              <w:bidi w:val="0"/>
            </w:pPr>
            <w:r>
              <w:rPr>
                <w:rFonts w:hint="eastAsia"/>
              </w:rPr>
              <w:t>25</w:t>
            </w:r>
          </w:p>
        </w:tc>
        <w:tc>
          <w:tcPr>
            <w:tcW w:w="521" w:type="pct"/>
            <w:tcBorders>
              <w:top w:val="single" w:color="auto" w:sz="12" w:space="0"/>
              <w:tl2br w:val="nil"/>
              <w:tr2bl w:val="nil"/>
            </w:tcBorders>
            <w:vAlign w:val="center"/>
          </w:tcPr>
          <w:p>
            <w:pPr>
              <w:pStyle w:val="39"/>
              <w:bidi w:val="0"/>
            </w:pPr>
            <w:r>
              <w:rPr>
                <w:rFonts w:hint="eastAsia"/>
              </w:rPr>
              <w:t>/</w:t>
            </w:r>
          </w:p>
        </w:tc>
        <w:tc>
          <w:tcPr>
            <w:tcW w:w="581" w:type="pct"/>
            <w:tcBorders>
              <w:top w:val="single" w:color="auto" w:sz="12" w:space="0"/>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产生量 t/a</w:t>
            </w:r>
          </w:p>
        </w:tc>
        <w:tc>
          <w:tcPr>
            <w:tcW w:w="520" w:type="pct"/>
            <w:tcBorders>
              <w:tl2br w:val="nil"/>
              <w:tr2bl w:val="nil"/>
            </w:tcBorders>
            <w:vAlign w:val="center"/>
          </w:tcPr>
          <w:p>
            <w:pPr>
              <w:pStyle w:val="39"/>
              <w:bidi w:val="0"/>
            </w:pPr>
            <w:r>
              <w:rPr>
                <w:rFonts w:hint="eastAsia"/>
              </w:rPr>
              <w:t>0.18</w:t>
            </w:r>
          </w:p>
        </w:tc>
        <w:tc>
          <w:tcPr>
            <w:tcW w:w="459" w:type="pct"/>
            <w:tcBorders>
              <w:tl2br w:val="nil"/>
              <w:tr2bl w:val="nil"/>
            </w:tcBorders>
            <w:vAlign w:val="center"/>
          </w:tcPr>
          <w:p>
            <w:pPr>
              <w:pStyle w:val="39"/>
              <w:bidi w:val="0"/>
            </w:pPr>
            <w:r>
              <w:rPr>
                <w:rFonts w:hint="eastAsia"/>
              </w:rPr>
              <w:t>0.108</w:t>
            </w:r>
          </w:p>
        </w:tc>
        <w:tc>
          <w:tcPr>
            <w:tcW w:w="486" w:type="pct"/>
            <w:tcBorders>
              <w:tl2br w:val="nil"/>
              <w:tr2bl w:val="nil"/>
            </w:tcBorders>
            <w:vAlign w:val="center"/>
          </w:tcPr>
          <w:p>
            <w:pPr>
              <w:pStyle w:val="39"/>
              <w:bidi w:val="0"/>
            </w:pPr>
            <w:r>
              <w:rPr>
                <w:rFonts w:hint="eastAsia"/>
              </w:rPr>
              <w:t>0.072</w:t>
            </w:r>
          </w:p>
        </w:tc>
        <w:tc>
          <w:tcPr>
            <w:tcW w:w="540" w:type="pct"/>
            <w:tcBorders>
              <w:tl2br w:val="nil"/>
              <w:tr2bl w:val="nil"/>
            </w:tcBorders>
            <w:vAlign w:val="center"/>
          </w:tcPr>
          <w:p>
            <w:pPr>
              <w:pStyle w:val="39"/>
              <w:bidi w:val="0"/>
            </w:pPr>
            <w:r>
              <w:rPr>
                <w:rFonts w:hint="eastAsia"/>
              </w:rPr>
              <w:t>0.018</w:t>
            </w:r>
          </w:p>
        </w:tc>
        <w:tc>
          <w:tcPr>
            <w:tcW w:w="521" w:type="pct"/>
            <w:tcBorders>
              <w:tl2br w:val="nil"/>
              <w:tr2bl w:val="nil"/>
            </w:tcBorders>
            <w:vAlign w:val="center"/>
          </w:tcPr>
          <w:p>
            <w:pPr>
              <w:pStyle w:val="39"/>
              <w:bidi w:val="0"/>
            </w:pPr>
            <w:r>
              <w:rPr>
                <w:rFonts w:hint="eastAsia"/>
              </w:rPr>
              <w:t>/</w:t>
            </w:r>
          </w:p>
        </w:tc>
        <w:tc>
          <w:tcPr>
            <w:tcW w:w="581"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657"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化粪池去除效率%</w:t>
            </w:r>
          </w:p>
        </w:tc>
        <w:tc>
          <w:tcPr>
            <w:tcW w:w="520" w:type="pct"/>
            <w:tcBorders>
              <w:tl2br w:val="nil"/>
              <w:tr2bl w:val="nil"/>
            </w:tcBorders>
            <w:vAlign w:val="center"/>
          </w:tcPr>
          <w:p>
            <w:pPr>
              <w:pStyle w:val="39"/>
              <w:bidi w:val="0"/>
            </w:pPr>
            <w:r>
              <w:rPr>
                <w:rFonts w:hint="eastAsia"/>
              </w:rPr>
              <w:t>30</w:t>
            </w:r>
          </w:p>
        </w:tc>
        <w:tc>
          <w:tcPr>
            <w:tcW w:w="459" w:type="pct"/>
            <w:tcBorders>
              <w:tl2br w:val="nil"/>
              <w:tr2bl w:val="nil"/>
            </w:tcBorders>
            <w:vAlign w:val="center"/>
          </w:tcPr>
          <w:p>
            <w:pPr>
              <w:pStyle w:val="39"/>
              <w:bidi w:val="0"/>
            </w:pPr>
            <w:r>
              <w:rPr>
                <w:rFonts w:hint="eastAsia"/>
              </w:rPr>
              <w:t>20</w:t>
            </w:r>
          </w:p>
        </w:tc>
        <w:tc>
          <w:tcPr>
            <w:tcW w:w="486" w:type="pct"/>
            <w:tcBorders>
              <w:tl2br w:val="nil"/>
              <w:tr2bl w:val="nil"/>
            </w:tcBorders>
            <w:vAlign w:val="center"/>
          </w:tcPr>
          <w:p>
            <w:pPr>
              <w:pStyle w:val="39"/>
              <w:bidi w:val="0"/>
            </w:pPr>
            <w:r>
              <w:rPr>
                <w:rFonts w:hint="eastAsia"/>
              </w:rPr>
              <w:t>50</w:t>
            </w:r>
          </w:p>
        </w:tc>
        <w:tc>
          <w:tcPr>
            <w:tcW w:w="540" w:type="pct"/>
            <w:tcBorders>
              <w:tl2br w:val="nil"/>
              <w:tr2bl w:val="nil"/>
            </w:tcBorders>
            <w:vAlign w:val="center"/>
          </w:tcPr>
          <w:p>
            <w:pPr>
              <w:pStyle w:val="39"/>
              <w:bidi w:val="0"/>
            </w:pPr>
            <w:r>
              <w:rPr>
                <w:rFonts w:hint="eastAsia"/>
              </w:rPr>
              <w:t>20</w:t>
            </w:r>
          </w:p>
        </w:tc>
        <w:tc>
          <w:tcPr>
            <w:tcW w:w="521" w:type="pct"/>
            <w:tcBorders>
              <w:tl2br w:val="nil"/>
              <w:tr2bl w:val="nil"/>
            </w:tcBorders>
            <w:vAlign w:val="center"/>
          </w:tcPr>
          <w:p>
            <w:pPr>
              <w:pStyle w:val="39"/>
              <w:bidi w:val="0"/>
            </w:pPr>
            <w:r>
              <w:rPr>
                <w:rFonts w:hint="eastAsia"/>
              </w:rPr>
              <w:t>/</w:t>
            </w:r>
          </w:p>
        </w:tc>
        <w:tc>
          <w:tcPr>
            <w:tcW w:w="581"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排放浓度 mg/L</w:t>
            </w:r>
          </w:p>
        </w:tc>
        <w:tc>
          <w:tcPr>
            <w:tcW w:w="520" w:type="pct"/>
            <w:tcBorders>
              <w:tl2br w:val="nil"/>
              <w:tr2bl w:val="nil"/>
            </w:tcBorders>
            <w:vAlign w:val="center"/>
          </w:tcPr>
          <w:p>
            <w:pPr>
              <w:pStyle w:val="39"/>
              <w:bidi w:val="0"/>
            </w:pPr>
            <w:r>
              <w:rPr>
                <w:rFonts w:hint="eastAsia"/>
              </w:rPr>
              <w:t>175</w:t>
            </w:r>
          </w:p>
        </w:tc>
        <w:tc>
          <w:tcPr>
            <w:tcW w:w="459" w:type="pct"/>
            <w:tcBorders>
              <w:tl2br w:val="nil"/>
              <w:tr2bl w:val="nil"/>
            </w:tcBorders>
            <w:vAlign w:val="center"/>
          </w:tcPr>
          <w:p>
            <w:pPr>
              <w:pStyle w:val="39"/>
              <w:bidi w:val="0"/>
            </w:pPr>
            <w:r>
              <w:rPr>
                <w:rFonts w:hint="eastAsia"/>
              </w:rPr>
              <w:t>120</w:t>
            </w:r>
          </w:p>
        </w:tc>
        <w:tc>
          <w:tcPr>
            <w:tcW w:w="486" w:type="pct"/>
            <w:tcBorders>
              <w:tl2br w:val="nil"/>
              <w:tr2bl w:val="nil"/>
            </w:tcBorders>
            <w:vAlign w:val="center"/>
          </w:tcPr>
          <w:p>
            <w:pPr>
              <w:pStyle w:val="39"/>
              <w:bidi w:val="0"/>
            </w:pPr>
            <w:r>
              <w:rPr>
                <w:rFonts w:hint="eastAsia"/>
              </w:rPr>
              <w:t>50</w:t>
            </w:r>
          </w:p>
        </w:tc>
        <w:tc>
          <w:tcPr>
            <w:tcW w:w="540" w:type="pct"/>
            <w:tcBorders>
              <w:tl2br w:val="nil"/>
              <w:tr2bl w:val="nil"/>
            </w:tcBorders>
            <w:vAlign w:val="center"/>
          </w:tcPr>
          <w:p>
            <w:pPr>
              <w:pStyle w:val="39"/>
              <w:bidi w:val="0"/>
            </w:pPr>
            <w:r>
              <w:rPr>
                <w:rFonts w:hint="eastAsia"/>
              </w:rPr>
              <w:t>20</w:t>
            </w:r>
          </w:p>
        </w:tc>
        <w:tc>
          <w:tcPr>
            <w:tcW w:w="521" w:type="pct"/>
            <w:tcBorders>
              <w:tl2br w:val="nil"/>
              <w:tr2bl w:val="nil"/>
            </w:tcBorders>
            <w:vAlign w:val="center"/>
          </w:tcPr>
          <w:p>
            <w:pPr>
              <w:pStyle w:val="39"/>
              <w:bidi w:val="0"/>
            </w:pPr>
            <w:r>
              <w:rPr>
                <w:rFonts w:hint="eastAsia"/>
              </w:rPr>
              <w:t>/</w:t>
            </w:r>
          </w:p>
        </w:tc>
        <w:tc>
          <w:tcPr>
            <w:tcW w:w="581"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排放量 t/a</w:t>
            </w:r>
          </w:p>
        </w:tc>
        <w:tc>
          <w:tcPr>
            <w:tcW w:w="520" w:type="pct"/>
            <w:tcBorders>
              <w:tl2br w:val="nil"/>
              <w:tr2bl w:val="nil"/>
            </w:tcBorders>
            <w:vAlign w:val="center"/>
          </w:tcPr>
          <w:p>
            <w:pPr>
              <w:pStyle w:val="39"/>
              <w:bidi w:val="0"/>
            </w:pPr>
            <w:r>
              <w:rPr>
                <w:rFonts w:hint="eastAsia"/>
              </w:rPr>
              <w:t>0.126</w:t>
            </w:r>
          </w:p>
        </w:tc>
        <w:tc>
          <w:tcPr>
            <w:tcW w:w="459" w:type="pct"/>
            <w:tcBorders>
              <w:tl2br w:val="nil"/>
              <w:tr2bl w:val="nil"/>
            </w:tcBorders>
            <w:vAlign w:val="center"/>
          </w:tcPr>
          <w:p>
            <w:pPr>
              <w:pStyle w:val="39"/>
              <w:bidi w:val="0"/>
            </w:pPr>
            <w:r>
              <w:rPr>
                <w:rFonts w:hint="eastAsia"/>
              </w:rPr>
              <w:t>0.086</w:t>
            </w:r>
          </w:p>
        </w:tc>
        <w:tc>
          <w:tcPr>
            <w:tcW w:w="486" w:type="pct"/>
            <w:tcBorders>
              <w:tl2br w:val="nil"/>
              <w:tr2bl w:val="nil"/>
            </w:tcBorders>
            <w:vAlign w:val="center"/>
          </w:tcPr>
          <w:p>
            <w:pPr>
              <w:pStyle w:val="39"/>
              <w:bidi w:val="0"/>
            </w:pPr>
            <w:r>
              <w:rPr>
                <w:rFonts w:hint="eastAsia"/>
              </w:rPr>
              <w:t>0.036</w:t>
            </w:r>
          </w:p>
        </w:tc>
        <w:tc>
          <w:tcPr>
            <w:tcW w:w="540" w:type="pct"/>
            <w:tcBorders>
              <w:tl2br w:val="nil"/>
              <w:tr2bl w:val="nil"/>
            </w:tcBorders>
            <w:vAlign w:val="center"/>
          </w:tcPr>
          <w:p>
            <w:pPr>
              <w:pStyle w:val="39"/>
              <w:bidi w:val="0"/>
            </w:pPr>
            <w:r>
              <w:rPr>
                <w:rFonts w:hint="eastAsia"/>
              </w:rPr>
              <w:t>0.0144</w:t>
            </w:r>
          </w:p>
        </w:tc>
        <w:tc>
          <w:tcPr>
            <w:tcW w:w="521" w:type="pct"/>
            <w:tcBorders>
              <w:tl2br w:val="nil"/>
              <w:tr2bl w:val="nil"/>
            </w:tcBorders>
            <w:vAlign w:val="center"/>
          </w:tcPr>
          <w:p>
            <w:pPr>
              <w:pStyle w:val="39"/>
              <w:bidi w:val="0"/>
            </w:pPr>
            <w:r>
              <w:rPr>
                <w:rFonts w:hint="eastAsia"/>
              </w:rPr>
              <w:t>/</w:t>
            </w:r>
          </w:p>
        </w:tc>
        <w:tc>
          <w:tcPr>
            <w:tcW w:w="581"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restart"/>
            <w:tcBorders>
              <w:tl2br w:val="nil"/>
              <w:tr2bl w:val="nil"/>
            </w:tcBorders>
            <w:vAlign w:val="center"/>
          </w:tcPr>
          <w:p>
            <w:pPr>
              <w:pStyle w:val="39"/>
              <w:bidi w:val="0"/>
            </w:pPr>
            <w:r>
              <w:t>生产废水</w:t>
            </w:r>
          </w:p>
          <w:p>
            <w:pPr>
              <w:pStyle w:val="39"/>
              <w:bidi w:val="0"/>
            </w:pPr>
            <w:r>
              <w:t>（626</w:t>
            </w:r>
            <w:r>
              <w:rPr>
                <w:highlight w:val="none"/>
              </w:rPr>
              <w:t>m</w:t>
            </w:r>
            <w:r>
              <w:rPr>
                <w:highlight w:val="none"/>
                <w:vertAlign w:val="superscript"/>
              </w:rPr>
              <w:t>3</w:t>
            </w:r>
            <w:r>
              <w:t>/a）</w:t>
            </w:r>
          </w:p>
        </w:tc>
        <w:tc>
          <w:tcPr>
            <w:tcW w:w="1056" w:type="pct"/>
            <w:tcBorders>
              <w:tl2br w:val="nil"/>
              <w:tr2bl w:val="nil"/>
            </w:tcBorders>
            <w:vAlign w:val="center"/>
          </w:tcPr>
          <w:p>
            <w:pPr>
              <w:pStyle w:val="39"/>
              <w:bidi w:val="0"/>
            </w:pPr>
            <w:r>
              <w:t>产生浓度 mg/L</w:t>
            </w:r>
          </w:p>
        </w:tc>
        <w:tc>
          <w:tcPr>
            <w:tcW w:w="520" w:type="pct"/>
            <w:tcBorders>
              <w:tl2br w:val="nil"/>
              <w:tr2bl w:val="nil"/>
            </w:tcBorders>
            <w:vAlign w:val="center"/>
          </w:tcPr>
          <w:p>
            <w:pPr>
              <w:pStyle w:val="39"/>
              <w:bidi w:val="0"/>
            </w:pPr>
            <w:r>
              <w:rPr>
                <w:rFonts w:hint="eastAsia"/>
              </w:rPr>
              <w:t>550</w:t>
            </w:r>
          </w:p>
        </w:tc>
        <w:tc>
          <w:tcPr>
            <w:tcW w:w="459" w:type="pct"/>
            <w:tcBorders>
              <w:tl2br w:val="nil"/>
              <w:tr2bl w:val="nil"/>
            </w:tcBorders>
            <w:vAlign w:val="center"/>
          </w:tcPr>
          <w:p>
            <w:pPr>
              <w:pStyle w:val="39"/>
              <w:bidi w:val="0"/>
            </w:pPr>
            <w:r>
              <w:rPr>
                <w:rFonts w:hint="eastAsia"/>
              </w:rPr>
              <w:t>350</w:t>
            </w:r>
          </w:p>
        </w:tc>
        <w:tc>
          <w:tcPr>
            <w:tcW w:w="486" w:type="pct"/>
            <w:tcBorders>
              <w:tl2br w:val="nil"/>
              <w:tr2bl w:val="nil"/>
            </w:tcBorders>
            <w:vAlign w:val="center"/>
          </w:tcPr>
          <w:p>
            <w:pPr>
              <w:pStyle w:val="39"/>
              <w:bidi w:val="0"/>
            </w:pPr>
            <w:r>
              <w:rPr>
                <w:rFonts w:hint="eastAsia"/>
              </w:rPr>
              <w:t>250</w:t>
            </w:r>
          </w:p>
        </w:tc>
        <w:tc>
          <w:tcPr>
            <w:tcW w:w="540" w:type="pct"/>
            <w:tcBorders>
              <w:tl2br w:val="nil"/>
              <w:tr2bl w:val="nil"/>
            </w:tcBorders>
            <w:vAlign w:val="center"/>
          </w:tcPr>
          <w:p>
            <w:pPr>
              <w:pStyle w:val="39"/>
              <w:bidi w:val="0"/>
            </w:pPr>
            <w:r>
              <w:rPr>
                <w:rFonts w:hint="eastAsia"/>
              </w:rPr>
              <w:t>10</w:t>
            </w:r>
          </w:p>
        </w:tc>
        <w:tc>
          <w:tcPr>
            <w:tcW w:w="521" w:type="pct"/>
            <w:tcBorders>
              <w:tl2br w:val="nil"/>
              <w:tr2bl w:val="nil"/>
            </w:tcBorders>
            <w:vAlign w:val="center"/>
          </w:tcPr>
          <w:p>
            <w:pPr>
              <w:pStyle w:val="39"/>
              <w:bidi w:val="0"/>
            </w:pPr>
            <w:r>
              <w:rPr>
                <w:rFonts w:hint="eastAsia"/>
              </w:rPr>
              <w:t>/</w:t>
            </w:r>
          </w:p>
        </w:tc>
        <w:tc>
          <w:tcPr>
            <w:tcW w:w="581"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产生量 t/a</w:t>
            </w:r>
          </w:p>
        </w:tc>
        <w:tc>
          <w:tcPr>
            <w:tcW w:w="520" w:type="pct"/>
            <w:tcBorders>
              <w:tl2br w:val="nil"/>
              <w:tr2bl w:val="nil"/>
            </w:tcBorders>
            <w:vAlign w:val="center"/>
          </w:tcPr>
          <w:p>
            <w:pPr>
              <w:pStyle w:val="39"/>
              <w:bidi w:val="0"/>
            </w:pPr>
            <w:r>
              <w:rPr>
                <w:rFonts w:hint="eastAsia"/>
              </w:rPr>
              <w:t>0.344</w:t>
            </w:r>
          </w:p>
        </w:tc>
        <w:tc>
          <w:tcPr>
            <w:tcW w:w="459" w:type="pct"/>
            <w:tcBorders>
              <w:tl2br w:val="nil"/>
              <w:tr2bl w:val="nil"/>
            </w:tcBorders>
            <w:vAlign w:val="center"/>
          </w:tcPr>
          <w:p>
            <w:pPr>
              <w:pStyle w:val="39"/>
              <w:bidi w:val="0"/>
            </w:pPr>
            <w:r>
              <w:rPr>
                <w:rFonts w:hint="eastAsia"/>
              </w:rPr>
              <w:t>0.219</w:t>
            </w:r>
          </w:p>
        </w:tc>
        <w:tc>
          <w:tcPr>
            <w:tcW w:w="486" w:type="pct"/>
            <w:tcBorders>
              <w:tl2br w:val="nil"/>
              <w:tr2bl w:val="nil"/>
            </w:tcBorders>
            <w:vAlign w:val="center"/>
          </w:tcPr>
          <w:p>
            <w:pPr>
              <w:pStyle w:val="39"/>
              <w:bidi w:val="0"/>
            </w:pPr>
            <w:r>
              <w:rPr>
                <w:rFonts w:hint="eastAsia"/>
              </w:rPr>
              <w:t>0.157</w:t>
            </w:r>
          </w:p>
        </w:tc>
        <w:tc>
          <w:tcPr>
            <w:tcW w:w="540" w:type="pct"/>
            <w:tcBorders>
              <w:tl2br w:val="nil"/>
              <w:tr2bl w:val="nil"/>
            </w:tcBorders>
            <w:vAlign w:val="center"/>
          </w:tcPr>
          <w:p>
            <w:pPr>
              <w:pStyle w:val="39"/>
              <w:bidi w:val="0"/>
            </w:pPr>
            <w:r>
              <w:rPr>
                <w:rFonts w:hint="eastAsia"/>
              </w:rPr>
              <w:t>0.00626</w:t>
            </w:r>
          </w:p>
        </w:tc>
        <w:tc>
          <w:tcPr>
            <w:tcW w:w="521" w:type="pct"/>
            <w:tcBorders>
              <w:tl2br w:val="nil"/>
              <w:tr2bl w:val="nil"/>
            </w:tcBorders>
            <w:vAlign w:val="center"/>
          </w:tcPr>
          <w:p>
            <w:pPr>
              <w:pStyle w:val="39"/>
              <w:bidi w:val="0"/>
            </w:pPr>
            <w:r>
              <w:rPr>
                <w:rFonts w:hint="eastAsia"/>
              </w:rPr>
              <w:t>/</w:t>
            </w:r>
          </w:p>
        </w:tc>
        <w:tc>
          <w:tcPr>
            <w:tcW w:w="581" w:type="pct"/>
            <w:tcBorders>
              <w:tl2br w:val="nil"/>
              <w:tr2bl w:val="nil"/>
            </w:tcBorders>
            <w:vAlign w:val="center"/>
          </w:tcPr>
          <w:p>
            <w:pPr>
              <w:pStyle w:val="39"/>
              <w:bidi w:val="0"/>
            </w:pP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处理措施</w:t>
            </w:r>
          </w:p>
        </w:tc>
        <w:tc>
          <w:tcPr>
            <w:tcW w:w="3110" w:type="pct"/>
            <w:gridSpan w:val="6"/>
            <w:tcBorders>
              <w:tl2br w:val="nil"/>
              <w:tr2bl w:val="nil"/>
            </w:tcBorders>
            <w:vAlign w:val="center"/>
          </w:tcPr>
          <w:p>
            <w:pPr>
              <w:pStyle w:val="39"/>
              <w:bidi w:val="0"/>
            </w:pPr>
            <w:r>
              <w:t>隔油池+气浮+生物氧化</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657"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污水站处理效率%</w:t>
            </w:r>
          </w:p>
        </w:tc>
        <w:tc>
          <w:tcPr>
            <w:tcW w:w="520" w:type="pct"/>
            <w:tcBorders>
              <w:tl2br w:val="nil"/>
              <w:tr2bl w:val="nil"/>
            </w:tcBorders>
            <w:vAlign w:val="center"/>
          </w:tcPr>
          <w:p>
            <w:pPr>
              <w:pStyle w:val="39"/>
              <w:bidi w:val="0"/>
            </w:pPr>
            <w:r>
              <w:rPr>
                <w:rFonts w:hint="eastAsia"/>
              </w:rPr>
              <w:t>70</w:t>
            </w:r>
          </w:p>
        </w:tc>
        <w:tc>
          <w:tcPr>
            <w:tcW w:w="459" w:type="pct"/>
            <w:tcBorders>
              <w:tl2br w:val="nil"/>
              <w:tr2bl w:val="nil"/>
            </w:tcBorders>
            <w:vAlign w:val="center"/>
          </w:tcPr>
          <w:p>
            <w:pPr>
              <w:pStyle w:val="39"/>
              <w:bidi w:val="0"/>
            </w:pPr>
            <w:r>
              <w:rPr>
                <w:rFonts w:hint="eastAsia"/>
              </w:rPr>
              <w:t>80</w:t>
            </w:r>
          </w:p>
        </w:tc>
        <w:tc>
          <w:tcPr>
            <w:tcW w:w="486" w:type="pct"/>
            <w:tcBorders>
              <w:tl2br w:val="nil"/>
              <w:tr2bl w:val="nil"/>
            </w:tcBorders>
            <w:vAlign w:val="center"/>
          </w:tcPr>
          <w:p>
            <w:pPr>
              <w:pStyle w:val="39"/>
              <w:bidi w:val="0"/>
            </w:pPr>
            <w:r>
              <w:rPr>
                <w:rFonts w:hint="eastAsia"/>
              </w:rPr>
              <w:t>70</w:t>
            </w:r>
          </w:p>
        </w:tc>
        <w:tc>
          <w:tcPr>
            <w:tcW w:w="540" w:type="pct"/>
            <w:tcBorders>
              <w:tl2br w:val="nil"/>
              <w:tr2bl w:val="nil"/>
            </w:tcBorders>
            <w:vAlign w:val="center"/>
          </w:tcPr>
          <w:p>
            <w:pPr>
              <w:pStyle w:val="39"/>
              <w:bidi w:val="0"/>
            </w:pPr>
            <w:r>
              <w:rPr>
                <w:rFonts w:hint="eastAsia"/>
              </w:rPr>
              <w:t>50</w:t>
            </w:r>
          </w:p>
        </w:tc>
        <w:tc>
          <w:tcPr>
            <w:tcW w:w="521" w:type="pct"/>
            <w:tcBorders>
              <w:tl2br w:val="nil"/>
              <w:tr2bl w:val="nil"/>
            </w:tcBorders>
            <w:vAlign w:val="center"/>
          </w:tcPr>
          <w:p>
            <w:pPr>
              <w:pStyle w:val="39"/>
              <w:bidi w:val="0"/>
            </w:pPr>
            <w:r>
              <w:rPr>
                <w:rFonts w:hint="eastAsia"/>
              </w:rPr>
              <w:t>80</w:t>
            </w:r>
          </w:p>
        </w:tc>
        <w:tc>
          <w:tcPr>
            <w:tcW w:w="581" w:type="pct"/>
            <w:tcBorders>
              <w:tl2br w:val="nil"/>
              <w:tr2bl w:val="nil"/>
            </w:tcBorders>
            <w:vAlign w:val="center"/>
          </w:tcPr>
          <w:p>
            <w:pPr>
              <w:pStyle w:val="39"/>
              <w:bidi w:val="0"/>
            </w:pPr>
            <w:r>
              <w:rPr>
                <w:rFonts w:hint="eastAsia"/>
              </w:rPr>
              <w:t>40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排放浓度 mg/L</w:t>
            </w:r>
          </w:p>
        </w:tc>
        <w:tc>
          <w:tcPr>
            <w:tcW w:w="520" w:type="pct"/>
            <w:tcBorders>
              <w:tl2br w:val="nil"/>
              <w:tr2bl w:val="nil"/>
            </w:tcBorders>
            <w:vAlign w:val="center"/>
          </w:tcPr>
          <w:p>
            <w:pPr>
              <w:pStyle w:val="39"/>
              <w:bidi w:val="0"/>
            </w:pPr>
            <w:r>
              <w:rPr>
                <w:rFonts w:hint="eastAsia"/>
              </w:rPr>
              <w:t>165</w:t>
            </w:r>
          </w:p>
        </w:tc>
        <w:tc>
          <w:tcPr>
            <w:tcW w:w="459" w:type="pct"/>
            <w:tcBorders>
              <w:tl2br w:val="nil"/>
              <w:tr2bl w:val="nil"/>
            </w:tcBorders>
            <w:vAlign w:val="center"/>
          </w:tcPr>
          <w:p>
            <w:pPr>
              <w:pStyle w:val="39"/>
              <w:bidi w:val="0"/>
            </w:pPr>
            <w:r>
              <w:rPr>
                <w:rFonts w:hint="eastAsia"/>
              </w:rPr>
              <w:t>70</w:t>
            </w:r>
          </w:p>
        </w:tc>
        <w:tc>
          <w:tcPr>
            <w:tcW w:w="486" w:type="pct"/>
            <w:tcBorders>
              <w:tl2br w:val="nil"/>
              <w:tr2bl w:val="nil"/>
            </w:tcBorders>
            <w:vAlign w:val="center"/>
          </w:tcPr>
          <w:p>
            <w:pPr>
              <w:pStyle w:val="39"/>
              <w:bidi w:val="0"/>
            </w:pPr>
            <w:r>
              <w:rPr>
                <w:rFonts w:hint="eastAsia"/>
              </w:rPr>
              <w:t>75</w:t>
            </w:r>
          </w:p>
        </w:tc>
        <w:tc>
          <w:tcPr>
            <w:tcW w:w="540" w:type="pct"/>
            <w:tcBorders>
              <w:tl2br w:val="nil"/>
              <w:tr2bl w:val="nil"/>
            </w:tcBorders>
            <w:vAlign w:val="center"/>
          </w:tcPr>
          <w:p>
            <w:pPr>
              <w:pStyle w:val="39"/>
              <w:bidi w:val="0"/>
            </w:pPr>
            <w:r>
              <w:rPr>
                <w:rFonts w:hint="eastAsia"/>
              </w:rPr>
              <w:t>5</w:t>
            </w:r>
          </w:p>
        </w:tc>
        <w:tc>
          <w:tcPr>
            <w:tcW w:w="521" w:type="pct"/>
            <w:tcBorders>
              <w:tl2br w:val="nil"/>
              <w:tr2bl w:val="nil"/>
            </w:tcBorders>
            <w:vAlign w:val="center"/>
          </w:tcPr>
          <w:p>
            <w:pPr>
              <w:pStyle w:val="39"/>
              <w:bidi w:val="0"/>
            </w:pPr>
            <w:r>
              <w:rPr>
                <w:rFonts w:hint="eastAsia"/>
              </w:rPr>
              <w:t>3</w:t>
            </w:r>
          </w:p>
        </w:tc>
        <w:tc>
          <w:tcPr>
            <w:tcW w:w="581" w:type="pct"/>
            <w:tcBorders>
              <w:tl2br w:val="nil"/>
              <w:tr2bl w:val="nil"/>
            </w:tcBorders>
            <w:vAlign w:val="center"/>
          </w:tcPr>
          <w:p>
            <w:pPr>
              <w:pStyle w:val="39"/>
              <w:bidi w:val="0"/>
            </w:pPr>
            <w:r>
              <w:rPr>
                <w:rFonts w:hint="eastAsia"/>
              </w:rPr>
              <w:t>0.9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排放量 t/a</w:t>
            </w:r>
          </w:p>
        </w:tc>
        <w:tc>
          <w:tcPr>
            <w:tcW w:w="520" w:type="pct"/>
            <w:tcBorders>
              <w:tl2br w:val="nil"/>
              <w:tr2bl w:val="nil"/>
            </w:tcBorders>
            <w:vAlign w:val="center"/>
          </w:tcPr>
          <w:p>
            <w:pPr>
              <w:pStyle w:val="39"/>
              <w:bidi w:val="0"/>
            </w:pPr>
            <w:r>
              <w:rPr>
                <w:rFonts w:hint="eastAsia"/>
              </w:rPr>
              <w:t>0.103</w:t>
            </w:r>
          </w:p>
        </w:tc>
        <w:tc>
          <w:tcPr>
            <w:tcW w:w="459" w:type="pct"/>
            <w:tcBorders>
              <w:tl2br w:val="nil"/>
              <w:tr2bl w:val="nil"/>
            </w:tcBorders>
            <w:vAlign w:val="center"/>
          </w:tcPr>
          <w:p>
            <w:pPr>
              <w:pStyle w:val="39"/>
              <w:bidi w:val="0"/>
            </w:pPr>
            <w:r>
              <w:rPr>
                <w:rFonts w:hint="eastAsia"/>
              </w:rPr>
              <w:t>0.044</w:t>
            </w:r>
          </w:p>
        </w:tc>
        <w:tc>
          <w:tcPr>
            <w:tcW w:w="486" w:type="pct"/>
            <w:tcBorders>
              <w:tl2br w:val="nil"/>
              <w:tr2bl w:val="nil"/>
            </w:tcBorders>
            <w:vAlign w:val="center"/>
          </w:tcPr>
          <w:p>
            <w:pPr>
              <w:pStyle w:val="39"/>
              <w:bidi w:val="0"/>
            </w:pPr>
            <w:r>
              <w:rPr>
                <w:rFonts w:hint="eastAsia"/>
              </w:rPr>
              <w:t>0.047</w:t>
            </w:r>
          </w:p>
        </w:tc>
        <w:tc>
          <w:tcPr>
            <w:tcW w:w="540" w:type="pct"/>
            <w:tcBorders>
              <w:tl2br w:val="nil"/>
              <w:tr2bl w:val="nil"/>
            </w:tcBorders>
            <w:vAlign w:val="center"/>
          </w:tcPr>
          <w:p>
            <w:pPr>
              <w:pStyle w:val="39"/>
              <w:bidi w:val="0"/>
            </w:pPr>
            <w:r>
              <w:rPr>
                <w:rFonts w:hint="eastAsia"/>
              </w:rPr>
              <w:t>0.0031</w:t>
            </w:r>
          </w:p>
        </w:tc>
        <w:tc>
          <w:tcPr>
            <w:tcW w:w="521" w:type="pct"/>
            <w:tcBorders>
              <w:tl2br w:val="nil"/>
              <w:tr2bl w:val="nil"/>
            </w:tcBorders>
            <w:vAlign w:val="center"/>
          </w:tcPr>
          <w:p>
            <w:pPr>
              <w:pStyle w:val="39"/>
              <w:bidi w:val="0"/>
            </w:pPr>
            <w:r>
              <w:rPr>
                <w:rFonts w:hint="eastAsia"/>
              </w:rPr>
              <w:t>0.00188</w:t>
            </w:r>
          </w:p>
        </w:tc>
        <w:tc>
          <w:tcPr>
            <w:tcW w:w="581" w:type="pct"/>
            <w:tcBorders>
              <w:tl2br w:val="nil"/>
              <w:tr2bl w:val="nil"/>
            </w:tcBorders>
            <w:vAlign w:val="center"/>
          </w:tcPr>
          <w:p>
            <w:pPr>
              <w:pStyle w:val="39"/>
              <w:bidi w:val="0"/>
            </w:pPr>
            <w:r>
              <w:rPr>
                <w:rFonts w:hint="eastAsia"/>
              </w:rPr>
              <w:t>0.000563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restart"/>
            <w:tcBorders>
              <w:tl2br w:val="nil"/>
              <w:tr2bl w:val="nil"/>
            </w:tcBorders>
            <w:vAlign w:val="center"/>
          </w:tcPr>
          <w:p>
            <w:pPr>
              <w:pStyle w:val="39"/>
              <w:bidi w:val="0"/>
            </w:pPr>
            <w:r>
              <w:t>混合废水</w:t>
            </w:r>
          </w:p>
          <w:p>
            <w:pPr>
              <w:pStyle w:val="39"/>
              <w:bidi w:val="0"/>
            </w:pPr>
            <w:r>
              <w:t>（1346</w:t>
            </w:r>
            <w:r>
              <w:rPr>
                <w:highlight w:val="none"/>
              </w:rPr>
              <w:t>m</w:t>
            </w:r>
            <w:r>
              <w:rPr>
                <w:highlight w:val="none"/>
                <w:vertAlign w:val="superscript"/>
              </w:rPr>
              <w:t>3</w:t>
            </w:r>
            <w:r>
              <w:t>/a）</w:t>
            </w:r>
          </w:p>
        </w:tc>
        <w:tc>
          <w:tcPr>
            <w:tcW w:w="1056" w:type="pct"/>
            <w:tcBorders>
              <w:tl2br w:val="nil"/>
              <w:tr2bl w:val="nil"/>
            </w:tcBorders>
            <w:vAlign w:val="center"/>
          </w:tcPr>
          <w:p>
            <w:pPr>
              <w:pStyle w:val="39"/>
              <w:bidi w:val="0"/>
            </w:pPr>
            <w:r>
              <w:t>排放浓度 mg/L</w:t>
            </w:r>
          </w:p>
        </w:tc>
        <w:tc>
          <w:tcPr>
            <w:tcW w:w="520" w:type="pct"/>
            <w:tcBorders>
              <w:tl2br w:val="nil"/>
              <w:tr2bl w:val="nil"/>
            </w:tcBorders>
            <w:vAlign w:val="center"/>
          </w:tcPr>
          <w:p>
            <w:pPr>
              <w:pStyle w:val="39"/>
              <w:bidi w:val="0"/>
            </w:pPr>
            <w:r>
              <w:rPr>
                <w:rFonts w:hint="eastAsia"/>
              </w:rPr>
              <w:t>170.349</w:t>
            </w:r>
          </w:p>
        </w:tc>
        <w:tc>
          <w:tcPr>
            <w:tcW w:w="459" w:type="pct"/>
            <w:tcBorders>
              <w:tl2br w:val="nil"/>
              <w:tr2bl w:val="nil"/>
            </w:tcBorders>
            <w:vAlign w:val="center"/>
          </w:tcPr>
          <w:p>
            <w:pPr>
              <w:pStyle w:val="39"/>
              <w:bidi w:val="0"/>
            </w:pPr>
            <w:r>
              <w:rPr>
                <w:rFonts w:hint="eastAsia"/>
              </w:rPr>
              <w:t>96.746</w:t>
            </w:r>
          </w:p>
        </w:tc>
        <w:tc>
          <w:tcPr>
            <w:tcW w:w="486" w:type="pct"/>
            <w:tcBorders>
              <w:tl2br w:val="nil"/>
              <w:tr2bl w:val="nil"/>
            </w:tcBorders>
            <w:vAlign w:val="center"/>
          </w:tcPr>
          <w:p>
            <w:pPr>
              <w:pStyle w:val="39"/>
              <w:bidi w:val="0"/>
            </w:pPr>
            <w:r>
              <w:rPr>
                <w:rFonts w:hint="eastAsia"/>
              </w:rPr>
              <w:t>61.627</w:t>
            </w:r>
          </w:p>
        </w:tc>
        <w:tc>
          <w:tcPr>
            <w:tcW w:w="540" w:type="pct"/>
            <w:tcBorders>
              <w:tl2br w:val="nil"/>
              <w:tr2bl w:val="nil"/>
            </w:tcBorders>
            <w:vAlign w:val="center"/>
          </w:tcPr>
          <w:p>
            <w:pPr>
              <w:pStyle w:val="39"/>
              <w:bidi w:val="0"/>
            </w:pPr>
            <w:r>
              <w:rPr>
                <w:rFonts w:hint="eastAsia"/>
              </w:rPr>
              <w:t>13.024</w:t>
            </w:r>
          </w:p>
        </w:tc>
        <w:tc>
          <w:tcPr>
            <w:tcW w:w="521" w:type="pct"/>
            <w:tcBorders>
              <w:tl2br w:val="nil"/>
              <w:tr2bl w:val="nil"/>
            </w:tcBorders>
            <w:vAlign w:val="center"/>
          </w:tcPr>
          <w:p>
            <w:pPr>
              <w:pStyle w:val="39"/>
              <w:bidi w:val="0"/>
            </w:pPr>
            <w:r>
              <w:rPr>
                <w:rFonts w:hint="eastAsia"/>
              </w:rPr>
              <w:t>1.397</w:t>
            </w:r>
          </w:p>
        </w:tc>
        <w:tc>
          <w:tcPr>
            <w:tcW w:w="581" w:type="pct"/>
            <w:tcBorders>
              <w:tl2br w:val="nil"/>
              <w:tr2bl w:val="nil"/>
            </w:tcBorders>
            <w:vAlign w:val="center"/>
          </w:tcPr>
          <w:p>
            <w:pPr>
              <w:pStyle w:val="39"/>
              <w:bidi w:val="0"/>
            </w:pPr>
            <w:r>
              <w:rPr>
                <w:rFonts w:hint="eastAsia"/>
              </w:rPr>
              <w:t>0.418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vMerge w:val="continue"/>
            <w:tcBorders>
              <w:tl2br w:val="nil"/>
              <w:tr2bl w:val="nil"/>
            </w:tcBorders>
            <w:vAlign w:val="center"/>
          </w:tcPr>
          <w:p>
            <w:pPr>
              <w:pStyle w:val="39"/>
              <w:bidi w:val="0"/>
            </w:pPr>
          </w:p>
        </w:tc>
        <w:tc>
          <w:tcPr>
            <w:tcW w:w="1056" w:type="pct"/>
            <w:tcBorders>
              <w:tl2br w:val="nil"/>
              <w:tr2bl w:val="nil"/>
            </w:tcBorders>
            <w:vAlign w:val="center"/>
          </w:tcPr>
          <w:p>
            <w:pPr>
              <w:pStyle w:val="39"/>
              <w:bidi w:val="0"/>
            </w:pPr>
            <w:r>
              <w:t>排放量 t/a</w:t>
            </w:r>
          </w:p>
        </w:tc>
        <w:tc>
          <w:tcPr>
            <w:tcW w:w="520" w:type="pct"/>
            <w:tcBorders>
              <w:tl2br w:val="nil"/>
              <w:tr2bl w:val="nil"/>
            </w:tcBorders>
            <w:vAlign w:val="center"/>
          </w:tcPr>
          <w:p>
            <w:pPr>
              <w:pStyle w:val="39"/>
              <w:bidi w:val="0"/>
            </w:pPr>
            <w:r>
              <w:rPr>
                <w:rFonts w:hint="eastAsia"/>
              </w:rPr>
              <w:t>0.229</w:t>
            </w:r>
          </w:p>
        </w:tc>
        <w:tc>
          <w:tcPr>
            <w:tcW w:w="459" w:type="pct"/>
            <w:tcBorders>
              <w:tl2br w:val="nil"/>
              <w:tr2bl w:val="nil"/>
            </w:tcBorders>
            <w:vAlign w:val="center"/>
          </w:tcPr>
          <w:p>
            <w:pPr>
              <w:pStyle w:val="39"/>
              <w:bidi w:val="0"/>
            </w:pPr>
            <w:r>
              <w:rPr>
                <w:rFonts w:hint="eastAsia"/>
              </w:rPr>
              <w:t>0.130</w:t>
            </w:r>
          </w:p>
        </w:tc>
        <w:tc>
          <w:tcPr>
            <w:tcW w:w="486" w:type="pct"/>
            <w:tcBorders>
              <w:tl2br w:val="nil"/>
              <w:tr2bl w:val="nil"/>
            </w:tcBorders>
            <w:vAlign w:val="center"/>
          </w:tcPr>
          <w:p>
            <w:pPr>
              <w:pStyle w:val="39"/>
              <w:bidi w:val="0"/>
            </w:pPr>
            <w:r>
              <w:rPr>
                <w:rFonts w:hint="eastAsia"/>
              </w:rPr>
              <w:t>0.083</w:t>
            </w:r>
          </w:p>
        </w:tc>
        <w:tc>
          <w:tcPr>
            <w:tcW w:w="540" w:type="pct"/>
            <w:tcBorders>
              <w:tl2br w:val="nil"/>
              <w:tr2bl w:val="nil"/>
            </w:tcBorders>
            <w:vAlign w:val="center"/>
          </w:tcPr>
          <w:p>
            <w:pPr>
              <w:pStyle w:val="39"/>
              <w:bidi w:val="0"/>
            </w:pPr>
            <w:r>
              <w:rPr>
                <w:rFonts w:hint="eastAsia"/>
              </w:rPr>
              <w:t>0.018</w:t>
            </w:r>
          </w:p>
        </w:tc>
        <w:tc>
          <w:tcPr>
            <w:tcW w:w="521" w:type="pct"/>
            <w:tcBorders>
              <w:tl2br w:val="nil"/>
              <w:tr2bl w:val="nil"/>
            </w:tcBorders>
            <w:vAlign w:val="center"/>
          </w:tcPr>
          <w:p>
            <w:pPr>
              <w:pStyle w:val="39"/>
              <w:bidi w:val="0"/>
            </w:pPr>
            <w:r>
              <w:rPr>
                <w:rFonts w:hint="eastAsia"/>
              </w:rPr>
              <w:t>0.00188</w:t>
            </w:r>
          </w:p>
        </w:tc>
        <w:tc>
          <w:tcPr>
            <w:tcW w:w="581" w:type="pct"/>
            <w:tcBorders>
              <w:tl2br w:val="nil"/>
              <w:tr2bl w:val="nil"/>
            </w:tcBorders>
            <w:vAlign w:val="center"/>
          </w:tcPr>
          <w:p>
            <w:pPr>
              <w:pStyle w:val="39"/>
              <w:bidi w:val="0"/>
            </w:pPr>
            <w:r>
              <w:rPr>
                <w:rFonts w:hint="eastAsia"/>
              </w:rPr>
              <w:t>0.000563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4" w:hRule="atLeast"/>
          <w:jc w:val="center"/>
        </w:trPr>
        <w:tc>
          <w:tcPr>
            <w:tcW w:w="833" w:type="pct"/>
            <w:tcBorders>
              <w:tl2br w:val="nil"/>
              <w:tr2bl w:val="nil"/>
            </w:tcBorders>
            <w:vAlign w:val="center"/>
          </w:tcPr>
          <w:p>
            <w:pPr>
              <w:pStyle w:val="39"/>
              <w:bidi w:val="0"/>
            </w:pPr>
            <w:r>
              <w:t>合计</w:t>
            </w:r>
          </w:p>
        </w:tc>
        <w:tc>
          <w:tcPr>
            <w:tcW w:w="1056" w:type="pct"/>
            <w:tcBorders>
              <w:tl2br w:val="nil"/>
              <w:tr2bl w:val="nil"/>
            </w:tcBorders>
            <w:vAlign w:val="center"/>
          </w:tcPr>
          <w:p>
            <w:pPr>
              <w:pStyle w:val="39"/>
              <w:bidi w:val="0"/>
            </w:pPr>
            <w:r>
              <w:t>总排放量 t/a</w:t>
            </w:r>
          </w:p>
        </w:tc>
        <w:tc>
          <w:tcPr>
            <w:tcW w:w="520" w:type="pct"/>
            <w:tcBorders>
              <w:tl2br w:val="nil"/>
              <w:tr2bl w:val="nil"/>
            </w:tcBorders>
            <w:vAlign w:val="center"/>
          </w:tcPr>
          <w:p>
            <w:pPr>
              <w:pStyle w:val="39"/>
              <w:bidi w:val="0"/>
            </w:pPr>
            <w:r>
              <w:rPr>
                <w:rFonts w:hint="eastAsia"/>
              </w:rPr>
              <w:t>0.229</w:t>
            </w:r>
          </w:p>
        </w:tc>
        <w:tc>
          <w:tcPr>
            <w:tcW w:w="459" w:type="pct"/>
            <w:tcBorders>
              <w:tl2br w:val="nil"/>
              <w:tr2bl w:val="nil"/>
            </w:tcBorders>
            <w:vAlign w:val="center"/>
          </w:tcPr>
          <w:p>
            <w:pPr>
              <w:pStyle w:val="39"/>
              <w:bidi w:val="0"/>
            </w:pPr>
            <w:r>
              <w:rPr>
                <w:rFonts w:hint="eastAsia"/>
              </w:rPr>
              <w:t>0.130</w:t>
            </w:r>
          </w:p>
        </w:tc>
        <w:tc>
          <w:tcPr>
            <w:tcW w:w="486" w:type="pct"/>
            <w:tcBorders>
              <w:tl2br w:val="nil"/>
              <w:tr2bl w:val="nil"/>
            </w:tcBorders>
            <w:vAlign w:val="center"/>
          </w:tcPr>
          <w:p>
            <w:pPr>
              <w:pStyle w:val="39"/>
              <w:bidi w:val="0"/>
            </w:pPr>
            <w:r>
              <w:rPr>
                <w:rFonts w:hint="eastAsia"/>
              </w:rPr>
              <w:t>0.083</w:t>
            </w:r>
          </w:p>
        </w:tc>
        <w:tc>
          <w:tcPr>
            <w:tcW w:w="540" w:type="pct"/>
            <w:tcBorders>
              <w:tl2br w:val="nil"/>
              <w:tr2bl w:val="nil"/>
            </w:tcBorders>
            <w:vAlign w:val="center"/>
          </w:tcPr>
          <w:p>
            <w:pPr>
              <w:pStyle w:val="39"/>
              <w:bidi w:val="0"/>
            </w:pPr>
            <w:r>
              <w:rPr>
                <w:rFonts w:hint="eastAsia"/>
              </w:rPr>
              <w:t>0.018</w:t>
            </w:r>
          </w:p>
        </w:tc>
        <w:tc>
          <w:tcPr>
            <w:tcW w:w="521" w:type="pct"/>
            <w:tcBorders>
              <w:tl2br w:val="nil"/>
              <w:tr2bl w:val="nil"/>
            </w:tcBorders>
            <w:vAlign w:val="center"/>
          </w:tcPr>
          <w:p>
            <w:pPr>
              <w:pStyle w:val="39"/>
              <w:bidi w:val="0"/>
            </w:pPr>
            <w:r>
              <w:rPr>
                <w:rFonts w:hint="eastAsia"/>
              </w:rPr>
              <w:t>0.00188</w:t>
            </w:r>
          </w:p>
        </w:tc>
        <w:tc>
          <w:tcPr>
            <w:tcW w:w="581" w:type="pct"/>
            <w:tcBorders>
              <w:tl2br w:val="nil"/>
              <w:tr2bl w:val="nil"/>
            </w:tcBorders>
            <w:vAlign w:val="center"/>
          </w:tcPr>
          <w:p>
            <w:pPr>
              <w:pStyle w:val="39"/>
              <w:bidi w:val="0"/>
            </w:pPr>
            <w:r>
              <w:rPr>
                <w:rFonts w:hint="eastAsia"/>
              </w:rPr>
              <w:t>0.000563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621" w:hRule="atLeast"/>
          <w:jc w:val="center"/>
        </w:trPr>
        <w:tc>
          <w:tcPr>
            <w:tcW w:w="1889" w:type="pct"/>
            <w:gridSpan w:val="2"/>
            <w:tcBorders>
              <w:tl2br w:val="nil"/>
              <w:tr2bl w:val="nil"/>
            </w:tcBorders>
            <w:vAlign w:val="center"/>
          </w:tcPr>
          <w:p>
            <w:pPr>
              <w:pStyle w:val="39"/>
              <w:bidi w:val="0"/>
            </w:pPr>
            <w:r>
              <w:t>白水湖污水处理厂接管标准 mg/L</w:t>
            </w:r>
          </w:p>
        </w:tc>
        <w:tc>
          <w:tcPr>
            <w:tcW w:w="520" w:type="pct"/>
            <w:tcBorders>
              <w:tl2br w:val="nil"/>
              <w:tr2bl w:val="nil"/>
            </w:tcBorders>
            <w:vAlign w:val="center"/>
          </w:tcPr>
          <w:p>
            <w:pPr>
              <w:pStyle w:val="39"/>
              <w:bidi w:val="0"/>
            </w:pPr>
            <w:r>
              <w:rPr>
                <w:rFonts w:hint="eastAsia"/>
              </w:rPr>
              <w:t>400</w:t>
            </w:r>
          </w:p>
        </w:tc>
        <w:tc>
          <w:tcPr>
            <w:tcW w:w="459" w:type="pct"/>
            <w:tcBorders>
              <w:tl2br w:val="nil"/>
              <w:tr2bl w:val="nil"/>
            </w:tcBorders>
            <w:vAlign w:val="center"/>
          </w:tcPr>
          <w:p>
            <w:pPr>
              <w:pStyle w:val="39"/>
              <w:bidi w:val="0"/>
            </w:pPr>
            <w:r>
              <w:rPr>
                <w:rFonts w:hint="eastAsia"/>
              </w:rPr>
              <w:t>250</w:t>
            </w:r>
          </w:p>
        </w:tc>
        <w:tc>
          <w:tcPr>
            <w:tcW w:w="486" w:type="pct"/>
            <w:tcBorders>
              <w:tl2br w:val="nil"/>
              <w:tr2bl w:val="nil"/>
            </w:tcBorders>
            <w:vAlign w:val="center"/>
          </w:tcPr>
          <w:p>
            <w:pPr>
              <w:pStyle w:val="39"/>
              <w:bidi w:val="0"/>
            </w:pPr>
            <w:r>
              <w:rPr>
                <w:rFonts w:hint="eastAsia"/>
              </w:rPr>
              <w:t>150</w:t>
            </w:r>
          </w:p>
        </w:tc>
        <w:tc>
          <w:tcPr>
            <w:tcW w:w="540" w:type="pct"/>
            <w:tcBorders>
              <w:tl2br w:val="nil"/>
              <w:tr2bl w:val="nil"/>
            </w:tcBorders>
            <w:vAlign w:val="center"/>
          </w:tcPr>
          <w:p>
            <w:pPr>
              <w:pStyle w:val="39"/>
              <w:bidi w:val="0"/>
            </w:pPr>
            <w:r>
              <w:rPr>
                <w:rFonts w:hint="eastAsia"/>
              </w:rPr>
              <w:t>30</w:t>
            </w:r>
          </w:p>
        </w:tc>
        <w:tc>
          <w:tcPr>
            <w:tcW w:w="521" w:type="pct"/>
            <w:tcBorders>
              <w:tl2br w:val="nil"/>
              <w:tr2bl w:val="nil"/>
            </w:tcBorders>
            <w:vAlign w:val="center"/>
          </w:tcPr>
          <w:p>
            <w:pPr>
              <w:pStyle w:val="39"/>
              <w:bidi w:val="0"/>
            </w:pPr>
            <w:r>
              <w:rPr>
                <w:rFonts w:hint="eastAsia"/>
              </w:rPr>
              <w:t>5*</w:t>
            </w:r>
          </w:p>
        </w:tc>
        <w:tc>
          <w:tcPr>
            <w:tcW w:w="581" w:type="pct"/>
            <w:tcBorders>
              <w:tl2br w:val="nil"/>
              <w:tr2bl w:val="nil"/>
            </w:tcBorders>
            <w:vAlign w:val="center"/>
          </w:tcPr>
          <w:p>
            <w:pPr>
              <w:pStyle w:val="39"/>
              <w:bidi w:val="0"/>
            </w:pPr>
            <w:r>
              <w:rPr>
                <w:rFonts w:hint="eastAsia"/>
              </w:rPr>
              <w:t>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1248" w:hRule="atLeast"/>
          <w:jc w:val="center"/>
        </w:trPr>
        <w:tc>
          <w:tcPr>
            <w:tcW w:w="1889" w:type="pct"/>
            <w:gridSpan w:val="2"/>
            <w:tcBorders>
              <w:tl2br w:val="nil"/>
              <w:tr2bl w:val="nil"/>
            </w:tcBorders>
            <w:vAlign w:val="center"/>
          </w:tcPr>
          <w:p>
            <w:pPr>
              <w:pStyle w:val="39"/>
              <w:bidi w:val="0"/>
            </w:pPr>
            <w:r>
              <w:t>《城镇污水处理厂污染物排放标准》</w:t>
            </w:r>
          </w:p>
          <w:p>
            <w:pPr>
              <w:pStyle w:val="39"/>
              <w:bidi w:val="0"/>
            </w:pPr>
            <w:r>
              <w:t>GB18918-2002）一级 B 标准 mg/L</w:t>
            </w:r>
          </w:p>
        </w:tc>
        <w:tc>
          <w:tcPr>
            <w:tcW w:w="520" w:type="pct"/>
            <w:tcBorders>
              <w:tl2br w:val="nil"/>
              <w:tr2bl w:val="nil"/>
            </w:tcBorders>
            <w:vAlign w:val="center"/>
          </w:tcPr>
          <w:p>
            <w:pPr>
              <w:pStyle w:val="39"/>
              <w:bidi w:val="0"/>
            </w:pPr>
            <w:r>
              <w:rPr>
                <w:rFonts w:hint="eastAsia"/>
              </w:rPr>
              <w:t>60</w:t>
            </w:r>
          </w:p>
        </w:tc>
        <w:tc>
          <w:tcPr>
            <w:tcW w:w="459" w:type="pct"/>
            <w:tcBorders>
              <w:tl2br w:val="nil"/>
              <w:tr2bl w:val="nil"/>
            </w:tcBorders>
            <w:vAlign w:val="center"/>
          </w:tcPr>
          <w:p>
            <w:pPr>
              <w:pStyle w:val="39"/>
              <w:bidi w:val="0"/>
            </w:pPr>
            <w:r>
              <w:rPr>
                <w:rFonts w:hint="eastAsia"/>
              </w:rPr>
              <w:t>20</w:t>
            </w:r>
          </w:p>
        </w:tc>
        <w:tc>
          <w:tcPr>
            <w:tcW w:w="486" w:type="pct"/>
            <w:tcBorders>
              <w:tl2br w:val="nil"/>
              <w:tr2bl w:val="nil"/>
            </w:tcBorders>
            <w:vAlign w:val="center"/>
          </w:tcPr>
          <w:p>
            <w:pPr>
              <w:pStyle w:val="39"/>
              <w:bidi w:val="0"/>
            </w:pPr>
            <w:r>
              <w:rPr>
                <w:rFonts w:hint="eastAsia"/>
              </w:rPr>
              <w:t>20</w:t>
            </w:r>
          </w:p>
        </w:tc>
        <w:tc>
          <w:tcPr>
            <w:tcW w:w="540" w:type="pct"/>
            <w:tcBorders>
              <w:tl2br w:val="nil"/>
              <w:tr2bl w:val="nil"/>
            </w:tcBorders>
            <w:vAlign w:val="center"/>
          </w:tcPr>
          <w:p>
            <w:pPr>
              <w:pStyle w:val="39"/>
              <w:bidi w:val="0"/>
            </w:pPr>
            <w:r>
              <w:rPr>
                <w:rFonts w:hint="eastAsia"/>
              </w:rPr>
              <w:t>8</w:t>
            </w:r>
          </w:p>
        </w:tc>
        <w:tc>
          <w:tcPr>
            <w:tcW w:w="521" w:type="pct"/>
            <w:tcBorders>
              <w:tl2br w:val="nil"/>
              <w:tr2bl w:val="nil"/>
            </w:tcBorders>
            <w:vAlign w:val="center"/>
          </w:tcPr>
          <w:p>
            <w:pPr>
              <w:pStyle w:val="39"/>
              <w:bidi w:val="0"/>
            </w:pPr>
            <w:r>
              <w:rPr>
                <w:rFonts w:hint="eastAsia"/>
              </w:rPr>
              <w:t>3</w:t>
            </w:r>
          </w:p>
        </w:tc>
        <w:tc>
          <w:tcPr>
            <w:tcW w:w="581" w:type="pct"/>
            <w:tcBorders>
              <w:tl2br w:val="nil"/>
              <w:tr2bl w:val="nil"/>
            </w:tcBorders>
            <w:vAlign w:val="center"/>
          </w:tcPr>
          <w:p>
            <w:pPr>
              <w:pStyle w:val="39"/>
              <w:bidi w:val="0"/>
            </w:pPr>
            <w:r>
              <w:rPr>
                <w:rFonts w:hint="eastAsia"/>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44" w:hRule="atLeast"/>
          <w:jc w:val="center"/>
        </w:trPr>
        <w:tc>
          <w:tcPr>
            <w:tcW w:w="1889" w:type="pct"/>
            <w:gridSpan w:val="2"/>
            <w:tcBorders>
              <w:tl2br w:val="nil"/>
              <w:tr2bl w:val="nil"/>
            </w:tcBorders>
            <w:vAlign w:val="center"/>
          </w:tcPr>
          <w:p>
            <w:pPr>
              <w:pStyle w:val="39"/>
              <w:bidi w:val="0"/>
            </w:pPr>
            <w:r>
              <w:t>排放量（t/a）</w:t>
            </w:r>
          </w:p>
        </w:tc>
        <w:tc>
          <w:tcPr>
            <w:tcW w:w="520" w:type="pct"/>
            <w:tcBorders>
              <w:tl2br w:val="nil"/>
              <w:tr2bl w:val="nil"/>
            </w:tcBorders>
            <w:vAlign w:val="center"/>
          </w:tcPr>
          <w:p>
            <w:pPr>
              <w:pStyle w:val="39"/>
              <w:bidi w:val="0"/>
            </w:pPr>
            <w:r>
              <w:rPr>
                <w:rFonts w:hint="eastAsia"/>
              </w:rPr>
              <w:t>0.081</w:t>
            </w:r>
          </w:p>
        </w:tc>
        <w:tc>
          <w:tcPr>
            <w:tcW w:w="459" w:type="pct"/>
            <w:tcBorders>
              <w:tl2br w:val="nil"/>
              <w:tr2bl w:val="nil"/>
            </w:tcBorders>
            <w:vAlign w:val="center"/>
          </w:tcPr>
          <w:p>
            <w:pPr>
              <w:pStyle w:val="39"/>
              <w:bidi w:val="0"/>
            </w:pPr>
            <w:r>
              <w:rPr>
                <w:rFonts w:hint="eastAsia"/>
              </w:rPr>
              <w:t>0.027</w:t>
            </w:r>
          </w:p>
        </w:tc>
        <w:tc>
          <w:tcPr>
            <w:tcW w:w="486" w:type="pct"/>
            <w:tcBorders>
              <w:tl2br w:val="nil"/>
              <w:tr2bl w:val="nil"/>
            </w:tcBorders>
            <w:vAlign w:val="center"/>
          </w:tcPr>
          <w:p>
            <w:pPr>
              <w:pStyle w:val="39"/>
              <w:bidi w:val="0"/>
            </w:pPr>
            <w:r>
              <w:rPr>
                <w:rFonts w:hint="eastAsia"/>
              </w:rPr>
              <w:t>0.027</w:t>
            </w:r>
          </w:p>
        </w:tc>
        <w:tc>
          <w:tcPr>
            <w:tcW w:w="540" w:type="pct"/>
            <w:tcBorders>
              <w:tl2br w:val="nil"/>
              <w:tr2bl w:val="nil"/>
            </w:tcBorders>
            <w:vAlign w:val="center"/>
          </w:tcPr>
          <w:p>
            <w:pPr>
              <w:pStyle w:val="39"/>
              <w:bidi w:val="0"/>
            </w:pPr>
            <w:r>
              <w:rPr>
                <w:rFonts w:hint="eastAsia"/>
              </w:rPr>
              <w:t>0.011</w:t>
            </w:r>
          </w:p>
        </w:tc>
        <w:tc>
          <w:tcPr>
            <w:tcW w:w="521" w:type="pct"/>
            <w:tcBorders>
              <w:tl2br w:val="nil"/>
              <w:tr2bl w:val="nil"/>
            </w:tcBorders>
            <w:vAlign w:val="center"/>
          </w:tcPr>
          <w:p>
            <w:pPr>
              <w:pStyle w:val="39"/>
              <w:bidi w:val="0"/>
            </w:pPr>
            <w:r>
              <w:rPr>
                <w:rFonts w:hint="eastAsia"/>
              </w:rPr>
              <w:t>0.004</w:t>
            </w:r>
          </w:p>
        </w:tc>
        <w:tc>
          <w:tcPr>
            <w:tcW w:w="581" w:type="pct"/>
            <w:tcBorders>
              <w:tl2br w:val="nil"/>
              <w:tr2bl w:val="nil"/>
            </w:tcBorders>
            <w:vAlign w:val="center"/>
          </w:tcPr>
          <w:p>
            <w:pPr>
              <w:pStyle w:val="39"/>
              <w:bidi w:val="0"/>
            </w:pPr>
            <w:r>
              <w:rPr>
                <w:rFonts w:hint="eastAsia"/>
              </w:rPr>
              <w:t>0.001</w:t>
            </w:r>
          </w:p>
        </w:tc>
      </w:tr>
    </w:tbl>
    <w:p>
      <w:pPr>
        <w:pStyle w:val="6"/>
        <w:bidi w:val="0"/>
      </w:pPr>
      <w:r>
        <w:rPr>
          <w:rFonts w:hint="eastAsia"/>
          <w:lang w:val="en-US" w:eastAsia="zh-CN"/>
        </w:rPr>
        <w:t>2</w:t>
      </w:r>
      <w:r>
        <w:rPr>
          <w:rFonts w:hint="eastAsia"/>
        </w:rPr>
        <w:t>.1.</w:t>
      </w:r>
      <w:r>
        <w:rPr>
          <w:rFonts w:hint="eastAsia"/>
          <w:lang w:val="en-US" w:eastAsia="zh-CN"/>
        </w:rPr>
        <w:t>5</w:t>
      </w:r>
      <w:r>
        <w:rPr>
          <w:rFonts w:hint="eastAsia"/>
        </w:rPr>
        <w:t>.2</w:t>
      </w:r>
      <w:r>
        <w:t xml:space="preserve"> </w:t>
      </w:r>
      <w:r>
        <w:rPr>
          <w:rFonts w:hint="eastAsia"/>
        </w:rPr>
        <w:t>废水污染源及处理措施</w:t>
      </w:r>
    </w:p>
    <w:p>
      <w:pPr>
        <w:bidi w:val="0"/>
      </w:pPr>
      <w:r>
        <w:t>一、营运期废水 本项目不提供食宿，员工就餐依托南昌昱博科技园区内食堂，废水主要来自员工办公生活污水及生产过程中产生的生产废水。</w:t>
      </w:r>
    </w:p>
    <w:p>
      <w:pPr>
        <w:bidi w:val="0"/>
      </w:pPr>
      <w:r>
        <w:t>（1）生活污水</w:t>
      </w:r>
    </w:p>
    <w:p>
      <w:pPr>
        <w:bidi w:val="0"/>
      </w:pPr>
      <w:r>
        <w:t>本项目定员60人，根据《江西省城市生活用水定额》（DB36/T419-2017）可知，非住宿员工生活用水定额取50L/人·d，年用水量为900</w:t>
      </w:r>
      <w:r>
        <w:rPr>
          <w:highlight w:val="none"/>
        </w:rPr>
        <w:t>m</w:t>
      </w:r>
      <w:r>
        <w:rPr>
          <w:highlight w:val="none"/>
          <w:vertAlign w:val="superscript"/>
        </w:rPr>
        <w:t>3</w:t>
      </w:r>
      <w:r>
        <w:t>/a，则生活污水720</w:t>
      </w:r>
      <w:r>
        <w:rPr>
          <w:highlight w:val="none"/>
        </w:rPr>
        <w:t>m</w:t>
      </w:r>
      <w:r>
        <w:rPr>
          <w:highlight w:val="none"/>
          <w:vertAlign w:val="superscript"/>
        </w:rPr>
        <w:t>3</w:t>
      </w:r>
      <w:r>
        <w:t>/a（排 污系数以0.8计）。生活污水的水质参数CODcr浓度约为250mg/L、BOD5浓度约为 150mg/L、SS浓度约为200mg/L、NH3-N浓度约为25mg/L。</w:t>
      </w:r>
    </w:p>
    <w:p>
      <w:pPr>
        <w:bidi w:val="0"/>
      </w:pPr>
      <w:r>
        <w:t>（2）生产废水</w:t>
      </w:r>
    </w:p>
    <w:p>
      <w:pPr>
        <w:bidi w:val="0"/>
      </w:pPr>
      <w:r>
        <w:t>本项目生产废水主要来自清洗产生的清洗废水。根据污水处理施工单位提供的设计方案，本项目生产废水排水量约为 12</w:t>
      </w:r>
      <w:r>
        <w:rPr>
          <w:highlight w:val="none"/>
        </w:rPr>
        <w:t>m</w:t>
      </w:r>
      <w:r>
        <w:rPr>
          <w:highlight w:val="none"/>
          <w:vertAlign w:val="superscript"/>
        </w:rPr>
        <w:t>3</w:t>
      </w:r>
      <w:r>
        <w:t>/周，污水 处理站的设计规模为 1m3/h。</w:t>
      </w:r>
    </w:p>
    <w:p>
      <w:pPr>
        <w:bidi w:val="0"/>
      </w:pPr>
      <w:r>
        <w:t>清洗废水</w:t>
      </w:r>
    </w:p>
    <w:p>
      <w:pPr>
        <w:bidi w:val="0"/>
      </w:pPr>
      <w:r>
        <w:t>由于工件在机加工后，产品表面沾有油污和金属屑，装配前须做必要的清洗。本项目采用淋洗与清洗机清洗，淋洗冲洗掉工件上的油污和金属屑，壳盖需采用清 洗机去除缝隙间的油污、金属屑，产生的废水循环。清洗废水每周更换一次，每次更换废水量为 8m3，则废水排放量为 417</w:t>
      </w:r>
      <w:r>
        <w:rPr>
          <w:highlight w:val="none"/>
        </w:rPr>
        <w:t>m</w:t>
      </w:r>
      <w:r>
        <w:rPr>
          <w:highlight w:val="none"/>
          <w:vertAlign w:val="superscript"/>
        </w:rPr>
        <w:t>3</w:t>
      </w:r>
      <w:r>
        <w:t>/a（1.39</w:t>
      </w:r>
      <w:r>
        <w:rPr>
          <w:highlight w:val="none"/>
        </w:rPr>
        <w:t>m</w:t>
      </w:r>
      <w:r>
        <w:rPr>
          <w:highlight w:val="none"/>
          <w:vertAlign w:val="superscript"/>
        </w:rPr>
        <w:t>3</w:t>
      </w:r>
      <w:r>
        <w:t>/d）。</w:t>
      </w:r>
    </w:p>
    <w:p>
      <w:pPr>
        <w:bidi w:val="0"/>
      </w:pPr>
      <w:r>
        <w:t>综上本项目生产废水排放量为 626</w:t>
      </w:r>
      <w:r>
        <w:rPr>
          <w:highlight w:val="none"/>
        </w:rPr>
        <w:t>m</w:t>
      </w:r>
      <w:r>
        <w:rPr>
          <w:highlight w:val="none"/>
          <w:vertAlign w:val="superscript"/>
        </w:rPr>
        <w:t>3</w:t>
      </w:r>
      <w:r>
        <w:t xml:space="preserve">/a（2.09 </w:t>
      </w:r>
      <w:r>
        <w:rPr>
          <w:highlight w:val="none"/>
        </w:rPr>
        <w:t>m</w:t>
      </w:r>
      <w:r>
        <w:rPr>
          <w:highlight w:val="none"/>
          <w:vertAlign w:val="superscript"/>
        </w:rPr>
        <w:t>3</w:t>
      </w:r>
      <w:r>
        <w:t>/d）。本项目一座设计规模为1m3/h的污水处理站处理生产废水，生活污水经化粪池预处理后与生产废水经隔油池+气浮+生物氧化处理后达到白水湖污水处理厂接管标准后排入市政污水管网，经白水湖污水处理厂进一步处理达标排放。</w:t>
      </w:r>
    </w:p>
    <w:p>
      <w:pPr>
        <w:pStyle w:val="6"/>
        <w:bidi w:val="0"/>
      </w:pPr>
      <w:r>
        <w:rPr>
          <w:rFonts w:hint="eastAsia"/>
          <w:lang w:val="en-US" w:eastAsia="zh-CN"/>
        </w:rPr>
        <w:t>2</w:t>
      </w:r>
      <w:r>
        <w:rPr>
          <w:rFonts w:hint="eastAsia"/>
        </w:rPr>
        <w:t>.1.</w:t>
      </w:r>
      <w:r>
        <w:rPr>
          <w:rFonts w:hint="eastAsia"/>
          <w:lang w:val="en-US" w:eastAsia="zh-CN"/>
        </w:rPr>
        <w:t>5</w:t>
      </w:r>
      <w:r>
        <w:rPr>
          <w:rFonts w:hint="eastAsia"/>
        </w:rPr>
        <w:t>.3</w:t>
      </w:r>
      <w:r>
        <w:t xml:space="preserve"> </w:t>
      </w:r>
      <w:r>
        <w:rPr>
          <w:rFonts w:hint="eastAsia"/>
        </w:rPr>
        <w:t>废气污染源及处理措施</w:t>
      </w:r>
    </w:p>
    <w:p>
      <w:pPr>
        <w:bidi w:val="0"/>
      </w:pPr>
      <w:r>
        <w:rPr>
          <w:rFonts w:hint="eastAsia"/>
        </w:rPr>
        <w:t>本项目产生的废气主要为冲压、剪切、车削等机加工产生的金属粉尘，因本项目焊接工艺采用点焊工艺，不使用焊丝，故无焊接烟尘产生。</w:t>
      </w:r>
    </w:p>
    <w:p>
      <w:pPr>
        <w:bidi w:val="0"/>
      </w:pPr>
      <w:r>
        <w:rPr>
          <w:rFonts w:hint="eastAsia"/>
        </w:rPr>
        <w:t>本项目冲压、剪切、车削等机加工产生的金属粉尘量较少，且比重较大易于沉降，经车间沉降后定期打扫做固废回收外售综合利用。根据查阅相关文献资料，金 属颗粒粉尘产生量约为原料使用量的 0.03‰，项目金属材料用量为 1700t/a，则产生排放量为0.051t/a。</w:t>
      </w:r>
    </w:p>
    <w:p>
      <w:pPr>
        <w:pStyle w:val="6"/>
        <w:bidi w:val="0"/>
      </w:pPr>
      <w:r>
        <w:rPr>
          <w:rFonts w:hint="eastAsia"/>
          <w:lang w:val="en-US" w:eastAsia="zh-CN"/>
        </w:rPr>
        <w:t>2</w:t>
      </w:r>
      <w:r>
        <w:rPr>
          <w:rFonts w:hint="eastAsia"/>
        </w:rPr>
        <w:t>.1.</w:t>
      </w:r>
      <w:r>
        <w:rPr>
          <w:rFonts w:hint="eastAsia"/>
          <w:lang w:val="en-US" w:eastAsia="zh-CN"/>
        </w:rPr>
        <w:t>5</w:t>
      </w:r>
      <w:r>
        <w:rPr>
          <w:rFonts w:hint="eastAsia"/>
        </w:rPr>
        <w:t>.</w:t>
      </w:r>
      <w:r>
        <w:rPr>
          <w:rFonts w:hint="eastAsia"/>
          <w:lang w:val="en-US" w:eastAsia="zh-CN"/>
        </w:rPr>
        <w:t>4</w:t>
      </w:r>
      <w:r>
        <w:t xml:space="preserve"> </w:t>
      </w:r>
      <w:r>
        <w:rPr>
          <w:rFonts w:hint="eastAsia"/>
        </w:rPr>
        <w:t>固体废物污染源及处理措施</w:t>
      </w:r>
    </w:p>
    <w:p>
      <w:pPr>
        <w:bidi w:val="0"/>
      </w:pPr>
      <w:bookmarkStart w:id="158" w:name="_Toc455741285"/>
      <w:bookmarkStart w:id="159" w:name="_Toc428904842"/>
      <w:bookmarkStart w:id="160" w:name="_Toc7628"/>
      <w:r>
        <w:t>本项目营运期产生的固体废物主要为一般工业固体废物、危险废物和生活垃圾。</w:t>
      </w:r>
    </w:p>
    <w:p>
      <w:pPr>
        <w:bidi w:val="0"/>
      </w:pPr>
      <w:r>
        <w:t>本项目固体废物源强计算如下</w:t>
      </w:r>
    </w:p>
    <w:p>
      <w:pPr>
        <w:bidi w:val="0"/>
      </w:pPr>
      <w:r>
        <w:t>一般工业固体废物</w:t>
      </w:r>
    </w:p>
    <w:p>
      <w:pPr>
        <w:bidi w:val="0"/>
      </w:pPr>
      <w:r>
        <w:t>边角料：根据业主提供资料，本项目在冲压、车削工序产生的边角料约为原料用量的5%，本项目金属材料使用量为 1700t/a，则边角料产生量约为85t/a，集中收集后外售给物资回收部门综合利用。</w:t>
      </w:r>
    </w:p>
    <w:p>
      <w:pPr>
        <w:bidi w:val="0"/>
      </w:pPr>
      <w:r>
        <w:t>金属沉降粉尘：经计算金属沉降粉尘产生量为0.051t/a，集中收集后与边角料一起外售给物资回收部门综合利用。</w:t>
      </w:r>
    </w:p>
    <w:p>
      <w:pPr>
        <w:bidi w:val="0"/>
      </w:pPr>
      <w:r>
        <w:t>危险废物</w:t>
      </w:r>
    </w:p>
    <w:p>
      <w:pPr>
        <w:bidi w:val="0"/>
      </w:pPr>
      <w:r>
        <w:t>污水处理站污泥及浮渣：本项目的污水处理站污泥量以COD及BOD去除量计，浮渣以SS去除量计，经计算本项目污水处理站污泥量为0.351t/a，浮渣产生量为 0.175t/a。根据《国家危险废物名录》（原</w:t>
      </w:r>
      <w:r>
        <w:rPr>
          <w:highlight w:val="none"/>
        </w:rPr>
        <w:t>环境保护部</w:t>
      </w:r>
      <w:r>
        <w:t>令第 39号），属危险废物，为 “金属和塑料表面酸（碱）洗、除油、除锈、洗涤、磷化、出光、化抛工艺产生的 废腐蚀液、废洗涤液、废槽液、槽渣和废水处理污泥”，废物类别为“HW17 表面处理废物”，废物代号“336-064-17”，须委托具有相关危险废物处置资质的单位处 理。</w:t>
      </w:r>
    </w:p>
    <w:p>
      <w:pPr>
        <w:bidi w:val="0"/>
      </w:pPr>
      <w:r>
        <w:t>废机油：项目营运期设备维修、维护等过程中产生的废机油约为0.01t/a，根据《国家危险废物名录》（原</w:t>
      </w:r>
      <w:r>
        <w:rPr>
          <w:highlight w:val="none"/>
        </w:rPr>
        <w:t>环境保护部</w:t>
      </w:r>
      <w:r>
        <w:t>令第39号），属危险废物，为“使用工业齿轮油进行机械设备润滑过程中产生的废润滑油”，废物类别为“HW08废矿物油与含矿物油废物”，废物代号“900-217-08”，须委托具有相关危险废物处置资质的单位处理</w:t>
      </w:r>
      <w:r>
        <w:rPr>
          <w:rFonts w:hint="eastAsia"/>
        </w:rPr>
        <w:t>。</w:t>
      </w:r>
    </w:p>
    <w:p>
      <w:pPr>
        <w:bidi w:val="0"/>
      </w:pPr>
      <w:r>
        <w:t>含油手套：项目在生产过程中会产生含油手套，产生量约为0.1t，根据《国家危险废物名录》（原</w:t>
      </w:r>
      <w:r>
        <w:rPr>
          <w:highlight w:val="none"/>
        </w:rPr>
        <w:t>环境保护部</w:t>
      </w:r>
      <w:r>
        <w:t>令第39号），属危险废物，为“含有或沾染毒性，感染 性危险废物的废弃包装物、容器、过滤吸附介质”，废物类别为“HW49其他废物”，废物代号“900-041-49”，须委托具有相关危险废物处置资质的单位处理</w:t>
      </w:r>
      <w:r>
        <w:rPr>
          <w:rFonts w:hint="eastAsia"/>
        </w:rPr>
        <w:t>。</w:t>
      </w:r>
    </w:p>
    <w:p>
      <w:pPr>
        <w:bidi w:val="0"/>
      </w:pPr>
      <w:r>
        <w:rPr>
          <w:rFonts w:hint="eastAsia"/>
        </w:rPr>
        <w:t>（3）生活垃圾</w:t>
      </w:r>
    </w:p>
    <w:p>
      <w:pPr>
        <w:bidi w:val="0"/>
      </w:pPr>
      <w:r>
        <w:t>根据建设单位提供的资料，本项目定员人数为60人，员工生活垃圾产生量按0.5kg/d计，则员工生活垃圾产生量为30kg/d（9t/a），交由当地环卫部门将生活垃圾清运至垃圾填埋场卫生填埋处理，可实现固体废物无害化</w:t>
      </w:r>
      <w:r>
        <w:rPr>
          <w:rFonts w:hint="eastAsia"/>
        </w:rPr>
        <w:t>。</w:t>
      </w:r>
    </w:p>
    <w:p>
      <w:pPr>
        <w:pStyle w:val="37"/>
        <w:spacing w:before="190"/>
      </w:pPr>
      <w:bookmarkStart w:id="161" w:name="_Toc3311"/>
      <w:bookmarkStart w:id="162" w:name="_Toc19720"/>
      <w:bookmarkStart w:id="163" w:name="_Toc30518"/>
      <w:bookmarkStart w:id="164" w:name="_Toc9144"/>
      <w:bookmarkStart w:id="165" w:name="_Toc37591905"/>
      <w:bookmarkStart w:id="166" w:name="_Toc22866"/>
      <w:r>
        <w:rPr>
          <w:rFonts w:hint="eastAsia"/>
          <w:lang w:val="en-US" w:eastAsia="zh-CN"/>
        </w:rPr>
        <w:t>2</w:t>
      </w:r>
      <w:r>
        <w:rPr>
          <w:rFonts w:hint="eastAsia"/>
        </w:rPr>
        <w:t>.1.</w:t>
      </w:r>
      <w:r>
        <w:rPr>
          <w:rFonts w:hint="eastAsia"/>
          <w:lang w:val="en-US" w:eastAsia="zh-CN"/>
        </w:rPr>
        <w:t>6</w:t>
      </w:r>
      <w:r>
        <w:t xml:space="preserve"> </w:t>
      </w:r>
      <w:r>
        <w:rPr>
          <w:rFonts w:hint="eastAsia"/>
        </w:rPr>
        <w:t>自然环境简况</w:t>
      </w:r>
      <w:bookmarkEnd w:id="158"/>
      <w:bookmarkEnd w:id="159"/>
      <w:bookmarkEnd w:id="160"/>
      <w:bookmarkEnd w:id="161"/>
      <w:bookmarkEnd w:id="162"/>
      <w:bookmarkEnd w:id="163"/>
      <w:bookmarkEnd w:id="164"/>
      <w:bookmarkEnd w:id="165"/>
      <w:bookmarkEnd w:id="166"/>
    </w:p>
    <w:p>
      <w:pPr>
        <w:bidi w:val="0"/>
      </w:pPr>
      <w:r>
        <w:rPr>
          <w:rFonts w:hint="eastAsia"/>
        </w:rPr>
        <w:t>（1）地理位置及周边情况</w:t>
      </w:r>
    </w:p>
    <w:p>
      <w:pPr>
        <w:bidi w:val="0"/>
      </w:pPr>
      <w:r>
        <w:t>南昌位于东经115°27′～116°35′，北纬28°09′～29°11′，处江西省中部偏北，赣江、抚河下游，滨临我国第一大淡水湖——鄱阳湖。南昌北邻九江市，东毗上饶市，南接抚州市，西连宜春市，地理位置优越，交通便利，历为“襟三江而带五湖，控蛮荆而引瓯越”之地。市郊向塘有98股道</w:t>
      </w:r>
      <w:r>
        <w:rPr>
          <w:highlight w:val="none"/>
        </w:rPr>
        <w:t>的全国</w:t>
      </w:r>
      <w:r>
        <w:t>第二大货运编组站，是我国铁路交通的一个重要枢纽。公路全部成网，所有乡村均通公路，是105、316、320三条国道的交汇处，已开通昌九和梨温高速公路，赣粤高速纵贯南北。水路可通赣江、抚河、锦江和鄱阳湖沿岸城镇及长江各口岸。民航已开辟国内30多个城市的航线，2004年，至新加坡国际航线正式通航，昌北机场成功晋升为国际航空港。从南昌出发，旅客可以在新加坡转程33个国家的近60个国际城市。</w:t>
      </w:r>
    </w:p>
    <w:p>
      <w:pPr>
        <w:bidi w:val="0"/>
      </w:pPr>
      <w:r>
        <w:rPr>
          <w:rFonts w:hint="eastAsia"/>
        </w:rPr>
        <w:t>（2）气象、气候</w:t>
      </w:r>
    </w:p>
    <w:p>
      <w:pPr>
        <w:bidi w:val="0"/>
      </w:pPr>
      <w:bookmarkStart w:id="167" w:name="_Toc27502"/>
      <w:bookmarkStart w:id="168" w:name="_Toc455741286"/>
      <w:bookmarkStart w:id="169" w:name="_Toc428904843"/>
      <w:r>
        <w:t>南昌市</w:t>
      </w:r>
      <w:r>
        <w:rPr>
          <w:rFonts w:hint="eastAsia"/>
          <w:lang w:val="en-US" w:eastAsia="zh-CN"/>
        </w:rPr>
        <w:t>气候</w:t>
      </w:r>
      <w:r>
        <w:t>湿润温和，属亚热带季风区，雨量充沛，四季分明，春秋短，夏季长。根据南昌市气象站近二十年气象统计结果显示，年平均气温18.2</w:t>
      </w:r>
      <w:r>
        <w:rPr>
          <w:rFonts w:hint="eastAsia"/>
        </w:rPr>
        <w:t>℃</w:t>
      </w:r>
      <w:r>
        <w:t>，极端最高气温40.6</w:t>
      </w:r>
      <w:r>
        <w:rPr>
          <w:rFonts w:hint="eastAsia"/>
        </w:rPr>
        <w:t>℃</w:t>
      </w:r>
      <w:r>
        <w:t>，极端最低气温-9.7</w:t>
      </w:r>
      <w:r>
        <w:rPr>
          <w:rFonts w:hint="eastAsia"/>
        </w:rPr>
        <w:t>℃</w:t>
      </w:r>
      <w:r>
        <w:t>。</w:t>
      </w:r>
      <w:r>
        <w:rPr>
          <w:highlight w:val="none"/>
        </w:rPr>
        <w:t>平均</w:t>
      </w:r>
      <w:r>
        <w:rPr>
          <w:rFonts w:hint="eastAsia"/>
          <w:highlight w:val="none"/>
          <w:lang w:val="en-US" w:eastAsia="zh-CN"/>
        </w:rPr>
        <w:t>年</w:t>
      </w:r>
      <w:r>
        <w:rPr>
          <w:highlight w:val="none"/>
        </w:rPr>
        <w:t>降水量</w:t>
      </w:r>
      <w:r>
        <w:t>为1613.9</w:t>
      </w:r>
      <w:r>
        <w:rPr>
          <w:highlight w:val="none"/>
        </w:rPr>
        <w:t>mm</w:t>
      </w:r>
      <w:r>
        <w:t>，降水日为144天，年暴雨日58天，年平均相对湿度为78%。年日照时间1850.5小时，日照率为42%。年平均风速2.0m/s，年最大风向为东北偏北风，夏季盛行西南风，冬季主导风向是北风或东北风。年无霜期291天。</w:t>
      </w:r>
    </w:p>
    <w:p>
      <w:pPr>
        <w:bidi w:val="0"/>
      </w:pPr>
      <w:r>
        <w:rPr>
          <w:rFonts w:hint="eastAsia"/>
        </w:rPr>
        <w:t>地形、地貌、地质</w:t>
      </w:r>
    </w:p>
    <w:p>
      <w:pPr>
        <w:bidi w:val="0"/>
      </w:pPr>
      <w:r>
        <w:t>南昌市位于江南台隆构造单元的丰城――乐平凹陷之中，构造上主要受赣江大断裂的影响，项目所在地地貌单元属赣江冲积平原Ⅱ级阶地。</w:t>
      </w:r>
    </w:p>
    <w:p>
      <w:pPr>
        <w:bidi w:val="0"/>
      </w:pPr>
      <w:r>
        <w:t>区内第一系地层分布最广，岩性以洪积红土、砾石层及</w:t>
      </w:r>
      <w:r>
        <w:rPr>
          <w:highlight w:val="none"/>
        </w:rPr>
        <w:t>粗</w:t>
      </w:r>
      <w:r>
        <w:rPr>
          <w:rFonts w:hint="eastAsia"/>
          <w:highlight w:val="none"/>
          <w:lang w:val="en-US" w:eastAsia="zh-CN"/>
        </w:rPr>
        <w:t>砂</w:t>
      </w:r>
      <w:r>
        <w:t>、砾石层为主、多分布于赣、抚、锦河两侧和滨湖地带。前震旦系地层断续分布于石岗、西山至樵舍。西部的欧阳村至华源一带，则有雪峰期、喜山期</w:t>
      </w:r>
      <w:r>
        <w:rPr>
          <w:highlight w:val="none"/>
        </w:rPr>
        <w:t>岩浆岩</w:t>
      </w:r>
      <w:r>
        <w:t>出露。在白虎岭、松岗等小褶皱发育地区，老土层隆起，第三系、白垩系、三叠系、二叠系、石炭系、泥盆系等地层均有零星分布出露，岩性以炭岩、砂岩为代表。以上土层给全市地貌以深刻影响，形成西部山地逶迤，中部丘岗起伏，东部赣江、抚河下游平原绵延。</w:t>
      </w:r>
    </w:p>
    <w:p>
      <w:pPr>
        <w:bidi w:val="0"/>
      </w:pPr>
      <w:r>
        <w:t>区内第一纪发育，下伏基岩为第三新余群泥质粉</w:t>
      </w:r>
      <w:r>
        <w:rPr>
          <w:rFonts w:hint="eastAsia"/>
          <w:highlight w:val="none"/>
          <w:lang w:val="en-US" w:eastAsia="zh-CN"/>
        </w:rPr>
        <w:t>砂</w:t>
      </w:r>
      <w:r>
        <w:rPr>
          <w:highlight w:val="none"/>
        </w:rPr>
        <w:t>岩</w:t>
      </w:r>
      <w:r>
        <w:t>，泥质结构，泥质胶结、局部钙质胶结，具近水平层理，易崩解。第一纪厚度约15-37m，基岩顶面自赣江上游向下游倾斜，第一系岩性变化复杂，总的规律是颗粒分布上细下粗，分布于</w:t>
      </w:r>
      <w:r>
        <w:rPr>
          <w:rFonts w:hint="eastAsia"/>
          <w:highlight w:val="none"/>
          <w:lang w:val="en-US" w:eastAsia="zh-CN"/>
        </w:rPr>
        <w:t>黏</w:t>
      </w:r>
      <w:r>
        <w:rPr>
          <w:highlight w:val="none"/>
        </w:rPr>
        <w:t>性</w:t>
      </w:r>
      <w:r>
        <w:t>土和砂类土两大类。</w:t>
      </w:r>
    </w:p>
    <w:p>
      <w:pPr>
        <w:pStyle w:val="5"/>
        <w:bidi w:val="0"/>
      </w:pPr>
      <w:bookmarkStart w:id="170" w:name="_Toc14521"/>
      <w:bookmarkStart w:id="171" w:name="_Toc17583"/>
      <w:bookmarkStart w:id="172" w:name="_Toc3484"/>
      <w:bookmarkStart w:id="173" w:name="_Toc37591906"/>
      <w:bookmarkStart w:id="174" w:name="_Toc11298"/>
      <w:bookmarkStart w:id="175" w:name="_Toc18596"/>
      <w:r>
        <w:rPr>
          <w:rFonts w:hint="eastAsia"/>
          <w:lang w:val="en-US" w:eastAsia="zh-CN"/>
        </w:rPr>
        <w:t>2</w:t>
      </w:r>
      <w:r>
        <w:rPr>
          <w:rFonts w:hint="eastAsia"/>
        </w:rPr>
        <w:t>.1.</w:t>
      </w:r>
      <w:r>
        <w:rPr>
          <w:rFonts w:hint="eastAsia"/>
          <w:lang w:val="en-US" w:eastAsia="zh-CN"/>
        </w:rPr>
        <w:t>7</w:t>
      </w:r>
      <w:r>
        <w:t xml:space="preserve"> </w:t>
      </w:r>
      <w:r>
        <w:rPr>
          <w:rFonts w:hint="eastAsia"/>
        </w:rPr>
        <w:t>环境功能区划</w:t>
      </w:r>
      <w:bookmarkEnd w:id="167"/>
      <w:bookmarkEnd w:id="168"/>
      <w:bookmarkEnd w:id="169"/>
      <w:bookmarkEnd w:id="170"/>
      <w:bookmarkEnd w:id="171"/>
      <w:bookmarkEnd w:id="172"/>
      <w:bookmarkEnd w:id="173"/>
      <w:bookmarkEnd w:id="174"/>
      <w:bookmarkEnd w:id="175"/>
    </w:p>
    <w:p>
      <w:pPr>
        <w:bidi w:val="0"/>
      </w:pPr>
      <w:r>
        <w:rPr>
          <w:rFonts w:hint="eastAsia"/>
        </w:rPr>
        <w:t>本公司所在区域环境功能区见表</w:t>
      </w:r>
      <w:r>
        <w:rPr>
          <w:rFonts w:hint="eastAsia"/>
          <w:lang w:val="en-US" w:eastAsia="zh-CN"/>
        </w:rPr>
        <w:t>2</w:t>
      </w:r>
      <w:r>
        <w:rPr>
          <w:rFonts w:hint="eastAsia"/>
        </w:rPr>
        <w:t>.1.</w:t>
      </w:r>
      <w:r>
        <w:rPr>
          <w:rFonts w:hint="eastAsia"/>
          <w:lang w:val="en-US" w:eastAsia="zh-CN"/>
        </w:rPr>
        <w:t>7</w:t>
      </w:r>
      <w:r>
        <w:rPr>
          <w:rFonts w:hint="eastAsia"/>
        </w:rPr>
        <w:t>-1。</w:t>
      </w:r>
    </w:p>
    <w:p>
      <w:pPr>
        <w:pStyle w:val="28"/>
        <w:bidi w:val="0"/>
      </w:pPr>
      <w:r>
        <w:rPr>
          <w:rFonts w:hint="eastAsia"/>
        </w:rPr>
        <w:t>表</w:t>
      </w:r>
      <w:r>
        <w:rPr>
          <w:rFonts w:hint="eastAsia"/>
          <w:lang w:val="en-US" w:eastAsia="zh-CN"/>
        </w:rPr>
        <w:t>2</w:t>
      </w:r>
      <w:r>
        <w:rPr>
          <w:rFonts w:hint="eastAsia"/>
        </w:rPr>
        <w:t>.1</w:t>
      </w:r>
      <w:r>
        <w:rPr>
          <w:rFonts w:hint="eastAsia"/>
          <w:lang w:val="en-US" w:eastAsia="zh-CN"/>
        </w:rPr>
        <w:t>.7</w:t>
      </w:r>
      <w:r>
        <w:rPr>
          <w:rFonts w:hint="eastAsia"/>
        </w:rPr>
        <w:t>-</w:t>
      </w:r>
      <w:r>
        <w:rPr>
          <w:rFonts w:hint="eastAsia"/>
          <w:lang w:val="en-US" w:eastAsia="zh-CN"/>
        </w:rPr>
        <w:t>1</w:t>
      </w:r>
      <w:r>
        <w:t xml:space="preserve"> </w:t>
      </w:r>
      <w:r>
        <w:rPr>
          <w:rFonts w:hint="eastAsia"/>
        </w:rPr>
        <w:t>项目所在区域环境功能属性表</w:t>
      </w:r>
    </w:p>
    <w:tbl>
      <w:tblPr>
        <w:tblStyle w:val="22"/>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70"/>
        <w:gridCol w:w="2997"/>
        <w:gridCol w:w="485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bottom w:val="single" w:color="auto" w:sz="12" w:space="0"/>
            </w:tcBorders>
            <w:vAlign w:val="center"/>
          </w:tcPr>
          <w:p>
            <w:pPr>
              <w:pStyle w:val="39"/>
              <w:bidi w:val="0"/>
              <w:rPr>
                <w:b/>
                <w:bCs/>
              </w:rPr>
            </w:pPr>
            <w:r>
              <w:rPr>
                <w:b/>
                <w:bCs/>
              </w:rPr>
              <w:t>编号</w:t>
            </w:r>
          </w:p>
        </w:tc>
        <w:tc>
          <w:tcPr>
            <w:tcW w:w="1718" w:type="pct"/>
            <w:tcBorders>
              <w:bottom w:val="single" w:color="auto" w:sz="12" w:space="0"/>
            </w:tcBorders>
            <w:vAlign w:val="center"/>
          </w:tcPr>
          <w:p>
            <w:pPr>
              <w:pStyle w:val="39"/>
              <w:bidi w:val="0"/>
              <w:rPr>
                <w:b/>
                <w:bCs/>
              </w:rPr>
            </w:pPr>
            <w:r>
              <w:rPr>
                <w:b/>
                <w:bCs/>
              </w:rPr>
              <w:t>项目</w:t>
            </w:r>
          </w:p>
        </w:tc>
        <w:tc>
          <w:tcPr>
            <w:tcW w:w="2781" w:type="pct"/>
            <w:tcBorders>
              <w:bottom w:val="single" w:color="auto" w:sz="12" w:space="0"/>
            </w:tcBorders>
            <w:vAlign w:val="center"/>
          </w:tcPr>
          <w:p>
            <w:pPr>
              <w:pStyle w:val="39"/>
              <w:bidi w:val="0"/>
              <w:rPr>
                <w:b/>
                <w:bCs/>
              </w:rPr>
            </w:pPr>
            <w:r>
              <w:rPr>
                <w:b/>
                <w:bCs/>
              </w:rPr>
              <w:t>功能属性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top w:val="single" w:color="auto" w:sz="12" w:space="0"/>
              <w:tl2br w:val="nil"/>
              <w:tr2bl w:val="nil"/>
            </w:tcBorders>
            <w:vAlign w:val="center"/>
          </w:tcPr>
          <w:p>
            <w:pPr>
              <w:pStyle w:val="39"/>
              <w:bidi w:val="0"/>
            </w:pPr>
            <w:r>
              <w:t>1</w:t>
            </w:r>
          </w:p>
        </w:tc>
        <w:tc>
          <w:tcPr>
            <w:tcW w:w="1718" w:type="pct"/>
            <w:tcBorders>
              <w:top w:val="single" w:color="auto" w:sz="12" w:space="0"/>
              <w:tl2br w:val="nil"/>
              <w:tr2bl w:val="nil"/>
            </w:tcBorders>
            <w:vAlign w:val="center"/>
          </w:tcPr>
          <w:p>
            <w:pPr>
              <w:pStyle w:val="39"/>
              <w:bidi w:val="0"/>
            </w:pPr>
            <w:r>
              <w:t>地表水环境功能区</w:t>
            </w:r>
          </w:p>
        </w:tc>
        <w:tc>
          <w:tcPr>
            <w:tcW w:w="2781" w:type="pct"/>
            <w:tcBorders>
              <w:top w:val="single" w:color="auto" w:sz="12" w:space="0"/>
              <w:tl2br w:val="nil"/>
              <w:tr2bl w:val="nil"/>
            </w:tcBorders>
            <w:vAlign w:val="center"/>
          </w:tcPr>
          <w:p>
            <w:pPr>
              <w:pStyle w:val="39"/>
              <w:bidi w:val="0"/>
            </w:pPr>
            <w:r>
              <w:t>项目所在地纳污水体为赣江北支西河段，地表水质量标准执行《地表水环境质量标准》（GB3838-2002）中Ⅲ类水体标准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tl2br w:val="nil"/>
              <w:tr2bl w:val="nil"/>
            </w:tcBorders>
            <w:vAlign w:val="center"/>
          </w:tcPr>
          <w:p>
            <w:pPr>
              <w:pStyle w:val="39"/>
              <w:bidi w:val="0"/>
            </w:pPr>
            <w:r>
              <w:t>2</w:t>
            </w:r>
          </w:p>
        </w:tc>
        <w:tc>
          <w:tcPr>
            <w:tcW w:w="1718" w:type="pct"/>
            <w:tcBorders>
              <w:tl2br w:val="nil"/>
              <w:tr2bl w:val="nil"/>
            </w:tcBorders>
            <w:vAlign w:val="center"/>
          </w:tcPr>
          <w:p>
            <w:pPr>
              <w:pStyle w:val="39"/>
              <w:bidi w:val="0"/>
            </w:pPr>
            <w:r>
              <w:t>大气环境功能区</w:t>
            </w:r>
          </w:p>
        </w:tc>
        <w:tc>
          <w:tcPr>
            <w:tcW w:w="2781" w:type="pct"/>
            <w:tcBorders>
              <w:tl2br w:val="nil"/>
              <w:tr2bl w:val="nil"/>
            </w:tcBorders>
            <w:vAlign w:val="center"/>
          </w:tcPr>
          <w:p>
            <w:pPr>
              <w:pStyle w:val="39"/>
              <w:bidi w:val="0"/>
            </w:pPr>
            <w:r>
              <w:t>项目所在地空气质量标准执行《环境空气质量标准》</w:t>
            </w:r>
          </w:p>
          <w:p>
            <w:pPr>
              <w:pStyle w:val="39"/>
              <w:bidi w:val="0"/>
            </w:pPr>
            <w:r>
              <w:t>（GB3095-2012）中二级标准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tl2br w:val="nil"/>
              <w:tr2bl w:val="nil"/>
            </w:tcBorders>
            <w:vAlign w:val="center"/>
          </w:tcPr>
          <w:p>
            <w:pPr>
              <w:pStyle w:val="39"/>
              <w:bidi w:val="0"/>
            </w:pPr>
            <w:r>
              <w:rPr>
                <w:rFonts w:hint="eastAsia"/>
              </w:rPr>
              <w:t>3</w:t>
            </w:r>
          </w:p>
        </w:tc>
        <w:tc>
          <w:tcPr>
            <w:tcW w:w="1718" w:type="pct"/>
            <w:tcBorders>
              <w:tl2br w:val="nil"/>
              <w:tr2bl w:val="nil"/>
            </w:tcBorders>
            <w:vAlign w:val="center"/>
          </w:tcPr>
          <w:p>
            <w:pPr>
              <w:pStyle w:val="39"/>
              <w:bidi w:val="0"/>
            </w:pPr>
            <w:r>
              <w:t>声环境功能区</w:t>
            </w:r>
          </w:p>
        </w:tc>
        <w:tc>
          <w:tcPr>
            <w:tcW w:w="2781" w:type="pct"/>
            <w:tcBorders>
              <w:tl2br w:val="nil"/>
              <w:tr2bl w:val="nil"/>
            </w:tcBorders>
            <w:vAlign w:val="center"/>
          </w:tcPr>
          <w:p>
            <w:pPr>
              <w:pStyle w:val="39"/>
              <w:bidi w:val="0"/>
            </w:pPr>
            <w:r>
              <w:t>项目所在地声环境质量标准执行《声环境质量标准》</w:t>
            </w:r>
          </w:p>
          <w:p>
            <w:pPr>
              <w:pStyle w:val="39"/>
              <w:bidi w:val="0"/>
            </w:pPr>
            <w:r>
              <w:t>（GB3096-2008）中3类区的标准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9" w:type="pct"/>
            <w:tcBorders>
              <w:tl2br w:val="nil"/>
              <w:tr2bl w:val="nil"/>
            </w:tcBorders>
            <w:vAlign w:val="center"/>
          </w:tcPr>
          <w:p>
            <w:pPr>
              <w:pStyle w:val="39"/>
              <w:bidi w:val="0"/>
            </w:pPr>
            <w:r>
              <w:rPr>
                <w:rFonts w:hint="eastAsia"/>
              </w:rPr>
              <w:t>4</w:t>
            </w:r>
          </w:p>
        </w:tc>
        <w:tc>
          <w:tcPr>
            <w:tcW w:w="1718" w:type="pct"/>
            <w:tcBorders>
              <w:tl2br w:val="nil"/>
              <w:tr2bl w:val="nil"/>
            </w:tcBorders>
            <w:vAlign w:val="center"/>
          </w:tcPr>
          <w:p>
            <w:pPr>
              <w:pStyle w:val="39"/>
              <w:bidi w:val="0"/>
            </w:pPr>
            <w:r>
              <w:t>是否属于南昌市基本</w:t>
            </w:r>
          </w:p>
          <w:p>
            <w:pPr>
              <w:pStyle w:val="39"/>
              <w:bidi w:val="0"/>
            </w:pPr>
            <w:r>
              <w:t>生态控制线范围内</w:t>
            </w:r>
          </w:p>
        </w:tc>
        <w:tc>
          <w:tcPr>
            <w:tcW w:w="2781" w:type="pct"/>
            <w:tcBorders>
              <w:tl2br w:val="nil"/>
              <w:tr2bl w:val="nil"/>
            </w:tcBorders>
            <w:vAlign w:val="center"/>
          </w:tcPr>
          <w:p>
            <w:pPr>
              <w:pStyle w:val="39"/>
              <w:bidi w:val="0"/>
            </w:pPr>
            <w:r>
              <w:t>否</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tl2br w:val="nil"/>
              <w:tr2bl w:val="nil"/>
            </w:tcBorders>
            <w:vAlign w:val="center"/>
          </w:tcPr>
          <w:p>
            <w:pPr>
              <w:pStyle w:val="39"/>
              <w:bidi w:val="0"/>
            </w:pPr>
            <w:r>
              <w:rPr>
                <w:rFonts w:hint="eastAsia"/>
              </w:rPr>
              <w:t>5</w:t>
            </w:r>
          </w:p>
        </w:tc>
        <w:tc>
          <w:tcPr>
            <w:tcW w:w="1718" w:type="pct"/>
            <w:tcBorders>
              <w:tl2br w:val="nil"/>
              <w:tr2bl w:val="nil"/>
            </w:tcBorders>
            <w:vAlign w:val="center"/>
          </w:tcPr>
          <w:p>
            <w:pPr>
              <w:pStyle w:val="39"/>
              <w:bidi w:val="0"/>
            </w:pPr>
            <w:r>
              <w:t>是否属于水源保护区</w:t>
            </w:r>
          </w:p>
        </w:tc>
        <w:tc>
          <w:tcPr>
            <w:tcW w:w="2781" w:type="pct"/>
            <w:tcBorders>
              <w:tl2br w:val="nil"/>
              <w:tr2bl w:val="nil"/>
            </w:tcBorders>
            <w:vAlign w:val="center"/>
          </w:tcPr>
          <w:p>
            <w:pPr>
              <w:pStyle w:val="39"/>
              <w:bidi w:val="0"/>
            </w:pPr>
            <w:r>
              <w:t>否</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tl2br w:val="nil"/>
              <w:tr2bl w:val="nil"/>
            </w:tcBorders>
            <w:vAlign w:val="center"/>
          </w:tcPr>
          <w:p>
            <w:pPr>
              <w:pStyle w:val="39"/>
              <w:bidi w:val="0"/>
            </w:pPr>
            <w:r>
              <w:rPr>
                <w:rFonts w:hint="eastAsia"/>
              </w:rPr>
              <w:t>6</w:t>
            </w:r>
          </w:p>
        </w:tc>
        <w:tc>
          <w:tcPr>
            <w:tcW w:w="1718" w:type="pct"/>
            <w:tcBorders>
              <w:tl2br w:val="nil"/>
              <w:tr2bl w:val="nil"/>
            </w:tcBorders>
            <w:vAlign w:val="center"/>
          </w:tcPr>
          <w:p>
            <w:pPr>
              <w:pStyle w:val="39"/>
              <w:bidi w:val="0"/>
            </w:pPr>
            <w:r>
              <w:t>是否属于城镇污水处</w:t>
            </w:r>
          </w:p>
          <w:p>
            <w:pPr>
              <w:pStyle w:val="39"/>
              <w:bidi w:val="0"/>
            </w:pPr>
            <w:r>
              <w:t>理厂集污范围</w:t>
            </w:r>
          </w:p>
        </w:tc>
        <w:tc>
          <w:tcPr>
            <w:tcW w:w="2781" w:type="pct"/>
            <w:tcBorders>
              <w:tl2br w:val="nil"/>
              <w:tr2bl w:val="nil"/>
            </w:tcBorders>
            <w:vAlign w:val="center"/>
          </w:tcPr>
          <w:p>
            <w:pPr>
              <w:pStyle w:val="39"/>
              <w:bidi w:val="0"/>
            </w:pPr>
            <w:r>
              <w:t>是，并已接通至项目所在地，污水处理厂为白水湖污水处理厂</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9" w:type="pct"/>
            <w:tcBorders>
              <w:tl2br w:val="nil"/>
              <w:tr2bl w:val="nil"/>
            </w:tcBorders>
            <w:vAlign w:val="center"/>
          </w:tcPr>
          <w:p>
            <w:pPr>
              <w:pStyle w:val="39"/>
              <w:bidi w:val="0"/>
            </w:pPr>
            <w:r>
              <w:rPr>
                <w:rFonts w:hint="eastAsia"/>
              </w:rPr>
              <w:t>7</w:t>
            </w:r>
          </w:p>
        </w:tc>
        <w:tc>
          <w:tcPr>
            <w:tcW w:w="1718" w:type="pct"/>
            <w:tcBorders>
              <w:tl2br w:val="nil"/>
              <w:tr2bl w:val="nil"/>
            </w:tcBorders>
            <w:vAlign w:val="center"/>
          </w:tcPr>
          <w:p>
            <w:pPr>
              <w:pStyle w:val="39"/>
              <w:bidi w:val="0"/>
            </w:pPr>
            <w:r>
              <w:t>土地利用</w:t>
            </w:r>
          </w:p>
        </w:tc>
        <w:tc>
          <w:tcPr>
            <w:tcW w:w="2781" w:type="pct"/>
            <w:tcBorders>
              <w:tl2br w:val="nil"/>
              <w:tr2bl w:val="nil"/>
            </w:tcBorders>
            <w:vAlign w:val="center"/>
          </w:tcPr>
          <w:p>
            <w:pPr>
              <w:pStyle w:val="39"/>
              <w:bidi w:val="0"/>
            </w:pPr>
            <w:r>
              <w:t>工业用地</w:t>
            </w:r>
          </w:p>
        </w:tc>
      </w:tr>
    </w:tbl>
    <w:p>
      <w:pPr>
        <w:pStyle w:val="4"/>
        <w:bidi w:val="0"/>
      </w:pPr>
      <w:bookmarkStart w:id="176" w:name="_Toc19632"/>
      <w:bookmarkStart w:id="177" w:name="_Toc20608"/>
      <w:bookmarkStart w:id="178" w:name="_Toc5132"/>
      <w:bookmarkStart w:id="179" w:name="_Toc15651"/>
      <w:bookmarkStart w:id="180" w:name="_Toc11301"/>
      <w:bookmarkStart w:id="181" w:name="_Toc26466"/>
      <w:bookmarkStart w:id="182" w:name="_Toc37591907"/>
      <w:bookmarkStart w:id="183" w:name="_Toc3725"/>
      <w:bookmarkStart w:id="184" w:name="_Toc30881"/>
      <w:bookmarkStart w:id="185" w:name="_Toc24809"/>
      <w:bookmarkStart w:id="186" w:name="_Toc14220"/>
      <w:r>
        <w:rPr>
          <w:rFonts w:hint="eastAsia"/>
          <w:lang w:val="en-US" w:eastAsia="zh-CN"/>
        </w:rPr>
        <w:t>2</w:t>
      </w:r>
      <w:r>
        <w:rPr>
          <w:rFonts w:hint="eastAsia"/>
        </w:rPr>
        <w:t>.2</w:t>
      </w:r>
      <w:r>
        <w:t xml:space="preserve"> </w:t>
      </w:r>
      <w:r>
        <w:rPr>
          <w:rFonts w:hint="eastAsia"/>
        </w:rPr>
        <w:t>企业周边环境风险受体情况</w:t>
      </w:r>
      <w:bookmarkEnd w:id="176"/>
      <w:bookmarkEnd w:id="177"/>
      <w:bookmarkEnd w:id="178"/>
      <w:bookmarkEnd w:id="179"/>
      <w:bookmarkEnd w:id="180"/>
      <w:bookmarkEnd w:id="181"/>
      <w:bookmarkEnd w:id="182"/>
      <w:bookmarkEnd w:id="183"/>
      <w:bookmarkEnd w:id="184"/>
      <w:bookmarkEnd w:id="185"/>
      <w:bookmarkEnd w:id="186"/>
    </w:p>
    <w:p>
      <w:pPr>
        <w:bidi w:val="0"/>
      </w:pPr>
      <w:r>
        <w:rPr>
          <w:rFonts w:hint="eastAsia"/>
        </w:rPr>
        <w:t>环境风险受体分为大气环境风险受体、土壤环境风险受体和水环境风险受体。其中，大气环境风险受体主要包括居住、医疗卫生、文化教育、科研、行政办公、重要基础设施、企业等主要功能区域内的人群、保护单位、植被等，按人口数量进行指标量化；土壤环境风险受体主要为企业周边的基本农田保护区、居住商用地等区域；水环境风险受体主要包括饮用水水源保护区、自来水厂取水口、自然保护区、重要湿地、特殊生态系统、水产养殖区、鱼虾产卵场、天然渔场等区域，可按其脆弱性和敏感性进行级别划分。</w:t>
      </w:r>
    </w:p>
    <w:p>
      <w:pPr>
        <w:bidi w:val="0"/>
      </w:pPr>
      <w:r>
        <w:t>现对周边环境受体进行现场调查，识别了水环境、声环境和大气环境保护目标。具体情况见表</w:t>
      </w:r>
      <w:r>
        <w:rPr>
          <w:rFonts w:hint="eastAsia"/>
          <w:lang w:val="en-US" w:eastAsia="zh-CN"/>
        </w:rPr>
        <w:t>2</w:t>
      </w:r>
      <w:r>
        <w:t>.2-1，企业周边5000m范围内环境受体分布图见附图。</w:t>
      </w:r>
    </w:p>
    <w:p>
      <w:pPr>
        <w:pStyle w:val="2"/>
      </w:pPr>
    </w:p>
    <w:p>
      <w:pPr>
        <w:pStyle w:val="28"/>
        <w:bidi w:val="0"/>
      </w:pPr>
      <w:r>
        <w:rPr>
          <w:rFonts w:hint="eastAsia"/>
        </w:rPr>
        <w:t>表</w:t>
      </w:r>
      <w:r>
        <w:rPr>
          <w:rFonts w:hint="eastAsia"/>
          <w:lang w:val="en-US" w:eastAsia="zh-CN"/>
        </w:rPr>
        <w:t>2</w:t>
      </w:r>
      <w:r>
        <w:rPr>
          <w:rFonts w:hint="eastAsia"/>
        </w:rPr>
        <w:t>.2-1</w:t>
      </w:r>
      <w:r>
        <w:t xml:space="preserve"> </w:t>
      </w:r>
      <w:r>
        <w:rPr>
          <w:rFonts w:hint="eastAsia"/>
        </w:rPr>
        <w:t>建设项目附近主要环境受体</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98"/>
        <w:gridCol w:w="750"/>
        <w:gridCol w:w="1742"/>
        <w:gridCol w:w="930"/>
        <w:gridCol w:w="1156"/>
        <w:gridCol w:w="1156"/>
        <w:gridCol w:w="178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3" w:hRule="atLeast"/>
          <w:jc w:val="center"/>
        </w:trPr>
        <w:tc>
          <w:tcPr>
            <w:tcW w:w="687" w:type="pct"/>
            <w:tcBorders>
              <w:bottom w:val="single" w:color="auto" w:sz="12" w:space="0"/>
            </w:tcBorders>
            <w:vAlign w:val="center"/>
          </w:tcPr>
          <w:p>
            <w:pPr>
              <w:pStyle w:val="62"/>
              <w:rPr>
                <w:b/>
              </w:rPr>
            </w:pPr>
            <w:r>
              <w:rPr>
                <w:rFonts w:hint="eastAsia"/>
                <w:b/>
              </w:rPr>
              <w:t>环境要素</w:t>
            </w:r>
          </w:p>
        </w:tc>
        <w:tc>
          <w:tcPr>
            <w:tcW w:w="1429" w:type="pct"/>
            <w:gridSpan w:val="2"/>
            <w:tcBorders>
              <w:bottom w:val="single" w:color="auto" w:sz="12" w:space="0"/>
            </w:tcBorders>
            <w:vAlign w:val="center"/>
          </w:tcPr>
          <w:p>
            <w:pPr>
              <w:pStyle w:val="62"/>
              <w:rPr>
                <w:b/>
              </w:rPr>
            </w:pPr>
            <w:r>
              <w:rPr>
                <w:rFonts w:hint="eastAsia"/>
                <w:b/>
              </w:rPr>
              <w:t>环境保护对象名称</w:t>
            </w:r>
          </w:p>
        </w:tc>
        <w:tc>
          <w:tcPr>
            <w:tcW w:w="533" w:type="pct"/>
            <w:tcBorders>
              <w:bottom w:val="single" w:color="auto" w:sz="12" w:space="0"/>
            </w:tcBorders>
            <w:vAlign w:val="center"/>
          </w:tcPr>
          <w:p>
            <w:pPr>
              <w:pStyle w:val="62"/>
              <w:rPr>
                <w:b/>
              </w:rPr>
            </w:pPr>
            <w:r>
              <w:rPr>
                <w:rFonts w:hint="eastAsia"/>
                <w:b/>
              </w:rPr>
              <w:t>方位</w:t>
            </w:r>
          </w:p>
        </w:tc>
        <w:tc>
          <w:tcPr>
            <w:tcW w:w="663" w:type="pct"/>
            <w:tcBorders>
              <w:bottom w:val="single" w:color="auto" w:sz="12" w:space="0"/>
            </w:tcBorders>
            <w:vAlign w:val="center"/>
          </w:tcPr>
          <w:p>
            <w:pPr>
              <w:pStyle w:val="62"/>
              <w:rPr>
                <w:b/>
              </w:rPr>
            </w:pPr>
            <w:r>
              <w:rPr>
                <w:rFonts w:hint="eastAsia"/>
                <w:b/>
              </w:rPr>
              <w:t>距离（m）</w:t>
            </w:r>
          </w:p>
        </w:tc>
        <w:tc>
          <w:tcPr>
            <w:tcW w:w="663" w:type="pct"/>
            <w:tcBorders>
              <w:bottom w:val="single" w:color="auto" w:sz="12" w:space="0"/>
            </w:tcBorders>
            <w:vAlign w:val="center"/>
          </w:tcPr>
          <w:p>
            <w:pPr>
              <w:pStyle w:val="62"/>
              <w:rPr>
                <w:b/>
              </w:rPr>
            </w:pPr>
            <w:r>
              <w:rPr>
                <w:rFonts w:hint="eastAsia"/>
                <w:b/>
              </w:rPr>
              <w:t>规模（人）</w:t>
            </w:r>
          </w:p>
        </w:tc>
        <w:tc>
          <w:tcPr>
            <w:tcW w:w="1023" w:type="pct"/>
            <w:tcBorders>
              <w:bottom w:val="single" w:color="auto" w:sz="12" w:space="0"/>
            </w:tcBorders>
            <w:vAlign w:val="center"/>
          </w:tcPr>
          <w:p>
            <w:pPr>
              <w:pStyle w:val="62"/>
              <w:rPr>
                <w:b/>
              </w:rPr>
            </w:pPr>
            <w:r>
              <w:rPr>
                <w:rFonts w:hint="eastAsia"/>
                <w:b/>
              </w:rPr>
              <w:t>环境功能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restart"/>
            <w:tcBorders>
              <w:top w:val="single" w:color="auto" w:sz="12" w:space="0"/>
              <w:tl2br w:val="nil"/>
              <w:tr2bl w:val="nil"/>
            </w:tcBorders>
            <w:vAlign w:val="center"/>
          </w:tcPr>
          <w:p>
            <w:pPr>
              <w:pStyle w:val="62"/>
            </w:pPr>
            <w:r>
              <w:rPr>
                <w:rFonts w:hint="eastAsia"/>
              </w:rPr>
              <w:t>大气</w:t>
            </w:r>
          </w:p>
          <w:p>
            <w:pPr>
              <w:pStyle w:val="62"/>
            </w:pPr>
            <w:r>
              <w:rPr>
                <w:rFonts w:hint="eastAsia"/>
              </w:rPr>
              <w:t>环境</w:t>
            </w:r>
          </w:p>
        </w:tc>
        <w:tc>
          <w:tcPr>
            <w:tcW w:w="430" w:type="pct"/>
            <w:tcBorders>
              <w:top w:val="single" w:color="auto" w:sz="12" w:space="0"/>
              <w:tl2br w:val="nil"/>
              <w:tr2bl w:val="nil"/>
            </w:tcBorders>
            <w:vAlign w:val="center"/>
          </w:tcPr>
          <w:p>
            <w:pPr>
              <w:pStyle w:val="62"/>
            </w:pPr>
            <w:r>
              <w:rPr>
                <w:rFonts w:hint="eastAsia"/>
              </w:rPr>
              <w:t>1</w:t>
            </w:r>
          </w:p>
        </w:tc>
        <w:tc>
          <w:tcPr>
            <w:tcW w:w="999" w:type="pct"/>
            <w:tcBorders>
              <w:top w:val="single" w:color="auto" w:sz="12" w:space="0"/>
              <w:tl2br w:val="nil"/>
              <w:tr2bl w:val="nil"/>
            </w:tcBorders>
            <w:vAlign w:val="center"/>
          </w:tcPr>
          <w:p>
            <w:pPr>
              <w:pStyle w:val="62"/>
            </w:pPr>
            <w:r>
              <w:rPr>
                <w:rFonts w:ascii="宋体" w:hAnsi="宋体" w:cs="宋体"/>
              </w:rPr>
              <w:t>洪城</w:t>
            </w:r>
            <w:r>
              <w:rPr>
                <w:rFonts w:ascii="宋体" w:hAnsi="宋体" w:cs="宋体"/>
                <w:spacing w:val="-3"/>
              </w:rPr>
              <w:t>警</w:t>
            </w:r>
            <w:r>
              <w:rPr>
                <w:rFonts w:ascii="宋体" w:hAnsi="宋体" w:cs="宋体"/>
              </w:rPr>
              <w:t>苑</w:t>
            </w:r>
            <w:r>
              <w:rPr>
                <w:rFonts w:ascii="宋体" w:hAnsi="宋体" w:cs="宋体"/>
                <w:spacing w:val="-3"/>
              </w:rPr>
              <w:t>小</w:t>
            </w:r>
            <w:r>
              <w:rPr>
                <w:rFonts w:ascii="宋体" w:hAnsi="宋体" w:cs="宋体"/>
              </w:rPr>
              <w:t>区</w:t>
            </w:r>
          </w:p>
        </w:tc>
        <w:tc>
          <w:tcPr>
            <w:tcW w:w="533" w:type="pct"/>
            <w:tcBorders>
              <w:top w:val="single" w:color="auto" w:sz="12" w:space="0"/>
              <w:tl2br w:val="nil"/>
              <w:tr2bl w:val="nil"/>
            </w:tcBorders>
            <w:vAlign w:val="center"/>
          </w:tcPr>
          <w:p>
            <w:pPr>
              <w:pStyle w:val="62"/>
            </w:pPr>
            <w:r>
              <w:rPr>
                <w:rFonts w:ascii="宋体" w:hAnsi="宋体" w:cs="宋体"/>
              </w:rPr>
              <w:t>东南</w:t>
            </w:r>
          </w:p>
        </w:tc>
        <w:tc>
          <w:tcPr>
            <w:tcW w:w="663" w:type="pct"/>
            <w:tcBorders>
              <w:top w:val="single" w:color="auto" w:sz="12" w:space="0"/>
              <w:tl2br w:val="nil"/>
              <w:tr2bl w:val="nil"/>
            </w:tcBorders>
            <w:vAlign w:val="center"/>
          </w:tcPr>
          <w:p>
            <w:pPr>
              <w:pStyle w:val="62"/>
            </w:pPr>
            <w:r>
              <w:t>1700</w:t>
            </w:r>
          </w:p>
        </w:tc>
        <w:tc>
          <w:tcPr>
            <w:tcW w:w="663" w:type="pct"/>
            <w:tcBorders>
              <w:top w:val="single" w:color="auto" w:sz="12" w:space="0"/>
              <w:tl2br w:val="nil"/>
              <w:tr2bl w:val="nil"/>
            </w:tcBorders>
            <w:vAlign w:val="center"/>
          </w:tcPr>
          <w:p>
            <w:pPr>
              <w:pStyle w:val="62"/>
            </w:pPr>
            <w:r>
              <w:rPr>
                <w:rFonts w:ascii="宋体" w:hAnsi="宋体" w:cs="宋体"/>
              </w:rPr>
              <w:t>约</w:t>
            </w:r>
            <w:r>
              <w:rPr>
                <w:rFonts w:eastAsia="Times New Roman"/>
              </w:rPr>
              <w:t>300</w:t>
            </w:r>
            <w:r>
              <w:rPr>
                <w:rFonts w:ascii="宋体" w:hAnsi="宋体" w:cs="宋体"/>
              </w:rPr>
              <w:t>户</w:t>
            </w:r>
          </w:p>
        </w:tc>
        <w:tc>
          <w:tcPr>
            <w:tcW w:w="1023" w:type="pct"/>
            <w:vMerge w:val="restart"/>
            <w:tcBorders>
              <w:top w:val="single" w:color="auto" w:sz="12" w:space="0"/>
              <w:tl2br w:val="nil"/>
              <w:tr2bl w:val="nil"/>
            </w:tcBorders>
            <w:vAlign w:val="center"/>
          </w:tcPr>
          <w:p>
            <w:pPr>
              <w:pStyle w:val="62"/>
            </w:pPr>
            <w:r>
              <w:t xml:space="preserve">GB3095-2012中二级标准、GB3096-2008中 </w:t>
            </w:r>
            <w:r>
              <w:rPr>
                <w:rFonts w:hint="eastAsia"/>
                <w:lang w:val="en-US" w:eastAsia="zh-CN"/>
              </w:rPr>
              <w:t>2</w:t>
            </w:r>
            <w:r>
              <w:t>类标准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2</w:t>
            </w:r>
          </w:p>
        </w:tc>
        <w:tc>
          <w:tcPr>
            <w:tcW w:w="999" w:type="pct"/>
            <w:tcBorders>
              <w:tl2br w:val="nil"/>
              <w:tr2bl w:val="nil"/>
            </w:tcBorders>
            <w:vAlign w:val="center"/>
          </w:tcPr>
          <w:p>
            <w:pPr>
              <w:pStyle w:val="62"/>
            </w:pPr>
            <w:r>
              <w:rPr>
                <w:rFonts w:ascii="宋体" w:hAnsi="宋体" w:cs="宋体"/>
              </w:rPr>
              <w:t>下房庄</w:t>
            </w:r>
          </w:p>
        </w:tc>
        <w:tc>
          <w:tcPr>
            <w:tcW w:w="533" w:type="pct"/>
            <w:tcBorders>
              <w:tl2br w:val="nil"/>
              <w:tr2bl w:val="nil"/>
            </w:tcBorders>
            <w:vAlign w:val="center"/>
          </w:tcPr>
          <w:p>
            <w:pPr>
              <w:pStyle w:val="62"/>
            </w:pPr>
            <w:r>
              <w:rPr>
                <w:rFonts w:ascii="宋体" w:hAnsi="宋体" w:cs="宋体"/>
              </w:rPr>
              <w:t>东</w:t>
            </w:r>
          </w:p>
        </w:tc>
        <w:tc>
          <w:tcPr>
            <w:tcW w:w="663" w:type="pct"/>
            <w:tcBorders>
              <w:tl2br w:val="nil"/>
              <w:tr2bl w:val="nil"/>
            </w:tcBorders>
            <w:vAlign w:val="center"/>
          </w:tcPr>
          <w:p>
            <w:pPr>
              <w:pStyle w:val="62"/>
            </w:pPr>
            <w:r>
              <w:t>1800</w:t>
            </w:r>
          </w:p>
        </w:tc>
        <w:tc>
          <w:tcPr>
            <w:tcW w:w="663" w:type="pct"/>
            <w:tcBorders>
              <w:tl2br w:val="nil"/>
              <w:tr2bl w:val="nil"/>
            </w:tcBorders>
            <w:vAlign w:val="center"/>
          </w:tcPr>
          <w:p>
            <w:pPr>
              <w:pStyle w:val="62"/>
            </w:pPr>
            <w:r>
              <w:rPr>
                <w:rFonts w:ascii="宋体" w:hAnsi="宋体" w:cs="宋体"/>
              </w:rPr>
              <w:t>约</w:t>
            </w:r>
            <w:r>
              <w:rPr>
                <w:rFonts w:eastAsia="Times New Roman"/>
              </w:rPr>
              <w:t>100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3</w:t>
            </w:r>
          </w:p>
        </w:tc>
        <w:tc>
          <w:tcPr>
            <w:tcW w:w="999" w:type="pct"/>
            <w:tcBorders>
              <w:tl2br w:val="nil"/>
              <w:tr2bl w:val="nil"/>
            </w:tcBorders>
            <w:vAlign w:val="center"/>
          </w:tcPr>
          <w:p>
            <w:pPr>
              <w:pStyle w:val="62"/>
            </w:pPr>
            <w:r>
              <w:rPr>
                <w:rFonts w:ascii="宋体" w:hAnsi="宋体" w:cs="宋体"/>
              </w:rPr>
              <w:t>空港</w:t>
            </w:r>
            <w:r>
              <w:rPr>
                <w:rFonts w:ascii="宋体" w:hAnsi="宋体" w:cs="宋体"/>
                <w:spacing w:val="-3"/>
              </w:rPr>
              <w:t>花</w:t>
            </w:r>
            <w:r>
              <w:rPr>
                <w:rFonts w:ascii="宋体" w:hAnsi="宋体" w:cs="宋体"/>
              </w:rPr>
              <w:t>园</w:t>
            </w:r>
          </w:p>
        </w:tc>
        <w:tc>
          <w:tcPr>
            <w:tcW w:w="533" w:type="pct"/>
            <w:tcBorders>
              <w:tl2br w:val="nil"/>
              <w:tr2bl w:val="nil"/>
            </w:tcBorders>
            <w:vAlign w:val="center"/>
          </w:tcPr>
          <w:p>
            <w:pPr>
              <w:pStyle w:val="62"/>
            </w:pPr>
            <w:r>
              <w:rPr>
                <w:rFonts w:ascii="宋体" w:hAnsi="宋体" w:cs="宋体"/>
              </w:rPr>
              <w:t>东北</w:t>
            </w:r>
          </w:p>
        </w:tc>
        <w:tc>
          <w:tcPr>
            <w:tcW w:w="663" w:type="pct"/>
            <w:tcBorders>
              <w:tl2br w:val="nil"/>
              <w:tr2bl w:val="nil"/>
            </w:tcBorders>
            <w:vAlign w:val="center"/>
          </w:tcPr>
          <w:p>
            <w:pPr>
              <w:pStyle w:val="62"/>
            </w:pPr>
            <w:r>
              <w:t>2250</w:t>
            </w:r>
          </w:p>
        </w:tc>
        <w:tc>
          <w:tcPr>
            <w:tcW w:w="663" w:type="pct"/>
            <w:tcBorders>
              <w:tl2br w:val="nil"/>
              <w:tr2bl w:val="nil"/>
            </w:tcBorders>
            <w:vAlign w:val="center"/>
          </w:tcPr>
          <w:p>
            <w:pPr>
              <w:pStyle w:val="62"/>
            </w:pPr>
            <w:r>
              <w:rPr>
                <w:rFonts w:ascii="宋体" w:hAnsi="宋体" w:cs="宋体"/>
              </w:rPr>
              <w:t>约</w:t>
            </w:r>
            <w:r>
              <w:rPr>
                <w:rFonts w:eastAsia="Times New Roman"/>
              </w:rPr>
              <w:t>300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4</w:t>
            </w:r>
          </w:p>
        </w:tc>
        <w:tc>
          <w:tcPr>
            <w:tcW w:w="999" w:type="pct"/>
            <w:tcBorders>
              <w:tl2br w:val="nil"/>
              <w:tr2bl w:val="nil"/>
            </w:tcBorders>
            <w:vAlign w:val="center"/>
          </w:tcPr>
          <w:p>
            <w:pPr>
              <w:pStyle w:val="62"/>
            </w:pPr>
            <w:r>
              <w:rPr>
                <w:rFonts w:ascii="宋体" w:hAnsi="宋体" w:cs="宋体"/>
              </w:rPr>
              <w:t>空港</w:t>
            </w:r>
            <w:r>
              <w:rPr>
                <w:rFonts w:ascii="宋体" w:hAnsi="宋体" w:cs="宋体"/>
                <w:spacing w:val="-3"/>
              </w:rPr>
              <w:t>花</w:t>
            </w:r>
            <w:r>
              <w:rPr>
                <w:rFonts w:ascii="宋体" w:hAnsi="宋体" w:cs="宋体"/>
              </w:rPr>
              <w:t>园</w:t>
            </w:r>
            <w:r>
              <w:rPr>
                <w:rFonts w:ascii="宋体" w:hAnsi="宋体" w:cs="宋体"/>
                <w:spacing w:val="-3"/>
              </w:rPr>
              <w:t>学校</w:t>
            </w:r>
          </w:p>
        </w:tc>
        <w:tc>
          <w:tcPr>
            <w:tcW w:w="533" w:type="pct"/>
            <w:tcBorders>
              <w:tl2br w:val="nil"/>
              <w:tr2bl w:val="nil"/>
            </w:tcBorders>
            <w:vAlign w:val="center"/>
          </w:tcPr>
          <w:p>
            <w:pPr>
              <w:pStyle w:val="62"/>
            </w:pPr>
            <w:r>
              <w:rPr>
                <w:rFonts w:ascii="宋体" w:hAnsi="宋体" w:cs="宋体"/>
              </w:rPr>
              <w:t>东北</w:t>
            </w:r>
          </w:p>
        </w:tc>
        <w:tc>
          <w:tcPr>
            <w:tcW w:w="663" w:type="pct"/>
            <w:tcBorders>
              <w:tl2br w:val="nil"/>
              <w:tr2bl w:val="nil"/>
            </w:tcBorders>
            <w:vAlign w:val="center"/>
          </w:tcPr>
          <w:p>
            <w:pPr>
              <w:pStyle w:val="62"/>
            </w:pPr>
            <w:r>
              <w:t>2200</w:t>
            </w:r>
          </w:p>
        </w:tc>
        <w:tc>
          <w:tcPr>
            <w:tcW w:w="663" w:type="pct"/>
            <w:tcBorders>
              <w:tl2br w:val="nil"/>
              <w:tr2bl w:val="nil"/>
            </w:tcBorders>
            <w:vAlign w:val="center"/>
          </w:tcPr>
          <w:p>
            <w:pPr>
              <w:pStyle w:val="62"/>
            </w:pPr>
            <w:r>
              <w:rPr>
                <w:rFonts w:ascii="宋体" w:hAnsi="宋体" w:cs="宋体"/>
              </w:rPr>
              <w:t>约</w:t>
            </w:r>
            <w:r>
              <w:rPr>
                <w:rFonts w:eastAsia="Times New Roman"/>
              </w:rPr>
              <w:t>200</w:t>
            </w:r>
            <w:r>
              <w:rPr>
                <w:rFonts w:ascii="宋体" w:hAnsi="宋体" w:cs="宋体"/>
              </w:rPr>
              <w:t>人</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5</w:t>
            </w:r>
          </w:p>
        </w:tc>
        <w:tc>
          <w:tcPr>
            <w:tcW w:w="999" w:type="pct"/>
            <w:tcBorders>
              <w:tl2br w:val="nil"/>
              <w:tr2bl w:val="nil"/>
            </w:tcBorders>
            <w:vAlign w:val="center"/>
          </w:tcPr>
          <w:p>
            <w:pPr>
              <w:pStyle w:val="62"/>
            </w:pPr>
            <w:r>
              <w:rPr>
                <w:rFonts w:ascii="宋体" w:hAnsi="宋体" w:cs="宋体"/>
              </w:rPr>
              <w:t>中联村</w:t>
            </w:r>
          </w:p>
        </w:tc>
        <w:tc>
          <w:tcPr>
            <w:tcW w:w="533" w:type="pct"/>
            <w:tcBorders>
              <w:tl2br w:val="nil"/>
              <w:tr2bl w:val="nil"/>
            </w:tcBorders>
            <w:vAlign w:val="center"/>
          </w:tcPr>
          <w:p>
            <w:pPr>
              <w:pStyle w:val="62"/>
            </w:pPr>
            <w:r>
              <w:rPr>
                <w:rFonts w:ascii="宋体" w:hAnsi="宋体" w:cs="宋体"/>
              </w:rPr>
              <w:t>东北</w:t>
            </w:r>
          </w:p>
        </w:tc>
        <w:tc>
          <w:tcPr>
            <w:tcW w:w="663" w:type="pct"/>
            <w:tcBorders>
              <w:tl2br w:val="nil"/>
              <w:tr2bl w:val="nil"/>
            </w:tcBorders>
            <w:vAlign w:val="center"/>
          </w:tcPr>
          <w:p>
            <w:pPr>
              <w:pStyle w:val="62"/>
            </w:pPr>
            <w:r>
              <w:t>2350</w:t>
            </w:r>
          </w:p>
        </w:tc>
        <w:tc>
          <w:tcPr>
            <w:tcW w:w="663" w:type="pct"/>
            <w:tcBorders>
              <w:tl2br w:val="nil"/>
              <w:tr2bl w:val="nil"/>
            </w:tcBorders>
            <w:vAlign w:val="center"/>
          </w:tcPr>
          <w:p>
            <w:pPr>
              <w:pStyle w:val="62"/>
            </w:pPr>
            <w:r>
              <w:rPr>
                <w:rFonts w:ascii="宋体" w:hAnsi="宋体" w:cs="宋体"/>
              </w:rPr>
              <w:t>约</w:t>
            </w:r>
            <w:r>
              <w:rPr>
                <w:rFonts w:eastAsia="Times New Roman"/>
              </w:rPr>
              <w:t>150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6</w:t>
            </w:r>
          </w:p>
        </w:tc>
        <w:tc>
          <w:tcPr>
            <w:tcW w:w="999" w:type="pct"/>
            <w:tcBorders>
              <w:tl2br w:val="nil"/>
              <w:tr2bl w:val="nil"/>
            </w:tcBorders>
            <w:vAlign w:val="center"/>
          </w:tcPr>
          <w:p>
            <w:pPr>
              <w:pStyle w:val="62"/>
            </w:pPr>
            <w:r>
              <w:rPr>
                <w:rFonts w:ascii="宋体" w:hAnsi="宋体" w:cs="宋体"/>
              </w:rPr>
              <w:t>中房</w:t>
            </w:r>
          </w:p>
        </w:tc>
        <w:tc>
          <w:tcPr>
            <w:tcW w:w="533" w:type="pct"/>
            <w:tcBorders>
              <w:tl2br w:val="nil"/>
              <w:tr2bl w:val="nil"/>
            </w:tcBorders>
            <w:vAlign w:val="center"/>
          </w:tcPr>
          <w:p>
            <w:pPr>
              <w:pStyle w:val="62"/>
            </w:pPr>
            <w:r>
              <w:rPr>
                <w:rFonts w:ascii="宋体" w:hAnsi="宋体" w:cs="宋体"/>
              </w:rPr>
              <w:t>东北</w:t>
            </w:r>
          </w:p>
        </w:tc>
        <w:tc>
          <w:tcPr>
            <w:tcW w:w="663" w:type="pct"/>
            <w:tcBorders>
              <w:tl2br w:val="nil"/>
              <w:tr2bl w:val="nil"/>
            </w:tcBorders>
            <w:vAlign w:val="center"/>
          </w:tcPr>
          <w:p>
            <w:pPr>
              <w:pStyle w:val="62"/>
            </w:pPr>
            <w:r>
              <w:t>2300</w:t>
            </w:r>
          </w:p>
        </w:tc>
        <w:tc>
          <w:tcPr>
            <w:tcW w:w="663" w:type="pct"/>
            <w:tcBorders>
              <w:tl2br w:val="nil"/>
              <w:tr2bl w:val="nil"/>
            </w:tcBorders>
            <w:vAlign w:val="center"/>
          </w:tcPr>
          <w:p>
            <w:pPr>
              <w:pStyle w:val="62"/>
            </w:pPr>
            <w:r>
              <w:rPr>
                <w:rFonts w:ascii="宋体" w:hAnsi="宋体" w:cs="宋体"/>
              </w:rPr>
              <w:t>约</w:t>
            </w:r>
            <w:r>
              <w:rPr>
                <w:rFonts w:eastAsia="Times New Roman"/>
              </w:rPr>
              <w:t>100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7</w:t>
            </w:r>
          </w:p>
        </w:tc>
        <w:tc>
          <w:tcPr>
            <w:tcW w:w="999" w:type="pct"/>
            <w:tcBorders>
              <w:tl2br w:val="nil"/>
              <w:tr2bl w:val="nil"/>
            </w:tcBorders>
            <w:vAlign w:val="center"/>
          </w:tcPr>
          <w:p>
            <w:pPr>
              <w:pStyle w:val="62"/>
            </w:pPr>
            <w:r>
              <w:rPr>
                <w:rFonts w:ascii="宋体" w:hAnsi="宋体" w:cs="宋体"/>
              </w:rPr>
              <w:t>上房</w:t>
            </w:r>
          </w:p>
        </w:tc>
        <w:tc>
          <w:tcPr>
            <w:tcW w:w="533" w:type="pct"/>
            <w:tcBorders>
              <w:tl2br w:val="nil"/>
              <w:tr2bl w:val="nil"/>
            </w:tcBorders>
            <w:vAlign w:val="center"/>
          </w:tcPr>
          <w:p>
            <w:pPr>
              <w:pStyle w:val="62"/>
            </w:pPr>
            <w:r>
              <w:rPr>
                <w:rFonts w:ascii="宋体" w:hAnsi="宋体" w:cs="宋体"/>
              </w:rPr>
              <w:t>东北</w:t>
            </w:r>
          </w:p>
        </w:tc>
        <w:tc>
          <w:tcPr>
            <w:tcW w:w="663" w:type="pct"/>
            <w:tcBorders>
              <w:tl2br w:val="nil"/>
              <w:tr2bl w:val="nil"/>
            </w:tcBorders>
            <w:vAlign w:val="center"/>
          </w:tcPr>
          <w:p>
            <w:pPr>
              <w:pStyle w:val="62"/>
            </w:pPr>
            <w:r>
              <w:t>2292</w:t>
            </w:r>
          </w:p>
        </w:tc>
        <w:tc>
          <w:tcPr>
            <w:tcW w:w="663" w:type="pct"/>
            <w:tcBorders>
              <w:tl2br w:val="nil"/>
              <w:tr2bl w:val="nil"/>
            </w:tcBorders>
            <w:vAlign w:val="center"/>
          </w:tcPr>
          <w:p>
            <w:pPr>
              <w:pStyle w:val="62"/>
            </w:pPr>
            <w:r>
              <w:rPr>
                <w:rFonts w:ascii="宋体" w:hAnsi="宋体" w:cs="宋体"/>
              </w:rPr>
              <w:t>约</w:t>
            </w:r>
            <w:r>
              <w:rPr>
                <w:rFonts w:eastAsia="Times New Roman"/>
              </w:rPr>
              <w:t>100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8</w:t>
            </w:r>
          </w:p>
        </w:tc>
        <w:tc>
          <w:tcPr>
            <w:tcW w:w="999" w:type="pct"/>
            <w:tcBorders>
              <w:tl2br w:val="nil"/>
              <w:tr2bl w:val="nil"/>
            </w:tcBorders>
            <w:vAlign w:val="center"/>
          </w:tcPr>
          <w:p>
            <w:pPr>
              <w:pStyle w:val="62"/>
            </w:pPr>
            <w:r>
              <w:rPr>
                <w:rFonts w:ascii="宋体" w:hAnsi="宋体" w:cs="宋体"/>
              </w:rPr>
              <w:t>庞大</w:t>
            </w:r>
            <w:r>
              <w:rPr>
                <w:rFonts w:ascii="宋体" w:hAnsi="宋体" w:cs="宋体"/>
                <w:spacing w:val="-3"/>
              </w:rPr>
              <w:t>领</w:t>
            </w:r>
            <w:r>
              <w:rPr>
                <w:rFonts w:ascii="宋体" w:hAnsi="宋体" w:cs="宋体"/>
              </w:rPr>
              <w:t>航</w:t>
            </w:r>
          </w:p>
        </w:tc>
        <w:tc>
          <w:tcPr>
            <w:tcW w:w="533" w:type="pct"/>
            <w:tcBorders>
              <w:tl2br w:val="nil"/>
              <w:tr2bl w:val="nil"/>
            </w:tcBorders>
            <w:vAlign w:val="center"/>
          </w:tcPr>
          <w:p>
            <w:pPr>
              <w:pStyle w:val="62"/>
            </w:pPr>
            <w:r>
              <w:rPr>
                <w:rFonts w:ascii="宋体" w:hAnsi="宋体" w:cs="宋体"/>
              </w:rPr>
              <w:t>西</w:t>
            </w:r>
          </w:p>
        </w:tc>
        <w:tc>
          <w:tcPr>
            <w:tcW w:w="663" w:type="pct"/>
            <w:tcBorders>
              <w:tl2br w:val="nil"/>
              <w:tr2bl w:val="nil"/>
            </w:tcBorders>
            <w:vAlign w:val="center"/>
          </w:tcPr>
          <w:p>
            <w:pPr>
              <w:pStyle w:val="62"/>
            </w:pPr>
            <w:r>
              <w:t>2350</w:t>
            </w:r>
          </w:p>
        </w:tc>
        <w:tc>
          <w:tcPr>
            <w:tcW w:w="663" w:type="pct"/>
            <w:tcBorders>
              <w:tl2br w:val="nil"/>
              <w:tr2bl w:val="nil"/>
            </w:tcBorders>
            <w:vAlign w:val="center"/>
          </w:tcPr>
          <w:p>
            <w:pPr>
              <w:pStyle w:val="62"/>
            </w:pPr>
            <w:r>
              <w:rPr>
                <w:rFonts w:ascii="宋体" w:hAnsi="宋体" w:cs="宋体"/>
              </w:rPr>
              <w:t>约</w:t>
            </w:r>
            <w:r>
              <w:rPr>
                <w:rFonts w:eastAsia="Times New Roman"/>
              </w:rPr>
              <w:t>300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9</w:t>
            </w:r>
          </w:p>
        </w:tc>
        <w:tc>
          <w:tcPr>
            <w:tcW w:w="999" w:type="pct"/>
            <w:tcBorders>
              <w:tl2br w:val="nil"/>
              <w:tr2bl w:val="nil"/>
            </w:tcBorders>
            <w:vAlign w:val="center"/>
          </w:tcPr>
          <w:p>
            <w:pPr>
              <w:pStyle w:val="62"/>
            </w:pPr>
            <w:r>
              <w:rPr>
                <w:rFonts w:ascii="宋体" w:hAnsi="宋体" w:cs="宋体"/>
              </w:rPr>
              <w:t>城泰</w:t>
            </w:r>
            <w:r>
              <w:rPr>
                <w:rFonts w:ascii="宋体" w:hAnsi="宋体" w:cs="宋体"/>
                <w:spacing w:val="-3"/>
              </w:rPr>
              <w:t>枫</w:t>
            </w:r>
            <w:r>
              <w:rPr>
                <w:rFonts w:ascii="宋体" w:hAnsi="宋体" w:cs="宋体"/>
              </w:rPr>
              <w:t>华</w:t>
            </w:r>
            <w:r>
              <w:rPr>
                <w:rFonts w:ascii="宋体" w:hAnsi="宋体" w:cs="宋体"/>
                <w:spacing w:val="-3"/>
              </w:rPr>
              <w:t>天</w:t>
            </w:r>
            <w:r>
              <w:rPr>
                <w:rFonts w:ascii="宋体" w:hAnsi="宋体" w:cs="宋体"/>
              </w:rPr>
              <w:t>成</w:t>
            </w:r>
          </w:p>
        </w:tc>
        <w:tc>
          <w:tcPr>
            <w:tcW w:w="533" w:type="pct"/>
            <w:tcBorders>
              <w:tl2br w:val="nil"/>
              <w:tr2bl w:val="nil"/>
            </w:tcBorders>
            <w:vAlign w:val="center"/>
          </w:tcPr>
          <w:p>
            <w:pPr>
              <w:pStyle w:val="62"/>
            </w:pPr>
            <w:r>
              <w:rPr>
                <w:rFonts w:ascii="宋体" w:hAnsi="宋体" w:cs="宋体"/>
              </w:rPr>
              <w:t>西</w:t>
            </w:r>
          </w:p>
        </w:tc>
        <w:tc>
          <w:tcPr>
            <w:tcW w:w="663" w:type="pct"/>
            <w:tcBorders>
              <w:tl2br w:val="nil"/>
              <w:tr2bl w:val="nil"/>
            </w:tcBorders>
            <w:vAlign w:val="center"/>
          </w:tcPr>
          <w:p>
            <w:pPr>
              <w:pStyle w:val="62"/>
            </w:pPr>
            <w:r>
              <w:t>2370</w:t>
            </w:r>
          </w:p>
        </w:tc>
        <w:tc>
          <w:tcPr>
            <w:tcW w:w="663" w:type="pct"/>
            <w:tcBorders>
              <w:tl2br w:val="nil"/>
              <w:tr2bl w:val="nil"/>
            </w:tcBorders>
            <w:vAlign w:val="center"/>
          </w:tcPr>
          <w:p>
            <w:pPr>
              <w:pStyle w:val="62"/>
            </w:pPr>
            <w:r>
              <w:rPr>
                <w:rFonts w:ascii="宋体" w:hAnsi="宋体" w:cs="宋体"/>
              </w:rPr>
              <w:t>约</w:t>
            </w:r>
            <w:r>
              <w:rPr>
                <w:rFonts w:eastAsia="Times New Roman"/>
              </w:rPr>
              <w:t>400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10</w:t>
            </w:r>
          </w:p>
        </w:tc>
        <w:tc>
          <w:tcPr>
            <w:tcW w:w="999" w:type="pct"/>
            <w:tcBorders>
              <w:tl2br w:val="nil"/>
              <w:tr2bl w:val="nil"/>
            </w:tcBorders>
            <w:vAlign w:val="center"/>
          </w:tcPr>
          <w:p>
            <w:pPr>
              <w:pStyle w:val="62"/>
            </w:pPr>
            <w:r>
              <w:rPr>
                <w:rFonts w:ascii="宋体" w:hAnsi="宋体" w:cs="宋体"/>
              </w:rPr>
              <w:t>五联</w:t>
            </w:r>
            <w:r>
              <w:rPr>
                <w:rFonts w:ascii="宋体" w:hAnsi="宋体" w:cs="宋体"/>
                <w:spacing w:val="-3"/>
              </w:rPr>
              <w:t>花</w:t>
            </w:r>
            <w:r>
              <w:rPr>
                <w:rFonts w:ascii="宋体" w:hAnsi="宋体" w:cs="宋体"/>
              </w:rPr>
              <w:t>园</w:t>
            </w:r>
          </w:p>
        </w:tc>
        <w:tc>
          <w:tcPr>
            <w:tcW w:w="533" w:type="pct"/>
            <w:tcBorders>
              <w:tl2br w:val="nil"/>
              <w:tr2bl w:val="nil"/>
            </w:tcBorders>
            <w:vAlign w:val="center"/>
          </w:tcPr>
          <w:p>
            <w:pPr>
              <w:pStyle w:val="62"/>
            </w:pPr>
            <w:r>
              <w:rPr>
                <w:rFonts w:ascii="宋体" w:hAnsi="宋体" w:cs="宋体"/>
              </w:rPr>
              <w:t>西</w:t>
            </w:r>
          </w:p>
        </w:tc>
        <w:tc>
          <w:tcPr>
            <w:tcW w:w="663" w:type="pct"/>
            <w:tcBorders>
              <w:tl2br w:val="nil"/>
              <w:tr2bl w:val="nil"/>
            </w:tcBorders>
            <w:vAlign w:val="center"/>
          </w:tcPr>
          <w:p>
            <w:pPr>
              <w:pStyle w:val="62"/>
            </w:pPr>
            <w:r>
              <w:t>2380</w:t>
            </w:r>
          </w:p>
        </w:tc>
        <w:tc>
          <w:tcPr>
            <w:tcW w:w="663" w:type="pct"/>
            <w:tcBorders>
              <w:tl2br w:val="nil"/>
              <w:tr2bl w:val="nil"/>
            </w:tcBorders>
            <w:vAlign w:val="center"/>
          </w:tcPr>
          <w:p>
            <w:pPr>
              <w:pStyle w:val="62"/>
            </w:pPr>
            <w:r>
              <w:rPr>
                <w:rFonts w:ascii="宋体" w:hAnsi="宋体" w:cs="宋体"/>
              </w:rPr>
              <w:t>约</w:t>
            </w:r>
            <w:r>
              <w:rPr>
                <w:rFonts w:eastAsia="Times New Roman"/>
              </w:rPr>
              <w:t>400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11</w:t>
            </w:r>
          </w:p>
        </w:tc>
        <w:tc>
          <w:tcPr>
            <w:tcW w:w="999" w:type="pct"/>
            <w:tcBorders>
              <w:tl2br w:val="nil"/>
              <w:tr2bl w:val="nil"/>
            </w:tcBorders>
            <w:vAlign w:val="center"/>
          </w:tcPr>
          <w:p>
            <w:pPr>
              <w:pStyle w:val="62"/>
            </w:pPr>
            <w:r>
              <w:rPr>
                <w:rFonts w:ascii="宋体" w:hAnsi="宋体" w:cs="宋体"/>
              </w:rPr>
              <w:t>港口村</w:t>
            </w:r>
          </w:p>
        </w:tc>
        <w:tc>
          <w:tcPr>
            <w:tcW w:w="533" w:type="pct"/>
            <w:tcBorders>
              <w:tl2br w:val="nil"/>
              <w:tr2bl w:val="nil"/>
            </w:tcBorders>
            <w:vAlign w:val="center"/>
          </w:tcPr>
          <w:p>
            <w:pPr>
              <w:pStyle w:val="62"/>
            </w:pPr>
            <w:r>
              <w:rPr>
                <w:rFonts w:ascii="宋体" w:hAnsi="宋体" w:cs="宋体"/>
              </w:rPr>
              <w:t>西南</w:t>
            </w:r>
          </w:p>
        </w:tc>
        <w:tc>
          <w:tcPr>
            <w:tcW w:w="663" w:type="pct"/>
            <w:tcBorders>
              <w:tl2br w:val="nil"/>
              <w:tr2bl w:val="nil"/>
            </w:tcBorders>
            <w:vAlign w:val="center"/>
          </w:tcPr>
          <w:p>
            <w:pPr>
              <w:pStyle w:val="62"/>
            </w:pPr>
            <w:r>
              <w:t>1350</w:t>
            </w:r>
          </w:p>
        </w:tc>
        <w:tc>
          <w:tcPr>
            <w:tcW w:w="663" w:type="pct"/>
            <w:tcBorders>
              <w:tl2br w:val="nil"/>
              <w:tr2bl w:val="nil"/>
            </w:tcBorders>
            <w:vAlign w:val="center"/>
          </w:tcPr>
          <w:p>
            <w:pPr>
              <w:pStyle w:val="62"/>
            </w:pPr>
            <w:r>
              <w:rPr>
                <w:rFonts w:ascii="宋体" w:hAnsi="宋体" w:cs="宋体"/>
              </w:rPr>
              <w:t>约</w:t>
            </w:r>
            <w:r>
              <w:rPr>
                <w:rFonts w:eastAsia="Times New Roman"/>
              </w:rPr>
              <w:t>400</w:t>
            </w:r>
            <w:r>
              <w:rPr>
                <w:rFonts w:ascii="宋体" w:hAnsi="宋体" w:cs="宋体"/>
              </w:rPr>
              <w:t>户</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12</w:t>
            </w:r>
          </w:p>
        </w:tc>
        <w:tc>
          <w:tcPr>
            <w:tcW w:w="999" w:type="pct"/>
            <w:tcBorders>
              <w:tl2br w:val="nil"/>
              <w:tr2bl w:val="nil"/>
            </w:tcBorders>
            <w:vAlign w:val="center"/>
          </w:tcPr>
          <w:p>
            <w:pPr>
              <w:pStyle w:val="62"/>
            </w:pPr>
            <w:r>
              <w:rPr>
                <w:rFonts w:ascii="宋体" w:hAnsi="宋体" w:cs="宋体"/>
              </w:rPr>
              <w:t>白水</w:t>
            </w:r>
            <w:r>
              <w:rPr>
                <w:rFonts w:ascii="宋体" w:hAnsi="宋体" w:cs="宋体"/>
                <w:spacing w:val="-2"/>
              </w:rPr>
              <w:t>湖</w:t>
            </w:r>
            <w:r>
              <w:rPr>
                <w:rFonts w:ascii="宋体" w:hAnsi="宋体" w:cs="宋体"/>
              </w:rPr>
              <w:t>消</w:t>
            </w:r>
            <w:r>
              <w:rPr>
                <w:rFonts w:ascii="宋体" w:hAnsi="宋体" w:cs="宋体"/>
                <w:spacing w:val="-3"/>
              </w:rPr>
              <w:t>防</w:t>
            </w:r>
            <w:r>
              <w:rPr>
                <w:rFonts w:ascii="宋体" w:hAnsi="宋体" w:cs="宋体"/>
              </w:rPr>
              <w:t>中队</w:t>
            </w:r>
          </w:p>
        </w:tc>
        <w:tc>
          <w:tcPr>
            <w:tcW w:w="533" w:type="pct"/>
            <w:tcBorders>
              <w:tl2br w:val="nil"/>
              <w:tr2bl w:val="nil"/>
            </w:tcBorders>
            <w:vAlign w:val="center"/>
          </w:tcPr>
          <w:p>
            <w:pPr>
              <w:pStyle w:val="62"/>
            </w:pPr>
            <w:r>
              <w:rPr>
                <w:rFonts w:ascii="宋体" w:hAnsi="宋体" w:cs="宋体"/>
              </w:rPr>
              <w:t>西南</w:t>
            </w:r>
          </w:p>
        </w:tc>
        <w:tc>
          <w:tcPr>
            <w:tcW w:w="663" w:type="pct"/>
            <w:tcBorders>
              <w:tl2br w:val="nil"/>
              <w:tr2bl w:val="nil"/>
            </w:tcBorders>
            <w:vAlign w:val="center"/>
          </w:tcPr>
          <w:p>
            <w:pPr>
              <w:pStyle w:val="62"/>
            </w:pPr>
            <w:r>
              <w:t>2100</w:t>
            </w:r>
          </w:p>
        </w:tc>
        <w:tc>
          <w:tcPr>
            <w:tcW w:w="663" w:type="pct"/>
            <w:tcBorders>
              <w:tl2br w:val="nil"/>
              <w:tr2bl w:val="nil"/>
            </w:tcBorders>
            <w:vAlign w:val="center"/>
          </w:tcPr>
          <w:p>
            <w:pPr>
              <w:pStyle w:val="62"/>
            </w:pPr>
            <w:r>
              <w:rPr>
                <w:rFonts w:ascii="宋体" w:hAnsi="宋体" w:cs="宋体"/>
              </w:rPr>
              <w:t>约</w:t>
            </w:r>
            <w:r>
              <w:rPr>
                <w:rFonts w:eastAsia="Times New Roman"/>
              </w:rPr>
              <w:t>80</w:t>
            </w:r>
            <w:r>
              <w:rPr>
                <w:rFonts w:ascii="宋体" w:hAnsi="宋体" w:cs="宋体"/>
              </w:rPr>
              <w:t>人</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13</w:t>
            </w:r>
          </w:p>
        </w:tc>
        <w:tc>
          <w:tcPr>
            <w:tcW w:w="999" w:type="pct"/>
            <w:tcBorders>
              <w:tl2br w:val="nil"/>
              <w:tr2bl w:val="nil"/>
            </w:tcBorders>
            <w:vAlign w:val="center"/>
          </w:tcPr>
          <w:p>
            <w:pPr>
              <w:pStyle w:val="62"/>
            </w:pPr>
            <w:r>
              <w:rPr>
                <w:rFonts w:ascii="宋体" w:hAnsi="宋体" w:cs="宋体"/>
              </w:rPr>
              <w:t>江西</w:t>
            </w:r>
            <w:r>
              <w:rPr>
                <w:rFonts w:ascii="宋体" w:hAnsi="宋体" w:cs="宋体"/>
                <w:spacing w:val="-3"/>
              </w:rPr>
              <w:t>省</w:t>
            </w:r>
            <w:r>
              <w:rPr>
                <w:rFonts w:ascii="宋体" w:hAnsi="宋体" w:cs="宋体"/>
              </w:rPr>
              <w:t>洪</w:t>
            </w:r>
            <w:r>
              <w:rPr>
                <w:rFonts w:ascii="宋体" w:hAnsi="宋体" w:cs="宋体"/>
                <w:spacing w:val="-3"/>
              </w:rPr>
              <w:t>城</w:t>
            </w:r>
            <w:r>
              <w:rPr>
                <w:rFonts w:ascii="宋体" w:hAnsi="宋体" w:cs="宋体"/>
              </w:rPr>
              <w:t>监狱</w:t>
            </w:r>
          </w:p>
        </w:tc>
        <w:tc>
          <w:tcPr>
            <w:tcW w:w="533" w:type="pct"/>
            <w:tcBorders>
              <w:tl2br w:val="nil"/>
              <w:tr2bl w:val="nil"/>
            </w:tcBorders>
            <w:vAlign w:val="center"/>
          </w:tcPr>
          <w:p>
            <w:pPr>
              <w:pStyle w:val="62"/>
            </w:pPr>
            <w:r>
              <w:rPr>
                <w:rFonts w:ascii="宋体" w:hAnsi="宋体" w:cs="宋体"/>
              </w:rPr>
              <w:t>东南</w:t>
            </w:r>
          </w:p>
        </w:tc>
        <w:tc>
          <w:tcPr>
            <w:tcW w:w="663" w:type="pct"/>
            <w:tcBorders>
              <w:tl2br w:val="nil"/>
              <w:tr2bl w:val="nil"/>
            </w:tcBorders>
            <w:vAlign w:val="center"/>
          </w:tcPr>
          <w:p>
            <w:pPr>
              <w:pStyle w:val="62"/>
            </w:pPr>
            <w:r>
              <w:t>2150</w:t>
            </w:r>
          </w:p>
        </w:tc>
        <w:tc>
          <w:tcPr>
            <w:tcW w:w="663" w:type="pct"/>
            <w:tcBorders>
              <w:tl2br w:val="nil"/>
              <w:tr2bl w:val="nil"/>
            </w:tcBorders>
            <w:vAlign w:val="center"/>
          </w:tcPr>
          <w:p>
            <w:pPr>
              <w:pStyle w:val="62"/>
            </w:pPr>
            <w:r>
              <w:rPr>
                <w:rFonts w:ascii="宋体" w:hAnsi="宋体" w:cs="宋体"/>
              </w:rPr>
              <w:t>约</w:t>
            </w:r>
            <w:r>
              <w:rPr>
                <w:rFonts w:eastAsia="Times New Roman"/>
              </w:rPr>
              <w:t>10</w:t>
            </w:r>
            <w:r>
              <w:rPr>
                <w:rFonts w:eastAsia="Times New Roman"/>
                <w:spacing w:val="-3"/>
              </w:rPr>
              <w:t>0</w:t>
            </w:r>
            <w:r>
              <w:rPr>
                <w:rFonts w:eastAsia="Times New Roman"/>
              </w:rPr>
              <w:t>0</w:t>
            </w:r>
            <w:r>
              <w:rPr>
                <w:rFonts w:ascii="宋体" w:hAnsi="宋体" w:cs="宋体"/>
              </w:rPr>
              <w:t>人</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14</w:t>
            </w:r>
          </w:p>
        </w:tc>
        <w:tc>
          <w:tcPr>
            <w:tcW w:w="999" w:type="pct"/>
            <w:tcBorders>
              <w:tl2br w:val="nil"/>
              <w:tr2bl w:val="nil"/>
            </w:tcBorders>
            <w:vAlign w:val="center"/>
          </w:tcPr>
          <w:p>
            <w:pPr>
              <w:pStyle w:val="62"/>
            </w:pPr>
            <w:r>
              <w:rPr>
                <w:rFonts w:ascii="宋体" w:hAnsi="宋体" w:cs="宋体"/>
              </w:rPr>
              <w:t>江西</w:t>
            </w:r>
            <w:r>
              <w:rPr>
                <w:rFonts w:ascii="宋体" w:hAnsi="宋体" w:cs="宋体"/>
                <w:spacing w:val="-3"/>
              </w:rPr>
              <w:t>省</w:t>
            </w:r>
            <w:r>
              <w:rPr>
                <w:rFonts w:ascii="宋体" w:hAnsi="宋体" w:cs="宋体"/>
              </w:rPr>
              <w:t>南</w:t>
            </w:r>
            <w:r>
              <w:rPr>
                <w:rFonts w:ascii="宋体" w:hAnsi="宋体" w:cs="宋体"/>
                <w:spacing w:val="-3"/>
              </w:rPr>
              <w:t>昌</w:t>
            </w:r>
            <w:r>
              <w:rPr>
                <w:rFonts w:ascii="宋体" w:hAnsi="宋体" w:cs="宋体"/>
              </w:rPr>
              <w:t>监狱</w:t>
            </w:r>
          </w:p>
        </w:tc>
        <w:tc>
          <w:tcPr>
            <w:tcW w:w="533" w:type="pct"/>
            <w:tcBorders>
              <w:tl2br w:val="nil"/>
              <w:tr2bl w:val="nil"/>
            </w:tcBorders>
            <w:vAlign w:val="center"/>
          </w:tcPr>
          <w:p>
            <w:pPr>
              <w:pStyle w:val="62"/>
            </w:pPr>
            <w:r>
              <w:rPr>
                <w:rFonts w:ascii="宋体" w:hAnsi="宋体" w:cs="宋体"/>
              </w:rPr>
              <w:t>东</w:t>
            </w:r>
          </w:p>
        </w:tc>
        <w:tc>
          <w:tcPr>
            <w:tcW w:w="663" w:type="pct"/>
            <w:tcBorders>
              <w:tl2br w:val="nil"/>
              <w:tr2bl w:val="nil"/>
            </w:tcBorders>
            <w:vAlign w:val="center"/>
          </w:tcPr>
          <w:p>
            <w:pPr>
              <w:pStyle w:val="62"/>
            </w:pPr>
            <w:r>
              <w:t>440</w:t>
            </w:r>
          </w:p>
        </w:tc>
        <w:tc>
          <w:tcPr>
            <w:tcW w:w="663" w:type="pct"/>
            <w:tcBorders>
              <w:tl2br w:val="nil"/>
              <w:tr2bl w:val="nil"/>
            </w:tcBorders>
            <w:vAlign w:val="center"/>
          </w:tcPr>
          <w:p>
            <w:pPr>
              <w:pStyle w:val="62"/>
            </w:pPr>
            <w:r>
              <w:rPr>
                <w:rFonts w:ascii="宋体" w:hAnsi="宋体" w:cs="宋体"/>
              </w:rPr>
              <w:t>约</w:t>
            </w:r>
            <w:r>
              <w:rPr>
                <w:rFonts w:eastAsia="Times New Roman"/>
              </w:rPr>
              <w:t>30</w:t>
            </w:r>
            <w:r>
              <w:rPr>
                <w:rFonts w:eastAsia="Times New Roman"/>
                <w:spacing w:val="-3"/>
              </w:rPr>
              <w:t>0</w:t>
            </w:r>
            <w:r>
              <w:rPr>
                <w:rFonts w:eastAsia="Times New Roman"/>
              </w:rPr>
              <w:t>0</w:t>
            </w:r>
            <w:r>
              <w:rPr>
                <w:rFonts w:ascii="宋体" w:hAnsi="宋体" w:cs="宋体"/>
              </w:rPr>
              <w:t>人</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restart"/>
            <w:tcBorders>
              <w:tl2br w:val="nil"/>
              <w:tr2bl w:val="nil"/>
            </w:tcBorders>
            <w:vAlign w:val="center"/>
          </w:tcPr>
          <w:p>
            <w:pPr>
              <w:pStyle w:val="62"/>
            </w:pPr>
            <w:r>
              <w:rPr>
                <w:rFonts w:ascii="宋体" w:hAnsi="宋体" w:cs="宋体"/>
              </w:rPr>
              <w:t>水环境</w:t>
            </w:r>
          </w:p>
        </w:tc>
        <w:tc>
          <w:tcPr>
            <w:tcW w:w="430" w:type="pct"/>
            <w:tcBorders>
              <w:tl2br w:val="nil"/>
              <w:tr2bl w:val="nil"/>
            </w:tcBorders>
            <w:vAlign w:val="center"/>
          </w:tcPr>
          <w:p>
            <w:pPr>
              <w:pStyle w:val="62"/>
            </w:pPr>
            <w:r>
              <w:rPr>
                <w:rFonts w:hint="eastAsia"/>
              </w:rPr>
              <w:t>15</w:t>
            </w:r>
          </w:p>
        </w:tc>
        <w:tc>
          <w:tcPr>
            <w:tcW w:w="999" w:type="pct"/>
            <w:tcBorders>
              <w:tl2br w:val="nil"/>
              <w:tr2bl w:val="nil"/>
            </w:tcBorders>
            <w:vAlign w:val="center"/>
          </w:tcPr>
          <w:p>
            <w:pPr>
              <w:pStyle w:val="62"/>
            </w:pPr>
            <w:r>
              <w:rPr>
                <w:rFonts w:ascii="宋体" w:hAnsi="宋体" w:cs="宋体"/>
              </w:rPr>
              <w:t>赣江</w:t>
            </w:r>
            <w:r>
              <w:rPr>
                <w:rFonts w:ascii="宋体" w:hAnsi="宋体" w:cs="宋体"/>
                <w:spacing w:val="-3"/>
              </w:rPr>
              <w:t>北</w:t>
            </w:r>
            <w:r>
              <w:rPr>
                <w:rFonts w:ascii="宋体" w:hAnsi="宋体" w:cs="宋体"/>
              </w:rPr>
              <w:t>支</w:t>
            </w:r>
          </w:p>
        </w:tc>
        <w:tc>
          <w:tcPr>
            <w:tcW w:w="533" w:type="pct"/>
            <w:tcBorders>
              <w:tl2br w:val="nil"/>
              <w:tr2bl w:val="nil"/>
            </w:tcBorders>
            <w:vAlign w:val="center"/>
          </w:tcPr>
          <w:p>
            <w:pPr>
              <w:pStyle w:val="62"/>
            </w:pPr>
            <w:r>
              <w:rPr>
                <w:rFonts w:ascii="宋体" w:hAnsi="宋体" w:cs="宋体"/>
              </w:rPr>
              <w:t>西南面</w:t>
            </w:r>
          </w:p>
        </w:tc>
        <w:tc>
          <w:tcPr>
            <w:tcW w:w="663" w:type="pct"/>
            <w:tcBorders>
              <w:tl2br w:val="nil"/>
              <w:tr2bl w:val="nil"/>
            </w:tcBorders>
            <w:vAlign w:val="center"/>
          </w:tcPr>
          <w:p>
            <w:pPr>
              <w:pStyle w:val="62"/>
            </w:pPr>
            <w:r>
              <w:t>1900</w:t>
            </w:r>
          </w:p>
        </w:tc>
        <w:tc>
          <w:tcPr>
            <w:tcW w:w="663" w:type="pct"/>
            <w:tcBorders>
              <w:tl2br w:val="nil"/>
              <w:tr2bl w:val="nil"/>
            </w:tcBorders>
            <w:vAlign w:val="center"/>
          </w:tcPr>
          <w:p>
            <w:pPr>
              <w:pStyle w:val="62"/>
            </w:pPr>
            <w:r>
              <w:rPr>
                <w:rFonts w:ascii="宋体" w:hAnsi="宋体" w:cs="宋体"/>
              </w:rPr>
              <w:t>大河</w:t>
            </w:r>
          </w:p>
        </w:tc>
        <w:tc>
          <w:tcPr>
            <w:tcW w:w="1023" w:type="pct"/>
            <w:vMerge w:val="restart"/>
            <w:tcBorders>
              <w:tl2br w:val="nil"/>
              <w:tr2bl w:val="nil"/>
            </w:tcBorders>
            <w:vAlign w:val="center"/>
          </w:tcPr>
          <w:p>
            <w:pPr>
              <w:pStyle w:val="62"/>
            </w:pPr>
            <w:r>
              <w:t>GB3838-2002中Ⅲ类水体标准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16</w:t>
            </w:r>
          </w:p>
        </w:tc>
        <w:tc>
          <w:tcPr>
            <w:tcW w:w="999" w:type="pct"/>
            <w:tcBorders>
              <w:tl2br w:val="nil"/>
              <w:tr2bl w:val="nil"/>
            </w:tcBorders>
            <w:vAlign w:val="center"/>
          </w:tcPr>
          <w:p>
            <w:pPr>
              <w:pStyle w:val="62"/>
            </w:pPr>
            <w:r>
              <w:rPr>
                <w:rFonts w:ascii="宋体" w:hAnsi="宋体" w:cs="宋体"/>
              </w:rPr>
              <w:t>白水湖</w:t>
            </w:r>
          </w:p>
        </w:tc>
        <w:tc>
          <w:tcPr>
            <w:tcW w:w="533" w:type="pct"/>
            <w:tcBorders>
              <w:tl2br w:val="nil"/>
              <w:tr2bl w:val="nil"/>
            </w:tcBorders>
            <w:vAlign w:val="center"/>
          </w:tcPr>
          <w:p>
            <w:pPr>
              <w:pStyle w:val="62"/>
            </w:pPr>
            <w:r>
              <w:rPr>
                <w:rFonts w:ascii="宋体" w:hAnsi="宋体" w:cs="宋体"/>
              </w:rPr>
              <w:t>西面</w:t>
            </w:r>
          </w:p>
        </w:tc>
        <w:tc>
          <w:tcPr>
            <w:tcW w:w="663" w:type="pct"/>
            <w:tcBorders>
              <w:tl2br w:val="nil"/>
              <w:tr2bl w:val="nil"/>
            </w:tcBorders>
            <w:vAlign w:val="center"/>
          </w:tcPr>
          <w:p>
            <w:pPr>
              <w:pStyle w:val="62"/>
            </w:pPr>
            <w:r>
              <w:t>1500</w:t>
            </w:r>
          </w:p>
        </w:tc>
        <w:tc>
          <w:tcPr>
            <w:tcW w:w="663" w:type="pct"/>
            <w:tcBorders>
              <w:tl2br w:val="nil"/>
              <w:tr2bl w:val="nil"/>
            </w:tcBorders>
            <w:vAlign w:val="center"/>
          </w:tcPr>
          <w:p>
            <w:pPr>
              <w:pStyle w:val="62"/>
            </w:pPr>
            <w:r>
              <w:rPr>
                <w:rFonts w:ascii="宋体" w:hAnsi="宋体" w:cs="宋体"/>
              </w:rPr>
              <w:t>小湖</w:t>
            </w:r>
          </w:p>
        </w:tc>
        <w:tc>
          <w:tcPr>
            <w:tcW w:w="1023" w:type="pct"/>
            <w:vMerge w:val="continue"/>
            <w:tcBorders>
              <w:tl2br w:val="nil"/>
              <w:tr2bl w:val="nil"/>
            </w:tcBorders>
            <w:vAlign w:val="center"/>
          </w:tcPr>
          <w:p>
            <w:pPr>
              <w:pStyle w:val="62"/>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687" w:type="pct"/>
            <w:vMerge w:val="continue"/>
            <w:tcBorders>
              <w:tl2br w:val="nil"/>
              <w:tr2bl w:val="nil"/>
            </w:tcBorders>
            <w:vAlign w:val="center"/>
          </w:tcPr>
          <w:p>
            <w:pPr>
              <w:pStyle w:val="62"/>
            </w:pPr>
          </w:p>
        </w:tc>
        <w:tc>
          <w:tcPr>
            <w:tcW w:w="430" w:type="pct"/>
            <w:tcBorders>
              <w:tl2br w:val="nil"/>
              <w:tr2bl w:val="nil"/>
            </w:tcBorders>
            <w:vAlign w:val="center"/>
          </w:tcPr>
          <w:p>
            <w:pPr>
              <w:pStyle w:val="62"/>
            </w:pPr>
            <w:r>
              <w:rPr>
                <w:rFonts w:hint="eastAsia"/>
              </w:rPr>
              <w:t>17</w:t>
            </w:r>
          </w:p>
        </w:tc>
        <w:tc>
          <w:tcPr>
            <w:tcW w:w="999" w:type="pct"/>
            <w:tcBorders>
              <w:tl2br w:val="nil"/>
              <w:tr2bl w:val="nil"/>
            </w:tcBorders>
            <w:vAlign w:val="center"/>
          </w:tcPr>
          <w:p>
            <w:pPr>
              <w:pStyle w:val="62"/>
            </w:pPr>
            <w:r>
              <w:rPr>
                <w:rFonts w:ascii="宋体" w:hAnsi="宋体" w:cs="宋体"/>
              </w:rPr>
              <w:t>下庄湖</w:t>
            </w:r>
          </w:p>
        </w:tc>
        <w:tc>
          <w:tcPr>
            <w:tcW w:w="533" w:type="pct"/>
            <w:tcBorders>
              <w:tl2br w:val="nil"/>
              <w:tr2bl w:val="nil"/>
            </w:tcBorders>
            <w:vAlign w:val="center"/>
          </w:tcPr>
          <w:p>
            <w:pPr>
              <w:pStyle w:val="62"/>
            </w:pPr>
            <w:r>
              <w:rPr>
                <w:rFonts w:ascii="宋体" w:hAnsi="宋体" w:cs="宋体"/>
              </w:rPr>
              <w:t>东面</w:t>
            </w:r>
          </w:p>
        </w:tc>
        <w:tc>
          <w:tcPr>
            <w:tcW w:w="663" w:type="pct"/>
            <w:tcBorders>
              <w:tl2br w:val="nil"/>
              <w:tr2bl w:val="nil"/>
            </w:tcBorders>
            <w:vAlign w:val="center"/>
          </w:tcPr>
          <w:p>
            <w:pPr>
              <w:pStyle w:val="62"/>
            </w:pPr>
            <w:r>
              <w:t>1000</w:t>
            </w:r>
          </w:p>
        </w:tc>
        <w:tc>
          <w:tcPr>
            <w:tcW w:w="663" w:type="pct"/>
            <w:tcBorders>
              <w:tl2br w:val="nil"/>
              <w:tr2bl w:val="nil"/>
            </w:tcBorders>
            <w:vAlign w:val="center"/>
          </w:tcPr>
          <w:p>
            <w:pPr>
              <w:pStyle w:val="62"/>
            </w:pPr>
            <w:r>
              <w:rPr>
                <w:rFonts w:ascii="宋体" w:hAnsi="宋体" w:cs="宋体"/>
              </w:rPr>
              <w:t>小湖</w:t>
            </w:r>
          </w:p>
        </w:tc>
        <w:tc>
          <w:tcPr>
            <w:tcW w:w="1023" w:type="pct"/>
            <w:vMerge w:val="continue"/>
            <w:tcBorders>
              <w:tl2br w:val="nil"/>
              <w:tr2bl w:val="nil"/>
            </w:tcBorders>
            <w:vAlign w:val="center"/>
          </w:tcPr>
          <w:p>
            <w:pPr>
              <w:pStyle w:val="62"/>
            </w:pPr>
          </w:p>
        </w:tc>
      </w:tr>
    </w:tbl>
    <w:p>
      <w:pPr>
        <w:pStyle w:val="4"/>
        <w:bidi w:val="0"/>
      </w:pPr>
      <w:bookmarkStart w:id="187" w:name="_Toc8784"/>
      <w:bookmarkStart w:id="188" w:name="_Toc2578"/>
      <w:bookmarkStart w:id="189" w:name="_Toc6005"/>
      <w:bookmarkStart w:id="190" w:name="_Toc18489"/>
      <w:bookmarkStart w:id="191" w:name="_Toc4076"/>
      <w:bookmarkStart w:id="192" w:name="_Toc30434"/>
      <w:bookmarkStart w:id="193" w:name="_Toc24524"/>
      <w:bookmarkStart w:id="194" w:name="_Toc37591908"/>
      <w:bookmarkStart w:id="195" w:name="_Toc19232"/>
      <w:bookmarkStart w:id="196" w:name="_Toc9571"/>
      <w:bookmarkStart w:id="197" w:name="_Toc1026"/>
      <w:r>
        <w:rPr>
          <w:rFonts w:hint="eastAsia"/>
          <w:lang w:val="en-US" w:eastAsia="zh-CN"/>
        </w:rPr>
        <w:t>2</w:t>
      </w:r>
      <w:r>
        <w:rPr>
          <w:rFonts w:hint="eastAsia"/>
        </w:rPr>
        <w:t>.3</w:t>
      </w:r>
      <w:r>
        <w:t xml:space="preserve"> </w:t>
      </w:r>
      <w:r>
        <w:rPr>
          <w:rFonts w:hint="eastAsia"/>
        </w:rPr>
        <w:t>安全生产管理</w:t>
      </w:r>
      <w:bookmarkEnd w:id="187"/>
      <w:bookmarkEnd w:id="188"/>
      <w:bookmarkEnd w:id="189"/>
      <w:bookmarkEnd w:id="190"/>
      <w:bookmarkEnd w:id="191"/>
      <w:bookmarkEnd w:id="192"/>
      <w:bookmarkEnd w:id="193"/>
      <w:bookmarkEnd w:id="194"/>
      <w:bookmarkEnd w:id="195"/>
      <w:bookmarkEnd w:id="196"/>
      <w:bookmarkEnd w:id="197"/>
    </w:p>
    <w:p>
      <w:pPr>
        <w:bidi w:val="0"/>
        <w:rPr>
          <w:lang w:val="zh-CN"/>
        </w:rPr>
      </w:pPr>
      <w:r>
        <w:rPr>
          <w:rFonts w:hint="eastAsia"/>
          <w:lang w:val="zh-CN"/>
        </w:rPr>
        <w:t>南昌</w:t>
      </w:r>
      <w:r>
        <w:rPr>
          <w:rFonts w:hint="eastAsia"/>
        </w:rPr>
        <w:t>瀛宇金属制品</w:t>
      </w:r>
      <w:r>
        <w:rPr>
          <w:rFonts w:hint="eastAsia"/>
          <w:lang w:val="zh-CN"/>
        </w:rPr>
        <w:t>有限公司设有安全生产管理小组，建立以总经理为第一责任人、各部门负责人共同组成的安全生产管理网络。公司制订了完善的安全生产管理制度，落实了主要负责人、安全管理人员以及各岗位的安全责任制，制订了各岗位安全生产操作规程，并认真抓各项规章制度的落实，确保落实岗位安全生产责任制。</w:t>
      </w:r>
    </w:p>
    <w:p>
      <w:pPr>
        <w:bidi w:val="0"/>
        <w:rPr>
          <w:lang w:val="zh-CN"/>
        </w:rPr>
      </w:pPr>
      <w:bookmarkStart w:id="198" w:name="_Toc2333"/>
      <w:r>
        <w:rPr>
          <w:rFonts w:hint="eastAsia"/>
          <w:lang w:val="zh-CN"/>
        </w:rPr>
        <w:t>安全管理措施</w:t>
      </w:r>
      <w:bookmarkEnd w:id="198"/>
      <w:r>
        <w:rPr>
          <w:rFonts w:hint="eastAsia"/>
          <w:lang w:val="zh-CN"/>
        </w:rPr>
        <w:t>：</w:t>
      </w:r>
    </w:p>
    <w:p>
      <w:pPr>
        <w:bidi w:val="0"/>
        <w:rPr>
          <w:lang w:val="zh-CN"/>
        </w:rPr>
      </w:pPr>
      <w:r>
        <w:rPr>
          <w:lang w:val="zh-CN"/>
        </w:rPr>
        <w:t>1）安全管理人员、特种作业人员、其他从业人员均经本公司培训，考核合格取得上岗资格后方可上岗作业；</w:t>
      </w:r>
    </w:p>
    <w:p>
      <w:pPr>
        <w:bidi w:val="0"/>
        <w:rPr>
          <w:lang w:val="zh-CN"/>
        </w:rPr>
      </w:pPr>
      <w:r>
        <w:rPr>
          <w:lang w:val="zh-CN"/>
        </w:rPr>
        <w:t>2）制订了安全管理制度和安全操作规程，并对相关人员进行考核，消除了人的不安全行为；</w:t>
      </w:r>
    </w:p>
    <w:p>
      <w:pPr>
        <w:bidi w:val="0"/>
        <w:rPr>
          <w:lang w:val="zh-CN"/>
        </w:rPr>
      </w:pPr>
      <w:r>
        <w:rPr>
          <w:lang w:val="zh-CN"/>
        </w:rPr>
        <w:t>3）建立安全检查、巡查和值班制度，及时发现事故隐患并将事故隐患消除在初期阶段；</w:t>
      </w:r>
    </w:p>
    <w:p>
      <w:pPr>
        <w:bidi w:val="0"/>
        <w:rPr>
          <w:lang w:val="zh-CN"/>
        </w:rPr>
      </w:pPr>
      <w:r>
        <w:rPr>
          <w:lang w:val="zh-CN"/>
        </w:rPr>
        <w:t>4）制订了相应的事故应急救援预案，对各类事故的防范作出了应急措施；</w:t>
      </w:r>
    </w:p>
    <w:p>
      <w:pPr>
        <w:bidi w:val="0"/>
        <w:rPr>
          <w:lang w:val="zh-CN"/>
        </w:rPr>
      </w:pPr>
      <w:r>
        <w:rPr>
          <w:lang w:val="zh-CN"/>
        </w:rPr>
        <w:t>5）员工均经安全教育培训，掌握了基本的逃生急救知识；</w:t>
      </w:r>
    </w:p>
    <w:p>
      <w:pPr>
        <w:bidi w:val="0"/>
      </w:pPr>
      <w:r>
        <w:t>6）作业人员持证上岗。</w:t>
      </w:r>
    </w:p>
    <w:p>
      <w:pPr>
        <w:pStyle w:val="4"/>
        <w:bidi w:val="0"/>
      </w:pPr>
      <w:bookmarkStart w:id="199" w:name="_Toc16427"/>
      <w:bookmarkStart w:id="200" w:name="_Toc28186"/>
      <w:bookmarkStart w:id="201" w:name="_Toc32337"/>
      <w:bookmarkStart w:id="202" w:name="_Toc7821"/>
      <w:bookmarkStart w:id="203" w:name="_Toc4390"/>
      <w:bookmarkStart w:id="204" w:name="_Toc23649"/>
      <w:bookmarkStart w:id="205" w:name="_Toc2974"/>
      <w:bookmarkStart w:id="206" w:name="_Toc8642"/>
      <w:bookmarkStart w:id="207" w:name="_Toc251"/>
      <w:bookmarkStart w:id="208" w:name="_Toc30382"/>
      <w:bookmarkStart w:id="209" w:name="_Toc37591909"/>
      <w:r>
        <w:rPr>
          <w:rFonts w:hint="eastAsia"/>
          <w:lang w:val="en-US" w:eastAsia="zh-CN"/>
        </w:rPr>
        <w:t>2</w:t>
      </w:r>
      <w:r>
        <w:rPr>
          <w:rFonts w:hint="eastAsia"/>
        </w:rPr>
        <w:t>.4</w:t>
      </w:r>
      <w:r>
        <w:t xml:space="preserve"> </w:t>
      </w:r>
      <w:r>
        <w:rPr>
          <w:rFonts w:hint="eastAsia"/>
        </w:rPr>
        <w:t>现有环境风险防控与应急措施情况</w:t>
      </w:r>
      <w:bookmarkEnd w:id="199"/>
      <w:bookmarkEnd w:id="200"/>
      <w:bookmarkEnd w:id="201"/>
      <w:bookmarkEnd w:id="202"/>
      <w:bookmarkEnd w:id="203"/>
      <w:bookmarkEnd w:id="204"/>
      <w:bookmarkEnd w:id="205"/>
      <w:bookmarkEnd w:id="206"/>
      <w:bookmarkEnd w:id="207"/>
      <w:bookmarkEnd w:id="208"/>
      <w:bookmarkEnd w:id="209"/>
    </w:p>
    <w:p>
      <w:pPr>
        <w:bidi w:val="0"/>
      </w:pPr>
      <w:r>
        <w:t>本公司现有环境风险防控与应急措施情况见表</w:t>
      </w:r>
      <w:r>
        <w:rPr>
          <w:rFonts w:hint="eastAsia"/>
          <w:lang w:val="en-US" w:eastAsia="zh-CN"/>
        </w:rPr>
        <w:t>2</w:t>
      </w:r>
      <w:r>
        <w:t>.4-1。</w:t>
      </w:r>
    </w:p>
    <w:p>
      <w:pPr>
        <w:pStyle w:val="28"/>
        <w:bidi w:val="0"/>
      </w:pPr>
      <w:r>
        <w:rPr>
          <w:rFonts w:hint="eastAsia"/>
        </w:rPr>
        <w:t>表</w:t>
      </w:r>
      <w:r>
        <w:rPr>
          <w:rFonts w:hint="eastAsia"/>
          <w:lang w:val="en-US" w:eastAsia="zh-CN"/>
        </w:rPr>
        <w:t>2</w:t>
      </w:r>
      <w:r>
        <w:rPr>
          <w:rFonts w:hint="eastAsia"/>
        </w:rPr>
        <w:t>.4-1</w:t>
      </w:r>
      <w:r>
        <w:t xml:space="preserve"> </w:t>
      </w:r>
      <w:r>
        <w:rPr>
          <w:rFonts w:hint="eastAsia"/>
        </w:rPr>
        <w:t>公司现有环境风险防控与应急措施情况表</w:t>
      </w:r>
    </w:p>
    <w:tbl>
      <w:tblPr>
        <w:tblStyle w:val="22"/>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18"/>
        <w:gridCol w:w="3010"/>
        <w:gridCol w:w="3462"/>
        <w:gridCol w:w="152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412" w:type="pct"/>
            <w:tcBorders>
              <w:bottom w:val="single" w:color="auto" w:sz="12" w:space="0"/>
            </w:tcBorders>
            <w:vAlign w:val="center"/>
          </w:tcPr>
          <w:p>
            <w:pPr>
              <w:pStyle w:val="39"/>
              <w:bidi w:val="0"/>
              <w:rPr>
                <w:b/>
                <w:bCs/>
              </w:rPr>
            </w:pPr>
            <w:bookmarkStart w:id="210" w:name="_Toc11555"/>
            <w:r>
              <w:rPr>
                <w:b/>
                <w:bCs/>
              </w:rPr>
              <w:t>序号</w:t>
            </w:r>
          </w:p>
        </w:tc>
        <w:tc>
          <w:tcPr>
            <w:tcW w:w="1726" w:type="pct"/>
            <w:tcBorders>
              <w:bottom w:val="single" w:color="auto" w:sz="12" w:space="0"/>
            </w:tcBorders>
            <w:vAlign w:val="center"/>
          </w:tcPr>
          <w:p>
            <w:pPr>
              <w:pStyle w:val="39"/>
              <w:bidi w:val="0"/>
              <w:rPr>
                <w:b/>
                <w:bCs/>
              </w:rPr>
            </w:pPr>
            <w:r>
              <w:rPr>
                <w:b/>
                <w:bCs/>
              </w:rPr>
              <w:t>相关要求</w:t>
            </w:r>
          </w:p>
        </w:tc>
        <w:tc>
          <w:tcPr>
            <w:tcW w:w="1985" w:type="pct"/>
            <w:tcBorders>
              <w:bottom w:val="single" w:color="auto" w:sz="12" w:space="0"/>
            </w:tcBorders>
            <w:vAlign w:val="center"/>
          </w:tcPr>
          <w:p>
            <w:pPr>
              <w:pStyle w:val="39"/>
              <w:bidi w:val="0"/>
              <w:rPr>
                <w:b/>
                <w:bCs/>
              </w:rPr>
            </w:pPr>
            <w:r>
              <w:rPr>
                <w:b/>
                <w:bCs/>
              </w:rPr>
              <w:t>实际情况</w:t>
            </w:r>
          </w:p>
        </w:tc>
        <w:tc>
          <w:tcPr>
            <w:tcW w:w="876" w:type="pct"/>
            <w:tcBorders>
              <w:bottom w:val="single" w:color="auto" w:sz="12" w:space="0"/>
            </w:tcBorders>
            <w:vAlign w:val="center"/>
          </w:tcPr>
          <w:p>
            <w:pPr>
              <w:pStyle w:val="39"/>
              <w:bidi w:val="0"/>
              <w:rPr>
                <w:b/>
                <w:bCs/>
              </w:rPr>
            </w:pPr>
            <w:r>
              <w:rPr>
                <w:b/>
                <w:bCs/>
              </w:rPr>
              <w:t>岗位职责及落实情况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2" w:type="pct"/>
            <w:tcBorders>
              <w:top w:val="single" w:color="auto" w:sz="12" w:space="0"/>
              <w:tl2br w:val="nil"/>
              <w:tr2bl w:val="nil"/>
            </w:tcBorders>
            <w:vAlign w:val="center"/>
          </w:tcPr>
          <w:p>
            <w:pPr>
              <w:pStyle w:val="39"/>
              <w:bidi w:val="0"/>
            </w:pPr>
            <w:r>
              <w:t>1</w:t>
            </w:r>
          </w:p>
        </w:tc>
        <w:tc>
          <w:tcPr>
            <w:tcW w:w="1726" w:type="pct"/>
            <w:tcBorders>
              <w:top w:val="single" w:color="auto" w:sz="12" w:space="0"/>
              <w:tl2br w:val="nil"/>
              <w:tr2bl w:val="nil"/>
            </w:tcBorders>
            <w:vAlign w:val="center"/>
          </w:tcPr>
          <w:p>
            <w:pPr>
              <w:pStyle w:val="39"/>
              <w:bidi w:val="0"/>
            </w:pPr>
            <w:r>
              <w:t>在废气排放口、废水、雨水和清净下水排放口对可能排除的环境风险物质，按照物质特性、危害，设置监视、控制措施</w:t>
            </w:r>
          </w:p>
        </w:tc>
        <w:tc>
          <w:tcPr>
            <w:tcW w:w="1985" w:type="pct"/>
            <w:tcBorders>
              <w:top w:val="single" w:color="auto" w:sz="12" w:space="0"/>
              <w:tl2br w:val="nil"/>
              <w:tr2bl w:val="nil"/>
            </w:tcBorders>
            <w:vAlign w:val="center"/>
          </w:tcPr>
          <w:p>
            <w:pPr>
              <w:pStyle w:val="39"/>
              <w:bidi w:val="0"/>
            </w:pPr>
            <w:r>
              <w:t>厂内对废水、废气的排放进行定期委外监测</w:t>
            </w:r>
          </w:p>
        </w:tc>
        <w:tc>
          <w:tcPr>
            <w:tcW w:w="876" w:type="pct"/>
            <w:tcBorders>
              <w:top w:val="single" w:color="auto" w:sz="12" w:space="0"/>
              <w:tl2br w:val="nil"/>
              <w:tr2bl w:val="nil"/>
            </w:tcBorders>
            <w:vAlign w:val="center"/>
          </w:tcPr>
          <w:p>
            <w:pPr>
              <w:pStyle w:val="39"/>
              <w:bidi w:val="0"/>
            </w:pPr>
            <w:r>
              <w:t>由</w:t>
            </w:r>
            <w:r>
              <w:rPr>
                <w:highlight w:val="none"/>
              </w:rPr>
              <w:t>通讯</w:t>
            </w:r>
            <w:r>
              <w:t>组安排厂区污染源的定期委外监测；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2" w:type="pct"/>
            <w:tcBorders>
              <w:tl2br w:val="nil"/>
              <w:tr2bl w:val="nil"/>
            </w:tcBorders>
            <w:vAlign w:val="center"/>
          </w:tcPr>
          <w:p>
            <w:pPr>
              <w:pStyle w:val="39"/>
              <w:bidi w:val="0"/>
            </w:pPr>
            <w:r>
              <w:t>2</w:t>
            </w:r>
          </w:p>
        </w:tc>
        <w:tc>
          <w:tcPr>
            <w:tcW w:w="1726" w:type="pct"/>
            <w:tcBorders>
              <w:tl2br w:val="nil"/>
              <w:tr2bl w:val="nil"/>
            </w:tcBorders>
            <w:vAlign w:val="center"/>
          </w:tcPr>
          <w:p>
            <w:pPr>
              <w:pStyle w:val="39"/>
              <w:bidi w:val="0"/>
            </w:pPr>
            <w:r>
              <w:t>采取防止事故排水、污染物等扩散、排</w:t>
            </w:r>
            <w:r>
              <w:rPr>
                <w:rFonts w:hint="eastAsia"/>
                <w:lang w:val="en-US" w:eastAsia="zh-CN"/>
              </w:rPr>
              <w:t>出</w:t>
            </w:r>
            <w:r>
              <w:t>厂界的措施（包括截流措施、事故排水收集措施、清净下水系统防控措施、雨水系统防控措施、生产废水处理系统防控措施等）</w:t>
            </w:r>
          </w:p>
        </w:tc>
        <w:tc>
          <w:tcPr>
            <w:tcW w:w="1985" w:type="pct"/>
            <w:tcBorders>
              <w:tl2br w:val="nil"/>
              <w:tr2bl w:val="nil"/>
            </w:tcBorders>
            <w:vAlign w:val="center"/>
          </w:tcPr>
          <w:p>
            <w:pPr>
              <w:pStyle w:val="39"/>
              <w:bidi w:val="0"/>
            </w:pPr>
            <w:r>
              <w:t>厂区雨污分流，生活污水、</w:t>
            </w:r>
            <w:r>
              <w:rPr>
                <w:rFonts w:hint="eastAsia"/>
              </w:rPr>
              <w:t>生产污水</w:t>
            </w:r>
            <w:r>
              <w:t>经处理后</w:t>
            </w:r>
            <w:r>
              <w:rPr>
                <w:rFonts w:hint="eastAsia"/>
              </w:rPr>
              <w:t>经市政污水管网排入白水湖污水处理厂进一步处理</w:t>
            </w:r>
          </w:p>
        </w:tc>
        <w:tc>
          <w:tcPr>
            <w:tcW w:w="876" w:type="pct"/>
            <w:tcBorders>
              <w:tl2br w:val="nil"/>
              <w:tr2bl w:val="nil"/>
            </w:tcBorders>
            <w:vAlign w:val="center"/>
          </w:tcPr>
          <w:p>
            <w:pPr>
              <w:pStyle w:val="39"/>
              <w:bidi w:val="0"/>
            </w:pPr>
            <w:r>
              <w:t>由生产部负责</w:t>
            </w:r>
            <w:r>
              <w:rPr>
                <w:rFonts w:hint="eastAsia"/>
              </w:rPr>
              <w:t>厂区</w:t>
            </w:r>
            <w:r>
              <w:t>排污管道、废水处理系统等设施的完备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2" w:type="pct"/>
            <w:tcBorders>
              <w:tl2br w:val="nil"/>
              <w:tr2bl w:val="nil"/>
            </w:tcBorders>
            <w:vAlign w:val="center"/>
          </w:tcPr>
          <w:p>
            <w:pPr>
              <w:pStyle w:val="39"/>
              <w:bidi w:val="0"/>
            </w:pPr>
            <w:r>
              <w:t>3</w:t>
            </w:r>
          </w:p>
        </w:tc>
        <w:tc>
          <w:tcPr>
            <w:tcW w:w="1726" w:type="pct"/>
            <w:tcBorders>
              <w:tl2br w:val="nil"/>
              <w:tr2bl w:val="nil"/>
            </w:tcBorders>
            <w:vAlign w:val="center"/>
          </w:tcPr>
          <w:p>
            <w:pPr>
              <w:pStyle w:val="39"/>
              <w:bidi w:val="0"/>
            </w:pPr>
            <w:r>
              <w:t>涉及毒性气体的，设置毒性气体泄漏紧急处置装置</w:t>
            </w:r>
          </w:p>
        </w:tc>
        <w:tc>
          <w:tcPr>
            <w:tcW w:w="1985" w:type="pct"/>
            <w:tcBorders>
              <w:tl2br w:val="nil"/>
              <w:tr2bl w:val="nil"/>
            </w:tcBorders>
            <w:vAlign w:val="center"/>
          </w:tcPr>
          <w:p>
            <w:pPr>
              <w:pStyle w:val="39"/>
              <w:bidi w:val="0"/>
            </w:pPr>
            <w:r>
              <w:rPr>
                <w:rFonts w:hint="eastAsia"/>
              </w:rPr>
              <w:t>危废储存间不涉及有毒有害气体，未安装了防泄漏报警器，若发生泄漏，设有防渗截留渠，立即启动应急系统，防止事故进一步扩大</w:t>
            </w:r>
          </w:p>
        </w:tc>
        <w:tc>
          <w:tcPr>
            <w:tcW w:w="876" w:type="pct"/>
            <w:tcBorders>
              <w:tl2br w:val="nil"/>
              <w:tr2bl w:val="nil"/>
            </w:tcBorders>
            <w:shd w:val="clear" w:color="auto" w:fill="auto"/>
            <w:vAlign w:val="center"/>
          </w:tcPr>
          <w:p>
            <w:pPr>
              <w:pStyle w:val="39"/>
              <w:bidi w:val="0"/>
            </w:pPr>
            <w:r>
              <w:rPr>
                <w:rFonts w:hint="eastAsia"/>
              </w:rPr>
              <w:t>由危险废物暂存间管理主管负责</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2" w:type="pct"/>
            <w:tcBorders>
              <w:tl2br w:val="nil"/>
              <w:tr2bl w:val="nil"/>
            </w:tcBorders>
            <w:vAlign w:val="center"/>
          </w:tcPr>
          <w:p>
            <w:pPr>
              <w:pStyle w:val="39"/>
              <w:bidi w:val="0"/>
            </w:pPr>
            <w:r>
              <w:t>4</w:t>
            </w:r>
          </w:p>
        </w:tc>
        <w:tc>
          <w:tcPr>
            <w:tcW w:w="1726" w:type="pct"/>
            <w:tcBorders>
              <w:tl2br w:val="nil"/>
              <w:tr2bl w:val="nil"/>
            </w:tcBorders>
            <w:vAlign w:val="center"/>
          </w:tcPr>
          <w:p>
            <w:pPr>
              <w:pStyle w:val="39"/>
              <w:bidi w:val="0"/>
            </w:pPr>
            <w:r>
              <w:t>布置生产区域或厂界毒性气体泄漏监控预警系统</w:t>
            </w:r>
          </w:p>
        </w:tc>
        <w:tc>
          <w:tcPr>
            <w:tcW w:w="1985" w:type="pct"/>
            <w:tcBorders>
              <w:tl2br w:val="nil"/>
              <w:tr2bl w:val="nil"/>
            </w:tcBorders>
            <w:vAlign w:val="center"/>
          </w:tcPr>
          <w:p>
            <w:pPr>
              <w:pStyle w:val="39"/>
              <w:bidi w:val="0"/>
            </w:pPr>
            <w:r>
              <w:rPr>
                <w:rFonts w:hint="eastAsia"/>
              </w:rPr>
              <w:t>车间不涉及有毒有害气体</w:t>
            </w:r>
          </w:p>
        </w:tc>
        <w:tc>
          <w:tcPr>
            <w:tcW w:w="876" w:type="pct"/>
            <w:tcBorders>
              <w:tl2br w:val="nil"/>
              <w:tr2bl w:val="nil"/>
            </w:tcBorders>
            <w:shd w:val="clear" w:color="auto" w:fill="auto"/>
            <w:vAlign w:val="center"/>
          </w:tcPr>
          <w:p>
            <w:pPr>
              <w:pStyle w:val="39"/>
              <w:bidi w:val="0"/>
            </w:pPr>
            <w:r>
              <w:rPr>
                <w:rFonts w:hint="eastAsia"/>
              </w:rPr>
              <w:t>由危险废物暂存间管理主管负责</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2" w:type="pct"/>
            <w:tcBorders>
              <w:tl2br w:val="nil"/>
              <w:tr2bl w:val="nil"/>
            </w:tcBorders>
            <w:vAlign w:val="center"/>
          </w:tcPr>
          <w:p>
            <w:pPr>
              <w:pStyle w:val="39"/>
              <w:bidi w:val="0"/>
            </w:pPr>
            <w:r>
              <w:t>5</w:t>
            </w:r>
          </w:p>
        </w:tc>
        <w:tc>
          <w:tcPr>
            <w:tcW w:w="1726" w:type="pct"/>
            <w:tcBorders>
              <w:tl2br w:val="nil"/>
              <w:tr2bl w:val="nil"/>
            </w:tcBorders>
            <w:vAlign w:val="center"/>
          </w:tcPr>
          <w:p>
            <w:pPr>
              <w:pStyle w:val="39"/>
              <w:bidi w:val="0"/>
            </w:pPr>
            <w:r>
              <w:t>有提醒周边公众紧急疏散的措施和手段</w:t>
            </w:r>
          </w:p>
        </w:tc>
        <w:tc>
          <w:tcPr>
            <w:tcW w:w="1985" w:type="pct"/>
            <w:tcBorders>
              <w:tl2br w:val="nil"/>
              <w:tr2bl w:val="nil"/>
            </w:tcBorders>
            <w:vAlign w:val="center"/>
          </w:tcPr>
          <w:p>
            <w:pPr>
              <w:pStyle w:val="39"/>
              <w:bidi w:val="0"/>
            </w:pPr>
            <w:r>
              <w:t>应急架构有对外联系功能的设置</w:t>
            </w:r>
          </w:p>
        </w:tc>
        <w:tc>
          <w:tcPr>
            <w:tcW w:w="876" w:type="pct"/>
            <w:tcBorders>
              <w:tl2br w:val="nil"/>
              <w:tr2bl w:val="nil"/>
            </w:tcBorders>
            <w:vAlign w:val="center"/>
          </w:tcPr>
          <w:p>
            <w:pPr>
              <w:pStyle w:val="39"/>
              <w:bidi w:val="0"/>
            </w:pPr>
            <w:r>
              <w:t>由</w:t>
            </w:r>
            <w:r>
              <w:rPr>
                <w:highlight w:val="none"/>
              </w:rPr>
              <w:t>通讯</w:t>
            </w:r>
            <w:r>
              <w:t>组统一对外联络沟通</w:t>
            </w:r>
          </w:p>
        </w:tc>
      </w:tr>
    </w:tbl>
    <w:p>
      <w:pPr>
        <w:pStyle w:val="4"/>
        <w:bidi w:val="0"/>
      </w:pPr>
      <w:bookmarkStart w:id="211" w:name="_Toc21875"/>
      <w:bookmarkStart w:id="212" w:name="_Toc27764"/>
      <w:bookmarkStart w:id="213" w:name="_Toc3180"/>
      <w:bookmarkStart w:id="214" w:name="_Toc5059"/>
      <w:bookmarkStart w:id="215" w:name="_Toc16912"/>
      <w:bookmarkStart w:id="216" w:name="_Toc14455"/>
      <w:bookmarkStart w:id="217" w:name="_Toc20621"/>
      <w:bookmarkStart w:id="218" w:name="_Toc10844"/>
      <w:bookmarkStart w:id="219" w:name="_Toc37591910"/>
      <w:bookmarkStart w:id="220" w:name="_Toc3979"/>
      <w:r>
        <w:rPr>
          <w:rFonts w:hint="eastAsia"/>
          <w:lang w:val="en-US" w:eastAsia="zh-CN"/>
        </w:rPr>
        <w:t>2</w:t>
      </w:r>
      <w:r>
        <w:rPr>
          <w:rFonts w:hint="eastAsia"/>
        </w:rPr>
        <w:t>.5</w:t>
      </w:r>
      <w:r>
        <w:t xml:space="preserve"> </w:t>
      </w:r>
      <w:r>
        <w:rPr>
          <w:rFonts w:hint="eastAsia"/>
        </w:rPr>
        <w:t>现有应急物资与装备</w:t>
      </w:r>
      <w:bookmarkEnd w:id="210"/>
      <w:bookmarkEnd w:id="211"/>
      <w:bookmarkEnd w:id="212"/>
      <w:bookmarkEnd w:id="213"/>
      <w:bookmarkEnd w:id="214"/>
      <w:bookmarkEnd w:id="215"/>
      <w:bookmarkEnd w:id="216"/>
      <w:bookmarkEnd w:id="217"/>
      <w:bookmarkEnd w:id="218"/>
      <w:bookmarkEnd w:id="219"/>
      <w:bookmarkEnd w:id="220"/>
    </w:p>
    <w:p>
      <w:pPr>
        <w:bidi w:val="0"/>
      </w:pPr>
      <w:r>
        <w:rPr>
          <w:rFonts w:hint="eastAsia"/>
        </w:rPr>
        <w:t>公司厂区设置了干粉灭火器（手提式）。</w:t>
      </w:r>
    </w:p>
    <w:p>
      <w:pPr>
        <w:pStyle w:val="28"/>
        <w:bidi w:val="0"/>
      </w:pPr>
      <w:r>
        <w:rPr>
          <w:rFonts w:hint="eastAsia"/>
        </w:rPr>
        <w:t>表</w:t>
      </w:r>
      <w:r>
        <w:rPr>
          <w:rFonts w:hint="eastAsia"/>
          <w:lang w:val="en-US" w:eastAsia="zh-CN"/>
        </w:rPr>
        <w:t>2</w:t>
      </w:r>
      <w:r>
        <w:rPr>
          <w:rFonts w:hint="eastAsia"/>
        </w:rPr>
        <w:t>.5-1</w:t>
      </w:r>
      <w:r>
        <w:t xml:space="preserve"> </w:t>
      </w:r>
      <w:r>
        <w:rPr>
          <w:rFonts w:hint="eastAsia"/>
        </w:rPr>
        <w:t>应急救援器材配置一览表</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0" w:type="dxa"/>
          <w:bottom w:w="0" w:type="dxa"/>
          <w:right w:w="0" w:type="dxa"/>
        </w:tblCellMar>
      </w:tblPr>
      <w:tblGrid>
        <w:gridCol w:w="1130"/>
        <w:gridCol w:w="2302"/>
        <w:gridCol w:w="2137"/>
        <w:gridCol w:w="1819"/>
        <w:gridCol w:w="1113"/>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90" w:hRule="atLeast"/>
          <w:jc w:val="center"/>
        </w:trPr>
        <w:tc>
          <w:tcPr>
            <w:tcW w:w="664" w:type="pct"/>
            <w:tcBorders>
              <w:bottom w:val="single" w:color="auto" w:sz="12" w:space="0"/>
            </w:tcBorders>
            <w:shd w:val="clear" w:color="auto" w:fill="auto"/>
            <w:vAlign w:val="center"/>
          </w:tcPr>
          <w:p>
            <w:pPr>
              <w:pStyle w:val="39"/>
              <w:bidi w:val="0"/>
              <w:rPr>
                <w:b/>
                <w:bCs/>
              </w:rPr>
            </w:pPr>
            <w:r>
              <w:rPr>
                <w:b/>
                <w:bCs/>
              </w:rPr>
              <w:t>类型</w:t>
            </w:r>
          </w:p>
        </w:tc>
        <w:tc>
          <w:tcPr>
            <w:tcW w:w="1353" w:type="pct"/>
            <w:tcBorders>
              <w:bottom w:val="single" w:color="auto" w:sz="12" w:space="0"/>
            </w:tcBorders>
            <w:shd w:val="clear" w:color="auto" w:fill="auto"/>
            <w:vAlign w:val="center"/>
          </w:tcPr>
          <w:p>
            <w:pPr>
              <w:pStyle w:val="39"/>
              <w:bidi w:val="0"/>
              <w:rPr>
                <w:b/>
                <w:bCs/>
              </w:rPr>
            </w:pPr>
            <w:r>
              <w:rPr>
                <w:b/>
                <w:bCs/>
              </w:rPr>
              <w:t>名称（参考）</w:t>
            </w:r>
          </w:p>
        </w:tc>
        <w:tc>
          <w:tcPr>
            <w:tcW w:w="1256" w:type="pct"/>
            <w:tcBorders>
              <w:bottom w:val="single" w:color="auto" w:sz="12" w:space="0"/>
            </w:tcBorders>
            <w:shd w:val="clear" w:color="auto" w:fill="auto"/>
            <w:vAlign w:val="center"/>
          </w:tcPr>
          <w:p>
            <w:pPr>
              <w:pStyle w:val="39"/>
              <w:bidi w:val="0"/>
              <w:rPr>
                <w:b/>
                <w:bCs/>
              </w:rPr>
            </w:pPr>
            <w:r>
              <w:rPr>
                <w:b/>
                <w:bCs/>
              </w:rPr>
              <w:t>数量</w:t>
            </w:r>
          </w:p>
        </w:tc>
        <w:tc>
          <w:tcPr>
            <w:tcW w:w="1069" w:type="pct"/>
            <w:tcBorders>
              <w:bottom w:val="single" w:color="auto" w:sz="12" w:space="0"/>
            </w:tcBorders>
            <w:shd w:val="clear" w:color="auto" w:fill="auto"/>
            <w:vAlign w:val="center"/>
          </w:tcPr>
          <w:p>
            <w:pPr>
              <w:pStyle w:val="39"/>
              <w:bidi w:val="0"/>
              <w:rPr>
                <w:b/>
                <w:bCs/>
              </w:rPr>
            </w:pPr>
            <w:r>
              <w:rPr>
                <w:b/>
                <w:bCs/>
              </w:rPr>
              <w:t>位置</w:t>
            </w:r>
          </w:p>
        </w:tc>
        <w:tc>
          <w:tcPr>
            <w:tcW w:w="654" w:type="pct"/>
            <w:tcBorders>
              <w:bottom w:val="single" w:color="auto" w:sz="12" w:space="0"/>
            </w:tcBorders>
            <w:shd w:val="clear" w:color="auto" w:fill="auto"/>
            <w:vAlign w:val="center"/>
          </w:tcPr>
          <w:p>
            <w:pPr>
              <w:pStyle w:val="39"/>
              <w:bidi w:val="0"/>
              <w:rPr>
                <w:b/>
                <w:bCs/>
              </w:rPr>
            </w:pPr>
            <w:r>
              <w:rPr>
                <w:b/>
                <w:bCs/>
              </w:rPr>
              <w:t>配置情况</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664" w:type="pct"/>
            <w:tcBorders>
              <w:top w:val="single" w:color="auto" w:sz="12" w:space="0"/>
              <w:tl2br w:val="nil"/>
              <w:tr2bl w:val="nil"/>
            </w:tcBorders>
            <w:shd w:val="clear" w:color="auto" w:fill="auto"/>
            <w:vAlign w:val="center"/>
          </w:tcPr>
          <w:p>
            <w:pPr>
              <w:pStyle w:val="39"/>
              <w:bidi w:val="0"/>
            </w:pPr>
            <w:r>
              <w:t>消防设施</w:t>
            </w:r>
          </w:p>
        </w:tc>
        <w:tc>
          <w:tcPr>
            <w:tcW w:w="1353" w:type="pct"/>
            <w:tcBorders>
              <w:top w:val="single" w:color="auto" w:sz="12" w:space="0"/>
              <w:tl2br w:val="nil"/>
              <w:tr2bl w:val="nil"/>
            </w:tcBorders>
            <w:shd w:val="clear" w:color="auto" w:fill="auto"/>
            <w:vAlign w:val="center"/>
          </w:tcPr>
          <w:p>
            <w:pPr>
              <w:pStyle w:val="39"/>
              <w:bidi w:val="0"/>
            </w:pPr>
            <w:r>
              <w:rPr>
                <w:rFonts w:hint="eastAsia"/>
              </w:rPr>
              <w:t>消火栓</w:t>
            </w:r>
          </w:p>
        </w:tc>
        <w:tc>
          <w:tcPr>
            <w:tcW w:w="1256" w:type="pct"/>
            <w:tcBorders>
              <w:top w:val="single" w:color="auto" w:sz="12" w:space="0"/>
              <w:tl2br w:val="nil"/>
              <w:tr2bl w:val="nil"/>
            </w:tcBorders>
            <w:shd w:val="clear" w:color="auto" w:fill="auto"/>
            <w:vAlign w:val="center"/>
          </w:tcPr>
          <w:p>
            <w:pPr>
              <w:pStyle w:val="39"/>
              <w:bidi w:val="0"/>
            </w:pPr>
            <w:r>
              <w:rPr>
                <w:rFonts w:hint="eastAsia"/>
              </w:rPr>
              <w:t>7个</w:t>
            </w:r>
          </w:p>
        </w:tc>
        <w:tc>
          <w:tcPr>
            <w:tcW w:w="1069" w:type="pct"/>
            <w:tcBorders>
              <w:top w:val="single" w:color="auto" w:sz="12" w:space="0"/>
              <w:tl2br w:val="nil"/>
              <w:tr2bl w:val="nil"/>
            </w:tcBorders>
            <w:shd w:val="clear" w:color="auto" w:fill="auto"/>
            <w:vAlign w:val="center"/>
          </w:tcPr>
          <w:p>
            <w:pPr>
              <w:pStyle w:val="39"/>
              <w:bidi w:val="0"/>
            </w:pPr>
            <w:r>
              <w:t>生产车间</w:t>
            </w:r>
          </w:p>
        </w:tc>
        <w:tc>
          <w:tcPr>
            <w:tcW w:w="654" w:type="pct"/>
            <w:tcBorders>
              <w:top w:val="single" w:color="auto" w:sz="12" w:space="0"/>
              <w:tl2br w:val="nil"/>
              <w:tr2bl w:val="nil"/>
            </w:tcBorders>
            <w:shd w:val="clear" w:color="auto" w:fill="auto"/>
            <w:vAlign w:val="center"/>
          </w:tcPr>
          <w:p>
            <w:pPr>
              <w:pStyle w:val="39"/>
              <w:bidi w:val="0"/>
            </w:pPr>
            <w:r>
              <w:t>配置到位</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664" w:type="pct"/>
            <w:tcBorders>
              <w:tl2br w:val="nil"/>
              <w:tr2bl w:val="nil"/>
            </w:tcBorders>
            <w:shd w:val="clear" w:color="auto" w:fill="auto"/>
            <w:vAlign w:val="center"/>
          </w:tcPr>
          <w:p>
            <w:pPr>
              <w:pStyle w:val="39"/>
              <w:bidi w:val="0"/>
            </w:pPr>
            <w:r>
              <w:t>消防设施</w:t>
            </w:r>
          </w:p>
        </w:tc>
        <w:tc>
          <w:tcPr>
            <w:tcW w:w="1353" w:type="pct"/>
            <w:tcBorders>
              <w:tl2br w:val="nil"/>
              <w:tr2bl w:val="nil"/>
            </w:tcBorders>
            <w:shd w:val="clear" w:color="auto" w:fill="auto"/>
            <w:vAlign w:val="center"/>
          </w:tcPr>
          <w:p>
            <w:pPr>
              <w:pStyle w:val="39"/>
              <w:bidi w:val="0"/>
            </w:pPr>
            <w:r>
              <w:rPr>
                <w:rFonts w:hint="eastAsia"/>
              </w:rPr>
              <w:t>消火栓</w:t>
            </w:r>
          </w:p>
        </w:tc>
        <w:tc>
          <w:tcPr>
            <w:tcW w:w="1256" w:type="pct"/>
            <w:tcBorders>
              <w:tl2br w:val="nil"/>
              <w:tr2bl w:val="nil"/>
            </w:tcBorders>
            <w:shd w:val="clear" w:color="auto" w:fill="auto"/>
            <w:vAlign w:val="center"/>
          </w:tcPr>
          <w:p>
            <w:pPr>
              <w:pStyle w:val="39"/>
              <w:bidi w:val="0"/>
            </w:pPr>
            <w:r>
              <w:rPr>
                <w:rFonts w:hint="eastAsia"/>
              </w:rPr>
              <w:t>6</w:t>
            </w:r>
          </w:p>
        </w:tc>
        <w:tc>
          <w:tcPr>
            <w:tcW w:w="1069" w:type="pct"/>
            <w:tcBorders>
              <w:tl2br w:val="nil"/>
              <w:tr2bl w:val="nil"/>
            </w:tcBorders>
            <w:shd w:val="clear" w:color="auto" w:fill="auto"/>
            <w:vAlign w:val="center"/>
          </w:tcPr>
          <w:p>
            <w:pPr>
              <w:pStyle w:val="39"/>
              <w:bidi w:val="0"/>
            </w:pPr>
            <w:r>
              <w:t>办公区域</w:t>
            </w:r>
          </w:p>
        </w:tc>
        <w:tc>
          <w:tcPr>
            <w:tcW w:w="654" w:type="pct"/>
            <w:tcBorders>
              <w:tl2br w:val="nil"/>
              <w:tr2bl w:val="nil"/>
            </w:tcBorders>
            <w:shd w:val="clear" w:color="auto" w:fill="auto"/>
            <w:vAlign w:val="center"/>
          </w:tcPr>
          <w:p>
            <w:pPr>
              <w:pStyle w:val="39"/>
              <w:bidi w:val="0"/>
            </w:pPr>
            <w:r>
              <w:t>配置到位</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664" w:type="pct"/>
            <w:tcBorders>
              <w:tl2br w:val="nil"/>
              <w:tr2bl w:val="nil"/>
            </w:tcBorders>
            <w:shd w:val="clear" w:color="auto" w:fill="auto"/>
            <w:vAlign w:val="center"/>
          </w:tcPr>
          <w:p>
            <w:pPr>
              <w:pStyle w:val="39"/>
              <w:bidi w:val="0"/>
            </w:pPr>
            <w:r>
              <w:t>消防设施</w:t>
            </w:r>
          </w:p>
        </w:tc>
        <w:tc>
          <w:tcPr>
            <w:tcW w:w="1353" w:type="pct"/>
            <w:tcBorders>
              <w:tl2br w:val="nil"/>
              <w:tr2bl w:val="nil"/>
            </w:tcBorders>
            <w:shd w:val="clear" w:color="auto" w:fill="auto"/>
            <w:vAlign w:val="center"/>
          </w:tcPr>
          <w:p>
            <w:pPr>
              <w:pStyle w:val="39"/>
              <w:bidi w:val="0"/>
            </w:pPr>
            <w:r>
              <w:t>灭火器</w:t>
            </w:r>
          </w:p>
        </w:tc>
        <w:tc>
          <w:tcPr>
            <w:tcW w:w="1256" w:type="pct"/>
            <w:tcBorders>
              <w:tl2br w:val="nil"/>
              <w:tr2bl w:val="nil"/>
            </w:tcBorders>
            <w:shd w:val="clear" w:color="auto" w:fill="auto"/>
            <w:vAlign w:val="center"/>
          </w:tcPr>
          <w:p>
            <w:pPr>
              <w:pStyle w:val="39"/>
              <w:bidi w:val="0"/>
            </w:pPr>
            <w:r>
              <w:rPr>
                <w:rFonts w:hint="eastAsia"/>
              </w:rPr>
              <w:t>4kg24个</w:t>
            </w:r>
          </w:p>
        </w:tc>
        <w:tc>
          <w:tcPr>
            <w:tcW w:w="1069" w:type="pct"/>
            <w:tcBorders>
              <w:tl2br w:val="nil"/>
              <w:tr2bl w:val="nil"/>
            </w:tcBorders>
            <w:shd w:val="clear" w:color="auto" w:fill="auto"/>
            <w:vAlign w:val="center"/>
          </w:tcPr>
          <w:p>
            <w:pPr>
              <w:pStyle w:val="39"/>
              <w:bidi w:val="0"/>
              <w:rPr>
                <w:rFonts w:hint="default" w:eastAsia="宋体"/>
                <w:lang w:val="en-US" w:eastAsia="zh-CN"/>
              </w:rPr>
            </w:pPr>
            <w:r>
              <w:rPr>
                <w:rFonts w:hint="eastAsia"/>
                <w:lang w:val="en-US" w:eastAsia="zh-CN"/>
              </w:rPr>
              <w:t>全厂</w:t>
            </w:r>
          </w:p>
        </w:tc>
        <w:tc>
          <w:tcPr>
            <w:tcW w:w="654" w:type="pct"/>
            <w:tcBorders>
              <w:tl2br w:val="nil"/>
              <w:tr2bl w:val="nil"/>
            </w:tcBorders>
            <w:shd w:val="clear" w:color="auto" w:fill="auto"/>
            <w:vAlign w:val="center"/>
          </w:tcPr>
          <w:p>
            <w:pPr>
              <w:pStyle w:val="39"/>
              <w:bidi w:val="0"/>
            </w:pPr>
            <w:r>
              <w:t>配置到位</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restart"/>
            <w:tcBorders>
              <w:tl2br w:val="nil"/>
              <w:tr2bl w:val="nil"/>
            </w:tcBorders>
            <w:shd w:val="clear" w:color="auto" w:fill="auto"/>
            <w:vAlign w:val="center"/>
          </w:tcPr>
          <w:p>
            <w:pPr>
              <w:pStyle w:val="62"/>
              <w:ind w:firstLine="0" w:firstLineChars="0"/>
            </w:pPr>
            <w:r>
              <w:rPr>
                <w:bCs/>
              </w:rPr>
              <w:t>建议补充的应急物资</w:t>
            </w: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急救箱</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1个</w:t>
            </w:r>
          </w:p>
        </w:tc>
        <w:tc>
          <w:tcPr>
            <w:tcW w:w="1819" w:type="dxa"/>
            <w:vMerge w:val="restart"/>
            <w:tcBorders>
              <w:tl2br w:val="nil"/>
              <w:tr2bl w:val="nil"/>
            </w:tcBorders>
            <w:shd w:val="clear" w:color="auto" w:fill="auto"/>
            <w:vAlign w:val="center"/>
          </w:tcPr>
          <w:p>
            <w:pPr>
              <w:pStyle w:val="62"/>
              <w:ind w:firstLine="0" w:firstLineChars="0"/>
              <w:rPr>
                <w:rFonts w:hint="eastAsia"/>
                <w:lang w:val="en-US" w:eastAsia="zh-CN"/>
              </w:rPr>
            </w:pPr>
            <w:r>
              <w:rPr>
                <w:rFonts w:hint="default"/>
                <w:bCs/>
                <w:lang w:val="en-US" w:eastAsia="zh-CN"/>
              </w:rPr>
              <w:t>管理区</w:t>
            </w: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带盖空桶</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若干</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消毒液</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若干</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棉被</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3床</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防化服</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3套</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隔离带</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6套</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片碱</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2t</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0" w:type="dxa"/>
            <w:bottom w:w="0" w:type="dxa"/>
            <w:right w:w="0" w:type="dxa"/>
          </w:tblCellMar>
        </w:tblPrEx>
        <w:trPr>
          <w:trHeight w:val="369" w:hRule="atLeast"/>
          <w:jc w:val="center"/>
        </w:trPr>
        <w:tc>
          <w:tcPr>
            <w:tcW w:w="1130" w:type="dxa"/>
            <w:vMerge w:val="continue"/>
            <w:tcBorders>
              <w:tl2br w:val="nil"/>
              <w:tr2bl w:val="nil"/>
            </w:tcBorders>
            <w:shd w:val="clear" w:color="auto" w:fill="auto"/>
            <w:vAlign w:val="center"/>
          </w:tcPr>
          <w:p>
            <w:pPr>
              <w:pStyle w:val="62"/>
              <w:ind w:firstLine="0" w:firstLineChars="0"/>
            </w:pPr>
          </w:p>
        </w:tc>
        <w:tc>
          <w:tcPr>
            <w:tcW w:w="2302" w:type="dxa"/>
            <w:tcBorders>
              <w:tl2br w:val="nil"/>
              <w:tr2bl w:val="nil"/>
            </w:tcBorders>
            <w:shd w:val="clear" w:color="auto" w:fill="auto"/>
            <w:vAlign w:val="center"/>
          </w:tcPr>
          <w:p>
            <w:pPr>
              <w:pStyle w:val="62"/>
              <w:ind w:firstLine="0" w:firstLineChars="0"/>
            </w:pPr>
            <w:r>
              <w:rPr>
                <w:rFonts w:hint="default"/>
                <w:bCs/>
                <w:lang w:val="en-US" w:eastAsia="zh-CN"/>
              </w:rPr>
              <w:t>活性炭</w:t>
            </w:r>
          </w:p>
        </w:tc>
        <w:tc>
          <w:tcPr>
            <w:tcW w:w="2137" w:type="dxa"/>
            <w:tcBorders>
              <w:tl2br w:val="nil"/>
              <w:tr2bl w:val="nil"/>
            </w:tcBorders>
            <w:shd w:val="clear" w:color="auto" w:fill="auto"/>
            <w:vAlign w:val="center"/>
          </w:tcPr>
          <w:p>
            <w:pPr>
              <w:pStyle w:val="62"/>
              <w:ind w:firstLine="0" w:firstLineChars="0"/>
              <w:rPr>
                <w:rFonts w:hint="eastAsia"/>
              </w:rPr>
            </w:pPr>
            <w:r>
              <w:rPr>
                <w:rFonts w:hint="default"/>
                <w:bCs/>
                <w:lang w:val="en-US" w:eastAsia="zh-CN"/>
              </w:rPr>
              <w:t>2t</w:t>
            </w:r>
          </w:p>
        </w:tc>
        <w:tc>
          <w:tcPr>
            <w:tcW w:w="1819" w:type="dxa"/>
            <w:vMerge w:val="continue"/>
            <w:tcBorders>
              <w:tl2br w:val="nil"/>
              <w:tr2bl w:val="nil"/>
            </w:tcBorders>
            <w:shd w:val="clear" w:color="auto" w:fill="auto"/>
            <w:vAlign w:val="center"/>
          </w:tcPr>
          <w:p>
            <w:pPr>
              <w:pStyle w:val="62"/>
              <w:ind w:firstLine="0" w:firstLineChars="0"/>
              <w:rPr>
                <w:rFonts w:hint="eastAsia"/>
                <w:lang w:val="en-US" w:eastAsia="zh-CN"/>
              </w:rPr>
            </w:pPr>
          </w:p>
        </w:tc>
        <w:tc>
          <w:tcPr>
            <w:tcW w:w="1113" w:type="dxa"/>
            <w:tcBorders>
              <w:tl2br w:val="nil"/>
              <w:tr2bl w:val="nil"/>
            </w:tcBorders>
            <w:shd w:val="clear" w:color="auto" w:fill="auto"/>
            <w:vAlign w:val="center"/>
          </w:tcPr>
          <w:p>
            <w:pPr>
              <w:pStyle w:val="62"/>
              <w:ind w:firstLine="0" w:firstLineChars="0"/>
            </w:pPr>
            <w:r>
              <w:rPr>
                <w:rFonts w:hint="default"/>
                <w:bCs/>
                <w:lang w:val="en-US" w:eastAsia="zh-CN"/>
              </w:rPr>
              <w:t>补充配置</w:t>
            </w:r>
          </w:p>
        </w:tc>
      </w:tr>
    </w:tbl>
    <w:p>
      <w:pPr>
        <w:ind w:firstLine="560"/>
      </w:pPr>
    </w:p>
    <w:p>
      <w:pPr>
        <w:pStyle w:val="29"/>
        <w:spacing w:beforeLines="0"/>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p>
    <w:p>
      <w:pPr>
        <w:pStyle w:val="3"/>
        <w:bidi w:val="0"/>
      </w:pPr>
      <w:bookmarkStart w:id="221" w:name="_Toc31556"/>
      <w:bookmarkStart w:id="222" w:name="_Toc37591911"/>
      <w:bookmarkStart w:id="223" w:name="_Toc24633"/>
      <w:bookmarkStart w:id="224" w:name="_Toc24824"/>
      <w:bookmarkStart w:id="225" w:name="_Toc4394"/>
      <w:bookmarkStart w:id="226" w:name="_Toc13705"/>
      <w:bookmarkStart w:id="227" w:name="_Toc153"/>
      <w:bookmarkStart w:id="228" w:name="_Toc24211"/>
      <w:bookmarkStart w:id="229" w:name="_Toc31637"/>
      <w:bookmarkStart w:id="230" w:name="_Toc10244"/>
      <w:bookmarkStart w:id="231" w:name="_Toc16202"/>
      <w:r>
        <w:rPr>
          <w:rFonts w:hint="eastAsia"/>
          <w:lang w:val="en-US" w:eastAsia="zh-CN"/>
        </w:rPr>
        <w:t>3</w:t>
      </w:r>
      <w:r>
        <w:t xml:space="preserve"> </w:t>
      </w:r>
      <w:r>
        <w:rPr>
          <w:rFonts w:hint="eastAsia"/>
        </w:rPr>
        <w:t>突发环境事件及后果分析</w:t>
      </w:r>
      <w:bookmarkEnd w:id="221"/>
      <w:bookmarkEnd w:id="222"/>
      <w:bookmarkEnd w:id="223"/>
      <w:bookmarkEnd w:id="224"/>
      <w:bookmarkEnd w:id="225"/>
      <w:bookmarkEnd w:id="226"/>
      <w:bookmarkEnd w:id="227"/>
      <w:bookmarkEnd w:id="228"/>
      <w:bookmarkEnd w:id="229"/>
      <w:bookmarkEnd w:id="230"/>
      <w:bookmarkEnd w:id="231"/>
    </w:p>
    <w:p>
      <w:pPr>
        <w:pStyle w:val="4"/>
        <w:bidi w:val="0"/>
      </w:pPr>
      <w:bookmarkStart w:id="232" w:name="_Toc18349"/>
      <w:bookmarkStart w:id="233" w:name="_Toc13657"/>
      <w:bookmarkStart w:id="234" w:name="_Toc27235"/>
      <w:bookmarkStart w:id="235" w:name="_Toc30353"/>
      <w:bookmarkStart w:id="236" w:name="_Toc23716"/>
      <w:bookmarkStart w:id="237" w:name="_Toc37591912"/>
      <w:bookmarkStart w:id="238" w:name="_Toc5629"/>
      <w:bookmarkStart w:id="239" w:name="_Toc23907"/>
      <w:bookmarkStart w:id="240" w:name="_Toc17305"/>
      <w:bookmarkStart w:id="241" w:name="_Toc9621"/>
      <w:bookmarkStart w:id="242" w:name="_Toc2007"/>
      <w:r>
        <w:rPr>
          <w:rFonts w:hint="eastAsia"/>
          <w:lang w:val="en-US" w:eastAsia="zh-CN"/>
        </w:rPr>
        <w:t>3</w:t>
      </w:r>
      <w:r>
        <w:rPr>
          <w:rFonts w:hint="eastAsia"/>
        </w:rPr>
        <w:t>.1</w:t>
      </w:r>
      <w:r>
        <w:t xml:space="preserve"> </w:t>
      </w:r>
      <w:r>
        <w:rPr>
          <w:rFonts w:hint="eastAsia"/>
        </w:rPr>
        <w:t>突发环境事件情景分析</w:t>
      </w:r>
      <w:bookmarkEnd w:id="232"/>
      <w:bookmarkEnd w:id="233"/>
      <w:bookmarkEnd w:id="234"/>
      <w:bookmarkEnd w:id="235"/>
      <w:bookmarkEnd w:id="236"/>
      <w:bookmarkEnd w:id="237"/>
      <w:bookmarkEnd w:id="238"/>
      <w:bookmarkEnd w:id="239"/>
      <w:bookmarkEnd w:id="240"/>
      <w:bookmarkEnd w:id="241"/>
      <w:bookmarkEnd w:id="242"/>
    </w:p>
    <w:p>
      <w:pPr>
        <w:pStyle w:val="5"/>
        <w:bidi w:val="0"/>
      </w:pPr>
      <w:bookmarkStart w:id="243" w:name="_Toc1815"/>
      <w:bookmarkStart w:id="244" w:name="_Toc28515"/>
      <w:bookmarkStart w:id="245" w:name="_Toc10521"/>
      <w:bookmarkStart w:id="246" w:name="_Toc428904851"/>
      <w:bookmarkStart w:id="247" w:name="_Toc11570"/>
      <w:bookmarkStart w:id="248" w:name="_Toc37591913"/>
      <w:bookmarkStart w:id="249" w:name="_Toc455741294"/>
      <w:bookmarkStart w:id="250" w:name="_Toc1109"/>
      <w:bookmarkStart w:id="251" w:name="_Toc24377"/>
      <w:r>
        <w:rPr>
          <w:rFonts w:hint="eastAsia"/>
          <w:lang w:val="en-US" w:eastAsia="zh-CN"/>
        </w:rPr>
        <w:t>3</w:t>
      </w:r>
      <w:r>
        <w:rPr>
          <w:rFonts w:hint="eastAsia"/>
        </w:rPr>
        <w:t>.1.1</w:t>
      </w:r>
      <w:r>
        <w:t xml:space="preserve"> </w:t>
      </w:r>
      <w:r>
        <w:rPr>
          <w:rFonts w:hint="eastAsia"/>
        </w:rPr>
        <w:t>国内外同类企业突发环境事件资料</w:t>
      </w:r>
      <w:bookmarkEnd w:id="243"/>
      <w:bookmarkEnd w:id="244"/>
      <w:bookmarkEnd w:id="245"/>
      <w:bookmarkEnd w:id="246"/>
      <w:bookmarkEnd w:id="247"/>
      <w:bookmarkEnd w:id="248"/>
      <w:bookmarkEnd w:id="249"/>
      <w:bookmarkEnd w:id="250"/>
      <w:bookmarkEnd w:id="251"/>
    </w:p>
    <w:p>
      <w:pPr>
        <w:bidi w:val="0"/>
        <w:rPr>
          <w:b/>
          <w:bCs/>
        </w:rPr>
      </w:pPr>
      <w:bookmarkStart w:id="252" w:name="_Toc28961"/>
      <w:bookmarkStart w:id="253" w:name="_Toc6436"/>
      <w:bookmarkStart w:id="254" w:name="_Toc37591914"/>
      <w:r>
        <w:rPr>
          <w:rFonts w:hint="eastAsia"/>
          <w:b/>
          <w:bCs/>
        </w:rPr>
        <w:t>一、同类事件</w:t>
      </w:r>
      <w:bookmarkEnd w:id="252"/>
      <w:bookmarkEnd w:id="253"/>
      <w:bookmarkEnd w:id="254"/>
    </w:p>
    <w:p>
      <w:pPr>
        <w:bidi w:val="0"/>
      </w:pPr>
      <w:r>
        <w:rPr>
          <w:rFonts w:hint="eastAsia"/>
        </w:rPr>
        <w:t>通过查阅资料，近年来与本次环境风险评价因子相关的典型事故案例进行分析。</w:t>
      </w:r>
      <w:r>
        <w:t>根据我们收集的资料，我们选择了国内</w:t>
      </w:r>
      <w:r>
        <w:rPr>
          <w:rFonts w:hint="eastAsia"/>
        </w:rPr>
        <w:t>危险废物泄露与废机油燃烧</w:t>
      </w:r>
      <w:r>
        <w:t>发生的</w:t>
      </w:r>
      <w:r>
        <w:rPr>
          <w:rFonts w:hint="eastAsia"/>
        </w:rPr>
        <w:t>3</w:t>
      </w:r>
      <w:r>
        <w:t>起不同类型的事故，提供建设单位和有关环境管理部门参考。</w:t>
      </w:r>
    </w:p>
    <w:p>
      <w:pPr>
        <w:bidi w:val="0"/>
      </w:pPr>
      <w:r>
        <w:rPr>
          <w:rFonts w:hint="eastAsia"/>
        </w:rPr>
        <w:t>（1）2015年7月21日上午10时27分左右，礼泉县西张堡镇的陕西资源再生产业园内，一家废机油回收再生企业的桶装存储废机油着火，现场的火球伴着滚滚浓烟腾空，不时还伴有爆炸声音，所幸无人员伤亡。</w:t>
      </w:r>
    </w:p>
    <w:p>
      <w:pPr>
        <w:bidi w:val="0"/>
      </w:pPr>
      <w:r>
        <w:rPr>
          <w:rFonts w:hint="eastAsia"/>
        </w:rPr>
        <w:t>（2）2015年4月6日下午，位于桃江县桃花江镇道关山村的益阳环宇再生资源有限责任公司发生废矿物油泄露事件，其废矿物油在向生产设备反应釜灌注过程中，反应釜挡板突然开裂，导致废油沿裂口外流。事故发生后，环境中充满难闻的刺激性气味。</w:t>
      </w:r>
    </w:p>
    <w:p>
      <w:pPr>
        <w:bidi w:val="0"/>
      </w:pPr>
      <w:r>
        <w:rPr>
          <w:rFonts w:hint="eastAsia"/>
        </w:rPr>
        <w:t>（3）2006年6月，一辆满载10吨危废的槽车，刹车失灵侧翻在地。槽车油箱已破裂，柴油流了一地，情况非常危急。闻讯赶到的</w:t>
      </w:r>
      <w:r>
        <w:rPr>
          <w:rFonts w:hint="eastAsia"/>
          <w:highlight w:val="none"/>
        </w:rPr>
        <w:t>消防官兵</w:t>
      </w:r>
      <w:r>
        <w:rPr>
          <w:rFonts w:hint="eastAsia"/>
        </w:rPr>
        <w:t>，一边用</w:t>
      </w:r>
      <w:r>
        <w:rPr>
          <w:rFonts w:hint="eastAsia"/>
          <w:highlight w:val="none"/>
          <w:lang w:val="en-US" w:eastAsia="zh-CN"/>
        </w:rPr>
        <w:t>沙</w:t>
      </w:r>
      <w:r>
        <w:rPr>
          <w:rFonts w:hint="eastAsia"/>
          <w:highlight w:val="none"/>
        </w:rPr>
        <w:t>土</w:t>
      </w:r>
      <w:r>
        <w:rPr>
          <w:rFonts w:hint="eastAsia"/>
        </w:rPr>
        <w:t>掩埋流出来的柴油，一边用高压水枪对罐体冷却降温，并将危险废物转移到另一辆车上。13时30分，交通恢复顺畅，至此104国道已被堵了6小时</w:t>
      </w:r>
    </w:p>
    <w:p>
      <w:pPr>
        <w:bidi w:val="0"/>
        <w:rPr>
          <w:b/>
          <w:bCs/>
        </w:rPr>
      </w:pPr>
      <w:bookmarkStart w:id="255" w:name="_Toc14317"/>
      <w:bookmarkStart w:id="256" w:name="_Toc37591915"/>
      <w:bookmarkStart w:id="257" w:name="_Toc10845"/>
      <w:r>
        <w:rPr>
          <w:rFonts w:hint="eastAsia"/>
          <w:b/>
          <w:bCs/>
        </w:rPr>
        <w:t>二、事故原因分析</w:t>
      </w:r>
      <w:bookmarkEnd w:id="255"/>
      <w:bookmarkEnd w:id="256"/>
      <w:bookmarkEnd w:id="257"/>
    </w:p>
    <w:p>
      <w:pPr>
        <w:bidi w:val="0"/>
      </w:pPr>
      <w:r>
        <w:t>（1）在生产过程中</w:t>
      </w:r>
      <w:r>
        <w:rPr>
          <w:rFonts w:hint="eastAsia"/>
        </w:rPr>
        <w:t>泄漏</w:t>
      </w:r>
      <w:r>
        <w:t>事故的最大隐患</w:t>
      </w:r>
      <w:r>
        <w:rPr>
          <w:rFonts w:hint="eastAsia"/>
        </w:rPr>
        <w:t>，跑、冒、滴、漏</w:t>
      </w:r>
      <w:r>
        <w:t>。</w:t>
      </w:r>
    </w:p>
    <w:p>
      <w:pPr>
        <w:bidi w:val="0"/>
      </w:pPr>
      <w:r>
        <w:rPr>
          <w:rFonts w:hint="eastAsia"/>
        </w:rPr>
        <w:t>（2）管理不当，未按时巡检。</w:t>
      </w:r>
    </w:p>
    <w:p>
      <w:pPr>
        <w:bidi w:val="0"/>
      </w:pPr>
      <w:r>
        <w:t>（</w:t>
      </w:r>
      <w:r>
        <w:rPr>
          <w:rFonts w:hint="eastAsia"/>
        </w:rPr>
        <w:t>3</w:t>
      </w:r>
      <w:r>
        <w:t>）操作工人缺乏严格的安全培训制度，从业人员未经安全教育及培训，不懂如何防范和处理突发事故。操作过程缺少现场有针对性地防范措施。</w:t>
      </w:r>
    </w:p>
    <w:p>
      <w:pPr>
        <w:bidi w:val="0"/>
      </w:pPr>
      <w:r>
        <w:t>（</w:t>
      </w:r>
      <w:r>
        <w:rPr>
          <w:rFonts w:hint="eastAsia"/>
        </w:rPr>
        <w:t>4</w:t>
      </w:r>
      <w:r>
        <w:t>）操作人员对应急逃生路线不清楚，没有进行专业应急培训，在面对突发事件时处置措施不到位。</w:t>
      </w:r>
    </w:p>
    <w:p>
      <w:pPr>
        <w:bidi w:val="0"/>
        <w:rPr>
          <w:b/>
          <w:bCs/>
        </w:rPr>
      </w:pPr>
      <w:bookmarkStart w:id="258" w:name="_Toc32176"/>
      <w:bookmarkStart w:id="259" w:name="_Toc37591916"/>
      <w:bookmarkStart w:id="260" w:name="_Toc28542"/>
      <w:r>
        <w:rPr>
          <w:rFonts w:hint="eastAsia"/>
          <w:b/>
          <w:bCs/>
        </w:rPr>
        <w:t>三、事故预防措施</w:t>
      </w:r>
      <w:bookmarkEnd w:id="258"/>
      <w:bookmarkEnd w:id="259"/>
      <w:bookmarkEnd w:id="260"/>
    </w:p>
    <w:p>
      <w:pPr>
        <w:bidi w:val="0"/>
      </w:pPr>
      <w:r>
        <w:rPr>
          <w:rFonts w:hint="eastAsia"/>
        </w:rPr>
        <w:t>（1）加强企业安全管理，对厂区设备及管线经常进行巡视及检修，减少“跑、冒、漏、滴”现象。</w:t>
      </w:r>
    </w:p>
    <w:p>
      <w:pPr>
        <w:bidi w:val="0"/>
      </w:pPr>
      <w:r>
        <w:rPr>
          <w:rFonts w:hint="eastAsia"/>
        </w:rPr>
        <w:t>（2）企业从业人员进行安全教育，从业人员需取得相关操作证才能上岗。</w:t>
      </w:r>
    </w:p>
    <w:p>
      <w:pPr>
        <w:bidi w:val="0"/>
      </w:pPr>
      <w:r>
        <w:rPr>
          <w:rFonts w:hint="eastAsia"/>
        </w:rPr>
        <w:t>（3）严格按照操作规程执行，培训考核合格后上岗，严禁将一切火源带进危废储存间。</w:t>
      </w:r>
    </w:p>
    <w:p>
      <w:pPr>
        <w:bidi w:val="0"/>
      </w:pPr>
      <w:r>
        <w:rPr>
          <w:rFonts w:hint="eastAsia"/>
        </w:rPr>
        <w:t>（4）设置一体化控制系统，严格控制设备负荷量。</w:t>
      </w:r>
    </w:p>
    <w:p>
      <w:pPr>
        <w:bidi w:val="0"/>
      </w:pPr>
      <w:r>
        <w:rPr>
          <w:rFonts w:hint="eastAsia"/>
        </w:rPr>
        <w:t>（5）企业定期组织应急演练</w:t>
      </w:r>
    </w:p>
    <w:p>
      <w:pPr>
        <w:pStyle w:val="4"/>
        <w:bidi w:val="0"/>
      </w:pPr>
      <w:bookmarkStart w:id="261" w:name="_Toc17882"/>
      <w:bookmarkStart w:id="262" w:name="_Toc13624"/>
      <w:bookmarkStart w:id="263" w:name="_Toc26852"/>
      <w:bookmarkStart w:id="264" w:name="_Toc2725"/>
      <w:bookmarkStart w:id="265" w:name="_Toc21643"/>
      <w:bookmarkStart w:id="266" w:name="_Toc25614"/>
      <w:bookmarkStart w:id="267" w:name="_Toc12906"/>
      <w:bookmarkStart w:id="268" w:name="_Toc3535"/>
      <w:bookmarkStart w:id="269" w:name="_Toc16592"/>
      <w:bookmarkStart w:id="270" w:name="_Toc28939"/>
      <w:bookmarkStart w:id="271" w:name="_Toc37591917"/>
      <w:r>
        <w:rPr>
          <w:rFonts w:hint="eastAsia"/>
          <w:lang w:val="en-US" w:eastAsia="zh-CN"/>
        </w:rPr>
        <w:t>3</w:t>
      </w:r>
      <w:r>
        <w:rPr>
          <w:rFonts w:hint="eastAsia"/>
        </w:rPr>
        <w:t>.2</w:t>
      </w:r>
      <w:r>
        <w:t xml:space="preserve"> </w:t>
      </w:r>
      <w:r>
        <w:rPr>
          <w:rFonts w:hint="eastAsia"/>
        </w:rPr>
        <w:t>突发环境事件情景源强分析</w:t>
      </w:r>
      <w:bookmarkEnd w:id="261"/>
      <w:bookmarkEnd w:id="262"/>
      <w:bookmarkEnd w:id="263"/>
      <w:bookmarkEnd w:id="264"/>
      <w:bookmarkEnd w:id="265"/>
      <w:bookmarkEnd w:id="266"/>
      <w:bookmarkEnd w:id="267"/>
      <w:bookmarkEnd w:id="268"/>
      <w:bookmarkEnd w:id="269"/>
      <w:bookmarkEnd w:id="270"/>
      <w:bookmarkEnd w:id="271"/>
    </w:p>
    <w:p>
      <w:pPr>
        <w:pStyle w:val="5"/>
        <w:bidi w:val="0"/>
      </w:pPr>
      <w:bookmarkStart w:id="272" w:name="_Toc37591918"/>
      <w:bookmarkStart w:id="273" w:name="_Toc4558"/>
      <w:bookmarkStart w:id="274" w:name="_Toc4555"/>
      <w:bookmarkStart w:id="275" w:name="_Toc20372"/>
      <w:bookmarkStart w:id="276" w:name="_Toc187"/>
      <w:bookmarkStart w:id="277" w:name="_Toc428904854"/>
      <w:bookmarkStart w:id="278" w:name="_Toc13122"/>
      <w:bookmarkStart w:id="279" w:name="_Toc455741297"/>
      <w:bookmarkStart w:id="280" w:name="_Toc12321"/>
      <w:r>
        <w:rPr>
          <w:rFonts w:hint="eastAsia"/>
          <w:lang w:val="en-US" w:eastAsia="zh-CN"/>
        </w:rPr>
        <w:t>3</w:t>
      </w:r>
      <w:r>
        <w:rPr>
          <w:rFonts w:hint="eastAsia"/>
        </w:rPr>
        <w:t>.2.1</w:t>
      </w:r>
      <w:r>
        <w:t xml:space="preserve"> </w:t>
      </w:r>
      <w:r>
        <w:rPr>
          <w:rFonts w:hint="eastAsia"/>
        </w:rPr>
        <w:t>最大可信事故及风险类型</w:t>
      </w:r>
      <w:bookmarkEnd w:id="272"/>
      <w:bookmarkEnd w:id="273"/>
      <w:bookmarkEnd w:id="274"/>
      <w:bookmarkEnd w:id="275"/>
      <w:bookmarkEnd w:id="276"/>
      <w:bookmarkEnd w:id="277"/>
      <w:bookmarkEnd w:id="278"/>
      <w:bookmarkEnd w:id="279"/>
      <w:bookmarkEnd w:id="280"/>
    </w:p>
    <w:p>
      <w:pPr>
        <w:bidi w:val="0"/>
      </w:pPr>
      <w:r>
        <w:t>本项目涉及的物质属于中毒、低毒、微毒类物质，火灾危险类别为甲类，属于《建设项目环境风险评价技术导则》（HJ</w:t>
      </w:r>
      <w:r>
        <w:rPr>
          <w:rFonts w:hint="eastAsia"/>
        </w:rPr>
        <w:t>169</w:t>
      </w:r>
      <w:r>
        <w:t>-</w:t>
      </w:r>
      <w:r>
        <w:rPr>
          <w:rFonts w:hint="eastAsia"/>
        </w:rPr>
        <w:t>2018</w:t>
      </w:r>
      <w:r>
        <w:t>）规定其为</w:t>
      </w:r>
      <w:r>
        <w:rPr>
          <w:rFonts w:hint="eastAsia"/>
        </w:rPr>
        <w:t>“</w:t>
      </w:r>
      <w:r>
        <w:t>易燃液体</w:t>
      </w:r>
      <w:r>
        <w:rPr>
          <w:rFonts w:hint="eastAsia"/>
        </w:rPr>
        <w:t>”</w:t>
      </w:r>
      <w:r>
        <w:t>类物质。本项目潜在的危害是物料发生泄漏、中毒、火灾、爆炸事故。</w:t>
      </w:r>
    </w:p>
    <w:p>
      <w:pPr>
        <w:bidi w:val="0"/>
      </w:pPr>
      <w:r>
        <w:rPr>
          <w:rFonts w:hint="eastAsia"/>
        </w:rPr>
        <w:t>由项目使用的物料性质及生产运行系统危险性分析，设定最大可信事故为废机油储存、运输过程中发生泄漏，遇火源发生火灾事故。</w:t>
      </w:r>
    </w:p>
    <w:p>
      <w:pPr>
        <w:pStyle w:val="5"/>
        <w:bidi w:val="0"/>
      </w:pPr>
      <w:bookmarkStart w:id="281" w:name="_Toc1198"/>
      <w:bookmarkStart w:id="282" w:name="_Toc13689"/>
      <w:bookmarkStart w:id="283" w:name="_Toc19931"/>
      <w:bookmarkStart w:id="284" w:name="_Toc428904855"/>
      <w:bookmarkStart w:id="285" w:name="_Toc11255"/>
      <w:bookmarkStart w:id="286" w:name="_Toc26792"/>
      <w:bookmarkStart w:id="287" w:name="_Toc455741298"/>
      <w:bookmarkStart w:id="288" w:name="_Toc8309"/>
      <w:bookmarkStart w:id="289" w:name="_Toc37591919"/>
      <w:r>
        <w:rPr>
          <w:rFonts w:hint="eastAsia"/>
          <w:lang w:val="en-US" w:eastAsia="zh-CN"/>
        </w:rPr>
        <w:t>3</w:t>
      </w:r>
      <w:r>
        <w:rPr>
          <w:rFonts w:hint="eastAsia"/>
        </w:rPr>
        <w:t>.2.2</w:t>
      </w:r>
      <w:r>
        <w:t xml:space="preserve"> </w:t>
      </w:r>
      <w:r>
        <w:rPr>
          <w:rFonts w:hint="eastAsia"/>
        </w:rPr>
        <w:t>最大可信事故的确定</w:t>
      </w:r>
      <w:bookmarkEnd w:id="281"/>
      <w:bookmarkEnd w:id="282"/>
      <w:bookmarkEnd w:id="283"/>
      <w:bookmarkEnd w:id="284"/>
      <w:bookmarkEnd w:id="285"/>
      <w:bookmarkEnd w:id="286"/>
      <w:bookmarkEnd w:id="287"/>
      <w:bookmarkEnd w:id="288"/>
      <w:bookmarkEnd w:id="289"/>
    </w:p>
    <w:p>
      <w:pPr>
        <w:bidi w:val="0"/>
      </w:pPr>
      <w:r>
        <w:rPr>
          <w:rFonts w:hint="eastAsia"/>
        </w:rPr>
        <w:t>根据《建设项目环境风险评价技术导则》（HJ/T169-2018）的定义，最大可信事故是指在所有预测的概率不为零的事故中，对环境（或健康）危害最严重的重大事故。</w:t>
      </w:r>
    </w:p>
    <w:p>
      <w:pPr>
        <w:bidi w:val="0"/>
      </w:pPr>
      <w:r>
        <w:rPr>
          <w:rFonts w:hint="eastAsia"/>
        </w:rPr>
        <w:t>根据使用危险品行业的有关资料对引发风险事故概率的介绍，</w:t>
      </w:r>
      <w:r>
        <w:t>油品储罐破裂泄露的事故概率取1.0×10-5 次/年</w:t>
      </w:r>
      <w:r>
        <w:rPr>
          <w:rFonts w:hint="eastAsia"/>
        </w:rPr>
        <w:t>；</w:t>
      </w:r>
      <w:r>
        <w:t>泄露油料发生火灾的概率取8.7×10-6次/年。</w:t>
      </w:r>
      <w:r>
        <w:rPr>
          <w:rFonts w:hint="eastAsia"/>
        </w:rPr>
        <w:t>综合上述分析，本项目发生事故主要部位为危废储存间危废泄露，以及储油容器发生爆炸、火灾等。主要事故类型为液体泄漏后造成火灾爆炸事件等。</w:t>
      </w:r>
    </w:p>
    <w:p>
      <w:pPr>
        <w:pStyle w:val="5"/>
        <w:bidi w:val="0"/>
      </w:pPr>
      <w:bookmarkStart w:id="290" w:name="_Toc31146"/>
      <w:bookmarkStart w:id="291" w:name="_Toc428904856"/>
      <w:bookmarkStart w:id="292" w:name="_Toc31886"/>
      <w:bookmarkStart w:id="293" w:name="_Toc455741299"/>
      <w:bookmarkStart w:id="294" w:name="_Toc10417"/>
      <w:bookmarkStart w:id="295" w:name="_Toc4974"/>
      <w:bookmarkStart w:id="296" w:name="_Toc2043"/>
      <w:bookmarkStart w:id="297" w:name="_Toc14575"/>
      <w:bookmarkStart w:id="298" w:name="_Toc37591920"/>
      <w:r>
        <w:rPr>
          <w:rFonts w:hint="eastAsia"/>
          <w:lang w:val="en-US" w:eastAsia="zh-CN"/>
        </w:rPr>
        <w:t>3</w:t>
      </w:r>
      <w:r>
        <w:rPr>
          <w:rFonts w:hint="eastAsia"/>
        </w:rPr>
        <w:t>.2.3</w:t>
      </w:r>
      <w:r>
        <w:t xml:space="preserve"> </w:t>
      </w:r>
      <w:r>
        <w:rPr>
          <w:rFonts w:hint="eastAsia"/>
        </w:rPr>
        <w:t>事故源强分析</w:t>
      </w:r>
      <w:bookmarkEnd w:id="290"/>
      <w:bookmarkEnd w:id="291"/>
      <w:bookmarkEnd w:id="292"/>
      <w:bookmarkEnd w:id="293"/>
      <w:bookmarkEnd w:id="294"/>
      <w:bookmarkEnd w:id="295"/>
      <w:bookmarkEnd w:id="296"/>
      <w:bookmarkEnd w:id="297"/>
      <w:bookmarkEnd w:id="298"/>
    </w:p>
    <w:p>
      <w:pPr>
        <w:bidi w:val="0"/>
      </w:pPr>
      <w:bookmarkStart w:id="299" w:name="_Toc15499"/>
      <w:r>
        <w:t>本预案根据</w:t>
      </w:r>
      <w:r>
        <w:rPr>
          <w:rFonts w:hint="eastAsia"/>
        </w:rPr>
        <w:t>南昌瀛宇金属制品有限公司</w:t>
      </w:r>
      <w:r>
        <w:t>的运行状况、原辅材料、生产工艺和污染物危险特性、生产设备特点等，对工程运行可能存在的环境风险源及突发环境事件进行统计，其统计情况见下表。</w:t>
      </w:r>
    </w:p>
    <w:p>
      <w:pPr>
        <w:pStyle w:val="28"/>
        <w:bidi w:val="0"/>
      </w:pPr>
      <w:r>
        <w:rPr>
          <w:rFonts w:hint="eastAsia"/>
        </w:rPr>
        <w:t>表</w:t>
      </w:r>
      <w:r>
        <w:rPr>
          <w:rFonts w:hint="eastAsia"/>
          <w:lang w:val="en-US" w:eastAsia="zh-CN"/>
        </w:rPr>
        <w:t>3</w:t>
      </w:r>
      <w:r>
        <w:rPr>
          <w:rFonts w:hint="eastAsia"/>
        </w:rPr>
        <w:t>.2</w:t>
      </w:r>
      <w:r>
        <w:rPr>
          <w:rFonts w:hint="eastAsia"/>
          <w:lang w:val="en-US" w:eastAsia="zh-CN"/>
        </w:rPr>
        <w:t>.3</w:t>
      </w:r>
      <w:r>
        <w:rPr>
          <w:rFonts w:hint="eastAsia"/>
        </w:rPr>
        <w:t>-1</w:t>
      </w:r>
      <w:r>
        <w:t xml:space="preserve"> </w:t>
      </w:r>
      <w:r>
        <w:rPr>
          <w:rFonts w:hint="eastAsia"/>
        </w:rPr>
        <w:t>南昌瀛宇金属制品有限公司环境风险源统计表</w:t>
      </w:r>
    </w:p>
    <w:tbl>
      <w:tblPr>
        <w:tblStyle w:val="23"/>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742"/>
        <w:gridCol w:w="1744"/>
        <w:gridCol w:w="1742"/>
        <w:gridCol w:w="1784"/>
        <w:gridCol w:w="170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1999" w:type="pct"/>
            <w:gridSpan w:val="2"/>
            <w:tcBorders>
              <w:bottom w:val="single" w:color="auto" w:sz="12" w:space="0"/>
            </w:tcBorders>
            <w:vAlign w:val="center"/>
          </w:tcPr>
          <w:p>
            <w:pPr>
              <w:pStyle w:val="39"/>
              <w:widowControl w:val="0"/>
              <w:bidi w:val="0"/>
              <w:rPr>
                <w:b/>
                <w:bCs/>
              </w:rPr>
            </w:pPr>
            <w:r>
              <w:rPr>
                <w:b/>
                <w:bCs/>
              </w:rPr>
              <w:t>环境风险源</w:t>
            </w:r>
          </w:p>
        </w:tc>
        <w:tc>
          <w:tcPr>
            <w:tcW w:w="999" w:type="pct"/>
            <w:tcBorders>
              <w:bottom w:val="single" w:color="auto" w:sz="12" w:space="0"/>
            </w:tcBorders>
            <w:vAlign w:val="center"/>
          </w:tcPr>
          <w:p>
            <w:pPr>
              <w:pStyle w:val="39"/>
              <w:widowControl w:val="0"/>
              <w:bidi w:val="0"/>
              <w:rPr>
                <w:b/>
                <w:bCs/>
              </w:rPr>
            </w:pPr>
            <w:r>
              <w:rPr>
                <w:b/>
                <w:bCs/>
              </w:rPr>
              <w:t>事故原因</w:t>
            </w:r>
          </w:p>
        </w:tc>
        <w:tc>
          <w:tcPr>
            <w:tcW w:w="1023" w:type="pct"/>
            <w:tcBorders>
              <w:bottom w:val="single" w:color="auto" w:sz="12" w:space="0"/>
            </w:tcBorders>
            <w:vAlign w:val="center"/>
          </w:tcPr>
          <w:p>
            <w:pPr>
              <w:pStyle w:val="39"/>
              <w:widowControl w:val="0"/>
              <w:bidi w:val="0"/>
              <w:rPr>
                <w:b/>
                <w:bCs/>
              </w:rPr>
            </w:pPr>
            <w:r>
              <w:rPr>
                <w:b/>
                <w:bCs/>
              </w:rPr>
              <w:t>影响范围</w:t>
            </w:r>
          </w:p>
        </w:tc>
        <w:tc>
          <w:tcPr>
            <w:tcW w:w="977" w:type="pct"/>
            <w:tcBorders>
              <w:bottom w:val="single" w:color="auto" w:sz="12" w:space="0"/>
            </w:tcBorders>
            <w:vAlign w:val="center"/>
          </w:tcPr>
          <w:p>
            <w:pPr>
              <w:pStyle w:val="39"/>
              <w:widowControl w:val="0"/>
              <w:bidi w:val="0"/>
              <w:rPr>
                <w:b/>
                <w:bCs/>
              </w:rPr>
            </w:pPr>
            <w:r>
              <w:rPr>
                <w:b/>
                <w:bCs/>
              </w:rPr>
              <w:t>事故易发场所</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99" w:type="pct"/>
            <w:tcBorders>
              <w:top w:val="single" w:color="auto" w:sz="12" w:space="0"/>
              <w:tl2br w:val="nil"/>
              <w:tr2bl w:val="nil"/>
            </w:tcBorders>
            <w:vAlign w:val="center"/>
          </w:tcPr>
          <w:p>
            <w:pPr>
              <w:pStyle w:val="39"/>
              <w:widowControl w:val="0"/>
              <w:bidi w:val="0"/>
            </w:pPr>
            <w:r>
              <w:t>污水非正常排放</w:t>
            </w:r>
          </w:p>
        </w:tc>
        <w:tc>
          <w:tcPr>
            <w:tcW w:w="1000" w:type="pct"/>
            <w:tcBorders>
              <w:top w:val="single" w:color="auto" w:sz="12" w:space="0"/>
              <w:tl2br w:val="nil"/>
              <w:tr2bl w:val="nil"/>
            </w:tcBorders>
            <w:vAlign w:val="center"/>
          </w:tcPr>
          <w:p>
            <w:pPr>
              <w:pStyle w:val="39"/>
              <w:widowControl w:val="0"/>
              <w:bidi w:val="0"/>
            </w:pPr>
            <w:r>
              <w:t>因各种原因导致尾水排放超过设计</w:t>
            </w:r>
            <w:r>
              <w:rPr>
                <w:highlight w:val="none"/>
              </w:rPr>
              <w:t>出水</w:t>
            </w:r>
            <w:r>
              <w:t>水质标准</w:t>
            </w:r>
          </w:p>
        </w:tc>
        <w:tc>
          <w:tcPr>
            <w:tcW w:w="999" w:type="pct"/>
            <w:tcBorders>
              <w:top w:val="single" w:color="auto" w:sz="12" w:space="0"/>
              <w:tl2br w:val="nil"/>
              <w:tr2bl w:val="nil"/>
            </w:tcBorders>
            <w:vAlign w:val="center"/>
          </w:tcPr>
          <w:p>
            <w:pPr>
              <w:pStyle w:val="39"/>
              <w:widowControl w:val="0"/>
              <w:bidi w:val="0"/>
            </w:pPr>
            <w:r>
              <w:t>进水水质异常、停电、污水处理系统出现故障（如</w:t>
            </w:r>
            <w:r>
              <w:rPr>
                <w:rFonts w:hint="eastAsia"/>
              </w:rPr>
              <w:t>系统故障</w:t>
            </w:r>
            <w:r>
              <w:t>、</w:t>
            </w:r>
            <w:r>
              <w:rPr>
                <w:rFonts w:hint="eastAsia"/>
              </w:rPr>
              <w:t>离心泵</w:t>
            </w:r>
            <w:r>
              <w:t>、加药设备、</w:t>
            </w:r>
            <w:r>
              <w:rPr>
                <w:rFonts w:hint="eastAsia"/>
              </w:rPr>
              <w:t>过滤器</w:t>
            </w:r>
            <w:r>
              <w:rPr>
                <w:highlight w:val="none"/>
              </w:rPr>
              <w:t>及其它</w:t>
            </w:r>
            <w:r>
              <w:t>设备故障等）</w:t>
            </w:r>
          </w:p>
        </w:tc>
        <w:tc>
          <w:tcPr>
            <w:tcW w:w="1023" w:type="pct"/>
            <w:tcBorders>
              <w:top w:val="single" w:color="auto" w:sz="12" w:space="0"/>
              <w:tl2br w:val="nil"/>
              <w:tr2bl w:val="nil"/>
            </w:tcBorders>
            <w:vAlign w:val="center"/>
          </w:tcPr>
          <w:p>
            <w:pPr>
              <w:pStyle w:val="39"/>
              <w:widowControl w:val="0"/>
              <w:bidi w:val="0"/>
            </w:pPr>
            <w:r>
              <w:t>直接</w:t>
            </w:r>
            <w:r>
              <w:rPr>
                <w:highlight w:val="none"/>
              </w:rPr>
              <w:t>对纳</w:t>
            </w:r>
            <w:r>
              <w:t>污水体</w:t>
            </w:r>
          </w:p>
          <w:p>
            <w:pPr>
              <w:pStyle w:val="39"/>
              <w:widowControl w:val="0"/>
              <w:bidi w:val="0"/>
            </w:pPr>
            <w:r>
              <w:t>的水质造成影响</w:t>
            </w:r>
          </w:p>
        </w:tc>
        <w:tc>
          <w:tcPr>
            <w:tcW w:w="977" w:type="pct"/>
            <w:tcBorders>
              <w:top w:val="single" w:color="auto" w:sz="12" w:space="0"/>
              <w:tl2br w:val="nil"/>
              <w:tr2bl w:val="nil"/>
            </w:tcBorders>
            <w:vAlign w:val="center"/>
          </w:tcPr>
          <w:p>
            <w:pPr>
              <w:pStyle w:val="39"/>
              <w:widowControl w:val="0"/>
              <w:bidi w:val="0"/>
            </w:pPr>
            <w:r>
              <w:rPr>
                <w:rFonts w:hint="eastAsia"/>
              </w:rPr>
              <w:t>污水处理站</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999" w:type="pct"/>
            <w:gridSpan w:val="2"/>
            <w:vMerge w:val="restart"/>
            <w:tcBorders>
              <w:tl2br w:val="nil"/>
              <w:tr2bl w:val="nil"/>
            </w:tcBorders>
            <w:vAlign w:val="center"/>
          </w:tcPr>
          <w:p>
            <w:pPr>
              <w:pStyle w:val="39"/>
              <w:widowControl w:val="0"/>
              <w:bidi w:val="0"/>
            </w:pPr>
            <w:r>
              <w:rPr>
                <w:rFonts w:hint="eastAsia"/>
              </w:rPr>
              <w:t>原辅料</w:t>
            </w:r>
            <w:r>
              <w:t>泄漏事故</w:t>
            </w:r>
          </w:p>
        </w:tc>
        <w:tc>
          <w:tcPr>
            <w:tcW w:w="999" w:type="pct"/>
            <w:tcBorders>
              <w:tl2br w:val="nil"/>
              <w:tr2bl w:val="nil"/>
            </w:tcBorders>
            <w:vAlign w:val="center"/>
          </w:tcPr>
          <w:p>
            <w:pPr>
              <w:pStyle w:val="39"/>
              <w:widowControl w:val="0"/>
              <w:bidi w:val="0"/>
            </w:pPr>
            <w:r>
              <w:rPr>
                <w:rFonts w:hint="eastAsia"/>
              </w:rPr>
              <w:t>防锈剂发生泄漏</w:t>
            </w:r>
          </w:p>
        </w:tc>
        <w:tc>
          <w:tcPr>
            <w:tcW w:w="1023" w:type="pct"/>
            <w:tcBorders>
              <w:tl2br w:val="nil"/>
              <w:tr2bl w:val="nil"/>
            </w:tcBorders>
            <w:vAlign w:val="center"/>
          </w:tcPr>
          <w:p>
            <w:pPr>
              <w:pStyle w:val="39"/>
              <w:widowControl w:val="0"/>
              <w:bidi w:val="0"/>
            </w:pPr>
            <w:r>
              <w:rPr>
                <w:rFonts w:hint="eastAsia"/>
              </w:rPr>
              <w:t>可能对周边环境造成影响</w:t>
            </w:r>
          </w:p>
        </w:tc>
        <w:tc>
          <w:tcPr>
            <w:tcW w:w="977" w:type="pct"/>
            <w:tcBorders>
              <w:tl2br w:val="nil"/>
              <w:tr2bl w:val="nil"/>
            </w:tcBorders>
            <w:vAlign w:val="center"/>
          </w:tcPr>
          <w:p>
            <w:pPr>
              <w:pStyle w:val="39"/>
              <w:widowControl w:val="0"/>
              <w:bidi w:val="0"/>
              <w:rPr>
                <w:rFonts w:hint="default" w:eastAsia="宋体"/>
                <w:lang w:val="en-US" w:eastAsia="zh-CN"/>
              </w:rPr>
            </w:pPr>
            <w:r>
              <w:rPr>
                <w:rFonts w:hint="eastAsia"/>
                <w:lang w:val="en-US" w:eastAsia="zh-CN"/>
              </w:rPr>
              <w:t>原辅料仓库</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999" w:type="pct"/>
            <w:gridSpan w:val="2"/>
            <w:vMerge w:val="continue"/>
            <w:tcBorders>
              <w:tl2br w:val="nil"/>
              <w:tr2bl w:val="nil"/>
            </w:tcBorders>
            <w:vAlign w:val="center"/>
          </w:tcPr>
          <w:p>
            <w:pPr>
              <w:pStyle w:val="39"/>
              <w:widowControl w:val="0"/>
              <w:bidi w:val="0"/>
            </w:pPr>
          </w:p>
        </w:tc>
        <w:tc>
          <w:tcPr>
            <w:tcW w:w="999" w:type="pct"/>
            <w:tcBorders>
              <w:tl2br w:val="nil"/>
              <w:tr2bl w:val="nil"/>
            </w:tcBorders>
            <w:vAlign w:val="center"/>
          </w:tcPr>
          <w:p>
            <w:pPr>
              <w:pStyle w:val="39"/>
              <w:widowControl w:val="0"/>
              <w:bidi w:val="0"/>
            </w:pPr>
            <w:r>
              <w:rPr>
                <w:rFonts w:hint="eastAsia"/>
              </w:rPr>
              <w:t>脱脂剂发生泄漏</w:t>
            </w:r>
          </w:p>
        </w:tc>
        <w:tc>
          <w:tcPr>
            <w:tcW w:w="1023" w:type="pct"/>
            <w:tcBorders>
              <w:tl2br w:val="nil"/>
              <w:tr2bl w:val="nil"/>
            </w:tcBorders>
            <w:vAlign w:val="center"/>
          </w:tcPr>
          <w:p>
            <w:pPr>
              <w:pStyle w:val="39"/>
              <w:widowControl w:val="0"/>
              <w:bidi w:val="0"/>
            </w:pPr>
            <w:r>
              <w:rPr>
                <w:rFonts w:hint="eastAsia"/>
              </w:rPr>
              <w:t>可能对周边环境造成影响</w:t>
            </w:r>
          </w:p>
        </w:tc>
        <w:tc>
          <w:tcPr>
            <w:tcW w:w="977" w:type="pct"/>
            <w:tcBorders>
              <w:tl2br w:val="nil"/>
              <w:tr2bl w:val="nil"/>
            </w:tcBorders>
            <w:vAlign w:val="center"/>
          </w:tcPr>
          <w:p>
            <w:pPr>
              <w:pStyle w:val="39"/>
              <w:widowControl w:val="0"/>
              <w:bidi w:val="0"/>
              <w:rPr>
                <w:rFonts w:hint="default" w:eastAsia="宋体"/>
                <w:lang w:val="en-US" w:eastAsia="zh-CN"/>
              </w:rPr>
            </w:pPr>
            <w:r>
              <w:rPr>
                <w:rFonts w:hint="eastAsia"/>
                <w:lang w:val="en-US" w:eastAsia="zh-CN"/>
              </w:rPr>
              <w:t>原辅料仓库</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999" w:type="pct"/>
            <w:gridSpan w:val="2"/>
            <w:tcBorders>
              <w:tl2br w:val="nil"/>
              <w:tr2bl w:val="nil"/>
            </w:tcBorders>
            <w:vAlign w:val="center"/>
          </w:tcPr>
          <w:p>
            <w:pPr>
              <w:pStyle w:val="39"/>
              <w:widowControl w:val="0"/>
              <w:bidi w:val="0"/>
            </w:pPr>
            <w:r>
              <w:rPr>
                <w:rFonts w:hint="eastAsia"/>
              </w:rPr>
              <w:t>危险废物贮存场所</w:t>
            </w:r>
            <w:r>
              <w:rPr>
                <w:rFonts w:hint="eastAsia"/>
                <w:highlight w:val="none"/>
              </w:rPr>
              <w:t>泄</w:t>
            </w:r>
            <w:r>
              <w:rPr>
                <w:rFonts w:hint="eastAsia"/>
                <w:highlight w:val="none"/>
                <w:lang w:val="en-US" w:eastAsia="zh-CN"/>
              </w:rPr>
              <w:t>漏</w:t>
            </w:r>
            <w:r>
              <w:rPr>
                <w:rFonts w:hint="eastAsia"/>
                <w:highlight w:val="none"/>
              </w:rPr>
              <w:t>事故</w:t>
            </w:r>
          </w:p>
        </w:tc>
        <w:tc>
          <w:tcPr>
            <w:tcW w:w="999" w:type="pct"/>
            <w:tcBorders>
              <w:tl2br w:val="nil"/>
              <w:tr2bl w:val="nil"/>
            </w:tcBorders>
            <w:vAlign w:val="center"/>
          </w:tcPr>
          <w:p>
            <w:pPr>
              <w:pStyle w:val="39"/>
              <w:widowControl w:val="0"/>
              <w:bidi w:val="0"/>
            </w:pPr>
            <w:r>
              <w:rPr>
                <w:rFonts w:hint="eastAsia"/>
              </w:rPr>
              <w:t>危险废物贮存场所容器破裂发生泄露</w:t>
            </w:r>
          </w:p>
        </w:tc>
        <w:tc>
          <w:tcPr>
            <w:tcW w:w="1023" w:type="pct"/>
            <w:tcBorders>
              <w:tl2br w:val="nil"/>
              <w:tr2bl w:val="nil"/>
            </w:tcBorders>
            <w:vAlign w:val="center"/>
          </w:tcPr>
          <w:p>
            <w:pPr>
              <w:pStyle w:val="39"/>
              <w:widowControl w:val="0"/>
              <w:bidi w:val="0"/>
            </w:pPr>
            <w:r>
              <w:rPr>
                <w:rFonts w:hint="eastAsia"/>
              </w:rPr>
              <w:t>可能对周边环境造成影响</w:t>
            </w:r>
          </w:p>
        </w:tc>
        <w:tc>
          <w:tcPr>
            <w:tcW w:w="977" w:type="pct"/>
            <w:tcBorders>
              <w:tl2br w:val="nil"/>
              <w:tr2bl w:val="nil"/>
            </w:tcBorders>
            <w:vAlign w:val="center"/>
          </w:tcPr>
          <w:p>
            <w:pPr>
              <w:pStyle w:val="39"/>
              <w:widowControl w:val="0"/>
              <w:bidi w:val="0"/>
            </w:pPr>
            <w:r>
              <w:rPr>
                <w:rFonts w:hint="eastAsia"/>
              </w:rPr>
              <w:t>污水站事故池</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999" w:type="pct"/>
            <w:gridSpan w:val="2"/>
            <w:tcBorders>
              <w:tl2br w:val="nil"/>
              <w:tr2bl w:val="nil"/>
            </w:tcBorders>
            <w:vAlign w:val="center"/>
          </w:tcPr>
          <w:p>
            <w:pPr>
              <w:pStyle w:val="39"/>
              <w:widowControl w:val="0"/>
              <w:bidi w:val="0"/>
            </w:pPr>
            <w:r>
              <w:rPr>
                <w:rFonts w:hint="eastAsia"/>
              </w:rPr>
              <w:t>火灾、爆炸事故</w:t>
            </w:r>
          </w:p>
        </w:tc>
        <w:tc>
          <w:tcPr>
            <w:tcW w:w="999" w:type="pct"/>
            <w:tcBorders>
              <w:tl2br w:val="nil"/>
              <w:tr2bl w:val="nil"/>
            </w:tcBorders>
            <w:vAlign w:val="center"/>
          </w:tcPr>
          <w:p>
            <w:pPr>
              <w:pStyle w:val="39"/>
              <w:widowControl w:val="0"/>
              <w:bidi w:val="0"/>
            </w:pPr>
            <w:r>
              <w:rPr>
                <w:rFonts w:hint="eastAsia"/>
              </w:rPr>
              <w:t>危险废物贮存场所废机油遇明火、气温太高等</w:t>
            </w:r>
          </w:p>
        </w:tc>
        <w:tc>
          <w:tcPr>
            <w:tcW w:w="1023" w:type="pct"/>
            <w:tcBorders>
              <w:tl2br w:val="nil"/>
              <w:tr2bl w:val="nil"/>
            </w:tcBorders>
            <w:vAlign w:val="center"/>
          </w:tcPr>
          <w:p>
            <w:pPr>
              <w:pStyle w:val="39"/>
              <w:widowControl w:val="0"/>
              <w:bidi w:val="0"/>
            </w:pPr>
            <w:r>
              <w:rPr>
                <w:rFonts w:hint="eastAsia"/>
              </w:rPr>
              <w:t>整个厂区工作人员，可能对周边环境造成影响</w:t>
            </w:r>
          </w:p>
        </w:tc>
        <w:tc>
          <w:tcPr>
            <w:tcW w:w="977" w:type="pct"/>
            <w:tcBorders>
              <w:tl2br w:val="nil"/>
              <w:tr2bl w:val="nil"/>
            </w:tcBorders>
            <w:vAlign w:val="center"/>
          </w:tcPr>
          <w:p>
            <w:pPr>
              <w:pStyle w:val="39"/>
              <w:widowControl w:val="0"/>
              <w:bidi w:val="0"/>
            </w:pPr>
            <w:r>
              <w:rPr>
                <w:rFonts w:hint="eastAsia"/>
              </w:rPr>
              <w:t>危险废物贮存场所</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999" w:type="pct"/>
            <w:gridSpan w:val="2"/>
            <w:tcBorders>
              <w:tl2br w:val="nil"/>
              <w:tr2bl w:val="nil"/>
            </w:tcBorders>
            <w:vAlign w:val="center"/>
          </w:tcPr>
          <w:p>
            <w:pPr>
              <w:pStyle w:val="39"/>
              <w:widowControl w:val="0"/>
              <w:bidi w:val="0"/>
            </w:pPr>
            <w:r>
              <w:rPr>
                <w:rFonts w:hint="eastAsia"/>
              </w:rPr>
              <w:t>事故废水排放</w:t>
            </w:r>
          </w:p>
        </w:tc>
        <w:tc>
          <w:tcPr>
            <w:tcW w:w="999" w:type="pct"/>
            <w:tcBorders>
              <w:tl2br w:val="nil"/>
              <w:tr2bl w:val="nil"/>
            </w:tcBorders>
            <w:vAlign w:val="center"/>
          </w:tcPr>
          <w:p>
            <w:pPr>
              <w:pStyle w:val="39"/>
              <w:widowControl w:val="0"/>
              <w:bidi w:val="0"/>
            </w:pPr>
            <w:r>
              <w:rPr>
                <w:rFonts w:hint="eastAsia"/>
              </w:rPr>
              <w:t>受污染雨水及消防废水不受控制，随地面漫流</w:t>
            </w:r>
          </w:p>
        </w:tc>
        <w:tc>
          <w:tcPr>
            <w:tcW w:w="1023" w:type="pct"/>
            <w:tcBorders>
              <w:tl2br w:val="nil"/>
              <w:tr2bl w:val="nil"/>
            </w:tcBorders>
            <w:vAlign w:val="center"/>
          </w:tcPr>
          <w:p>
            <w:pPr>
              <w:pStyle w:val="39"/>
              <w:widowControl w:val="0"/>
              <w:bidi w:val="0"/>
            </w:pPr>
            <w:r>
              <w:rPr>
                <w:rFonts w:hint="eastAsia"/>
              </w:rPr>
              <w:t>可能对地下水造成污染，可能对周边土壤造成影响</w:t>
            </w:r>
          </w:p>
        </w:tc>
        <w:tc>
          <w:tcPr>
            <w:tcW w:w="977" w:type="pct"/>
            <w:tcBorders>
              <w:tl2br w:val="nil"/>
              <w:tr2bl w:val="nil"/>
            </w:tcBorders>
            <w:vAlign w:val="center"/>
          </w:tcPr>
          <w:p>
            <w:pPr>
              <w:pStyle w:val="39"/>
              <w:widowControl w:val="0"/>
              <w:bidi w:val="0"/>
            </w:pPr>
            <w:r>
              <w:rPr>
                <w:rFonts w:hint="eastAsia"/>
              </w:rPr>
              <w:t>危险废物贮存场所、污水处理站</w:t>
            </w:r>
          </w:p>
        </w:tc>
      </w:tr>
    </w:tbl>
    <w:p>
      <w:pPr>
        <w:pStyle w:val="5"/>
        <w:bidi w:val="0"/>
      </w:pPr>
      <w:bookmarkStart w:id="300" w:name="_Toc26950"/>
      <w:bookmarkEnd w:id="300"/>
      <w:bookmarkStart w:id="301" w:name="_Toc27699"/>
      <w:bookmarkStart w:id="302" w:name="_Toc29580"/>
      <w:bookmarkStart w:id="303" w:name="_Toc37591921"/>
      <w:bookmarkStart w:id="304" w:name="_Toc7178"/>
      <w:bookmarkStart w:id="305" w:name="_Toc13126"/>
      <w:bookmarkStart w:id="306" w:name="_Toc4201"/>
      <w:bookmarkStart w:id="307" w:name="_Toc29927"/>
      <w:bookmarkStart w:id="308" w:name="_Toc21365"/>
      <w:bookmarkStart w:id="309" w:name="_Toc3723"/>
      <w:bookmarkStart w:id="310" w:name="_Toc18425"/>
      <w:r>
        <w:rPr>
          <w:rFonts w:hint="eastAsia"/>
          <w:lang w:val="en-US" w:eastAsia="zh-CN"/>
        </w:rPr>
        <w:t>3</w:t>
      </w:r>
      <w:r>
        <w:rPr>
          <w:rFonts w:hint="eastAsia"/>
        </w:rPr>
        <w:t>.2.4 废水事故排放突发环境事件分析</w:t>
      </w:r>
      <w:bookmarkEnd w:id="301"/>
      <w:bookmarkEnd w:id="302"/>
      <w:bookmarkEnd w:id="303"/>
      <w:bookmarkEnd w:id="304"/>
      <w:bookmarkEnd w:id="305"/>
      <w:bookmarkEnd w:id="306"/>
      <w:bookmarkEnd w:id="307"/>
      <w:bookmarkEnd w:id="308"/>
    </w:p>
    <w:p>
      <w:pPr>
        <w:pStyle w:val="6"/>
        <w:bidi w:val="0"/>
      </w:pPr>
      <w:r>
        <w:rPr>
          <w:rFonts w:hint="eastAsia"/>
          <w:lang w:val="en-US" w:eastAsia="zh-CN"/>
        </w:rPr>
        <w:t>3</w:t>
      </w:r>
      <w:r>
        <w:rPr>
          <w:rFonts w:hint="eastAsia"/>
        </w:rPr>
        <w:t>.2.4.1</w:t>
      </w:r>
      <w:r>
        <w:t xml:space="preserve"> </w:t>
      </w:r>
      <w:r>
        <w:rPr>
          <w:rFonts w:hint="eastAsia"/>
        </w:rPr>
        <w:t>废水</w:t>
      </w:r>
    </w:p>
    <w:p>
      <w:pPr>
        <w:bidi w:val="0"/>
      </w:pPr>
      <w:r>
        <w:rPr>
          <w:rFonts w:hint="eastAsia"/>
        </w:rPr>
        <w:t>项目污水经厂内污水</w:t>
      </w:r>
      <w:r>
        <w:rPr>
          <w:rFonts w:hint="eastAsia"/>
          <w:highlight w:val="none"/>
        </w:rPr>
        <w:t>处理</w:t>
      </w:r>
      <w:r>
        <w:rPr>
          <w:rFonts w:hint="eastAsia"/>
        </w:rPr>
        <w:t>后排入污水市政管网，进入白水湖污水处理厂处理后排入赣江北支</w:t>
      </w:r>
      <w:r>
        <w:t>。以最不利情况，假设尾水直接排入</w:t>
      </w:r>
      <w:r>
        <w:rPr>
          <w:rFonts w:hint="eastAsia"/>
        </w:rPr>
        <w:t>白水湖污水处理厂</w:t>
      </w:r>
      <w:r>
        <w:t>，</w:t>
      </w:r>
      <w:r>
        <w:rPr>
          <w:rFonts w:hint="eastAsia"/>
        </w:rPr>
        <w:t>项目生产废水为626m³每年，1.72m³每天的排放量</w:t>
      </w:r>
      <w:r>
        <w:t>。</w:t>
      </w:r>
      <w:r>
        <w:rPr>
          <w:rFonts w:hint="eastAsia"/>
        </w:rPr>
        <w:t>分析可知</w:t>
      </w:r>
      <w:r>
        <w:t>，</w:t>
      </w:r>
      <w:r>
        <w:rPr>
          <w:rFonts w:hint="eastAsia"/>
        </w:rPr>
        <w:t>由于排放量较小，</w:t>
      </w:r>
      <w:r>
        <w:rPr>
          <w:highlight w:val="none"/>
        </w:rPr>
        <w:t>尾水</w:t>
      </w:r>
      <w:r>
        <w:t>在</w:t>
      </w:r>
      <w:r>
        <w:rPr>
          <w:rFonts w:hint="eastAsia"/>
        </w:rPr>
        <w:t>市政管网中</w:t>
      </w:r>
      <w:r>
        <w:t>降解</w:t>
      </w:r>
      <w:r>
        <w:rPr>
          <w:rFonts w:hint="eastAsia"/>
        </w:rPr>
        <w:t>稀释。经调查白水湖污水处理厂日处理量为10000吨，</w:t>
      </w:r>
      <w:r>
        <w:t>尾水直接排入</w:t>
      </w:r>
      <w:r>
        <w:rPr>
          <w:rFonts w:hint="eastAsia"/>
        </w:rPr>
        <w:t>白水湖污水处理厂</w:t>
      </w:r>
      <w:r>
        <w:t>的情况下</w:t>
      </w:r>
      <w:r>
        <w:rPr>
          <w:rFonts w:hint="eastAsia"/>
        </w:rPr>
        <w:t>，对白水湖污水处理厂影响较小</w:t>
      </w:r>
      <w:r>
        <w:t>。</w:t>
      </w:r>
    </w:p>
    <w:p>
      <w:pPr>
        <w:pStyle w:val="6"/>
        <w:bidi w:val="0"/>
      </w:pPr>
      <w:bookmarkStart w:id="311" w:name="_Toc24161"/>
      <w:r>
        <w:rPr>
          <w:rFonts w:hint="eastAsia"/>
          <w:lang w:val="en-US" w:eastAsia="zh-CN"/>
        </w:rPr>
        <w:t>3</w:t>
      </w:r>
      <w:r>
        <w:rPr>
          <w:rFonts w:hint="eastAsia"/>
        </w:rPr>
        <w:t>.2.4.2 地下水</w:t>
      </w:r>
    </w:p>
    <w:p>
      <w:pPr>
        <w:bidi w:val="0"/>
      </w:pPr>
      <w:r>
        <w:t>本项目对地下水污染的途径主要是</w:t>
      </w:r>
      <w:r>
        <w:rPr>
          <w:rFonts w:hint="eastAsia"/>
        </w:rPr>
        <w:t>污水站生产废水收集池</w:t>
      </w:r>
      <w:r>
        <w:t>、</w:t>
      </w:r>
      <w:r>
        <w:rPr>
          <w:rFonts w:hint="eastAsia"/>
        </w:rPr>
        <w:t>危险废物暂存间</w:t>
      </w:r>
      <w:r>
        <w:t>泄露导致污染物渗透至地下水，从而影响地下水水质。</w:t>
      </w:r>
      <w:r>
        <w:rPr>
          <w:rFonts w:hint="eastAsia"/>
        </w:rPr>
        <w:t>项目对污水站生产废水收集池</w:t>
      </w:r>
      <w:r>
        <w:t>、</w:t>
      </w:r>
      <w:r>
        <w:rPr>
          <w:rFonts w:hint="eastAsia"/>
        </w:rPr>
        <w:t>危险废物暂存间进行重点防渗处置，采用混凝上层或人工材料防渗层，确保其渗透率系数小于</w:t>
      </w:r>
      <w:r>
        <w:rPr>
          <w:rFonts w:hint="eastAsia"/>
          <w:highlight w:val="none"/>
        </w:rPr>
        <w:t>＜</w:t>
      </w:r>
      <w:r>
        <w:rPr>
          <w:rFonts w:hint="eastAsia"/>
        </w:rPr>
        <w:t>10-10cm/s,对公用工程区等非污染区根据实际情况采取一定的防渗措施，采用</w:t>
      </w:r>
      <w:r>
        <w:rPr>
          <w:rFonts w:hint="eastAsia"/>
          <w:highlight w:val="none"/>
        </w:rPr>
        <w:t>非铺</w:t>
      </w:r>
      <w:r>
        <w:rPr>
          <w:rFonts w:hint="eastAsia"/>
        </w:rPr>
        <w:t>砖地坪与普通混凝土地坪。污水站生产废水收集池位于半</w:t>
      </w:r>
      <w:r>
        <w:rPr>
          <w:rFonts w:hint="eastAsia"/>
          <w:highlight w:val="none"/>
        </w:rPr>
        <w:t>地下式的</w:t>
      </w:r>
      <w:r>
        <w:rPr>
          <w:rFonts w:hint="eastAsia"/>
        </w:rPr>
        <w:t>储存槽中，采用钢材质，不容易发生泄露，并在日常巡检中便于发现储罐泄露问题并及时处理，且储存槽地面防渗措施符合设计要求，一旦发生泄露可防止污染物渗入地下水。</w:t>
      </w:r>
    </w:p>
    <w:p>
      <w:pPr>
        <w:pStyle w:val="5"/>
        <w:bidi w:val="0"/>
      </w:pPr>
      <w:bookmarkStart w:id="312" w:name="_Toc31913"/>
      <w:bookmarkStart w:id="313" w:name="_Toc29992"/>
      <w:bookmarkStart w:id="314" w:name="_Toc27541"/>
      <w:bookmarkStart w:id="315" w:name="_Toc29349"/>
      <w:bookmarkStart w:id="316" w:name="_Toc23894"/>
      <w:bookmarkStart w:id="317" w:name="_Toc37591922"/>
      <w:bookmarkStart w:id="318" w:name="_Toc10374"/>
      <w:r>
        <w:rPr>
          <w:rFonts w:hint="eastAsia"/>
          <w:lang w:val="en-US" w:eastAsia="zh-CN"/>
        </w:rPr>
        <w:t>3</w:t>
      </w:r>
      <w:r>
        <w:rPr>
          <w:rFonts w:hint="eastAsia"/>
        </w:rPr>
        <w:t>.2.5 废气事故排放突发环境事件分析</w:t>
      </w:r>
      <w:bookmarkEnd w:id="312"/>
      <w:bookmarkEnd w:id="313"/>
      <w:bookmarkEnd w:id="314"/>
      <w:bookmarkEnd w:id="315"/>
      <w:bookmarkEnd w:id="316"/>
      <w:bookmarkEnd w:id="317"/>
      <w:bookmarkEnd w:id="318"/>
    </w:p>
    <w:p>
      <w:pPr>
        <w:bidi w:val="0"/>
      </w:pPr>
      <w:r>
        <w:rPr>
          <w:rFonts w:hint="eastAsia"/>
        </w:rPr>
        <w:t>南昌瀛宇金属制品有限公司</w:t>
      </w:r>
      <w:r>
        <w:t>营运期废气主要为</w:t>
      </w:r>
      <w:r>
        <w:rPr>
          <w:rFonts w:hint="eastAsia"/>
        </w:rPr>
        <w:t>项目冲压、剪切、车削等机加工过程中产生的少量金属粉尘，因金属粉尘比重较大，经车间沉降后定期收集回收外售综合利用，</w:t>
      </w:r>
      <w:r>
        <w:t>对周边环境空气影响较小。</w:t>
      </w:r>
    </w:p>
    <w:p>
      <w:pPr>
        <w:pStyle w:val="5"/>
        <w:bidi w:val="0"/>
      </w:pPr>
      <w:bookmarkStart w:id="319" w:name="_Toc1179"/>
      <w:bookmarkStart w:id="320" w:name="_Toc13512"/>
      <w:bookmarkStart w:id="321" w:name="_Toc30015"/>
      <w:bookmarkStart w:id="322" w:name="_Toc8088"/>
      <w:bookmarkStart w:id="323" w:name="_Toc26686"/>
      <w:bookmarkStart w:id="324" w:name="_Toc37591923"/>
      <w:bookmarkStart w:id="325" w:name="_Toc14099"/>
      <w:r>
        <w:rPr>
          <w:rFonts w:hint="eastAsia"/>
          <w:lang w:val="en-US" w:eastAsia="zh-CN"/>
        </w:rPr>
        <w:t>3</w:t>
      </w:r>
      <w:r>
        <w:rPr>
          <w:rFonts w:hint="eastAsia"/>
        </w:rPr>
        <w:t>.2.6 原辅料泄漏突发环境事件分析</w:t>
      </w:r>
      <w:bookmarkEnd w:id="311"/>
      <w:bookmarkEnd w:id="319"/>
      <w:bookmarkEnd w:id="320"/>
      <w:bookmarkEnd w:id="321"/>
      <w:bookmarkEnd w:id="322"/>
      <w:bookmarkEnd w:id="323"/>
      <w:bookmarkEnd w:id="324"/>
      <w:bookmarkEnd w:id="325"/>
    </w:p>
    <w:p>
      <w:pPr>
        <w:bidi w:val="0"/>
        <w:rPr>
          <w:b/>
          <w:bCs/>
        </w:rPr>
      </w:pPr>
      <w:bookmarkStart w:id="326" w:name="_Toc37591924"/>
      <w:r>
        <w:rPr>
          <w:rFonts w:hint="eastAsia"/>
          <w:b/>
          <w:bCs/>
        </w:rPr>
        <w:t>一、防锈剂</w:t>
      </w:r>
      <w:r>
        <w:rPr>
          <w:b/>
          <w:bCs/>
        </w:rPr>
        <w:t>泄漏</w:t>
      </w:r>
      <w:bookmarkEnd w:id="326"/>
    </w:p>
    <w:p>
      <w:pPr>
        <w:bidi w:val="0"/>
      </w:pPr>
      <w:r>
        <w:rPr>
          <w:rFonts w:hint="eastAsia"/>
        </w:rPr>
        <w:t>南昌瀛宇金属制品有限公司原辅料防锈剂储存于原辅料区存放，并在日常巡检中便于发现塑料桶泄露问题并及时处理，且储存区防渗措施符合设计要求，一旦发生泄露可防止污染物渗入地下水</w:t>
      </w:r>
      <w:r>
        <w:t>。</w:t>
      </w:r>
      <w:r>
        <w:rPr>
          <w:rFonts w:hint="eastAsia"/>
        </w:rPr>
        <w:t>泄漏事故主要以装卸及使用过程发生泄漏为主。如发生泄漏能及时处理，则风险可控，</w:t>
      </w:r>
      <w:r>
        <w:t>考虑完全泄漏，泄漏量</w:t>
      </w:r>
      <w:r>
        <w:rPr>
          <w:rFonts w:hint="eastAsia"/>
        </w:rPr>
        <w:t>为0.3t，储存槽中可容纳其泄漏量，但会</w:t>
      </w:r>
      <w:r>
        <w:t>对</w:t>
      </w:r>
      <w:r>
        <w:rPr>
          <w:rFonts w:hint="eastAsia"/>
        </w:rPr>
        <w:t>渗滤液处理站操作人员及周边设备造成伤害。</w:t>
      </w:r>
    </w:p>
    <w:p>
      <w:pPr>
        <w:bidi w:val="0"/>
        <w:rPr>
          <w:b/>
          <w:bCs/>
        </w:rPr>
      </w:pPr>
      <w:bookmarkStart w:id="327" w:name="_Toc37591925"/>
      <w:r>
        <w:rPr>
          <w:rFonts w:hint="eastAsia"/>
          <w:b/>
          <w:bCs/>
        </w:rPr>
        <w:t>二、脱脂剂</w:t>
      </w:r>
      <w:r>
        <w:rPr>
          <w:b/>
          <w:bCs/>
        </w:rPr>
        <w:t>泄漏</w:t>
      </w:r>
      <w:bookmarkEnd w:id="327"/>
    </w:p>
    <w:p>
      <w:pPr>
        <w:bidi w:val="0"/>
      </w:pPr>
      <w:r>
        <w:rPr>
          <w:rFonts w:hint="eastAsia"/>
        </w:rPr>
        <w:t>南昌瀛宇金属制品有限公司脱脂剂储存于原辅料区存放间，包装方式为包装桶形式。泄漏事故主要以装卸及使用过程中发生泄漏为主，可及时清扫，若未遇水及明火影响，则风险可控。</w:t>
      </w:r>
    </w:p>
    <w:p>
      <w:pPr>
        <w:bidi w:val="0"/>
      </w:pPr>
      <w:r>
        <w:rPr>
          <w:rFonts w:hint="eastAsia"/>
        </w:rPr>
        <w:t>根据以上分析，</w:t>
      </w:r>
      <w:r>
        <w:t>固态危化品泄漏后清扫即可；液态危化品泄漏情景下，由</w:t>
      </w:r>
      <w:r>
        <w:rPr>
          <w:rFonts w:hint="eastAsia"/>
        </w:rPr>
        <w:t>相关</w:t>
      </w:r>
      <w:r>
        <w:t>工作人员根据各操作规范合理处置，影响可控制在</w:t>
      </w:r>
      <w:r>
        <w:rPr>
          <w:rFonts w:hint="eastAsia"/>
        </w:rPr>
        <w:t>车间</w:t>
      </w:r>
      <w:r>
        <w:t>范围内，不会</w:t>
      </w:r>
      <w:r>
        <w:rPr>
          <w:highlight w:val="none"/>
        </w:rPr>
        <w:t>影响至</w:t>
      </w:r>
      <w:r>
        <w:t>外环境。可能导致的后果主要包括财产损失、工作人员人身伤害等。事故处理过程产生的废化学品、废抹布、破损包装容器等需按规范要求妥善处理，不得随意丢弃，防止对外环境造成污染。</w:t>
      </w:r>
    </w:p>
    <w:p>
      <w:pPr>
        <w:pStyle w:val="5"/>
        <w:bidi w:val="0"/>
      </w:pPr>
      <w:bookmarkStart w:id="328" w:name="_Toc20045"/>
      <w:bookmarkStart w:id="329" w:name="_Toc37591926"/>
      <w:bookmarkStart w:id="330" w:name="_Toc22232"/>
      <w:bookmarkStart w:id="331" w:name="_Toc24108"/>
      <w:bookmarkStart w:id="332" w:name="_Toc28581"/>
      <w:bookmarkStart w:id="333" w:name="_Toc31779"/>
      <w:r>
        <w:rPr>
          <w:rFonts w:hint="eastAsia"/>
          <w:lang w:val="en-US" w:eastAsia="zh-CN"/>
        </w:rPr>
        <w:t>3</w:t>
      </w:r>
      <w:r>
        <w:rPr>
          <w:rFonts w:hint="eastAsia"/>
        </w:rPr>
        <w:t>.2.7 火灾、爆炸突发环境事件分析</w:t>
      </w:r>
      <w:bookmarkEnd w:id="328"/>
      <w:bookmarkEnd w:id="329"/>
      <w:bookmarkEnd w:id="330"/>
      <w:bookmarkEnd w:id="331"/>
      <w:bookmarkEnd w:id="332"/>
      <w:bookmarkEnd w:id="333"/>
    </w:p>
    <w:p>
      <w:pPr>
        <w:bidi w:val="0"/>
      </w:pPr>
      <w:r>
        <w:rPr>
          <w:rFonts w:hint="eastAsia"/>
        </w:rPr>
        <w:t>危险废物贮存场所发生爆炸</w:t>
      </w:r>
      <w:r>
        <w:rPr>
          <w:rFonts w:hint="eastAsia"/>
          <w:lang w:val="zh-CN"/>
        </w:rPr>
        <w:t>突发环境事件的原因主要为</w:t>
      </w:r>
      <w:r>
        <w:rPr>
          <w:rFonts w:hint="eastAsia"/>
        </w:rPr>
        <w:t>废机油泄露、库区遇明火、气温太高等。</w:t>
      </w:r>
    </w:p>
    <w:p>
      <w:pPr>
        <w:bidi w:val="0"/>
      </w:pPr>
      <w:r>
        <w:rPr>
          <w:rFonts w:hint="eastAsia"/>
        </w:rPr>
        <w:t>机油在使用中混入了水分、灰尘、其他杂油和机件磨损产生的金属粉末等杂质；二是指机油逐渐变质，生成有机酸、胶质和沥青状物质。该物质为液体，可燃、有毒</w:t>
      </w:r>
      <w:r>
        <w:rPr>
          <w:rFonts w:hint="eastAsia"/>
          <w:lang w:val="zh-CN"/>
        </w:rPr>
        <w:t>，</w:t>
      </w:r>
      <w:r>
        <w:rPr>
          <w:rFonts w:hint="eastAsia"/>
        </w:rPr>
        <w:t>至废机油能燃烧。根据《工业污染事故评价技术手册》推荐的方法，危险废物贮存场所发生火灾爆炸</w:t>
      </w:r>
      <w:r>
        <w:rPr>
          <w:rFonts w:hint="eastAsia"/>
          <w:highlight w:val="none"/>
        </w:rPr>
        <w:t>的风险</w:t>
      </w:r>
      <w:r>
        <w:rPr>
          <w:rFonts w:hint="eastAsia"/>
        </w:rPr>
        <w:t>事故对周围环境的影响程度和范围。</w:t>
      </w:r>
    </w:p>
    <w:p>
      <w:pPr>
        <w:bidi w:val="0"/>
      </w:pPr>
      <w:r>
        <w:t>损害半径 R（s）估算如下：</w:t>
      </w:r>
    </w:p>
    <w:p>
      <w:pPr>
        <w:pStyle w:val="53"/>
        <w:ind w:firstLine="0" w:firstLineChars="0"/>
        <w:jc w:val="left"/>
      </w:pPr>
      <w:r>
        <w:drawing>
          <wp:inline distT="0" distB="0" distL="114300" distR="114300">
            <wp:extent cx="2561590" cy="438150"/>
            <wp:effectExtent l="0" t="0" r="10160" b="0"/>
            <wp:docPr id="7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0"/>
                    <pic:cNvPicPr>
                      <a:picLocks noChangeAspect="1"/>
                    </pic:cNvPicPr>
                  </pic:nvPicPr>
                  <pic:blipFill>
                    <a:blip r:embed="rId10"/>
                    <a:stretch>
                      <a:fillRect/>
                    </a:stretch>
                  </pic:blipFill>
                  <pic:spPr>
                    <a:xfrm>
                      <a:off x="0" y="0"/>
                      <a:ext cx="2561590" cy="438150"/>
                    </a:xfrm>
                    <a:prstGeom prst="rect">
                      <a:avLst/>
                    </a:prstGeom>
                    <a:noFill/>
                    <a:ln w="9525">
                      <a:noFill/>
                    </a:ln>
                  </pic:spPr>
                </pic:pic>
              </a:graphicData>
            </a:graphic>
          </wp:inline>
        </w:drawing>
      </w:r>
    </w:p>
    <w:p>
      <w:pPr>
        <w:bidi w:val="0"/>
      </w:pPr>
      <w:r>
        <w:t>C</w:t>
      </w:r>
      <w:r>
        <w:rPr>
          <w:highlight w:val="none"/>
        </w:rPr>
        <w:t>(</w:t>
      </w:r>
      <w:r>
        <w:t>s</w:t>
      </w:r>
      <w:r>
        <w:rPr>
          <w:highlight w:val="none"/>
        </w:rPr>
        <w:t>)</w:t>
      </w:r>
      <w:r>
        <w:t>——经验常数。</w:t>
      </w:r>
    </w:p>
    <w:p>
      <w:pPr>
        <w:bidi w:val="0"/>
      </w:pPr>
      <w:r>
        <w:t>E</w:t>
      </w:r>
      <w:r>
        <w:rPr>
          <w:highlight w:val="none"/>
        </w:rPr>
        <w:t>(</w:t>
      </w:r>
      <w:r>
        <w:t>s</w:t>
      </w:r>
      <w:r>
        <w:rPr>
          <w:highlight w:val="none"/>
        </w:rPr>
        <w:t>)</w:t>
      </w:r>
      <w:r>
        <w:t>——爆炸总能量，取自在可燃极限内燃烧的热量乘上蒸汽量。</w:t>
      </w:r>
    </w:p>
    <w:p>
      <w:pPr>
        <w:bidi w:val="0"/>
      </w:pPr>
      <w:r>
        <w:t>N——效率因子，是 N</w:t>
      </w:r>
      <w:r>
        <w:rPr>
          <w:highlight w:val="none"/>
        </w:rPr>
        <w:t>(</w:t>
      </w:r>
      <w:r>
        <w:t>E</w:t>
      </w:r>
      <w:r>
        <w:rPr>
          <w:highlight w:val="none"/>
        </w:rPr>
        <w:t>)</w:t>
      </w:r>
      <w:r>
        <w:t>在压力波传播中的比例，N 取 10％。</w:t>
      </w:r>
    </w:p>
    <w:p>
      <w:pPr>
        <w:bidi w:val="0"/>
      </w:pPr>
      <w:r>
        <w:t>预测结果见表</w:t>
      </w:r>
      <w:r>
        <w:rPr>
          <w:rFonts w:hint="eastAsia"/>
          <w:lang w:val="en-US" w:eastAsia="zh-CN"/>
        </w:rPr>
        <w:t>3</w:t>
      </w:r>
      <w:r>
        <w:rPr>
          <w:rFonts w:hint="eastAsia"/>
        </w:rPr>
        <w:t>.2.</w:t>
      </w:r>
      <w:r>
        <w:rPr>
          <w:rFonts w:hint="eastAsia"/>
          <w:lang w:val="en-US" w:eastAsia="zh-CN"/>
        </w:rPr>
        <w:t>7</w:t>
      </w:r>
      <w:r>
        <w:rPr>
          <w:rFonts w:hint="eastAsia"/>
        </w:rPr>
        <w:t>-1</w:t>
      </w:r>
      <w:r>
        <w:t>。</w:t>
      </w:r>
    </w:p>
    <w:p>
      <w:pPr>
        <w:pStyle w:val="28"/>
        <w:bidi w:val="0"/>
      </w:pPr>
      <w:r>
        <w:rPr>
          <w:rFonts w:hint="eastAsia"/>
        </w:rPr>
        <w:t>表</w:t>
      </w:r>
      <w:r>
        <w:rPr>
          <w:rFonts w:hint="eastAsia"/>
          <w:lang w:val="en-US" w:eastAsia="zh-CN"/>
        </w:rPr>
        <w:t>3</w:t>
      </w:r>
      <w:r>
        <w:rPr>
          <w:rFonts w:hint="eastAsia"/>
        </w:rPr>
        <w:t>.2</w:t>
      </w:r>
      <w:r>
        <w:rPr>
          <w:rFonts w:hint="eastAsia"/>
          <w:lang w:val="en-US" w:eastAsia="zh-CN"/>
        </w:rPr>
        <w:t>.7</w:t>
      </w:r>
      <w:r>
        <w:rPr>
          <w:rFonts w:hint="eastAsia"/>
        </w:rPr>
        <w:t>-</w:t>
      </w:r>
      <w:r>
        <w:rPr>
          <w:rFonts w:hint="eastAsia"/>
          <w:lang w:val="en-US" w:eastAsia="zh-CN"/>
        </w:rPr>
        <w:t>1</w:t>
      </w:r>
      <w:r>
        <w:rPr>
          <w:rFonts w:hint="eastAsia"/>
        </w:rPr>
        <w:t xml:space="preserve"> 火灾爆炸预测后果内容</w:t>
      </w:r>
    </w:p>
    <w:tbl>
      <w:tblPr>
        <w:tblStyle w:val="23"/>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66"/>
        <w:gridCol w:w="755"/>
        <w:gridCol w:w="1603"/>
        <w:gridCol w:w="2410"/>
        <w:gridCol w:w="288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11" w:type="pct"/>
            <w:vMerge w:val="restart"/>
            <w:vAlign w:val="center"/>
          </w:tcPr>
          <w:p>
            <w:pPr>
              <w:pStyle w:val="39"/>
              <w:widowControl w:val="0"/>
              <w:bidi w:val="0"/>
              <w:rPr>
                <w:b/>
                <w:bCs/>
              </w:rPr>
            </w:pPr>
            <w:r>
              <w:rPr>
                <w:b/>
                <w:bCs/>
              </w:rPr>
              <w:t>损害半径</w:t>
            </w:r>
          </w:p>
        </w:tc>
        <w:tc>
          <w:tcPr>
            <w:tcW w:w="433" w:type="pct"/>
            <w:vMerge w:val="restart"/>
            <w:vAlign w:val="center"/>
          </w:tcPr>
          <w:p>
            <w:pPr>
              <w:pStyle w:val="39"/>
              <w:widowControl w:val="0"/>
              <w:bidi w:val="0"/>
              <w:rPr>
                <w:b/>
                <w:bCs/>
              </w:rPr>
            </w:pPr>
            <w:r>
              <w:rPr>
                <w:b/>
                <w:bCs/>
              </w:rPr>
              <w:t>C（S）</w:t>
            </w:r>
          </w:p>
        </w:tc>
        <w:tc>
          <w:tcPr>
            <w:tcW w:w="919" w:type="pct"/>
            <w:vMerge w:val="restart"/>
            <w:vAlign w:val="center"/>
          </w:tcPr>
          <w:p>
            <w:pPr>
              <w:pStyle w:val="39"/>
              <w:widowControl w:val="0"/>
              <w:bidi w:val="0"/>
              <w:rPr>
                <w:b/>
                <w:bCs/>
              </w:rPr>
            </w:pPr>
            <w:r>
              <w:rPr>
                <w:b/>
                <w:bCs/>
              </w:rPr>
              <w:t>值的范围mJ-1/3</w:t>
            </w:r>
          </w:p>
        </w:tc>
        <w:tc>
          <w:tcPr>
            <w:tcW w:w="3035" w:type="pct"/>
            <w:gridSpan w:val="2"/>
          </w:tcPr>
          <w:p>
            <w:pPr>
              <w:pStyle w:val="39"/>
              <w:widowControl w:val="0"/>
              <w:bidi w:val="0"/>
              <w:rPr>
                <w:b/>
                <w:bCs/>
              </w:rPr>
            </w:pPr>
            <w:r>
              <w:rPr>
                <w:b/>
                <w:bCs/>
              </w:rPr>
              <w:t>爆炸损害特征</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11" w:type="pct"/>
            <w:vMerge w:val="continue"/>
            <w:tcBorders>
              <w:bottom w:val="single" w:color="auto" w:sz="12" w:space="0"/>
            </w:tcBorders>
            <w:vAlign w:val="center"/>
          </w:tcPr>
          <w:p>
            <w:pPr>
              <w:pStyle w:val="39"/>
              <w:widowControl w:val="0"/>
              <w:bidi w:val="0"/>
              <w:rPr>
                <w:b/>
                <w:bCs/>
              </w:rPr>
            </w:pPr>
          </w:p>
        </w:tc>
        <w:tc>
          <w:tcPr>
            <w:tcW w:w="433" w:type="pct"/>
            <w:vMerge w:val="continue"/>
            <w:tcBorders>
              <w:bottom w:val="single" w:color="auto" w:sz="12" w:space="0"/>
            </w:tcBorders>
            <w:vAlign w:val="center"/>
          </w:tcPr>
          <w:p>
            <w:pPr>
              <w:pStyle w:val="39"/>
              <w:widowControl w:val="0"/>
              <w:bidi w:val="0"/>
              <w:rPr>
                <w:b/>
                <w:bCs/>
              </w:rPr>
            </w:pPr>
          </w:p>
        </w:tc>
        <w:tc>
          <w:tcPr>
            <w:tcW w:w="919" w:type="pct"/>
            <w:vMerge w:val="continue"/>
            <w:tcBorders>
              <w:bottom w:val="single" w:color="auto" w:sz="12" w:space="0"/>
            </w:tcBorders>
            <w:vAlign w:val="center"/>
          </w:tcPr>
          <w:p>
            <w:pPr>
              <w:pStyle w:val="39"/>
              <w:widowControl w:val="0"/>
              <w:bidi w:val="0"/>
              <w:rPr>
                <w:b/>
                <w:bCs/>
              </w:rPr>
            </w:pPr>
          </w:p>
        </w:tc>
        <w:tc>
          <w:tcPr>
            <w:tcW w:w="1382" w:type="pct"/>
            <w:tcBorders>
              <w:bottom w:val="single" w:color="auto" w:sz="12" w:space="0"/>
            </w:tcBorders>
          </w:tcPr>
          <w:p>
            <w:pPr>
              <w:pStyle w:val="39"/>
              <w:widowControl w:val="0"/>
              <w:bidi w:val="0"/>
              <w:rPr>
                <w:b/>
                <w:bCs/>
              </w:rPr>
            </w:pPr>
            <w:r>
              <w:rPr>
                <w:b/>
                <w:bCs/>
              </w:rPr>
              <w:t>对设备损害</w:t>
            </w:r>
          </w:p>
        </w:tc>
        <w:tc>
          <w:tcPr>
            <w:tcW w:w="1652" w:type="pct"/>
            <w:tcBorders>
              <w:bottom w:val="single" w:color="auto" w:sz="12" w:space="0"/>
            </w:tcBorders>
          </w:tcPr>
          <w:p>
            <w:pPr>
              <w:pStyle w:val="39"/>
              <w:widowControl w:val="0"/>
              <w:bidi w:val="0"/>
              <w:rPr>
                <w:b/>
                <w:bCs/>
              </w:rPr>
            </w:pPr>
            <w:r>
              <w:rPr>
                <w:b/>
                <w:bCs/>
              </w:rPr>
              <w:t>对人损害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11" w:type="pct"/>
            <w:tcBorders>
              <w:top w:val="single" w:color="auto" w:sz="12" w:space="0"/>
              <w:tl2br w:val="nil"/>
              <w:tr2bl w:val="nil"/>
            </w:tcBorders>
            <w:vAlign w:val="center"/>
          </w:tcPr>
          <w:p>
            <w:pPr>
              <w:pStyle w:val="39"/>
              <w:widowControl w:val="0"/>
              <w:bidi w:val="0"/>
            </w:pPr>
            <w:r>
              <w:t>8.6</w:t>
            </w:r>
          </w:p>
        </w:tc>
        <w:tc>
          <w:tcPr>
            <w:tcW w:w="433" w:type="pct"/>
            <w:tcBorders>
              <w:top w:val="single" w:color="auto" w:sz="12" w:space="0"/>
              <w:tl2br w:val="nil"/>
              <w:tr2bl w:val="nil"/>
            </w:tcBorders>
            <w:vAlign w:val="center"/>
          </w:tcPr>
          <w:p>
            <w:pPr>
              <w:pStyle w:val="39"/>
              <w:widowControl w:val="0"/>
              <w:bidi w:val="0"/>
            </w:pPr>
            <w:r>
              <w:t>C（</w:t>
            </w:r>
            <w:r>
              <w:rPr>
                <w:rFonts w:hint="eastAsia"/>
              </w:rPr>
              <w:t>1</w:t>
            </w:r>
            <w:r>
              <w:t>）</w:t>
            </w:r>
          </w:p>
        </w:tc>
        <w:tc>
          <w:tcPr>
            <w:tcW w:w="919" w:type="pct"/>
            <w:tcBorders>
              <w:top w:val="single" w:color="auto" w:sz="12" w:space="0"/>
              <w:tl2br w:val="nil"/>
              <w:tr2bl w:val="nil"/>
            </w:tcBorders>
            <w:vAlign w:val="center"/>
          </w:tcPr>
          <w:p>
            <w:pPr>
              <w:pStyle w:val="39"/>
              <w:widowControl w:val="0"/>
              <w:bidi w:val="0"/>
            </w:pPr>
            <w:r>
              <w:t>0.03</w:t>
            </w:r>
          </w:p>
        </w:tc>
        <w:tc>
          <w:tcPr>
            <w:tcW w:w="1382" w:type="pct"/>
            <w:tcBorders>
              <w:top w:val="single" w:color="auto" w:sz="12" w:space="0"/>
              <w:tl2br w:val="nil"/>
              <w:tr2bl w:val="nil"/>
            </w:tcBorders>
            <w:vAlign w:val="center"/>
          </w:tcPr>
          <w:p>
            <w:pPr>
              <w:pStyle w:val="39"/>
              <w:widowControl w:val="0"/>
              <w:bidi w:val="0"/>
            </w:pPr>
            <w:r>
              <w:t>重创建筑物</w:t>
            </w:r>
          </w:p>
        </w:tc>
        <w:tc>
          <w:tcPr>
            <w:tcW w:w="1652" w:type="pct"/>
            <w:tcBorders>
              <w:top w:val="single" w:color="auto" w:sz="12" w:space="0"/>
              <w:tl2br w:val="nil"/>
              <w:tr2bl w:val="nil"/>
            </w:tcBorders>
            <w:vAlign w:val="center"/>
          </w:tcPr>
          <w:p>
            <w:pPr>
              <w:pStyle w:val="39"/>
              <w:widowControl w:val="0"/>
              <w:bidi w:val="0"/>
            </w:pPr>
            <w:r>
              <w:t>1％死于肺部损害，</w:t>
            </w:r>
            <w:r>
              <w:rPr>
                <w:highlight w:val="none"/>
              </w:rPr>
              <w:t>＞</w:t>
            </w:r>
            <w:r>
              <w:t>50％耳膜破裂，</w:t>
            </w:r>
            <w:r>
              <w:rPr>
                <w:highlight w:val="none"/>
              </w:rPr>
              <w:t>＞</w:t>
            </w:r>
            <w:r>
              <w:t>50％被抛射严重砸伤</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11" w:type="pct"/>
            <w:tcBorders>
              <w:tl2br w:val="nil"/>
              <w:tr2bl w:val="nil"/>
            </w:tcBorders>
            <w:vAlign w:val="center"/>
          </w:tcPr>
          <w:p>
            <w:pPr>
              <w:pStyle w:val="39"/>
              <w:widowControl w:val="0"/>
              <w:bidi w:val="0"/>
            </w:pPr>
            <w:r>
              <w:t>17.3</w:t>
            </w:r>
          </w:p>
        </w:tc>
        <w:tc>
          <w:tcPr>
            <w:tcW w:w="433" w:type="pct"/>
            <w:tcBorders>
              <w:tl2br w:val="nil"/>
              <w:tr2bl w:val="nil"/>
            </w:tcBorders>
            <w:vAlign w:val="center"/>
          </w:tcPr>
          <w:p>
            <w:pPr>
              <w:pStyle w:val="39"/>
              <w:widowControl w:val="0"/>
              <w:bidi w:val="0"/>
            </w:pPr>
            <w:r>
              <w:t>C（2）</w:t>
            </w:r>
          </w:p>
        </w:tc>
        <w:tc>
          <w:tcPr>
            <w:tcW w:w="919" w:type="pct"/>
            <w:tcBorders>
              <w:tl2br w:val="nil"/>
              <w:tr2bl w:val="nil"/>
            </w:tcBorders>
            <w:vAlign w:val="center"/>
          </w:tcPr>
          <w:p>
            <w:pPr>
              <w:pStyle w:val="39"/>
              <w:widowControl w:val="0"/>
              <w:bidi w:val="0"/>
            </w:pPr>
            <w:r>
              <w:t>0.06</w:t>
            </w:r>
          </w:p>
        </w:tc>
        <w:tc>
          <w:tcPr>
            <w:tcW w:w="1382" w:type="pct"/>
            <w:tcBorders>
              <w:tl2br w:val="nil"/>
              <w:tr2bl w:val="nil"/>
            </w:tcBorders>
            <w:vAlign w:val="center"/>
          </w:tcPr>
          <w:p>
            <w:pPr>
              <w:pStyle w:val="39"/>
              <w:widowControl w:val="0"/>
              <w:bidi w:val="0"/>
            </w:pPr>
            <w:r>
              <w:t>对建筑物造成外表损伤</w:t>
            </w:r>
          </w:p>
          <w:p>
            <w:pPr>
              <w:pStyle w:val="39"/>
              <w:widowControl w:val="0"/>
              <w:bidi w:val="0"/>
            </w:pPr>
            <w:r>
              <w:t>或可修复的破坏</w:t>
            </w:r>
          </w:p>
        </w:tc>
        <w:tc>
          <w:tcPr>
            <w:tcW w:w="1652" w:type="pct"/>
            <w:tcBorders>
              <w:tl2br w:val="nil"/>
              <w:tr2bl w:val="nil"/>
            </w:tcBorders>
            <w:vAlign w:val="center"/>
          </w:tcPr>
          <w:p>
            <w:pPr>
              <w:pStyle w:val="39"/>
              <w:widowControl w:val="0"/>
              <w:bidi w:val="0"/>
            </w:pPr>
            <w:r>
              <w:t>1％耳膜破裂，1％被抛射物严重砸伤</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11" w:type="pct"/>
            <w:tcBorders>
              <w:tl2br w:val="nil"/>
              <w:tr2bl w:val="nil"/>
            </w:tcBorders>
            <w:vAlign w:val="center"/>
          </w:tcPr>
          <w:p>
            <w:pPr>
              <w:pStyle w:val="39"/>
              <w:widowControl w:val="0"/>
              <w:bidi w:val="0"/>
            </w:pPr>
            <w:r>
              <w:t>43.3</w:t>
            </w:r>
          </w:p>
        </w:tc>
        <w:tc>
          <w:tcPr>
            <w:tcW w:w="433" w:type="pct"/>
            <w:tcBorders>
              <w:tl2br w:val="nil"/>
              <w:tr2bl w:val="nil"/>
            </w:tcBorders>
            <w:vAlign w:val="center"/>
          </w:tcPr>
          <w:p>
            <w:pPr>
              <w:pStyle w:val="39"/>
              <w:widowControl w:val="0"/>
              <w:bidi w:val="0"/>
            </w:pPr>
            <w:r>
              <w:t>C（3）</w:t>
            </w:r>
          </w:p>
        </w:tc>
        <w:tc>
          <w:tcPr>
            <w:tcW w:w="919" w:type="pct"/>
            <w:tcBorders>
              <w:tl2br w:val="nil"/>
              <w:tr2bl w:val="nil"/>
            </w:tcBorders>
            <w:vAlign w:val="center"/>
          </w:tcPr>
          <w:p>
            <w:pPr>
              <w:pStyle w:val="39"/>
              <w:widowControl w:val="0"/>
              <w:bidi w:val="0"/>
            </w:pPr>
            <w:r>
              <w:t>0.15</w:t>
            </w:r>
          </w:p>
        </w:tc>
        <w:tc>
          <w:tcPr>
            <w:tcW w:w="1382" w:type="pct"/>
            <w:tcBorders>
              <w:tl2br w:val="nil"/>
              <w:tr2bl w:val="nil"/>
            </w:tcBorders>
            <w:vAlign w:val="center"/>
          </w:tcPr>
          <w:p>
            <w:pPr>
              <w:pStyle w:val="39"/>
              <w:widowControl w:val="0"/>
              <w:bidi w:val="0"/>
            </w:pPr>
            <w:r>
              <w:t>玻璃破碎</w:t>
            </w:r>
          </w:p>
        </w:tc>
        <w:tc>
          <w:tcPr>
            <w:tcW w:w="1652" w:type="pct"/>
            <w:vMerge w:val="restart"/>
            <w:tcBorders>
              <w:tl2br w:val="nil"/>
              <w:tr2bl w:val="nil"/>
            </w:tcBorders>
            <w:vAlign w:val="center"/>
          </w:tcPr>
          <w:p>
            <w:pPr>
              <w:pStyle w:val="39"/>
              <w:widowControl w:val="0"/>
              <w:bidi w:val="0"/>
            </w:pPr>
            <w:r>
              <w:t>被飞起的玻璃损伤</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11" w:type="pct"/>
            <w:tcBorders>
              <w:tl2br w:val="nil"/>
              <w:tr2bl w:val="nil"/>
            </w:tcBorders>
            <w:vAlign w:val="center"/>
          </w:tcPr>
          <w:p>
            <w:pPr>
              <w:pStyle w:val="39"/>
              <w:widowControl w:val="0"/>
              <w:bidi w:val="0"/>
            </w:pPr>
            <w:r>
              <w:t>115.4</w:t>
            </w:r>
          </w:p>
        </w:tc>
        <w:tc>
          <w:tcPr>
            <w:tcW w:w="433" w:type="pct"/>
            <w:tcBorders>
              <w:tl2br w:val="nil"/>
              <w:tr2bl w:val="nil"/>
            </w:tcBorders>
            <w:vAlign w:val="center"/>
          </w:tcPr>
          <w:p>
            <w:pPr>
              <w:pStyle w:val="39"/>
              <w:widowControl w:val="0"/>
              <w:bidi w:val="0"/>
            </w:pPr>
            <w:r>
              <w:t>C（4）</w:t>
            </w:r>
          </w:p>
        </w:tc>
        <w:tc>
          <w:tcPr>
            <w:tcW w:w="919" w:type="pct"/>
            <w:tcBorders>
              <w:tl2br w:val="nil"/>
              <w:tr2bl w:val="nil"/>
            </w:tcBorders>
            <w:vAlign w:val="center"/>
          </w:tcPr>
          <w:p>
            <w:pPr>
              <w:pStyle w:val="39"/>
              <w:widowControl w:val="0"/>
              <w:bidi w:val="0"/>
            </w:pPr>
            <w:r>
              <w:t>0.4</w:t>
            </w:r>
          </w:p>
        </w:tc>
        <w:tc>
          <w:tcPr>
            <w:tcW w:w="1382" w:type="pct"/>
            <w:tcBorders>
              <w:tl2br w:val="nil"/>
              <w:tr2bl w:val="nil"/>
            </w:tcBorders>
            <w:vAlign w:val="center"/>
          </w:tcPr>
          <w:p>
            <w:pPr>
              <w:pStyle w:val="39"/>
              <w:widowControl w:val="0"/>
              <w:bidi w:val="0"/>
            </w:pPr>
            <w:r>
              <w:t>10％玻璃破坏</w:t>
            </w:r>
          </w:p>
        </w:tc>
        <w:tc>
          <w:tcPr>
            <w:tcW w:w="1652" w:type="pct"/>
            <w:vMerge w:val="continue"/>
            <w:tcBorders>
              <w:tl2br w:val="nil"/>
              <w:tr2bl w:val="nil"/>
            </w:tcBorders>
            <w:vAlign w:val="center"/>
          </w:tcPr>
          <w:p>
            <w:pPr>
              <w:pStyle w:val="39"/>
              <w:widowControl w:val="0"/>
              <w:bidi w:val="0"/>
            </w:pPr>
          </w:p>
        </w:tc>
      </w:tr>
    </w:tbl>
    <w:p>
      <w:pPr>
        <w:bidi w:val="0"/>
      </w:pPr>
      <w:r>
        <w:t>根据上述计算可见：若假定的</w:t>
      </w:r>
      <w:r>
        <w:rPr>
          <w:rFonts w:hint="eastAsia"/>
        </w:rPr>
        <w:t>危险废物贮存场所</w:t>
      </w:r>
      <w:r>
        <w:t>发生重大火灾爆炸事故，危险废物贮存场所</w:t>
      </w:r>
      <w:r>
        <w:rPr>
          <w:rFonts w:hint="eastAsia"/>
        </w:rPr>
        <w:t>区</w:t>
      </w:r>
      <w:r>
        <w:t>8.6m范围内</w:t>
      </w:r>
      <w:r>
        <w:rPr>
          <w:highlight w:val="none"/>
        </w:rPr>
        <w:t>的设施</w:t>
      </w:r>
      <w:r>
        <w:t>和人员会受到较严重损害，距火灾爆炸点43.3m范围内为受影响区域。从本项目的选址和厂区平面布置可以看出，</w:t>
      </w:r>
      <w:r>
        <w:rPr>
          <w:rFonts w:hint="eastAsia"/>
        </w:rPr>
        <w:t>生活管理区位于填埋库区南侧</w:t>
      </w:r>
      <w:r>
        <w:t>，</w:t>
      </w:r>
      <w:r>
        <w:rPr>
          <w:rFonts w:hint="eastAsia"/>
        </w:rPr>
        <w:t>距离较近，</w:t>
      </w:r>
      <w:r>
        <w:t>项目厂址周边</w:t>
      </w:r>
      <w:r>
        <w:rPr>
          <w:rFonts w:hint="eastAsia"/>
        </w:rPr>
        <w:t>均为厂房，</w:t>
      </w:r>
      <w:r>
        <w:t>最</w:t>
      </w:r>
      <w:r>
        <w:rPr>
          <w:rFonts w:hint="eastAsia"/>
        </w:rPr>
        <w:t>近</w:t>
      </w:r>
      <w:r>
        <w:t>敏感目标为</w:t>
      </w:r>
      <w:r>
        <w:rPr>
          <w:highlight w:val="none"/>
        </w:rPr>
        <w:t>距离厂</w:t>
      </w:r>
      <w:r>
        <w:t>界</w:t>
      </w:r>
      <w:r>
        <w:rPr>
          <w:rFonts w:hint="eastAsia"/>
        </w:rPr>
        <w:t>东</w:t>
      </w:r>
      <w:r>
        <w:t>侧</w:t>
      </w:r>
      <w:r>
        <w:rPr>
          <w:rFonts w:hint="eastAsia"/>
        </w:rPr>
        <w:t>440</w:t>
      </w:r>
      <w:r>
        <w:t>m处</w:t>
      </w:r>
      <w:r>
        <w:rPr>
          <w:rFonts w:hint="eastAsia"/>
        </w:rPr>
        <w:t>的江西省南昌监狱</w:t>
      </w:r>
      <w:r>
        <w:t>，500m范围内无居民住宅。在危险废物贮存场所周围</w:t>
      </w:r>
      <w:r>
        <w:rPr>
          <w:rFonts w:hint="eastAsia"/>
        </w:rPr>
        <w:t>115.4</w:t>
      </w:r>
      <w:r>
        <w:t>m范围内主要为本项目的生产厂房及建筑、工作人员等。因此本项目一旦发生火灾爆炸主要影响范围主要在厂区范围内，而不会影响周围的居民。</w:t>
      </w:r>
    </w:p>
    <w:p>
      <w:pPr>
        <w:pStyle w:val="4"/>
        <w:bidi w:val="0"/>
      </w:pPr>
      <w:bookmarkStart w:id="334" w:name="_Toc25370"/>
      <w:bookmarkStart w:id="335" w:name="_Toc25485"/>
      <w:bookmarkStart w:id="336" w:name="_Toc9705"/>
      <w:bookmarkStart w:id="337" w:name="_Toc7644"/>
      <w:bookmarkStart w:id="338" w:name="_Toc10314"/>
      <w:bookmarkStart w:id="339" w:name="_Toc27895"/>
      <w:bookmarkStart w:id="340" w:name="_Toc5054"/>
      <w:bookmarkStart w:id="341" w:name="_Toc37591927"/>
      <w:bookmarkStart w:id="342" w:name="_Toc7935"/>
      <w:bookmarkStart w:id="343" w:name="_Toc20522"/>
      <w:r>
        <w:rPr>
          <w:rFonts w:hint="eastAsia"/>
          <w:lang w:val="en-US" w:eastAsia="zh-CN"/>
        </w:rPr>
        <w:t>3</w:t>
      </w:r>
      <w:r>
        <w:t>.3 风险物质扩散及防控、应急措施</w:t>
      </w:r>
      <w:bookmarkEnd w:id="309"/>
      <w:bookmarkEnd w:id="334"/>
      <w:bookmarkEnd w:id="335"/>
      <w:bookmarkEnd w:id="336"/>
      <w:bookmarkEnd w:id="337"/>
      <w:bookmarkEnd w:id="338"/>
      <w:bookmarkEnd w:id="339"/>
      <w:bookmarkEnd w:id="340"/>
      <w:bookmarkEnd w:id="341"/>
      <w:bookmarkEnd w:id="342"/>
      <w:bookmarkEnd w:id="343"/>
    </w:p>
    <w:p>
      <w:pPr>
        <w:bidi w:val="0"/>
        <w:sectPr>
          <w:pgSz w:w="11906" w:h="16838"/>
          <w:pgMar w:top="1417" w:right="1701" w:bottom="1417" w:left="1701" w:header="720" w:footer="720" w:gutter="0"/>
          <w:pgBorders>
            <w:top w:val="none" w:sz="0" w:space="0"/>
            <w:left w:val="none" w:sz="0" w:space="0"/>
            <w:bottom w:val="none" w:sz="0" w:space="0"/>
            <w:right w:val="none" w:sz="0" w:space="0"/>
          </w:pgBorders>
          <w:pgNumType w:fmt="decimal"/>
          <w:cols w:space="0" w:num="1"/>
          <w:rtlGutter w:val="0"/>
          <w:docGrid w:type="lines" w:linePitch="381" w:charSpace="0"/>
        </w:sectPr>
      </w:pPr>
      <w:r>
        <w:t>企业风险物质扩散、防控及应急资源情况见下表。</w:t>
      </w:r>
    </w:p>
    <w:p>
      <w:pPr>
        <w:pStyle w:val="28"/>
        <w:bidi w:val="0"/>
      </w:pPr>
      <w:r>
        <w:rPr>
          <w:rFonts w:hint="eastAsia"/>
        </w:rPr>
        <w:t>表</w:t>
      </w:r>
      <w:r>
        <w:rPr>
          <w:rFonts w:hint="eastAsia"/>
          <w:lang w:val="en-US" w:eastAsia="zh-CN"/>
        </w:rPr>
        <w:t>3</w:t>
      </w:r>
      <w:r>
        <w:rPr>
          <w:rFonts w:hint="eastAsia"/>
        </w:rPr>
        <w:t>.3-1</w:t>
      </w:r>
      <w:r>
        <w:t xml:space="preserve"> </w:t>
      </w:r>
      <w:r>
        <w:rPr>
          <w:rFonts w:hint="eastAsia"/>
        </w:rPr>
        <w:t>风险物质扩散、防控及应急资源情况一览表</w:t>
      </w:r>
    </w:p>
    <w:tbl>
      <w:tblPr>
        <w:tblStyle w:val="23"/>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51"/>
        <w:gridCol w:w="1354"/>
        <w:gridCol w:w="2111"/>
        <w:gridCol w:w="6897"/>
        <w:gridCol w:w="253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5" w:hRule="atLeast"/>
          <w:jc w:val="center"/>
        </w:trPr>
        <w:tc>
          <w:tcPr>
            <w:tcW w:w="275" w:type="pct"/>
            <w:tcBorders>
              <w:tl2br w:val="nil"/>
              <w:tr2bl w:val="nil"/>
            </w:tcBorders>
            <w:vAlign w:val="center"/>
          </w:tcPr>
          <w:p>
            <w:pPr>
              <w:pStyle w:val="62"/>
              <w:rPr>
                <w:b/>
              </w:rPr>
            </w:pPr>
            <w:r>
              <w:rPr>
                <w:b/>
              </w:rPr>
              <w:t>序号</w:t>
            </w:r>
          </w:p>
        </w:tc>
        <w:tc>
          <w:tcPr>
            <w:tcW w:w="496" w:type="pct"/>
            <w:tcBorders>
              <w:tl2br w:val="nil"/>
              <w:tr2bl w:val="nil"/>
            </w:tcBorders>
            <w:vAlign w:val="center"/>
          </w:tcPr>
          <w:p>
            <w:pPr>
              <w:pStyle w:val="62"/>
              <w:rPr>
                <w:b/>
              </w:rPr>
            </w:pPr>
            <w:r>
              <w:rPr>
                <w:b/>
              </w:rPr>
              <w:t>风险物质</w:t>
            </w:r>
          </w:p>
        </w:tc>
        <w:tc>
          <w:tcPr>
            <w:tcW w:w="773" w:type="pct"/>
            <w:tcBorders>
              <w:tl2br w:val="nil"/>
              <w:tr2bl w:val="nil"/>
            </w:tcBorders>
            <w:vAlign w:val="center"/>
          </w:tcPr>
          <w:p>
            <w:pPr>
              <w:pStyle w:val="62"/>
              <w:rPr>
                <w:b/>
              </w:rPr>
            </w:pPr>
            <w:r>
              <w:rPr>
                <w:b/>
              </w:rPr>
              <w:t>扩散途径</w:t>
            </w:r>
          </w:p>
        </w:tc>
        <w:tc>
          <w:tcPr>
            <w:tcW w:w="2526" w:type="pct"/>
            <w:tcBorders>
              <w:tl2br w:val="nil"/>
              <w:tr2bl w:val="nil"/>
            </w:tcBorders>
            <w:vAlign w:val="center"/>
          </w:tcPr>
          <w:p>
            <w:pPr>
              <w:pStyle w:val="62"/>
              <w:rPr>
                <w:b/>
              </w:rPr>
            </w:pPr>
            <w:r>
              <w:rPr>
                <w:rFonts w:hint="eastAsia"/>
                <w:b/>
              </w:rPr>
              <w:t>应急、</w:t>
            </w:r>
            <w:r>
              <w:rPr>
                <w:b/>
              </w:rPr>
              <w:t>防控措施</w:t>
            </w:r>
          </w:p>
        </w:tc>
        <w:tc>
          <w:tcPr>
            <w:tcW w:w="928" w:type="pct"/>
            <w:tcBorders>
              <w:tl2br w:val="nil"/>
              <w:tr2bl w:val="nil"/>
            </w:tcBorders>
            <w:vAlign w:val="center"/>
          </w:tcPr>
          <w:p>
            <w:pPr>
              <w:pStyle w:val="62"/>
              <w:rPr>
                <w:b/>
              </w:rPr>
            </w:pPr>
            <w:r>
              <w:rPr>
                <w:b/>
              </w:rPr>
              <w:t>应急资源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275" w:type="pct"/>
            <w:tcBorders>
              <w:tl2br w:val="nil"/>
              <w:tr2bl w:val="nil"/>
            </w:tcBorders>
            <w:vAlign w:val="center"/>
          </w:tcPr>
          <w:p>
            <w:pPr>
              <w:pStyle w:val="62"/>
            </w:pPr>
            <w:r>
              <w:t>1</w:t>
            </w:r>
          </w:p>
        </w:tc>
        <w:tc>
          <w:tcPr>
            <w:tcW w:w="496" w:type="pct"/>
            <w:tcBorders>
              <w:tl2br w:val="nil"/>
              <w:tr2bl w:val="nil"/>
            </w:tcBorders>
            <w:vAlign w:val="center"/>
          </w:tcPr>
          <w:p>
            <w:pPr>
              <w:pStyle w:val="62"/>
            </w:pPr>
            <w:r>
              <w:t>超标废水</w:t>
            </w:r>
          </w:p>
        </w:tc>
        <w:tc>
          <w:tcPr>
            <w:tcW w:w="773" w:type="pct"/>
            <w:tcBorders>
              <w:tl2br w:val="nil"/>
              <w:tr2bl w:val="nil"/>
            </w:tcBorders>
            <w:vAlign w:val="center"/>
          </w:tcPr>
          <w:p>
            <w:pPr>
              <w:pStyle w:val="62"/>
            </w:pPr>
            <w:r>
              <w:t>超标废水外排，对纳污水体造成影响</w:t>
            </w:r>
          </w:p>
        </w:tc>
        <w:tc>
          <w:tcPr>
            <w:tcW w:w="2526" w:type="pct"/>
            <w:tcBorders>
              <w:tl2br w:val="nil"/>
              <w:tr2bl w:val="nil"/>
            </w:tcBorders>
            <w:vAlign w:val="center"/>
          </w:tcPr>
          <w:p>
            <w:pPr>
              <w:pStyle w:val="62"/>
              <w:jc w:val="left"/>
            </w:pPr>
            <w:r>
              <w:t>1、排查污水超标排放的原因，根据超标原因的不同采取相应措施，尽快做到污水达标排放；</w:t>
            </w:r>
          </w:p>
          <w:p>
            <w:pPr>
              <w:pStyle w:val="62"/>
              <w:jc w:val="left"/>
            </w:pPr>
            <w:r>
              <w:t>2、在事故发生后第一时间与环境保护局等单位相关部门联系，告知事故情况并递交书面报告；</w:t>
            </w:r>
          </w:p>
        </w:tc>
        <w:tc>
          <w:tcPr>
            <w:tcW w:w="928" w:type="pct"/>
            <w:tcBorders>
              <w:tl2br w:val="nil"/>
              <w:tr2bl w:val="nil"/>
            </w:tcBorders>
            <w:vAlign w:val="center"/>
          </w:tcPr>
          <w:p>
            <w:pPr>
              <w:pStyle w:val="62"/>
            </w:pPr>
            <w:r>
              <w:rPr>
                <w:rFonts w:hint="eastAsia"/>
              </w:rPr>
              <w:t>片碱、手套</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5" w:hRule="atLeast"/>
          <w:jc w:val="center"/>
        </w:trPr>
        <w:tc>
          <w:tcPr>
            <w:tcW w:w="275" w:type="pct"/>
            <w:tcBorders>
              <w:tl2br w:val="nil"/>
              <w:tr2bl w:val="nil"/>
            </w:tcBorders>
            <w:vAlign w:val="center"/>
          </w:tcPr>
          <w:p>
            <w:pPr>
              <w:pStyle w:val="62"/>
            </w:pPr>
            <w:r>
              <w:t>2</w:t>
            </w:r>
          </w:p>
        </w:tc>
        <w:tc>
          <w:tcPr>
            <w:tcW w:w="496" w:type="pct"/>
            <w:tcBorders>
              <w:tl2br w:val="nil"/>
              <w:tr2bl w:val="nil"/>
            </w:tcBorders>
            <w:vAlign w:val="center"/>
          </w:tcPr>
          <w:p>
            <w:pPr>
              <w:pStyle w:val="62"/>
            </w:pPr>
            <w:r>
              <w:rPr>
                <w:rFonts w:hint="eastAsia"/>
              </w:rPr>
              <w:t>脱脂剂</w:t>
            </w:r>
          </w:p>
        </w:tc>
        <w:tc>
          <w:tcPr>
            <w:tcW w:w="773" w:type="pct"/>
            <w:tcBorders>
              <w:tl2br w:val="nil"/>
              <w:tr2bl w:val="nil"/>
            </w:tcBorders>
            <w:vAlign w:val="center"/>
          </w:tcPr>
          <w:p>
            <w:pPr>
              <w:pStyle w:val="62"/>
              <w:rPr>
                <w:color w:val="FF0000"/>
                <w:highlight w:val="yellow"/>
              </w:rPr>
            </w:pPr>
            <w:r>
              <w:rPr>
                <w:rFonts w:hint="eastAsia"/>
              </w:rPr>
              <w:t>腐蚀地面造成渗漏，影响周边设备并污染大气环境</w:t>
            </w:r>
          </w:p>
        </w:tc>
        <w:tc>
          <w:tcPr>
            <w:tcW w:w="2526" w:type="pct"/>
            <w:tcBorders>
              <w:tl2br w:val="nil"/>
              <w:tr2bl w:val="nil"/>
            </w:tcBorders>
            <w:vAlign w:val="center"/>
          </w:tcPr>
          <w:p>
            <w:pPr>
              <w:pStyle w:val="62"/>
              <w:jc w:val="left"/>
            </w:pPr>
            <w:r>
              <w:rPr>
                <w:rFonts w:hint="eastAsia"/>
              </w:rPr>
              <w:t>1、使用过程中泄漏情况：</w:t>
            </w:r>
          </w:p>
          <w:p>
            <w:pPr>
              <w:pStyle w:val="62"/>
              <w:jc w:val="left"/>
            </w:pPr>
            <w:r>
              <w:rPr>
                <w:rFonts w:hint="eastAsia"/>
              </w:rPr>
              <w:t>①切断污染源；</w:t>
            </w:r>
          </w:p>
          <w:p>
            <w:pPr>
              <w:pStyle w:val="62"/>
              <w:jc w:val="left"/>
            </w:pPr>
            <w:r>
              <w:rPr>
                <w:rFonts w:hint="eastAsia"/>
              </w:rPr>
              <w:t>②脱脂剂泄漏后会在</w:t>
            </w:r>
            <w:r>
              <w:rPr>
                <w:rFonts w:hint="eastAsia"/>
                <w:lang w:val="en-US" w:eastAsia="zh-CN"/>
              </w:rPr>
              <w:t>会在仓库地面漫流</w:t>
            </w:r>
            <w:r>
              <w:rPr>
                <w:rFonts w:hint="eastAsia"/>
              </w:rPr>
              <w:t>，量较多可用泵抽出回收；</w:t>
            </w:r>
          </w:p>
          <w:p>
            <w:pPr>
              <w:pStyle w:val="62"/>
              <w:jc w:val="left"/>
            </w:pPr>
            <w:r>
              <w:rPr>
                <w:rFonts w:hint="eastAsia"/>
              </w:rPr>
              <w:t>③严重时，应立即通知指挥部，并及时打开房间门窗，合理通风，防止室内浓度过高造成应急人员伤亡。</w:t>
            </w:r>
          </w:p>
          <w:p>
            <w:pPr>
              <w:pStyle w:val="62"/>
              <w:jc w:val="left"/>
            </w:pPr>
            <w:r>
              <w:rPr>
                <w:rFonts w:hint="eastAsia"/>
              </w:rPr>
              <w:t>2、运输、装卸过程中泄漏情况：</w:t>
            </w:r>
          </w:p>
          <w:p>
            <w:pPr>
              <w:pStyle w:val="62"/>
              <w:jc w:val="left"/>
            </w:pPr>
            <w:r>
              <w:rPr>
                <w:rFonts w:hint="eastAsia"/>
              </w:rPr>
              <w:t>④应急人员应穿戴好防护装备，用沙袋、石灰筑成临时围堰，将防锈剂圈在围堰内，使用泵将泄漏防锈剂打入储存桶中；</w:t>
            </w:r>
          </w:p>
          <w:p>
            <w:pPr>
              <w:pStyle w:val="62"/>
              <w:jc w:val="left"/>
            </w:pPr>
            <w:r>
              <w:rPr>
                <w:rFonts w:hint="eastAsia"/>
              </w:rPr>
              <w:t>⑤及时疏散无关人员和附近居民，设置隔离带，必要时扩大疏散范围；</w:t>
            </w:r>
          </w:p>
          <w:p>
            <w:pPr>
              <w:pStyle w:val="62"/>
              <w:jc w:val="left"/>
              <w:rPr>
                <w:color w:val="FF0000"/>
                <w:highlight w:val="yellow"/>
              </w:rPr>
            </w:pPr>
            <w:r>
              <w:rPr>
                <w:rFonts w:hint="eastAsia"/>
              </w:rPr>
              <w:t>⑥、</w:t>
            </w:r>
            <w:r>
              <w:t>切断火源。建议应急处理人员戴</w:t>
            </w:r>
            <w:r>
              <w:fldChar w:fldCharType="begin"/>
            </w:r>
            <w:r>
              <w:instrText xml:space="preserve"> HYPERLINK "https://baike.baidu.com/item/%E9%98%B2%E5%B0%98%E5%8F%A3%E7%BD%A9/10998141" \t "https://baike.baidu.com/item/%E6%AE%8B%E6%9D%80%E5%A8%81/_blank" </w:instrText>
            </w:r>
            <w:r>
              <w:fldChar w:fldCharType="separate"/>
            </w:r>
            <w:r>
              <w:t>防尘口罩</w:t>
            </w:r>
            <w:r>
              <w:fldChar w:fldCharType="end"/>
            </w:r>
            <w:r>
              <w:t>，穿</w:t>
            </w:r>
            <w:r>
              <w:fldChar w:fldCharType="begin"/>
            </w:r>
            <w:r>
              <w:instrText xml:space="preserve"> HYPERLINK "https://baike.baidu.com/item/%E9%98%B2%E6%AF%92%E6%9C%8D/4683675" \t "https://baike.baidu.com/item/%E6%AE%8B%E6%9D%80%E5%A8%81/_blank" </w:instrText>
            </w:r>
            <w:r>
              <w:fldChar w:fldCharType="separate"/>
            </w:r>
            <w:r>
              <w:t>防毒服</w:t>
            </w:r>
            <w:r>
              <w:fldChar w:fldCharType="end"/>
            </w:r>
            <w:r>
              <w:t>。不要直接接触泄漏物</w:t>
            </w:r>
            <w:r>
              <w:rPr>
                <w:rFonts w:hint="eastAsia"/>
              </w:rPr>
              <w:t>；</w:t>
            </w:r>
          </w:p>
        </w:tc>
        <w:tc>
          <w:tcPr>
            <w:tcW w:w="928" w:type="pct"/>
            <w:tcBorders>
              <w:tl2br w:val="nil"/>
              <w:tr2bl w:val="nil"/>
            </w:tcBorders>
            <w:vAlign w:val="center"/>
          </w:tcPr>
          <w:p>
            <w:pPr>
              <w:pStyle w:val="62"/>
              <w:rPr>
                <w:color w:val="FF0000"/>
                <w:highlight w:val="yellow"/>
              </w:rPr>
            </w:pPr>
            <w:r>
              <w:rPr>
                <w:rFonts w:hint="eastAsia"/>
              </w:rPr>
              <w:t>防护服、</w:t>
            </w:r>
            <w:r>
              <w:t>口罩、</w:t>
            </w:r>
            <w:r>
              <w:rPr>
                <w:rFonts w:hint="eastAsia"/>
              </w:rPr>
              <w:t>防毒面罩、</w:t>
            </w:r>
            <w:r>
              <w:t>手套、带盖空桶</w:t>
            </w:r>
            <w:r>
              <w:rPr>
                <w:rFonts w:hint="eastAsia"/>
              </w:rPr>
              <w:t>、沙袋</w:t>
            </w:r>
            <w:r>
              <w:t>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212" w:hRule="atLeast"/>
          <w:jc w:val="center"/>
        </w:trPr>
        <w:tc>
          <w:tcPr>
            <w:tcW w:w="275" w:type="pct"/>
            <w:tcBorders>
              <w:tl2br w:val="nil"/>
              <w:tr2bl w:val="nil"/>
            </w:tcBorders>
            <w:vAlign w:val="center"/>
          </w:tcPr>
          <w:p>
            <w:pPr>
              <w:pStyle w:val="62"/>
            </w:pPr>
            <w:r>
              <w:t>3</w:t>
            </w:r>
          </w:p>
        </w:tc>
        <w:tc>
          <w:tcPr>
            <w:tcW w:w="496" w:type="pct"/>
            <w:tcBorders>
              <w:tl2br w:val="nil"/>
              <w:tr2bl w:val="nil"/>
            </w:tcBorders>
            <w:vAlign w:val="center"/>
          </w:tcPr>
          <w:p>
            <w:pPr>
              <w:pStyle w:val="62"/>
            </w:pPr>
            <w:r>
              <w:rPr>
                <w:rFonts w:hint="eastAsia"/>
              </w:rPr>
              <w:t>防锈剂</w:t>
            </w:r>
          </w:p>
        </w:tc>
        <w:tc>
          <w:tcPr>
            <w:tcW w:w="773" w:type="pct"/>
            <w:tcBorders>
              <w:tl2br w:val="nil"/>
              <w:tr2bl w:val="nil"/>
            </w:tcBorders>
            <w:vAlign w:val="center"/>
          </w:tcPr>
          <w:p>
            <w:pPr>
              <w:pStyle w:val="62"/>
            </w:pPr>
            <w:r>
              <w:rPr>
                <w:rFonts w:hint="eastAsia"/>
              </w:rPr>
              <w:t>腐蚀地面造成渗漏，影响周边设备并污染大气环境</w:t>
            </w:r>
          </w:p>
        </w:tc>
        <w:tc>
          <w:tcPr>
            <w:tcW w:w="2526" w:type="pct"/>
            <w:tcBorders>
              <w:tl2br w:val="nil"/>
              <w:tr2bl w:val="nil"/>
            </w:tcBorders>
            <w:vAlign w:val="center"/>
          </w:tcPr>
          <w:p>
            <w:pPr>
              <w:pStyle w:val="62"/>
              <w:jc w:val="left"/>
            </w:pPr>
            <w:r>
              <w:rPr>
                <w:rFonts w:hint="eastAsia"/>
              </w:rPr>
              <w:t>1、使用过程中泄漏情况：</w:t>
            </w:r>
          </w:p>
          <w:p>
            <w:pPr>
              <w:pStyle w:val="62"/>
              <w:jc w:val="left"/>
            </w:pPr>
            <w:r>
              <w:rPr>
                <w:rFonts w:hint="eastAsia"/>
              </w:rPr>
              <w:t>①切断污染源；</w:t>
            </w:r>
          </w:p>
          <w:p>
            <w:pPr>
              <w:pStyle w:val="62"/>
              <w:jc w:val="left"/>
            </w:pPr>
            <w:r>
              <w:rPr>
                <w:rFonts w:hint="eastAsia"/>
              </w:rPr>
              <w:t>②防锈剂泄漏后会在</w:t>
            </w:r>
            <w:r>
              <w:rPr>
                <w:rFonts w:hint="eastAsia"/>
                <w:lang w:val="en-US" w:eastAsia="zh-CN"/>
              </w:rPr>
              <w:t>在仓库地面漫流</w:t>
            </w:r>
            <w:r>
              <w:rPr>
                <w:rFonts w:hint="eastAsia"/>
              </w:rPr>
              <w:t>，量较多可用泵抽出回收；</w:t>
            </w:r>
          </w:p>
          <w:p>
            <w:pPr>
              <w:pStyle w:val="62"/>
              <w:jc w:val="left"/>
            </w:pPr>
            <w:r>
              <w:rPr>
                <w:rFonts w:hint="eastAsia"/>
              </w:rPr>
              <w:t>③严重时，应立即通知指挥部，并及时打开房间门窗，合理通风，防止室内浓度过高造成应急人员伤亡。</w:t>
            </w:r>
          </w:p>
          <w:p>
            <w:pPr>
              <w:pStyle w:val="62"/>
              <w:jc w:val="left"/>
            </w:pPr>
            <w:r>
              <w:rPr>
                <w:rFonts w:hint="eastAsia"/>
              </w:rPr>
              <w:t>2、运输、装卸过程中泄漏情况：</w:t>
            </w:r>
          </w:p>
          <w:p>
            <w:pPr>
              <w:pStyle w:val="62"/>
              <w:jc w:val="left"/>
            </w:pPr>
            <w:r>
              <w:rPr>
                <w:rFonts w:hint="eastAsia"/>
              </w:rPr>
              <w:t>④应急人员应穿戴好防护装备，用沙袋、石灰筑成临时围堰，将防锈剂圈在围堰内，使用泵将泄漏防锈剂打入储存桶中；</w:t>
            </w:r>
          </w:p>
          <w:p>
            <w:pPr>
              <w:pStyle w:val="62"/>
              <w:jc w:val="left"/>
            </w:pPr>
            <w:r>
              <w:rPr>
                <w:rFonts w:hint="eastAsia"/>
              </w:rPr>
              <w:t>⑤及时疏散无关人员和附近居民，设置隔离带，必要时扩大疏散范围；</w:t>
            </w:r>
          </w:p>
          <w:p>
            <w:pPr>
              <w:pStyle w:val="62"/>
              <w:jc w:val="left"/>
            </w:pPr>
            <w:r>
              <w:rPr>
                <w:rFonts w:hint="eastAsia"/>
              </w:rPr>
              <w:t>⑥、</w:t>
            </w:r>
            <w:r>
              <w:t>切断火源。建议应急处理人员戴</w:t>
            </w:r>
            <w:r>
              <w:fldChar w:fldCharType="begin"/>
            </w:r>
            <w:r>
              <w:instrText xml:space="preserve"> HYPERLINK "https://baike.baidu.com/item/%E9%98%B2%E5%B0%98%E5%8F%A3%E7%BD%A9/10998141" \t "https://baike.baidu.com/item/%E6%AE%8B%E6%9D%80%E5%A8%81/_blank" </w:instrText>
            </w:r>
            <w:r>
              <w:fldChar w:fldCharType="separate"/>
            </w:r>
            <w:r>
              <w:t>防尘口罩</w:t>
            </w:r>
            <w:r>
              <w:fldChar w:fldCharType="end"/>
            </w:r>
            <w:r>
              <w:t>，穿</w:t>
            </w:r>
            <w:r>
              <w:fldChar w:fldCharType="begin"/>
            </w:r>
            <w:r>
              <w:instrText xml:space="preserve"> HYPERLINK "https://baike.baidu.com/item/%E9%98%B2%E6%AF%92%E6%9C%8D/4683675" \t "https://baike.baidu.com/item/%E6%AE%8B%E6%9D%80%E5%A8%81/_blank" </w:instrText>
            </w:r>
            <w:r>
              <w:fldChar w:fldCharType="separate"/>
            </w:r>
            <w:r>
              <w:t>防毒服</w:t>
            </w:r>
            <w:r>
              <w:fldChar w:fldCharType="end"/>
            </w:r>
            <w:r>
              <w:t>。不要直接接触泄漏物</w:t>
            </w:r>
            <w:r>
              <w:rPr>
                <w:rFonts w:hint="eastAsia"/>
              </w:rPr>
              <w:t>；</w:t>
            </w:r>
          </w:p>
        </w:tc>
        <w:tc>
          <w:tcPr>
            <w:tcW w:w="928" w:type="pct"/>
            <w:tcBorders>
              <w:tl2br w:val="nil"/>
              <w:tr2bl w:val="nil"/>
            </w:tcBorders>
            <w:vAlign w:val="center"/>
          </w:tcPr>
          <w:p>
            <w:pPr>
              <w:pStyle w:val="62"/>
            </w:pPr>
            <w:r>
              <w:rPr>
                <w:rFonts w:hint="eastAsia"/>
              </w:rPr>
              <w:t>防护服、</w:t>
            </w:r>
            <w:r>
              <w:t>口罩、</w:t>
            </w:r>
            <w:r>
              <w:rPr>
                <w:rFonts w:hint="eastAsia"/>
              </w:rPr>
              <w:t>防毒面罩、</w:t>
            </w:r>
            <w:r>
              <w:t>手套、带盖空桶</w:t>
            </w:r>
            <w:r>
              <w:rPr>
                <w:rFonts w:hint="eastAsia"/>
              </w:rPr>
              <w:t>、沙袋</w:t>
            </w:r>
            <w:r>
              <w:t>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5" w:hRule="atLeast"/>
          <w:jc w:val="center"/>
        </w:trPr>
        <w:tc>
          <w:tcPr>
            <w:tcW w:w="275" w:type="pct"/>
            <w:tcBorders>
              <w:tl2br w:val="nil"/>
              <w:tr2bl w:val="nil"/>
            </w:tcBorders>
            <w:vAlign w:val="center"/>
          </w:tcPr>
          <w:p>
            <w:pPr>
              <w:pStyle w:val="62"/>
              <w:rPr>
                <w:rFonts w:hint="eastAsia" w:eastAsia="宋体"/>
                <w:spacing w:val="4"/>
                <w:lang w:eastAsia="zh-CN"/>
              </w:rPr>
            </w:pPr>
            <w:r>
              <w:rPr>
                <w:rFonts w:hint="eastAsia"/>
                <w:spacing w:val="4"/>
                <w:lang w:val="en-US" w:eastAsia="zh-CN"/>
              </w:rPr>
              <w:t>4</w:t>
            </w:r>
          </w:p>
        </w:tc>
        <w:tc>
          <w:tcPr>
            <w:tcW w:w="496" w:type="pct"/>
            <w:tcBorders>
              <w:tl2br w:val="nil"/>
              <w:tr2bl w:val="nil"/>
            </w:tcBorders>
            <w:vAlign w:val="center"/>
          </w:tcPr>
          <w:p>
            <w:pPr>
              <w:pStyle w:val="62"/>
              <w:rPr>
                <w:spacing w:val="4"/>
              </w:rPr>
            </w:pPr>
            <w:r>
              <w:rPr>
                <w:rFonts w:hint="eastAsia"/>
                <w:spacing w:val="4"/>
              </w:rPr>
              <w:t>废机油发生爆炸、火灾</w:t>
            </w:r>
          </w:p>
        </w:tc>
        <w:tc>
          <w:tcPr>
            <w:tcW w:w="773" w:type="pct"/>
            <w:tcBorders>
              <w:tl2br w:val="nil"/>
              <w:tr2bl w:val="nil"/>
            </w:tcBorders>
            <w:vAlign w:val="center"/>
          </w:tcPr>
          <w:p>
            <w:pPr>
              <w:pStyle w:val="62"/>
              <w:rPr>
                <w:spacing w:val="4"/>
              </w:rPr>
            </w:pPr>
            <w:r>
              <w:rPr>
                <w:rFonts w:hint="eastAsia"/>
                <w:spacing w:val="4"/>
              </w:rPr>
              <w:t>影响附近水体和大气环境</w:t>
            </w:r>
          </w:p>
        </w:tc>
        <w:tc>
          <w:tcPr>
            <w:tcW w:w="2526" w:type="pct"/>
            <w:tcBorders>
              <w:tl2br w:val="nil"/>
              <w:tr2bl w:val="nil"/>
            </w:tcBorders>
            <w:vAlign w:val="center"/>
          </w:tcPr>
          <w:p>
            <w:pPr>
              <w:pStyle w:val="62"/>
              <w:jc w:val="left"/>
              <w:rPr>
                <w:spacing w:val="4"/>
              </w:rPr>
            </w:pPr>
            <w:r>
              <w:rPr>
                <w:rFonts w:hint="eastAsia"/>
                <w:spacing w:val="4"/>
              </w:rPr>
              <w:t>1、废机油出现爆炸、火灾迹象的，立即切断一切电源，设置隔离带，通知人员撤离，并采取相应安全措施；</w:t>
            </w:r>
          </w:p>
          <w:p>
            <w:pPr>
              <w:pStyle w:val="62"/>
              <w:jc w:val="left"/>
              <w:rPr>
                <w:spacing w:val="4"/>
              </w:rPr>
            </w:pPr>
            <w:r>
              <w:rPr>
                <w:rFonts w:hint="eastAsia"/>
                <w:spacing w:val="4"/>
              </w:rPr>
              <w:t>2、现场人员应立即报告应急指挥部，指挥人员到达现场立即组织人员进行自救、灭火，防止爆炸、火灾事故扩大；</w:t>
            </w:r>
          </w:p>
          <w:p>
            <w:pPr>
              <w:pStyle w:val="62"/>
              <w:jc w:val="left"/>
              <w:rPr>
                <w:spacing w:val="4"/>
              </w:rPr>
            </w:pPr>
            <w:r>
              <w:rPr>
                <w:rFonts w:hint="eastAsia"/>
                <w:spacing w:val="4"/>
              </w:rPr>
              <w:t>3、若事故现场继续蔓延扩大，现场指挥人员通知各救援小组快速集结，快速反应履行各自职责投入抢救和灭火行动，并向外部机构求救，向公安消防机构报火警，并派人接应消防车辆，以及向县政府及相关部门报告，请求支援；</w:t>
            </w:r>
          </w:p>
          <w:p>
            <w:pPr>
              <w:pStyle w:val="62"/>
              <w:jc w:val="left"/>
              <w:rPr>
                <w:spacing w:val="4"/>
              </w:rPr>
            </w:pPr>
            <w:r>
              <w:rPr>
                <w:rFonts w:hint="eastAsia"/>
                <w:spacing w:val="4"/>
              </w:rPr>
              <w:t>4、各救援小组在消防人员到达事故现场之前，应继续加强冷却，撤离周围易燃可燃物品等办法控制火势，并注意防范周围可燃物着火；</w:t>
            </w:r>
          </w:p>
        </w:tc>
        <w:tc>
          <w:tcPr>
            <w:tcW w:w="928" w:type="pct"/>
            <w:tcBorders>
              <w:tl2br w:val="nil"/>
              <w:tr2bl w:val="nil"/>
            </w:tcBorders>
            <w:vAlign w:val="center"/>
          </w:tcPr>
          <w:p>
            <w:pPr>
              <w:pStyle w:val="62"/>
              <w:rPr>
                <w:spacing w:val="4"/>
              </w:rPr>
            </w:pPr>
            <w:r>
              <w:rPr>
                <w:rFonts w:hint="eastAsia"/>
                <w:spacing w:val="4"/>
              </w:rPr>
              <w:t>灭火器、沙袋、口罩、防护服、防毒面罩等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5" w:hRule="atLeast"/>
          <w:jc w:val="center"/>
        </w:trPr>
        <w:tc>
          <w:tcPr>
            <w:tcW w:w="275" w:type="pct"/>
            <w:tcBorders>
              <w:tl2br w:val="nil"/>
              <w:tr2bl w:val="nil"/>
            </w:tcBorders>
            <w:vAlign w:val="center"/>
          </w:tcPr>
          <w:p>
            <w:pPr>
              <w:pStyle w:val="62"/>
              <w:rPr>
                <w:rFonts w:hint="eastAsia" w:eastAsia="宋体"/>
                <w:spacing w:val="4"/>
                <w:lang w:eastAsia="zh-CN"/>
              </w:rPr>
            </w:pPr>
            <w:r>
              <w:rPr>
                <w:rFonts w:hint="eastAsia"/>
                <w:spacing w:val="4"/>
                <w:lang w:val="en-US" w:eastAsia="zh-CN"/>
              </w:rPr>
              <w:t>5</w:t>
            </w:r>
          </w:p>
        </w:tc>
        <w:tc>
          <w:tcPr>
            <w:tcW w:w="496" w:type="pct"/>
            <w:tcBorders>
              <w:tl2br w:val="nil"/>
              <w:tr2bl w:val="nil"/>
            </w:tcBorders>
            <w:vAlign w:val="center"/>
          </w:tcPr>
          <w:p>
            <w:pPr>
              <w:pStyle w:val="62"/>
              <w:rPr>
                <w:spacing w:val="4"/>
              </w:rPr>
            </w:pPr>
            <w:r>
              <w:rPr>
                <w:rFonts w:hint="eastAsia"/>
                <w:spacing w:val="4"/>
              </w:rPr>
              <w:t>事故废水外排</w:t>
            </w:r>
          </w:p>
        </w:tc>
        <w:tc>
          <w:tcPr>
            <w:tcW w:w="773" w:type="pct"/>
            <w:tcBorders>
              <w:tl2br w:val="nil"/>
              <w:tr2bl w:val="nil"/>
            </w:tcBorders>
            <w:vAlign w:val="center"/>
          </w:tcPr>
          <w:p>
            <w:pPr>
              <w:pStyle w:val="62"/>
              <w:rPr>
                <w:spacing w:val="4"/>
              </w:rPr>
            </w:pPr>
            <w:r>
              <w:rPr>
                <w:rFonts w:hint="eastAsia"/>
                <w:spacing w:val="4"/>
              </w:rPr>
              <w:t>事故废水漫流，污染地下水和周边环境</w:t>
            </w:r>
          </w:p>
        </w:tc>
        <w:tc>
          <w:tcPr>
            <w:tcW w:w="2526" w:type="pct"/>
            <w:tcBorders>
              <w:tl2br w:val="nil"/>
              <w:tr2bl w:val="nil"/>
            </w:tcBorders>
            <w:vAlign w:val="center"/>
          </w:tcPr>
          <w:p>
            <w:pPr>
              <w:pStyle w:val="62"/>
              <w:jc w:val="left"/>
              <w:rPr>
                <w:spacing w:val="4"/>
              </w:rPr>
            </w:pPr>
            <w:r>
              <w:rPr>
                <w:rFonts w:hint="eastAsia"/>
                <w:spacing w:val="4"/>
              </w:rPr>
              <w:t>1、当发生事故时，通过设置沙袋堆体阻拦设施，并将消防水引入厂内</w:t>
            </w:r>
            <w:r>
              <w:rPr>
                <w:rFonts w:hint="eastAsia"/>
                <w:spacing w:val="4"/>
                <w:lang w:val="en-US" w:eastAsia="zh-CN"/>
              </w:rPr>
              <w:t>集水池后再经</w:t>
            </w:r>
            <w:r>
              <w:rPr>
                <w:rFonts w:hint="eastAsia"/>
                <w:spacing w:val="4"/>
              </w:rPr>
              <w:t>污水处理站进行处理；</w:t>
            </w:r>
          </w:p>
          <w:p>
            <w:pPr>
              <w:pStyle w:val="62"/>
              <w:jc w:val="left"/>
              <w:rPr>
                <w:spacing w:val="4"/>
              </w:rPr>
            </w:pPr>
            <w:r>
              <w:rPr>
                <w:rFonts w:hint="eastAsia"/>
                <w:spacing w:val="4"/>
              </w:rPr>
              <w:t>2、对于漫流入雨水管线进入蓄水池的消防水，采取</w:t>
            </w:r>
            <w:r>
              <w:rPr>
                <w:rFonts w:hint="eastAsia"/>
                <w:spacing w:val="4"/>
                <w:highlight w:val="none"/>
              </w:rPr>
              <w:t>对排</w:t>
            </w:r>
            <w:r>
              <w:rPr>
                <w:rFonts w:hint="eastAsia"/>
                <w:spacing w:val="4"/>
              </w:rPr>
              <w:t>口用沙袋进行封堵或收集，引流至厂内污水处理站行处理；</w:t>
            </w:r>
          </w:p>
          <w:p>
            <w:pPr>
              <w:pStyle w:val="62"/>
              <w:jc w:val="left"/>
              <w:rPr>
                <w:spacing w:val="4"/>
              </w:rPr>
            </w:pPr>
            <w:r>
              <w:rPr>
                <w:rFonts w:hint="eastAsia"/>
                <w:spacing w:val="4"/>
              </w:rPr>
              <w:t>3、当事故废水量太大不可控制时，及时通知应急指挥部、</w:t>
            </w:r>
            <w:r>
              <w:rPr>
                <w:rFonts w:hint="eastAsia"/>
                <w:spacing w:val="4"/>
                <w:lang w:val="en-US" w:eastAsia="zh-CN"/>
              </w:rPr>
              <w:t>生态环境局</w:t>
            </w:r>
            <w:r>
              <w:rPr>
                <w:rFonts w:hint="eastAsia"/>
                <w:spacing w:val="4"/>
              </w:rPr>
              <w:t>、附近居民及各水体部门，对厂区</w:t>
            </w:r>
            <w:r>
              <w:rPr>
                <w:rFonts w:hint="eastAsia"/>
                <w:spacing w:val="4"/>
                <w:lang w:val="en-US" w:eastAsia="zh-CN"/>
              </w:rPr>
              <w:t>周围</w:t>
            </w:r>
            <w:r>
              <w:rPr>
                <w:rFonts w:hint="eastAsia"/>
                <w:spacing w:val="4"/>
              </w:rPr>
              <w:t>水体进行监测，无污染可解除警报；受到污染则制定方案进行治理，直至达标后解除警报。</w:t>
            </w:r>
          </w:p>
        </w:tc>
        <w:tc>
          <w:tcPr>
            <w:tcW w:w="928" w:type="pct"/>
            <w:tcBorders>
              <w:tl2br w:val="nil"/>
              <w:tr2bl w:val="nil"/>
            </w:tcBorders>
            <w:vAlign w:val="center"/>
          </w:tcPr>
          <w:p>
            <w:pPr>
              <w:pStyle w:val="62"/>
              <w:rPr>
                <w:spacing w:val="4"/>
              </w:rPr>
            </w:pPr>
            <w:r>
              <w:rPr>
                <w:rFonts w:hint="eastAsia"/>
                <w:spacing w:val="4"/>
              </w:rPr>
              <w:t>沙袋、抽水泵、空桶</w:t>
            </w:r>
          </w:p>
        </w:tc>
      </w:tr>
    </w:tbl>
    <w:p>
      <w:pPr>
        <w:ind w:firstLine="560"/>
        <w:sectPr>
          <w:pgSz w:w="16838" w:h="11906" w:orient="landscape"/>
          <w:pgMar w:top="1417" w:right="1701" w:bottom="1417" w:left="1701" w:header="720" w:footer="720" w:gutter="0"/>
          <w:pgBorders>
            <w:top w:val="none" w:sz="0" w:space="0"/>
            <w:left w:val="none" w:sz="0" w:space="0"/>
            <w:bottom w:val="none" w:sz="0" w:space="0"/>
            <w:right w:val="none" w:sz="0" w:space="0"/>
          </w:pgBorders>
          <w:pgNumType w:fmt="decimal"/>
          <w:cols w:space="0" w:num="1"/>
          <w:rtlGutter w:val="0"/>
          <w:docGrid w:type="lines" w:linePitch="381" w:charSpace="0"/>
        </w:sectPr>
      </w:pPr>
    </w:p>
    <w:p>
      <w:pPr>
        <w:pStyle w:val="4"/>
        <w:bidi w:val="0"/>
      </w:pPr>
      <w:bookmarkStart w:id="344" w:name="_Toc28274"/>
      <w:bookmarkStart w:id="345" w:name="_Toc10115"/>
      <w:bookmarkStart w:id="346" w:name="_Toc37591928"/>
      <w:bookmarkStart w:id="347" w:name="_Toc8657"/>
      <w:bookmarkStart w:id="348" w:name="_Toc12795"/>
      <w:bookmarkStart w:id="349" w:name="_Toc24430"/>
      <w:bookmarkStart w:id="350" w:name="_Toc23476"/>
      <w:bookmarkStart w:id="351" w:name="_Toc25775"/>
      <w:bookmarkStart w:id="352" w:name="_Toc4577"/>
      <w:bookmarkStart w:id="353" w:name="_Toc24941"/>
      <w:bookmarkStart w:id="354" w:name="_Toc19063"/>
      <w:r>
        <w:rPr>
          <w:rFonts w:hint="eastAsia"/>
          <w:lang w:val="en-US" w:eastAsia="zh-CN"/>
        </w:rPr>
        <w:t>3</w:t>
      </w:r>
      <w:r>
        <w:t>.4 可能发生的突发环境事件及后果分析</w:t>
      </w:r>
      <w:bookmarkEnd w:id="344"/>
      <w:bookmarkEnd w:id="345"/>
      <w:bookmarkEnd w:id="346"/>
      <w:bookmarkEnd w:id="347"/>
      <w:bookmarkEnd w:id="348"/>
      <w:bookmarkEnd w:id="349"/>
      <w:bookmarkEnd w:id="350"/>
      <w:bookmarkEnd w:id="351"/>
      <w:bookmarkEnd w:id="352"/>
      <w:bookmarkEnd w:id="353"/>
      <w:bookmarkEnd w:id="354"/>
    </w:p>
    <w:p>
      <w:pPr>
        <w:bidi w:val="0"/>
      </w:pPr>
      <w:r>
        <w:rPr>
          <w:rFonts w:hint="eastAsia"/>
        </w:rPr>
        <w:t>南昌瀛宇金属制品有限公司</w:t>
      </w:r>
      <w:r>
        <w:t>突发环境事件分析如下：</w:t>
      </w:r>
    </w:p>
    <w:p>
      <w:pPr>
        <w:pStyle w:val="5"/>
        <w:bidi w:val="0"/>
      </w:pPr>
      <w:bookmarkStart w:id="355" w:name="_Toc13108"/>
      <w:bookmarkStart w:id="356" w:name="_Toc29641"/>
      <w:bookmarkStart w:id="357" w:name="_Toc17664"/>
      <w:bookmarkStart w:id="358" w:name="_Toc7667"/>
      <w:bookmarkStart w:id="359" w:name="_Toc32586"/>
      <w:bookmarkStart w:id="360" w:name="_Toc37591929"/>
      <w:bookmarkStart w:id="361" w:name="_Toc6321"/>
      <w:r>
        <w:rPr>
          <w:rFonts w:hint="eastAsia"/>
          <w:lang w:val="en-US" w:eastAsia="zh-CN"/>
        </w:rPr>
        <w:t>3</w:t>
      </w:r>
      <w:r>
        <w:rPr>
          <w:rFonts w:hint="eastAsia"/>
        </w:rPr>
        <w:t>.4.1</w:t>
      </w:r>
      <w:r>
        <w:t xml:space="preserve"> </w:t>
      </w:r>
      <w:r>
        <w:rPr>
          <w:rFonts w:hint="eastAsia"/>
        </w:rPr>
        <w:t>脱脂剂泄漏突发环境事件分析</w:t>
      </w:r>
      <w:bookmarkEnd w:id="355"/>
      <w:bookmarkEnd w:id="356"/>
      <w:bookmarkEnd w:id="357"/>
      <w:bookmarkEnd w:id="358"/>
      <w:bookmarkEnd w:id="359"/>
      <w:bookmarkEnd w:id="360"/>
      <w:bookmarkEnd w:id="361"/>
    </w:p>
    <w:p>
      <w:pPr>
        <w:bidi w:val="0"/>
      </w:pPr>
      <w:r>
        <w:rPr>
          <w:rFonts w:hint="eastAsia"/>
        </w:rPr>
        <w:t>本项目脱脂剂储存于包装桶中，包装桶为塑料桶，则脱脂剂泄漏主要可能是使用过程中导致发生泄漏。灭虫剂应储存于阴凉处，避免高温暴晒，储存间禁止烟火，则可能发生火灾、爆炸事故。故这些事故如果发生，将可能产生有毒气体导致大气环境污染和造成地下水污染。</w:t>
      </w:r>
    </w:p>
    <w:p>
      <w:pPr>
        <w:pStyle w:val="5"/>
        <w:bidi w:val="0"/>
      </w:pPr>
      <w:bookmarkStart w:id="362" w:name="_Toc10058"/>
      <w:bookmarkStart w:id="363" w:name="_Toc1676"/>
      <w:bookmarkStart w:id="364" w:name="_Toc30582"/>
      <w:bookmarkStart w:id="365" w:name="_Toc37591930"/>
      <w:bookmarkStart w:id="366" w:name="_Toc10160"/>
      <w:bookmarkStart w:id="367" w:name="_Toc4890"/>
      <w:r>
        <w:rPr>
          <w:rFonts w:hint="eastAsia"/>
          <w:lang w:val="en-US" w:eastAsia="zh-CN"/>
        </w:rPr>
        <w:t>3</w:t>
      </w:r>
      <w:r>
        <w:rPr>
          <w:rFonts w:hint="eastAsia"/>
        </w:rPr>
        <w:t>.4.2</w:t>
      </w:r>
      <w:r>
        <w:t xml:space="preserve"> </w:t>
      </w:r>
      <w:r>
        <w:rPr>
          <w:rFonts w:hint="eastAsia"/>
        </w:rPr>
        <w:t>防锈</w:t>
      </w:r>
      <w:r>
        <w:rPr>
          <w:rFonts w:hint="eastAsia"/>
          <w:highlight w:val="none"/>
        </w:rPr>
        <w:t>剂</w:t>
      </w:r>
      <w:r>
        <w:rPr>
          <w:rFonts w:hint="eastAsia"/>
        </w:rPr>
        <w:t>泄漏突发环境事件分析</w:t>
      </w:r>
      <w:bookmarkEnd w:id="362"/>
      <w:bookmarkEnd w:id="363"/>
      <w:bookmarkEnd w:id="364"/>
      <w:bookmarkEnd w:id="365"/>
      <w:bookmarkEnd w:id="366"/>
      <w:bookmarkEnd w:id="367"/>
    </w:p>
    <w:p>
      <w:pPr>
        <w:bidi w:val="0"/>
      </w:pPr>
      <w:r>
        <w:rPr>
          <w:rFonts w:hint="eastAsia"/>
        </w:rPr>
        <w:t>本项目防锈剂储存于包装桶中，包装桶为塑料桶，则防锈剂泄漏主要可能是使用过程中导致发生泄漏。防锈剂应储存于阴凉处，避免高温暴晒，储存间禁止烟火，则可能发生火灾、爆炸事故。故这些事故如果发生，将可能产生有毒气体导致大气环境污染和造成地下水污染。</w:t>
      </w:r>
    </w:p>
    <w:p>
      <w:pPr>
        <w:pStyle w:val="5"/>
        <w:bidi w:val="0"/>
      </w:pPr>
      <w:bookmarkStart w:id="368" w:name="_Toc960"/>
      <w:bookmarkStart w:id="369" w:name="_Toc3432"/>
      <w:bookmarkStart w:id="370" w:name="_Toc18261"/>
      <w:bookmarkStart w:id="371" w:name="_Toc3527"/>
      <w:bookmarkStart w:id="372" w:name="_Toc37591931"/>
      <w:bookmarkStart w:id="373" w:name="_Toc5811"/>
      <w:r>
        <w:rPr>
          <w:rFonts w:hint="eastAsia"/>
          <w:lang w:val="en-US" w:eastAsia="zh-CN"/>
        </w:rPr>
        <w:t>3</w:t>
      </w:r>
      <w:r>
        <w:rPr>
          <w:rFonts w:hint="eastAsia"/>
        </w:rPr>
        <w:t>.4.3</w:t>
      </w:r>
      <w:r>
        <w:t xml:space="preserve"> </w:t>
      </w:r>
      <w:r>
        <w:rPr>
          <w:rFonts w:hint="eastAsia"/>
        </w:rPr>
        <w:t>超标废水外排突发环境事件分析</w:t>
      </w:r>
      <w:bookmarkEnd w:id="368"/>
      <w:bookmarkEnd w:id="369"/>
      <w:bookmarkEnd w:id="370"/>
      <w:bookmarkEnd w:id="371"/>
      <w:bookmarkEnd w:id="372"/>
      <w:bookmarkEnd w:id="373"/>
    </w:p>
    <w:p>
      <w:pPr>
        <w:pStyle w:val="64"/>
        <w:ind w:firstLine="480"/>
      </w:pPr>
      <w:r>
        <w:t>可能导致尾水超标排放的原因有：</w:t>
      </w:r>
      <w:r>
        <w:rPr>
          <w:rFonts w:hint="eastAsia" w:ascii="宋体" w:hAnsi="宋体"/>
        </w:rPr>
        <w:t>①</w:t>
      </w:r>
      <w:r>
        <w:t>进水水质超标；</w:t>
      </w:r>
      <w:r>
        <w:rPr>
          <w:rFonts w:hint="eastAsia" w:ascii="宋体" w:hAnsi="宋体"/>
        </w:rPr>
        <w:t>②</w:t>
      </w:r>
      <w:r>
        <w:t>停电；</w:t>
      </w:r>
      <w:r>
        <w:rPr>
          <w:rFonts w:hint="eastAsia" w:ascii="宋体" w:hAnsi="宋体"/>
        </w:rPr>
        <w:t>③</w:t>
      </w:r>
      <w:r>
        <w:t>关键设备故障，格栅故障、加药系统故障、</w:t>
      </w:r>
      <w:r>
        <w:rPr>
          <w:rFonts w:hint="eastAsia"/>
        </w:rPr>
        <w:t>泵房</w:t>
      </w:r>
      <w:r>
        <w:t>故障</w:t>
      </w:r>
      <w:r>
        <w:rPr>
          <w:rFonts w:hint="eastAsia"/>
        </w:rPr>
        <w:t>、排污管道破裂</w:t>
      </w:r>
      <w:r>
        <w:t>等。这些事故如果发生，将可能导致尾水超标外排，对</w:t>
      </w:r>
      <w:r>
        <w:rPr>
          <w:rFonts w:hint="eastAsia"/>
        </w:rPr>
        <w:t>白水湖污水处理厂进水水质超标</w:t>
      </w:r>
      <w:r>
        <w:t>。</w:t>
      </w:r>
    </w:p>
    <w:bookmarkEnd w:id="310"/>
    <w:p>
      <w:pPr>
        <w:pStyle w:val="5"/>
        <w:bidi w:val="0"/>
      </w:pPr>
      <w:bookmarkStart w:id="374" w:name="_Toc9439"/>
      <w:bookmarkStart w:id="375" w:name="_Toc16540"/>
      <w:bookmarkStart w:id="376" w:name="_Toc17263"/>
      <w:bookmarkStart w:id="377" w:name="_Toc26678"/>
      <w:bookmarkStart w:id="378" w:name="_Toc37591932"/>
      <w:bookmarkStart w:id="379" w:name="_Toc2535"/>
      <w:r>
        <w:rPr>
          <w:rFonts w:hint="eastAsia"/>
          <w:lang w:val="en-US" w:eastAsia="zh-CN"/>
        </w:rPr>
        <w:t>3</w:t>
      </w:r>
      <w:r>
        <w:rPr>
          <w:rFonts w:hint="eastAsia"/>
        </w:rPr>
        <w:t>.4.</w:t>
      </w:r>
      <w:r>
        <w:rPr>
          <w:rFonts w:hint="eastAsia"/>
          <w:lang w:val="en-US" w:eastAsia="zh-CN"/>
        </w:rPr>
        <w:t>4</w:t>
      </w:r>
      <w:r>
        <w:t xml:space="preserve"> </w:t>
      </w:r>
      <w:r>
        <w:rPr>
          <w:rFonts w:hint="eastAsia"/>
        </w:rPr>
        <w:t>废机油泄露发生火灾、爆炸突发环境事件分析</w:t>
      </w:r>
      <w:bookmarkEnd w:id="374"/>
      <w:bookmarkEnd w:id="375"/>
      <w:bookmarkEnd w:id="376"/>
      <w:bookmarkEnd w:id="377"/>
      <w:bookmarkEnd w:id="378"/>
      <w:bookmarkEnd w:id="379"/>
    </w:p>
    <w:p>
      <w:pPr>
        <w:bidi w:val="0"/>
      </w:pPr>
      <w:r>
        <w:rPr>
          <w:rFonts w:hint="eastAsia"/>
        </w:rPr>
        <w:t>可能导致危险废物贮存场所发生火灾、爆炸的原因有：危险废物贮存场所废机油遇明火发生火灾、爆炸。这些事故如果发生，将可能导致工作人员及附近居民受到伤害，并引发大气环境污染。</w:t>
      </w:r>
    </w:p>
    <w:p>
      <w:pPr>
        <w:pStyle w:val="35"/>
        <w:spacing w:beforeLines="0" w:afterLines="0"/>
        <w:outlineLvl w:val="9"/>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p>
    <w:p>
      <w:pPr>
        <w:pStyle w:val="3"/>
        <w:bidi w:val="0"/>
      </w:pPr>
      <w:bookmarkStart w:id="380" w:name="_Toc37591933"/>
      <w:bookmarkStart w:id="381" w:name="_Toc14405"/>
      <w:bookmarkStart w:id="382" w:name="_Toc16318"/>
      <w:bookmarkStart w:id="383" w:name="_Toc6584"/>
      <w:bookmarkStart w:id="384" w:name="_Toc24578"/>
      <w:bookmarkStart w:id="385" w:name="_Toc4959"/>
      <w:bookmarkStart w:id="386" w:name="_Toc12204"/>
      <w:bookmarkStart w:id="387" w:name="_Toc19252"/>
      <w:bookmarkStart w:id="388" w:name="_Toc11571"/>
      <w:bookmarkStart w:id="389" w:name="_Toc10132"/>
      <w:r>
        <w:rPr>
          <w:rFonts w:hint="eastAsia"/>
          <w:lang w:val="en-US" w:eastAsia="zh-CN"/>
        </w:rPr>
        <w:t>4</w:t>
      </w:r>
      <w:r>
        <w:t xml:space="preserve"> </w:t>
      </w:r>
      <w:r>
        <w:rPr>
          <w:rFonts w:hint="eastAsia"/>
        </w:rPr>
        <w:t>现有环境风险防控和应急措施差距分析</w:t>
      </w:r>
      <w:bookmarkEnd w:id="299"/>
      <w:bookmarkEnd w:id="380"/>
      <w:bookmarkEnd w:id="381"/>
      <w:bookmarkEnd w:id="382"/>
      <w:bookmarkEnd w:id="383"/>
      <w:bookmarkEnd w:id="384"/>
      <w:bookmarkEnd w:id="385"/>
      <w:bookmarkEnd w:id="386"/>
      <w:bookmarkEnd w:id="387"/>
      <w:bookmarkEnd w:id="388"/>
      <w:bookmarkEnd w:id="389"/>
    </w:p>
    <w:p>
      <w:pPr>
        <w:pStyle w:val="64"/>
        <w:ind w:firstLine="480"/>
        <w:rPr>
          <w:rFonts w:hint="eastAsia"/>
        </w:rPr>
      </w:pPr>
    </w:p>
    <w:p>
      <w:pPr>
        <w:pStyle w:val="64"/>
        <w:ind w:firstLine="480"/>
      </w:pPr>
      <w:r>
        <w:rPr>
          <w:rFonts w:hint="eastAsia"/>
        </w:rPr>
        <w:t>根据第</w:t>
      </w:r>
      <w:r>
        <w:rPr>
          <w:rFonts w:hint="eastAsia"/>
          <w:lang w:val="en-US" w:eastAsia="zh-CN"/>
        </w:rPr>
        <w:t>2</w:t>
      </w:r>
      <w:r>
        <w:rPr>
          <w:rFonts w:hint="eastAsia"/>
        </w:rPr>
        <w:t>章和第</w:t>
      </w:r>
      <w:r>
        <w:rPr>
          <w:rFonts w:hint="eastAsia"/>
          <w:lang w:val="en-US" w:eastAsia="zh-CN"/>
        </w:rPr>
        <w:t>3</w:t>
      </w:r>
      <w:r>
        <w:rPr>
          <w:rFonts w:hint="eastAsia"/>
        </w:rPr>
        <w:t>章，从以下五个方面对现有环境风险防控与应急措施的完备性、可靠性和有效性进行分析论证。</w:t>
      </w:r>
    </w:p>
    <w:p>
      <w:pPr>
        <w:pStyle w:val="4"/>
        <w:bidi w:val="0"/>
      </w:pPr>
      <w:bookmarkStart w:id="390" w:name="_Toc37591934"/>
      <w:bookmarkStart w:id="391" w:name="_Toc8748"/>
      <w:bookmarkStart w:id="392" w:name="_Toc3107"/>
      <w:bookmarkStart w:id="393" w:name="_Toc14381"/>
      <w:bookmarkStart w:id="394" w:name="_Toc6985"/>
      <w:bookmarkStart w:id="395" w:name="_Toc20946"/>
      <w:bookmarkStart w:id="396" w:name="_Toc10565"/>
      <w:bookmarkStart w:id="397" w:name="_Toc20406"/>
      <w:bookmarkStart w:id="398" w:name="_Toc25878"/>
      <w:bookmarkStart w:id="399" w:name="_Toc20879"/>
      <w:bookmarkStart w:id="400" w:name="_Toc24366"/>
      <w:r>
        <w:rPr>
          <w:rFonts w:hint="eastAsia"/>
          <w:lang w:val="en-US" w:eastAsia="zh-CN"/>
        </w:rPr>
        <w:t>4</w:t>
      </w:r>
      <w:r>
        <w:rPr>
          <w:rFonts w:hint="eastAsia"/>
        </w:rPr>
        <w:t>.1</w:t>
      </w:r>
      <w:r>
        <w:t xml:space="preserve"> </w:t>
      </w:r>
      <w:r>
        <w:rPr>
          <w:rFonts w:hint="eastAsia"/>
        </w:rPr>
        <w:t>环境风险管理制度</w:t>
      </w:r>
      <w:bookmarkEnd w:id="390"/>
      <w:bookmarkEnd w:id="391"/>
      <w:bookmarkEnd w:id="392"/>
      <w:bookmarkEnd w:id="393"/>
      <w:bookmarkEnd w:id="394"/>
      <w:bookmarkEnd w:id="395"/>
      <w:bookmarkEnd w:id="396"/>
      <w:bookmarkEnd w:id="397"/>
      <w:bookmarkEnd w:id="398"/>
      <w:bookmarkEnd w:id="399"/>
      <w:bookmarkEnd w:id="400"/>
    </w:p>
    <w:p>
      <w:pPr>
        <w:bidi w:val="0"/>
      </w:pPr>
      <w:r>
        <w:rPr>
          <w:b/>
          <w:bCs/>
        </w:rPr>
        <w:t>实际情况：</w:t>
      </w:r>
      <w:r>
        <w:t>公司已建立内部环保管理机构，并制定了相关的环保管理制度。但没有定期对职工开展环境风险和环境应急管理宣传和培训，没有在厂区内张贴应急救援机构和人员、联系方式。未能真正把风险单元的风险管理落到实处，从而会加大事故发生的概率，容易造成环境事故。</w:t>
      </w:r>
    </w:p>
    <w:p>
      <w:pPr>
        <w:bidi w:val="0"/>
        <w:rPr>
          <w:b/>
          <w:bCs/>
        </w:rPr>
      </w:pPr>
      <w:r>
        <w:rPr>
          <w:b/>
          <w:bCs/>
        </w:rPr>
        <w:t>差距分析：</w:t>
      </w:r>
    </w:p>
    <w:p>
      <w:pPr>
        <w:bidi w:val="0"/>
        <w:rPr>
          <w:b/>
          <w:bCs/>
        </w:rPr>
      </w:pPr>
      <w:r>
        <w:rPr>
          <w:b/>
          <w:bCs/>
        </w:rPr>
        <w:t>（1）强化管理</w:t>
      </w:r>
    </w:p>
    <w:p>
      <w:pPr>
        <w:bidi w:val="0"/>
      </w:pPr>
      <w:r>
        <w:t>根据公司自身的情况，制定一套环境风险管理制度，明确公司及各个环境风险单元的管理要求，以有效降低事故发生的概率，降低环境风险。</w:t>
      </w:r>
    </w:p>
    <w:p>
      <w:pPr>
        <w:bidi w:val="0"/>
        <w:rPr>
          <w:b/>
          <w:bCs/>
        </w:rPr>
      </w:pPr>
      <w:r>
        <w:rPr>
          <w:b/>
          <w:bCs/>
        </w:rPr>
        <w:t>（2）杜绝违规操作</w:t>
      </w:r>
    </w:p>
    <w:p>
      <w:pPr>
        <w:bidi w:val="0"/>
      </w:pPr>
      <w:r>
        <w:t>定期对员工进行操作培训，加强员工</w:t>
      </w:r>
      <w:r>
        <w:rPr>
          <w:highlight w:val="none"/>
        </w:rPr>
        <w:t>的风险</w:t>
      </w:r>
      <w:r>
        <w:t>防范意识，制定明确的赏罚制度，避免因员工的误操作、违规操作而引发重大环境污染事故。</w:t>
      </w:r>
    </w:p>
    <w:p>
      <w:pPr>
        <w:pStyle w:val="4"/>
        <w:bidi w:val="0"/>
      </w:pPr>
      <w:bookmarkStart w:id="401" w:name="_Toc26953"/>
      <w:bookmarkStart w:id="402" w:name="_Toc27094"/>
      <w:bookmarkStart w:id="403" w:name="_Toc32390"/>
      <w:bookmarkStart w:id="404" w:name="_Toc31263"/>
      <w:bookmarkStart w:id="405" w:name="_Toc27262"/>
      <w:bookmarkStart w:id="406" w:name="_Toc25456"/>
      <w:bookmarkStart w:id="407" w:name="_Toc28284"/>
      <w:bookmarkStart w:id="408" w:name="_Toc28219"/>
      <w:bookmarkStart w:id="409" w:name="_Toc37591935"/>
      <w:bookmarkStart w:id="410" w:name="_Toc6543"/>
      <w:bookmarkStart w:id="411" w:name="_Toc16091"/>
      <w:r>
        <w:rPr>
          <w:rFonts w:hint="eastAsia"/>
          <w:lang w:val="en-US" w:eastAsia="zh-CN"/>
        </w:rPr>
        <w:t>4</w:t>
      </w:r>
      <w:r>
        <w:rPr>
          <w:rFonts w:hint="eastAsia"/>
        </w:rPr>
        <w:t>.2</w:t>
      </w:r>
      <w:r>
        <w:t xml:space="preserve"> </w:t>
      </w:r>
      <w:r>
        <w:rPr>
          <w:rFonts w:hint="eastAsia"/>
        </w:rPr>
        <w:t>环境风险防控与应急措施</w:t>
      </w:r>
      <w:bookmarkEnd w:id="401"/>
      <w:bookmarkEnd w:id="402"/>
      <w:bookmarkEnd w:id="403"/>
      <w:bookmarkEnd w:id="404"/>
      <w:bookmarkEnd w:id="405"/>
      <w:bookmarkEnd w:id="406"/>
      <w:bookmarkEnd w:id="407"/>
      <w:bookmarkEnd w:id="408"/>
      <w:bookmarkEnd w:id="409"/>
      <w:bookmarkEnd w:id="410"/>
      <w:bookmarkEnd w:id="411"/>
    </w:p>
    <w:p>
      <w:pPr>
        <w:pStyle w:val="28"/>
        <w:bidi w:val="0"/>
      </w:pPr>
      <w:r>
        <w:rPr>
          <w:rFonts w:hint="eastAsia"/>
        </w:rPr>
        <w:t>表</w:t>
      </w:r>
      <w:r>
        <w:rPr>
          <w:rFonts w:hint="eastAsia"/>
          <w:lang w:val="en-US" w:eastAsia="zh-CN"/>
        </w:rPr>
        <w:t>4</w:t>
      </w:r>
      <w:r>
        <w:rPr>
          <w:rFonts w:hint="eastAsia"/>
        </w:rPr>
        <w:t>.2-1 环境风险防控与应急措施差距分析</w:t>
      </w:r>
    </w:p>
    <w:tbl>
      <w:tblPr>
        <w:tblStyle w:val="23"/>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54"/>
        <w:gridCol w:w="1883"/>
        <w:gridCol w:w="4340"/>
        <w:gridCol w:w="154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547" w:type="pct"/>
            <w:tcBorders>
              <w:bottom w:val="single" w:color="auto" w:sz="12" w:space="0"/>
            </w:tcBorders>
            <w:vAlign w:val="center"/>
          </w:tcPr>
          <w:p>
            <w:pPr>
              <w:pStyle w:val="39"/>
              <w:widowControl w:val="0"/>
              <w:bidi w:val="0"/>
              <w:rPr>
                <w:b/>
                <w:bCs/>
              </w:rPr>
            </w:pPr>
            <w:r>
              <w:rPr>
                <w:b/>
                <w:bCs/>
              </w:rPr>
              <w:t>序号</w:t>
            </w:r>
          </w:p>
        </w:tc>
        <w:tc>
          <w:tcPr>
            <w:tcW w:w="1080" w:type="pct"/>
            <w:tcBorders>
              <w:bottom w:val="single" w:color="auto" w:sz="12" w:space="0"/>
            </w:tcBorders>
            <w:vAlign w:val="center"/>
          </w:tcPr>
          <w:p>
            <w:pPr>
              <w:pStyle w:val="39"/>
              <w:widowControl w:val="0"/>
              <w:bidi w:val="0"/>
              <w:rPr>
                <w:b/>
                <w:bCs/>
              </w:rPr>
            </w:pPr>
            <w:r>
              <w:rPr>
                <w:b/>
                <w:bCs/>
              </w:rPr>
              <w:t>环境风险源</w:t>
            </w:r>
          </w:p>
        </w:tc>
        <w:tc>
          <w:tcPr>
            <w:tcW w:w="2489" w:type="pct"/>
            <w:tcBorders>
              <w:bottom w:val="single" w:color="auto" w:sz="12" w:space="0"/>
            </w:tcBorders>
            <w:vAlign w:val="center"/>
          </w:tcPr>
          <w:p>
            <w:pPr>
              <w:pStyle w:val="39"/>
              <w:widowControl w:val="0"/>
              <w:bidi w:val="0"/>
              <w:rPr>
                <w:b/>
                <w:bCs/>
              </w:rPr>
            </w:pPr>
            <w:r>
              <w:rPr>
                <w:b/>
                <w:bCs/>
              </w:rPr>
              <w:t>现有的环境风险技术防控措施</w:t>
            </w:r>
          </w:p>
        </w:tc>
        <w:tc>
          <w:tcPr>
            <w:tcW w:w="883" w:type="pct"/>
            <w:tcBorders>
              <w:bottom w:val="single" w:color="auto" w:sz="12" w:space="0"/>
            </w:tcBorders>
            <w:vAlign w:val="center"/>
          </w:tcPr>
          <w:p>
            <w:pPr>
              <w:pStyle w:val="39"/>
              <w:widowControl w:val="0"/>
              <w:bidi w:val="0"/>
              <w:rPr>
                <w:b/>
                <w:bCs/>
              </w:rPr>
            </w:pPr>
            <w:r>
              <w:rPr>
                <w:b/>
                <w:bCs/>
              </w:rPr>
              <w:t>差距性分析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547" w:type="pct"/>
            <w:tcBorders>
              <w:top w:val="single" w:color="auto" w:sz="12" w:space="0"/>
              <w:tl2br w:val="nil"/>
              <w:tr2bl w:val="nil"/>
            </w:tcBorders>
            <w:vAlign w:val="center"/>
          </w:tcPr>
          <w:p>
            <w:pPr>
              <w:pStyle w:val="39"/>
              <w:widowControl w:val="0"/>
              <w:bidi w:val="0"/>
            </w:pPr>
            <w:r>
              <w:t>1</w:t>
            </w:r>
          </w:p>
        </w:tc>
        <w:tc>
          <w:tcPr>
            <w:tcW w:w="1080" w:type="pct"/>
            <w:tcBorders>
              <w:top w:val="single" w:color="auto" w:sz="12" w:space="0"/>
              <w:tl2br w:val="nil"/>
              <w:tr2bl w:val="nil"/>
            </w:tcBorders>
            <w:vAlign w:val="center"/>
          </w:tcPr>
          <w:p>
            <w:pPr>
              <w:pStyle w:val="39"/>
              <w:widowControl w:val="0"/>
              <w:bidi w:val="0"/>
            </w:pPr>
            <w:r>
              <w:rPr>
                <w:rFonts w:hint="eastAsia"/>
              </w:rPr>
              <w:t>污水</w:t>
            </w:r>
            <w:r>
              <w:t>排放超过设计</w:t>
            </w:r>
            <w:r>
              <w:rPr>
                <w:highlight w:val="none"/>
              </w:rPr>
              <w:t>出水</w:t>
            </w:r>
            <w:r>
              <w:t>水质标准</w:t>
            </w:r>
          </w:p>
        </w:tc>
        <w:tc>
          <w:tcPr>
            <w:tcW w:w="2489" w:type="pct"/>
            <w:tcBorders>
              <w:top w:val="single" w:color="auto" w:sz="12" w:space="0"/>
              <w:tl2br w:val="nil"/>
              <w:tr2bl w:val="nil"/>
            </w:tcBorders>
            <w:vAlign w:val="center"/>
          </w:tcPr>
          <w:p>
            <w:pPr>
              <w:pStyle w:val="39"/>
              <w:widowControl w:val="0"/>
              <w:bidi w:val="0"/>
            </w:pPr>
            <w:r>
              <w:t>防范措施：</w:t>
            </w:r>
            <w:r>
              <w:rPr>
                <w:rFonts w:hint="eastAsia"/>
              </w:rPr>
              <w:t>①</w:t>
            </w:r>
            <w:r>
              <w:t>对进出水水质进行监控，水质出现波动时立即调整处理系统参数，确保水质回归正常；</w:t>
            </w:r>
          </w:p>
          <w:p>
            <w:pPr>
              <w:pStyle w:val="39"/>
              <w:widowControl w:val="0"/>
              <w:bidi w:val="0"/>
            </w:pPr>
            <w:r>
              <w:rPr>
                <w:rFonts w:hint="eastAsia"/>
              </w:rPr>
              <w:t>②</w:t>
            </w:r>
            <w:r>
              <w:rPr>
                <w:highlight w:val="none"/>
              </w:rPr>
              <w:t>当尾</w:t>
            </w:r>
            <w:r>
              <w:t>水排放超过设计出水水质标准时，立即向其主管部门进行汇报，会同主管部门根据废水的情况采取相应的治理措施。</w:t>
            </w:r>
          </w:p>
          <w:p>
            <w:pPr>
              <w:pStyle w:val="39"/>
              <w:widowControl w:val="0"/>
              <w:bidi w:val="0"/>
            </w:pPr>
            <w:r>
              <w:rPr>
                <w:rFonts w:hint="eastAsia"/>
              </w:rPr>
              <w:t>③</w:t>
            </w:r>
            <w:r>
              <w:t>启动自身应急预案，做好相应事故的处置工作；</w:t>
            </w:r>
          </w:p>
          <w:p>
            <w:pPr>
              <w:pStyle w:val="39"/>
              <w:widowControl w:val="0"/>
              <w:bidi w:val="0"/>
            </w:pPr>
            <w:r>
              <w:rPr>
                <w:rFonts w:hint="eastAsia"/>
              </w:rPr>
              <w:t>④</w:t>
            </w:r>
            <w:r>
              <w:t>定期检查污水处理设备，一旦发生故障时，立即启动备用装置；</w:t>
            </w:r>
          </w:p>
          <w:p>
            <w:pPr>
              <w:pStyle w:val="39"/>
              <w:widowControl w:val="0"/>
              <w:bidi w:val="0"/>
            </w:pPr>
            <w:r>
              <w:rPr>
                <w:rFonts w:hint="eastAsia"/>
              </w:rPr>
              <w:t>⑤</w:t>
            </w:r>
            <w:r>
              <w:t>尾水出现超标排放情况时，立即</w:t>
            </w:r>
            <w:r>
              <w:rPr>
                <w:rFonts w:hint="eastAsia"/>
              </w:rPr>
              <w:t>向南昌市经开区</w:t>
            </w:r>
            <w:r>
              <w:t>环境保护局汇报，</w:t>
            </w:r>
            <w:r>
              <w:rPr>
                <w:rFonts w:hint="eastAsia"/>
              </w:rPr>
              <w:t>并安排对排放水体进行监测</w:t>
            </w:r>
            <w:r>
              <w:t>。</w:t>
            </w:r>
          </w:p>
        </w:tc>
        <w:tc>
          <w:tcPr>
            <w:tcW w:w="883" w:type="pct"/>
            <w:tcBorders>
              <w:top w:val="single" w:color="auto" w:sz="12" w:space="0"/>
              <w:tl2br w:val="nil"/>
              <w:tr2bl w:val="nil"/>
            </w:tcBorders>
            <w:vAlign w:val="center"/>
          </w:tcPr>
          <w:p>
            <w:pPr>
              <w:pStyle w:val="39"/>
              <w:widowControl w:val="0"/>
              <w:bidi w:val="0"/>
            </w:pPr>
            <w:r>
              <w:t>各设施完好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547" w:type="pct"/>
            <w:tcBorders>
              <w:tl2br w:val="nil"/>
              <w:tr2bl w:val="nil"/>
            </w:tcBorders>
            <w:vAlign w:val="center"/>
          </w:tcPr>
          <w:p>
            <w:pPr>
              <w:pStyle w:val="39"/>
              <w:widowControl w:val="0"/>
              <w:bidi w:val="0"/>
            </w:pPr>
            <w:r>
              <w:t>2</w:t>
            </w:r>
          </w:p>
        </w:tc>
        <w:tc>
          <w:tcPr>
            <w:tcW w:w="1080" w:type="pct"/>
            <w:tcBorders>
              <w:tl2br w:val="nil"/>
              <w:tr2bl w:val="nil"/>
            </w:tcBorders>
            <w:vAlign w:val="center"/>
          </w:tcPr>
          <w:p>
            <w:pPr>
              <w:pStyle w:val="39"/>
              <w:widowControl w:val="0"/>
              <w:bidi w:val="0"/>
            </w:pPr>
            <w:r>
              <w:t>化学品泄漏</w:t>
            </w:r>
          </w:p>
        </w:tc>
        <w:tc>
          <w:tcPr>
            <w:tcW w:w="2489" w:type="pct"/>
            <w:tcBorders>
              <w:tl2br w:val="nil"/>
              <w:tr2bl w:val="nil"/>
            </w:tcBorders>
            <w:vAlign w:val="center"/>
          </w:tcPr>
          <w:p>
            <w:pPr>
              <w:pStyle w:val="39"/>
              <w:widowControl w:val="0"/>
              <w:bidi w:val="0"/>
            </w:pPr>
            <w:r>
              <w:rPr>
                <w:rFonts w:hint="eastAsia"/>
              </w:rPr>
              <w:t>①制定了规范的脱脂剂、防锈剂操作流程；</w:t>
            </w:r>
          </w:p>
          <w:p>
            <w:pPr>
              <w:pStyle w:val="39"/>
              <w:widowControl w:val="0"/>
              <w:bidi w:val="0"/>
            </w:pPr>
            <w:r>
              <w:rPr>
                <w:rFonts w:hint="eastAsia"/>
              </w:rPr>
              <w:t>②</w:t>
            </w:r>
            <w:r>
              <w:t>定期对操作人员组织培训，减少该类事故发生的可能性。</w:t>
            </w:r>
          </w:p>
        </w:tc>
        <w:tc>
          <w:tcPr>
            <w:tcW w:w="883" w:type="pct"/>
            <w:tcBorders>
              <w:tl2br w:val="nil"/>
              <w:tr2bl w:val="nil"/>
            </w:tcBorders>
            <w:vAlign w:val="center"/>
          </w:tcPr>
          <w:p>
            <w:pPr>
              <w:pStyle w:val="39"/>
              <w:widowControl w:val="0"/>
              <w:bidi w:val="0"/>
            </w:pPr>
            <w:r>
              <w:t>各设施完好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547" w:type="pct"/>
            <w:tcBorders>
              <w:tl2br w:val="nil"/>
              <w:tr2bl w:val="nil"/>
            </w:tcBorders>
            <w:vAlign w:val="center"/>
          </w:tcPr>
          <w:p>
            <w:pPr>
              <w:pStyle w:val="39"/>
              <w:widowControl w:val="0"/>
              <w:bidi w:val="0"/>
            </w:pPr>
            <w:r>
              <w:t>3</w:t>
            </w:r>
          </w:p>
        </w:tc>
        <w:tc>
          <w:tcPr>
            <w:tcW w:w="1080" w:type="pct"/>
            <w:tcBorders>
              <w:tl2br w:val="nil"/>
              <w:tr2bl w:val="nil"/>
            </w:tcBorders>
            <w:vAlign w:val="center"/>
          </w:tcPr>
          <w:p>
            <w:pPr>
              <w:pStyle w:val="39"/>
              <w:widowControl w:val="0"/>
              <w:bidi w:val="0"/>
            </w:pPr>
            <w:r>
              <w:rPr>
                <w:rFonts w:hint="eastAsia"/>
              </w:rPr>
              <w:t>废机油泄漏</w:t>
            </w:r>
          </w:p>
        </w:tc>
        <w:tc>
          <w:tcPr>
            <w:tcW w:w="2489" w:type="pct"/>
            <w:tcBorders>
              <w:tl2br w:val="nil"/>
              <w:tr2bl w:val="nil"/>
            </w:tcBorders>
            <w:vAlign w:val="center"/>
          </w:tcPr>
          <w:p>
            <w:pPr>
              <w:pStyle w:val="39"/>
              <w:widowControl w:val="0"/>
              <w:bidi w:val="0"/>
            </w:pPr>
            <w:r>
              <w:rPr>
                <w:rFonts w:hint="eastAsia"/>
              </w:rPr>
              <w:t>①定期检查危险废物贮存场所是否存在容器破损情况；</w:t>
            </w:r>
          </w:p>
          <w:p>
            <w:pPr>
              <w:pStyle w:val="39"/>
              <w:widowControl w:val="0"/>
              <w:bidi w:val="0"/>
            </w:pPr>
            <w:r>
              <w:rPr>
                <w:rFonts w:hint="eastAsia"/>
              </w:rPr>
              <w:t>③定期查看防渗膜破损情况，并及时修复；</w:t>
            </w:r>
          </w:p>
          <w:p>
            <w:pPr>
              <w:pStyle w:val="39"/>
              <w:widowControl w:val="0"/>
              <w:bidi w:val="0"/>
            </w:pPr>
            <w:r>
              <w:rPr>
                <w:rFonts w:hint="eastAsia"/>
              </w:rPr>
              <w:t>⑤制定了雨季防汛应急方案；</w:t>
            </w:r>
          </w:p>
        </w:tc>
        <w:tc>
          <w:tcPr>
            <w:tcW w:w="883" w:type="pct"/>
            <w:tcBorders>
              <w:tl2br w:val="nil"/>
              <w:tr2bl w:val="nil"/>
            </w:tcBorders>
            <w:vAlign w:val="center"/>
          </w:tcPr>
          <w:p>
            <w:pPr>
              <w:pStyle w:val="39"/>
              <w:widowControl w:val="0"/>
              <w:bidi w:val="0"/>
            </w:pPr>
            <w:r>
              <w:t>各设施完好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547" w:type="pct"/>
            <w:tcBorders>
              <w:tl2br w:val="nil"/>
              <w:tr2bl w:val="nil"/>
            </w:tcBorders>
            <w:vAlign w:val="center"/>
          </w:tcPr>
          <w:p>
            <w:pPr>
              <w:pStyle w:val="39"/>
              <w:widowControl w:val="0"/>
              <w:bidi w:val="0"/>
            </w:pPr>
            <w:r>
              <w:rPr>
                <w:rFonts w:hint="eastAsia"/>
              </w:rPr>
              <w:t>4</w:t>
            </w:r>
          </w:p>
        </w:tc>
        <w:tc>
          <w:tcPr>
            <w:tcW w:w="1080" w:type="pct"/>
            <w:tcBorders>
              <w:tl2br w:val="nil"/>
              <w:tr2bl w:val="nil"/>
            </w:tcBorders>
            <w:vAlign w:val="center"/>
          </w:tcPr>
          <w:p>
            <w:pPr>
              <w:pStyle w:val="39"/>
              <w:widowControl w:val="0"/>
              <w:bidi w:val="0"/>
            </w:pPr>
            <w:r>
              <w:rPr>
                <w:rFonts w:hint="eastAsia"/>
              </w:rPr>
              <w:t>废机油发生爆炸、火灾</w:t>
            </w:r>
          </w:p>
        </w:tc>
        <w:tc>
          <w:tcPr>
            <w:tcW w:w="2489" w:type="pct"/>
            <w:tcBorders>
              <w:tl2br w:val="nil"/>
              <w:tr2bl w:val="nil"/>
            </w:tcBorders>
            <w:vAlign w:val="center"/>
          </w:tcPr>
          <w:p>
            <w:pPr>
              <w:pStyle w:val="39"/>
              <w:widowControl w:val="0"/>
              <w:bidi w:val="0"/>
            </w:pPr>
            <w:r>
              <w:rPr>
                <w:rFonts w:hint="eastAsia"/>
              </w:rPr>
              <w:t>②设置了严禁明火标志牌；</w:t>
            </w:r>
          </w:p>
          <w:p>
            <w:pPr>
              <w:pStyle w:val="39"/>
              <w:widowControl w:val="0"/>
              <w:bidi w:val="0"/>
            </w:pPr>
            <w:r>
              <w:rPr>
                <w:rFonts w:hint="eastAsia"/>
              </w:rPr>
              <w:t>③安排工作人员定期检查防火救援物资是否过期损坏；</w:t>
            </w:r>
          </w:p>
        </w:tc>
        <w:tc>
          <w:tcPr>
            <w:tcW w:w="883" w:type="pct"/>
            <w:tcBorders>
              <w:tl2br w:val="nil"/>
              <w:tr2bl w:val="nil"/>
            </w:tcBorders>
            <w:vAlign w:val="center"/>
          </w:tcPr>
          <w:p>
            <w:pPr>
              <w:pStyle w:val="39"/>
              <w:widowControl w:val="0"/>
              <w:bidi w:val="0"/>
            </w:pPr>
            <w:r>
              <w:t>各设施完好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547" w:type="pct"/>
            <w:tcBorders>
              <w:tl2br w:val="nil"/>
              <w:tr2bl w:val="nil"/>
            </w:tcBorders>
            <w:vAlign w:val="center"/>
          </w:tcPr>
          <w:p>
            <w:pPr>
              <w:pStyle w:val="39"/>
              <w:widowControl w:val="0"/>
              <w:bidi w:val="0"/>
            </w:pPr>
            <w:r>
              <w:rPr>
                <w:rFonts w:hint="eastAsia"/>
              </w:rPr>
              <w:t>5</w:t>
            </w:r>
          </w:p>
        </w:tc>
        <w:tc>
          <w:tcPr>
            <w:tcW w:w="1080" w:type="pct"/>
            <w:tcBorders>
              <w:tl2br w:val="nil"/>
              <w:tr2bl w:val="nil"/>
            </w:tcBorders>
            <w:vAlign w:val="center"/>
          </w:tcPr>
          <w:p>
            <w:pPr>
              <w:pStyle w:val="39"/>
              <w:widowControl w:val="0"/>
              <w:bidi w:val="0"/>
            </w:pPr>
            <w:r>
              <w:rPr>
                <w:rFonts w:hint="eastAsia"/>
              </w:rPr>
              <w:t>事故废水外排</w:t>
            </w:r>
          </w:p>
        </w:tc>
        <w:tc>
          <w:tcPr>
            <w:tcW w:w="2489" w:type="pct"/>
            <w:tcBorders>
              <w:tl2br w:val="nil"/>
              <w:tr2bl w:val="nil"/>
            </w:tcBorders>
            <w:vAlign w:val="center"/>
          </w:tcPr>
          <w:p>
            <w:pPr>
              <w:pStyle w:val="39"/>
              <w:widowControl w:val="0"/>
              <w:bidi w:val="0"/>
            </w:pPr>
            <w:r>
              <w:rPr>
                <w:rFonts w:hint="eastAsia"/>
              </w:rPr>
              <w:t>1、当发生事故时，通过设置沙袋堆体阻拦设施，并将消防水引入污水</w:t>
            </w:r>
            <w:r>
              <w:rPr>
                <w:rFonts w:hint="eastAsia"/>
                <w:lang w:val="en-US" w:eastAsia="zh-CN"/>
              </w:rPr>
              <w:t>处理站集水池</w:t>
            </w:r>
            <w:r>
              <w:rPr>
                <w:rFonts w:hint="eastAsia"/>
              </w:rPr>
              <w:t>；</w:t>
            </w:r>
          </w:p>
          <w:p>
            <w:pPr>
              <w:pStyle w:val="39"/>
              <w:widowControl w:val="0"/>
              <w:bidi w:val="0"/>
            </w:pPr>
            <w:r>
              <w:rPr>
                <w:rFonts w:hint="eastAsia"/>
              </w:rPr>
              <w:t>2、对于漫流入雨水管线进入蓄水池的消防水，采取</w:t>
            </w:r>
            <w:r>
              <w:rPr>
                <w:rFonts w:hint="eastAsia"/>
                <w:highlight w:val="none"/>
              </w:rPr>
              <w:t>对排</w:t>
            </w:r>
            <w:r>
              <w:rPr>
                <w:rFonts w:hint="eastAsia"/>
              </w:rPr>
              <w:t>口用沙袋进行封堵或收集，引流至污水应急事故进行处理；</w:t>
            </w:r>
          </w:p>
          <w:p>
            <w:pPr>
              <w:pStyle w:val="39"/>
              <w:widowControl w:val="0"/>
              <w:bidi w:val="0"/>
            </w:pPr>
            <w:r>
              <w:rPr>
                <w:rFonts w:hint="eastAsia"/>
              </w:rPr>
              <w:t>3、当事故废水量太大不可控制时，及时通知应急指挥部、</w:t>
            </w:r>
            <w:r>
              <w:rPr>
                <w:rFonts w:hint="eastAsia"/>
                <w:lang w:val="en-US" w:eastAsia="zh-CN"/>
              </w:rPr>
              <w:t>生态环境局</w:t>
            </w:r>
            <w:r>
              <w:rPr>
                <w:rFonts w:hint="eastAsia"/>
              </w:rPr>
              <w:t>、附近居民及各水体部门，对厂区</w:t>
            </w:r>
            <w:r>
              <w:rPr>
                <w:rFonts w:hint="eastAsia"/>
                <w:lang w:val="en-US" w:eastAsia="zh-CN"/>
              </w:rPr>
              <w:t>周围</w:t>
            </w:r>
            <w:r>
              <w:rPr>
                <w:rFonts w:hint="eastAsia"/>
              </w:rPr>
              <w:t>污染水体进行监测，无污染可解除警报；受到污染则制定方案进行治理，直至达标后解除警报。</w:t>
            </w:r>
          </w:p>
        </w:tc>
        <w:tc>
          <w:tcPr>
            <w:tcW w:w="883" w:type="pct"/>
            <w:tcBorders>
              <w:tl2br w:val="nil"/>
              <w:tr2bl w:val="nil"/>
            </w:tcBorders>
            <w:vAlign w:val="center"/>
          </w:tcPr>
          <w:p>
            <w:pPr>
              <w:pStyle w:val="39"/>
              <w:widowControl w:val="0"/>
              <w:bidi w:val="0"/>
            </w:pPr>
            <w:r>
              <w:t>各设施完好</w:t>
            </w:r>
          </w:p>
        </w:tc>
      </w:tr>
    </w:tbl>
    <w:p>
      <w:pPr>
        <w:pStyle w:val="4"/>
        <w:bidi w:val="0"/>
      </w:pPr>
      <w:bookmarkStart w:id="412" w:name="_Toc27217"/>
      <w:bookmarkStart w:id="413" w:name="_Toc13125"/>
      <w:bookmarkStart w:id="414" w:name="_Toc37591936"/>
      <w:bookmarkStart w:id="415" w:name="_Toc28905"/>
      <w:bookmarkStart w:id="416" w:name="_Toc9970"/>
      <w:bookmarkStart w:id="417" w:name="_Toc25858"/>
      <w:bookmarkStart w:id="418" w:name="_Toc16802"/>
      <w:bookmarkStart w:id="419" w:name="_Toc7453"/>
      <w:bookmarkStart w:id="420" w:name="_Toc5877"/>
      <w:bookmarkStart w:id="421" w:name="_Toc28835"/>
      <w:bookmarkStart w:id="422" w:name="_Toc1296"/>
      <w:r>
        <w:rPr>
          <w:rFonts w:hint="eastAsia"/>
          <w:lang w:val="en-US" w:eastAsia="zh-CN"/>
        </w:rPr>
        <w:t>4</w:t>
      </w:r>
      <w:r>
        <w:rPr>
          <w:rFonts w:hint="eastAsia"/>
        </w:rPr>
        <w:t>.3</w:t>
      </w:r>
      <w:r>
        <w:t xml:space="preserve"> </w:t>
      </w:r>
      <w:r>
        <w:rPr>
          <w:rFonts w:hint="eastAsia"/>
        </w:rPr>
        <w:t>环境应急资源</w:t>
      </w:r>
      <w:bookmarkEnd w:id="412"/>
      <w:bookmarkEnd w:id="413"/>
      <w:r>
        <w:rPr>
          <w:rFonts w:hint="eastAsia"/>
        </w:rPr>
        <w:t>表</w:t>
      </w:r>
      <w:bookmarkEnd w:id="414"/>
      <w:bookmarkEnd w:id="415"/>
      <w:bookmarkEnd w:id="416"/>
      <w:bookmarkEnd w:id="417"/>
      <w:bookmarkEnd w:id="418"/>
      <w:bookmarkEnd w:id="419"/>
      <w:bookmarkEnd w:id="420"/>
      <w:bookmarkEnd w:id="421"/>
      <w:bookmarkEnd w:id="422"/>
    </w:p>
    <w:p>
      <w:pPr>
        <w:pStyle w:val="28"/>
        <w:bidi w:val="0"/>
      </w:pPr>
      <w:r>
        <w:rPr>
          <w:rFonts w:hint="eastAsia"/>
          <w:lang w:val="en-US" w:eastAsia="zh-CN"/>
        </w:rPr>
        <w:t>4</w:t>
      </w:r>
      <w:r>
        <w:rPr>
          <w:rFonts w:hint="eastAsia"/>
        </w:rPr>
        <w:t>.3-1 环境应急资源情况</w:t>
      </w:r>
    </w:p>
    <w:tbl>
      <w:tblPr>
        <w:tblStyle w:val="22"/>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547"/>
        <w:gridCol w:w="435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blHeader/>
          <w:jc w:val="center"/>
        </w:trPr>
        <w:tc>
          <w:tcPr>
            <w:tcW w:w="467" w:type="pct"/>
            <w:tcBorders>
              <w:bottom w:val="single" w:color="auto" w:sz="12" w:space="0"/>
            </w:tcBorders>
            <w:vAlign w:val="center"/>
          </w:tcPr>
          <w:p>
            <w:pPr>
              <w:pStyle w:val="39"/>
              <w:bidi w:val="0"/>
              <w:rPr>
                <w:b/>
                <w:bCs/>
              </w:rPr>
            </w:pPr>
            <w:r>
              <w:rPr>
                <w:rFonts w:hint="eastAsia"/>
                <w:b/>
                <w:bCs/>
              </w:rPr>
              <w:t>序号</w:t>
            </w:r>
          </w:p>
        </w:tc>
        <w:tc>
          <w:tcPr>
            <w:tcW w:w="2033" w:type="pct"/>
            <w:tcBorders>
              <w:bottom w:val="single" w:color="auto" w:sz="12" w:space="0"/>
            </w:tcBorders>
            <w:vAlign w:val="center"/>
          </w:tcPr>
          <w:p>
            <w:pPr>
              <w:pStyle w:val="39"/>
              <w:bidi w:val="0"/>
              <w:rPr>
                <w:b/>
                <w:bCs/>
              </w:rPr>
            </w:pPr>
            <w:r>
              <w:rPr>
                <w:rFonts w:hint="eastAsia"/>
                <w:b/>
                <w:bCs/>
              </w:rPr>
              <w:t>相关要求</w:t>
            </w:r>
          </w:p>
        </w:tc>
        <w:tc>
          <w:tcPr>
            <w:tcW w:w="2498" w:type="pct"/>
            <w:tcBorders>
              <w:bottom w:val="single" w:color="auto" w:sz="12" w:space="0"/>
            </w:tcBorders>
            <w:vAlign w:val="center"/>
          </w:tcPr>
          <w:p>
            <w:pPr>
              <w:pStyle w:val="39"/>
              <w:bidi w:val="0"/>
              <w:rPr>
                <w:b/>
                <w:bCs/>
              </w:rPr>
            </w:pPr>
            <w:r>
              <w:rPr>
                <w:rFonts w:hint="eastAsia"/>
                <w:b/>
                <w:bCs/>
              </w:rPr>
              <w:t>实际情况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467" w:type="pct"/>
            <w:tcBorders>
              <w:top w:val="single" w:color="auto" w:sz="12" w:space="0"/>
              <w:tl2br w:val="nil"/>
              <w:tr2bl w:val="nil"/>
            </w:tcBorders>
            <w:vAlign w:val="center"/>
          </w:tcPr>
          <w:p>
            <w:pPr>
              <w:pStyle w:val="39"/>
              <w:bidi w:val="0"/>
            </w:pPr>
            <w:r>
              <w:t>1</w:t>
            </w:r>
          </w:p>
        </w:tc>
        <w:tc>
          <w:tcPr>
            <w:tcW w:w="2033" w:type="pct"/>
            <w:tcBorders>
              <w:top w:val="single" w:color="auto" w:sz="12" w:space="0"/>
              <w:tl2br w:val="nil"/>
              <w:tr2bl w:val="nil"/>
            </w:tcBorders>
            <w:vAlign w:val="center"/>
          </w:tcPr>
          <w:p>
            <w:pPr>
              <w:pStyle w:val="39"/>
              <w:bidi w:val="0"/>
            </w:pPr>
            <w:r>
              <w:t>配备必要的</w:t>
            </w:r>
            <w:r>
              <w:rPr>
                <w:highlight w:val="none"/>
              </w:rPr>
              <w:t>应急</w:t>
            </w:r>
            <w:r>
              <w:rPr>
                <w:rFonts w:hint="eastAsia"/>
                <w:highlight w:val="none"/>
                <w:lang w:val="en-US" w:eastAsia="zh-CN"/>
              </w:rPr>
              <w:t>物资</w:t>
            </w:r>
            <w:r>
              <w:t>和应急装备（包括应急监测）</w:t>
            </w:r>
          </w:p>
        </w:tc>
        <w:tc>
          <w:tcPr>
            <w:tcW w:w="2498" w:type="pct"/>
            <w:tcBorders>
              <w:top w:val="single" w:color="auto" w:sz="12" w:space="0"/>
              <w:tl2br w:val="nil"/>
              <w:tr2bl w:val="nil"/>
            </w:tcBorders>
            <w:vAlign w:val="center"/>
          </w:tcPr>
          <w:p>
            <w:pPr>
              <w:pStyle w:val="39"/>
              <w:bidi w:val="0"/>
            </w:pPr>
            <w:r>
              <w:t>配备必要的</w:t>
            </w:r>
            <w:r>
              <w:rPr>
                <w:highlight w:val="none"/>
              </w:rPr>
              <w:t>应急</w:t>
            </w:r>
            <w:r>
              <w:rPr>
                <w:rFonts w:hint="eastAsia"/>
                <w:highlight w:val="none"/>
                <w:lang w:val="en-US" w:eastAsia="zh-CN"/>
              </w:rPr>
              <w:t>物资</w:t>
            </w:r>
            <w:r>
              <w:t>和应急装备，应急监测委托专业监测单位进行</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467" w:type="pct"/>
            <w:tcBorders>
              <w:tl2br w:val="nil"/>
              <w:tr2bl w:val="nil"/>
            </w:tcBorders>
            <w:vAlign w:val="center"/>
          </w:tcPr>
          <w:p>
            <w:pPr>
              <w:pStyle w:val="39"/>
              <w:bidi w:val="0"/>
            </w:pPr>
            <w:r>
              <w:t>2</w:t>
            </w:r>
          </w:p>
        </w:tc>
        <w:tc>
          <w:tcPr>
            <w:tcW w:w="2033" w:type="pct"/>
            <w:tcBorders>
              <w:tl2br w:val="nil"/>
              <w:tr2bl w:val="nil"/>
            </w:tcBorders>
            <w:vAlign w:val="center"/>
          </w:tcPr>
          <w:p>
            <w:pPr>
              <w:pStyle w:val="39"/>
              <w:bidi w:val="0"/>
            </w:pPr>
            <w:r>
              <w:t>设置专职或兼职人员组成的应急救援队伍</w:t>
            </w:r>
          </w:p>
        </w:tc>
        <w:tc>
          <w:tcPr>
            <w:tcW w:w="2498" w:type="pct"/>
            <w:tcBorders>
              <w:tl2br w:val="nil"/>
              <w:tr2bl w:val="nil"/>
            </w:tcBorders>
            <w:vAlign w:val="center"/>
          </w:tcPr>
          <w:p>
            <w:pPr>
              <w:pStyle w:val="39"/>
              <w:bidi w:val="0"/>
            </w:pPr>
            <w:r>
              <w:t>已设置应急救援队伍</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467" w:type="pct"/>
            <w:tcBorders>
              <w:tl2br w:val="nil"/>
              <w:tr2bl w:val="nil"/>
            </w:tcBorders>
            <w:vAlign w:val="center"/>
          </w:tcPr>
          <w:p>
            <w:pPr>
              <w:pStyle w:val="39"/>
              <w:bidi w:val="0"/>
            </w:pPr>
            <w:r>
              <w:t>3</w:t>
            </w:r>
          </w:p>
        </w:tc>
        <w:tc>
          <w:tcPr>
            <w:tcW w:w="2033" w:type="pct"/>
            <w:tcBorders>
              <w:tl2br w:val="nil"/>
              <w:tr2bl w:val="nil"/>
            </w:tcBorders>
            <w:vAlign w:val="center"/>
          </w:tcPr>
          <w:p>
            <w:pPr>
              <w:pStyle w:val="39"/>
              <w:bidi w:val="0"/>
            </w:pPr>
            <w:r>
              <w:t>与其他组织或单位签订应急救援协议或互救协议（包括</w:t>
            </w:r>
            <w:r>
              <w:rPr>
                <w:highlight w:val="none"/>
              </w:rPr>
              <w:t>应急</w:t>
            </w:r>
            <w:r>
              <w:rPr>
                <w:rFonts w:hint="eastAsia"/>
                <w:highlight w:val="none"/>
                <w:lang w:val="en-US" w:eastAsia="zh-CN"/>
              </w:rPr>
              <w:t>物资</w:t>
            </w:r>
            <w:r>
              <w:t>、应急装备和救援队伍等情况）</w:t>
            </w:r>
          </w:p>
        </w:tc>
        <w:tc>
          <w:tcPr>
            <w:tcW w:w="2498" w:type="pct"/>
            <w:tcBorders>
              <w:tl2br w:val="nil"/>
              <w:tr2bl w:val="nil"/>
            </w:tcBorders>
            <w:vAlign w:val="center"/>
          </w:tcPr>
          <w:p>
            <w:pPr>
              <w:pStyle w:val="39"/>
              <w:bidi w:val="0"/>
            </w:pPr>
            <w:r>
              <w:t>未签订，一旦发生突发环境事件，通过信息传递需要实施外部救援时，相关部门本着“以人为本，快速响应”的原则，有责任和义务对本公司进行应急救援</w:t>
            </w:r>
          </w:p>
        </w:tc>
      </w:tr>
    </w:tbl>
    <w:p>
      <w:pPr>
        <w:keepNext w:val="0"/>
        <w:keepLines w:val="0"/>
        <w:pageBreakBefore w:val="0"/>
        <w:widowControl w:val="0"/>
        <w:kinsoku/>
        <w:wordWrap/>
        <w:overflowPunct/>
        <w:topLinePunct w:val="0"/>
        <w:autoSpaceDE/>
        <w:autoSpaceDN/>
        <w:bidi w:val="0"/>
        <w:adjustRightInd w:val="0"/>
        <w:snapToGrid w:val="0"/>
        <w:spacing w:before="191" w:beforeLines="50" w:line="360" w:lineRule="auto"/>
        <w:textAlignment w:val="auto"/>
      </w:pPr>
      <w:r>
        <w:rPr>
          <w:b/>
          <w:bCs/>
        </w:rPr>
        <w:t>差距分析：</w:t>
      </w:r>
      <w:r>
        <w:t>公司在日常的生产管理中，</w:t>
      </w:r>
      <w:r>
        <w:rPr>
          <w:rFonts w:hint="eastAsia"/>
          <w:highlight w:val="none"/>
        </w:rPr>
        <w:t>只备</w:t>
      </w:r>
      <w:r>
        <w:rPr>
          <w:rFonts w:hint="eastAsia"/>
        </w:rPr>
        <w:t>了一定数量的干粉灭火器</w:t>
      </w:r>
      <w:r>
        <w:t>，</w:t>
      </w:r>
      <w:r>
        <w:rPr>
          <w:rFonts w:hint="eastAsia"/>
        </w:rPr>
        <w:t>无个人防护措施，但</w:t>
      </w:r>
      <w:r>
        <w:t>事故发生时，可以第一时间响应和抢险救援。通过对公司参与应急救援的人员人数和各危险源</w:t>
      </w:r>
      <w:r>
        <w:rPr>
          <w:highlight w:val="none"/>
        </w:rPr>
        <w:t>的风险</w:t>
      </w:r>
      <w:r>
        <w:t>程度评价和分析，发现公司的应急物资的储量不充分，在事故状态下，不能很好的赢得应急救援的宝贵抢险时间和有效保证外环境不受到影响。</w:t>
      </w:r>
    </w:p>
    <w:p>
      <w:pPr>
        <w:bidi w:val="0"/>
      </w:pPr>
      <w:r>
        <w:rPr>
          <w:b/>
          <w:bCs/>
        </w:rPr>
        <w:t>建议：</w:t>
      </w:r>
      <w:r>
        <w:t>建议公司重新规划物资的种类以及存放数量，重新规划时需要结合公司实际应急时的物资需要，如风险单元的人数、参加现场应急的人数等。</w:t>
      </w:r>
    </w:p>
    <w:p>
      <w:pPr>
        <w:pStyle w:val="4"/>
        <w:bidi w:val="0"/>
      </w:pPr>
      <w:bookmarkStart w:id="423" w:name="_Toc11213"/>
      <w:bookmarkStart w:id="424" w:name="_Toc7444"/>
      <w:bookmarkStart w:id="425" w:name="_Toc19689"/>
      <w:bookmarkStart w:id="426" w:name="_Toc12090"/>
      <w:bookmarkStart w:id="427" w:name="_Toc28737"/>
      <w:bookmarkStart w:id="428" w:name="_Toc30546"/>
      <w:bookmarkStart w:id="429" w:name="_Toc29893"/>
      <w:bookmarkStart w:id="430" w:name="_Toc37591937"/>
      <w:bookmarkStart w:id="431" w:name="_Toc16775"/>
      <w:bookmarkStart w:id="432" w:name="_Toc20314"/>
      <w:bookmarkStart w:id="433" w:name="_Toc26480"/>
      <w:r>
        <w:rPr>
          <w:rFonts w:hint="eastAsia"/>
          <w:lang w:val="en-US" w:eastAsia="zh-CN"/>
        </w:rPr>
        <w:t>4</w:t>
      </w:r>
      <w:r>
        <w:rPr>
          <w:rFonts w:hint="eastAsia"/>
        </w:rPr>
        <w:t>.4</w:t>
      </w:r>
      <w:r>
        <w:t xml:space="preserve"> </w:t>
      </w:r>
      <w:r>
        <w:rPr>
          <w:rFonts w:hint="eastAsia"/>
        </w:rPr>
        <w:t>历史经验教训总结</w:t>
      </w:r>
      <w:bookmarkEnd w:id="423"/>
      <w:bookmarkEnd w:id="424"/>
      <w:bookmarkEnd w:id="425"/>
      <w:bookmarkEnd w:id="426"/>
      <w:bookmarkEnd w:id="427"/>
      <w:bookmarkEnd w:id="428"/>
      <w:bookmarkEnd w:id="429"/>
      <w:bookmarkEnd w:id="430"/>
      <w:bookmarkEnd w:id="431"/>
      <w:bookmarkEnd w:id="432"/>
      <w:bookmarkEnd w:id="433"/>
    </w:p>
    <w:p>
      <w:pPr>
        <w:bidi w:val="0"/>
      </w:pPr>
      <w:r>
        <w:t>对前文收集的突发环境事件进行分析、总结，案例中企业火灾爆炸事故发生的主要原因有：企业管理原因，未对员工做好消防培训，消防设施不达标等。</w:t>
      </w:r>
    </w:p>
    <w:p>
      <w:pPr>
        <w:bidi w:val="0"/>
      </w:pPr>
      <w:r>
        <w:t>本公司引以为戒、吸取历史经验教训，针对上述酿成事故的原因，采取了如下相应对策：</w:t>
      </w:r>
    </w:p>
    <w:p>
      <w:pPr>
        <w:bidi w:val="0"/>
      </w:pPr>
      <w:r>
        <w:t>一、公司均不使用国家</w:t>
      </w:r>
      <w:r>
        <w:rPr>
          <w:highlight w:val="none"/>
        </w:rPr>
        <w:t>工信部</w:t>
      </w:r>
      <w:r>
        <w:t>发布的《部分工业行业淘汰落后生产工艺装备和产品指导目录（2010年本）》范围内的生产设备。定期开展生产检修，采用探测仪探伤，发现问题及时修补，有必要时进行更换，保证设备满足负荷要求、安全生产。</w:t>
      </w:r>
    </w:p>
    <w:p>
      <w:pPr>
        <w:bidi w:val="0"/>
      </w:pPr>
      <w:r>
        <w:rPr>
          <w:rFonts w:hint="eastAsia"/>
        </w:rPr>
        <w:t>二</w:t>
      </w:r>
      <w:r>
        <w:t>、加强管理，定期开展员工培训，提高员工素质、增强操作技能；内部、外部培训后进行考试。对员工考核结果应记录备案，考试通过即为合格。考试合格者才能使用，不合格者应继续补习，直到合格为止，做到上岗持证；为加强公司员工按章规范操作的主动性、自觉性，制定并落实内部奖惩措施。</w:t>
      </w:r>
    </w:p>
    <w:p>
      <w:pPr>
        <w:bidi w:val="0"/>
      </w:pPr>
      <w:r>
        <w:rPr>
          <w:rFonts w:hint="eastAsia"/>
        </w:rPr>
        <w:t>三</w:t>
      </w:r>
      <w:r>
        <w:t>、定期做应急预案培训。</w:t>
      </w:r>
    </w:p>
    <w:p>
      <w:pPr>
        <w:bidi w:val="0"/>
      </w:pPr>
      <w:r>
        <w:t>加强企业日常环境管理，制定环境突发事件应急预案，落实了风险防范对策和措施。重点关注设备的日常维护工作，</w:t>
      </w:r>
      <w:r>
        <w:rPr>
          <w:rFonts w:hint="eastAsia"/>
        </w:rPr>
        <w:t>危废间危险废物</w:t>
      </w:r>
      <w:r>
        <w:t>存放合理布置。</w:t>
      </w:r>
    </w:p>
    <w:p>
      <w:pPr>
        <w:pStyle w:val="4"/>
        <w:bidi w:val="0"/>
      </w:pPr>
      <w:bookmarkStart w:id="434" w:name="_Toc9689"/>
      <w:bookmarkStart w:id="435" w:name="_Toc7672"/>
      <w:bookmarkStart w:id="436" w:name="_Toc4124"/>
      <w:bookmarkStart w:id="437" w:name="_Toc22325"/>
      <w:bookmarkStart w:id="438" w:name="_Toc13568"/>
      <w:bookmarkStart w:id="439" w:name="_Toc27515"/>
      <w:bookmarkStart w:id="440" w:name="_Toc1352"/>
      <w:bookmarkStart w:id="441" w:name="_Toc37591938"/>
      <w:bookmarkStart w:id="442" w:name="_Toc7459"/>
      <w:bookmarkStart w:id="443" w:name="_Toc5243"/>
      <w:bookmarkStart w:id="444" w:name="_Toc26610"/>
      <w:r>
        <w:rPr>
          <w:rFonts w:hint="eastAsia"/>
          <w:lang w:val="en-US" w:eastAsia="zh-CN"/>
        </w:rPr>
        <w:t>4</w:t>
      </w:r>
      <w:r>
        <w:rPr>
          <w:rFonts w:hint="eastAsia"/>
        </w:rPr>
        <w:t>.5</w:t>
      </w:r>
      <w:r>
        <w:t xml:space="preserve"> </w:t>
      </w:r>
      <w:r>
        <w:rPr>
          <w:rFonts w:hint="eastAsia"/>
        </w:rPr>
        <w:t>需要整改的短期、中期和长期项目内容</w:t>
      </w:r>
      <w:bookmarkEnd w:id="434"/>
      <w:bookmarkEnd w:id="435"/>
      <w:bookmarkEnd w:id="436"/>
      <w:bookmarkEnd w:id="437"/>
      <w:bookmarkEnd w:id="438"/>
      <w:bookmarkEnd w:id="439"/>
      <w:bookmarkEnd w:id="440"/>
      <w:bookmarkEnd w:id="441"/>
      <w:bookmarkEnd w:id="442"/>
      <w:bookmarkEnd w:id="443"/>
      <w:bookmarkEnd w:id="444"/>
    </w:p>
    <w:p>
      <w:pPr>
        <w:bidi w:val="0"/>
      </w:pPr>
      <w:r>
        <w:t>针对上述排查的每一项差距和隐患，根据其危害性、紧迫性和治理时间的长短，提出需要完成整改的期限，分别按短期（3个月以内）、中期（3-6个月）和长期（6个月以上）给出。</w:t>
      </w:r>
    </w:p>
    <w:p>
      <w:pPr>
        <w:bidi w:val="0"/>
      </w:pPr>
      <w:r>
        <w:t>短期（3个月以内）：</w:t>
      </w:r>
      <w:r>
        <w:rPr>
          <w:rFonts w:hint="eastAsia"/>
        </w:rPr>
        <w:t>补充吸油毡、带盖空桶、消毒液、棉被、防化服、急救箱、隔离带等应急设施，，并</w:t>
      </w:r>
      <w:r>
        <w:t>明确环境风险防控重点岗位的责任机构，落实到人，开展定期巡检和维护工作。</w:t>
      </w:r>
    </w:p>
    <w:p>
      <w:pPr>
        <w:bidi w:val="0"/>
      </w:pPr>
      <w:r>
        <w:t>中期（3-6个月）：对环境风险防控重点岗位进行定期巡检和维护工作，对不达标的消防设施进行整治。</w:t>
      </w:r>
    </w:p>
    <w:p>
      <w:pPr>
        <w:bidi w:val="0"/>
      </w:pPr>
      <w:r>
        <w:t>长期（6个月以上）：定期对职工开展环境风险和环境应急管理宣传和培训，向周边企业、村落提供本单位有关危险物质特性、应急措施、救援知识等。</w:t>
      </w:r>
    </w:p>
    <w:p>
      <w:pPr>
        <w:ind w:firstLine="480"/>
        <w:rPr>
          <w:rFonts w:ascii="宋体" w:hAnsi="宋体" w:cs="宋体"/>
          <w:sz w:val="24"/>
        </w:rPr>
      </w:pPr>
    </w:p>
    <w:p>
      <w:pPr>
        <w:pStyle w:val="35"/>
        <w:spacing w:beforeLines="0" w:afterLines="0"/>
        <w:outlineLvl w:val="9"/>
        <w:rPr>
          <w:sz w:val="24"/>
        </w:rPr>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p>
    <w:p>
      <w:pPr>
        <w:pStyle w:val="3"/>
        <w:bidi w:val="0"/>
      </w:pPr>
      <w:bookmarkStart w:id="445" w:name="_Toc25912"/>
      <w:bookmarkStart w:id="446" w:name="_Toc7191"/>
      <w:bookmarkStart w:id="447" w:name="_Toc15517"/>
      <w:bookmarkStart w:id="448" w:name="_Toc12985"/>
      <w:bookmarkStart w:id="449" w:name="_Toc37591939"/>
      <w:bookmarkStart w:id="450" w:name="_Toc27903"/>
      <w:bookmarkStart w:id="451" w:name="_Toc1429"/>
      <w:bookmarkStart w:id="452" w:name="_Toc19185"/>
      <w:bookmarkStart w:id="453" w:name="_Toc16882"/>
      <w:bookmarkStart w:id="454" w:name="_Toc24793"/>
      <w:bookmarkStart w:id="455" w:name="_Toc1848"/>
      <w:r>
        <w:rPr>
          <w:rFonts w:hint="eastAsia"/>
          <w:lang w:val="en-US" w:eastAsia="zh-CN"/>
        </w:rPr>
        <w:t>5</w:t>
      </w:r>
      <w:r>
        <w:t xml:space="preserve"> </w:t>
      </w:r>
      <w:r>
        <w:rPr>
          <w:rFonts w:hint="eastAsia"/>
        </w:rPr>
        <w:t>完善环境风险防控与应急措施的实施计划</w:t>
      </w:r>
      <w:bookmarkEnd w:id="445"/>
      <w:bookmarkEnd w:id="446"/>
      <w:bookmarkEnd w:id="447"/>
      <w:bookmarkEnd w:id="448"/>
      <w:bookmarkEnd w:id="449"/>
      <w:bookmarkEnd w:id="450"/>
      <w:bookmarkEnd w:id="451"/>
      <w:bookmarkEnd w:id="452"/>
      <w:bookmarkEnd w:id="453"/>
      <w:bookmarkEnd w:id="454"/>
      <w:bookmarkEnd w:id="455"/>
    </w:p>
    <w:p>
      <w:pPr>
        <w:pStyle w:val="64"/>
        <w:ind w:firstLine="480"/>
        <w:rPr>
          <w:rFonts w:hint="eastAsia"/>
        </w:rPr>
      </w:pPr>
    </w:p>
    <w:p>
      <w:pPr>
        <w:pStyle w:val="64"/>
        <w:ind w:firstLine="480"/>
      </w:pPr>
      <w:r>
        <w:rPr>
          <w:rFonts w:hint="eastAsia"/>
        </w:rPr>
        <w:t>为深入贯彻落实科学发展观，进一步完善环境风险防控与应急措施，有效防范和妥善应对突发环境事件，紧紧围绕“全面推进、突出重点、建设队伍、提高素质、搞好演练”的总体思路，结合本公司实际情况，并制定完善环境风险防控与应急措施的实施计划。</w:t>
      </w:r>
    </w:p>
    <w:p>
      <w:pPr>
        <w:pStyle w:val="4"/>
        <w:bidi w:val="0"/>
      </w:pPr>
      <w:bookmarkStart w:id="456" w:name="_Toc12883"/>
      <w:bookmarkStart w:id="457" w:name="_Toc20939"/>
      <w:bookmarkStart w:id="458" w:name="_Toc8349"/>
      <w:bookmarkStart w:id="459" w:name="_Toc20463"/>
      <w:bookmarkStart w:id="460" w:name="_Toc9677"/>
      <w:bookmarkStart w:id="461" w:name="_Toc19361"/>
      <w:bookmarkStart w:id="462" w:name="_Toc16528"/>
      <w:bookmarkStart w:id="463" w:name="_Toc32578"/>
      <w:bookmarkStart w:id="464" w:name="_Toc37591940"/>
      <w:bookmarkStart w:id="465" w:name="_Toc21342"/>
      <w:bookmarkStart w:id="466" w:name="_Toc6014"/>
      <w:r>
        <w:rPr>
          <w:rFonts w:hint="eastAsia"/>
          <w:lang w:val="en-US" w:eastAsia="zh-CN"/>
        </w:rPr>
        <w:t>5</w:t>
      </w:r>
      <w:r>
        <w:rPr>
          <w:rFonts w:hint="eastAsia"/>
        </w:rPr>
        <w:t>.1</w:t>
      </w:r>
      <w:r>
        <w:t xml:space="preserve"> </w:t>
      </w:r>
      <w:r>
        <w:rPr>
          <w:rFonts w:hint="eastAsia"/>
        </w:rPr>
        <w:t>进一步完善环境风险管理制度</w:t>
      </w:r>
      <w:bookmarkEnd w:id="456"/>
      <w:bookmarkEnd w:id="457"/>
      <w:bookmarkEnd w:id="458"/>
      <w:bookmarkEnd w:id="459"/>
      <w:bookmarkEnd w:id="460"/>
      <w:bookmarkEnd w:id="461"/>
      <w:bookmarkEnd w:id="462"/>
      <w:bookmarkEnd w:id="463"/>
      <w:bookmarkEnd w:id="464"/>
      <w:bookmarkEnd w:id="465"/>
      <w:bookmarkEnd w:id="466"/>
    </w:p>
    <w:p>
      <w:pPr>
        <w:bidi w:val="0"/>
      </w:pPr>
      <w:r>
        <w:rPr>
          <w:rFonts w:hint="eastAsia"/>
        </w:rPr>
        <w:t>2019年，本公司将环境风险防控与应急措施的建设工作作为环境保护工作的一项重要内容狠抓落实。切实加强组织领导，统抓环境风险防控和应急措施工作，全面开展环境风险源调查，加大隐患治理力度，同时，加强环境应急管理的机构建设、组织建设和制度建设。</w:t>
      </w:r>
    </w:p>
    <w:p>
      <w:pPr>
        <w:bidi w:val="0"/>
      </w:pPr>
      <w:r>
        <w:rPr>
          <w:rFonts w:hint="eastAsia"/>
        </w:rPr>
        <w:t>一是健全应急管理工作体系，对环境应急管理工作体系进行重新梳理，完善应急管理工作领导小组机构，提高应急指挥体系运转效率；二是认真做好应急值守工作，完善政务值班制度，值班人员坚持24小时坚守岗位，不得擅自离岗，保持信息畅通，确保重大、突发事件得到及时有效处理；三是重点加强环境影响评价审批和建设项目竣工环境保护验收工作中的环境风险评价和风险防范措施的落实。全面落实防范环境风险的责任和要求，构建全防全控的环境应急管理体系。</w:t>
      </w:r>
    </w:p>
    <w:p>
      <w:pPr>
        <w:pStyle w:val="36"/>
        <w:spacing w:before="190" w:after="190"/>
      </w:pPr>
      <w:bookmarkStart w:id="467" w:name="_Toc18169"/>
      <w:bookmarkStart w:id="468" w:name="_Toc15151"/>
      <w:bookmarkStart w:id="469" w:name="_Toc11041"/>
      <w:bookmarkStart w:id="470" w:name="_Toc3053"/>
      <w:bookmarkStart w:id="471" w:name="_Toc27711"/>
      <w:bookmarkStart w:id="472" w:name="_Toc29536"/>
      <w:bookmarkStart w:id="473" w:name="_Toc14656"/>
      <w:bookmarkStart w:id="474" w:name="_Toc24492"/>
      <w:bookmarkStart w:id="475" w:name="_Toc37591941"/>
      <w:bookmarkStart w:id="476" w:name="_Toc23043"/>
      <w:bookmarkStart w:id="477" w:name="_Toc10504"/>
      <w:r>
        <w:rPr>
          <w:rStyle w:val="31"/>
          <w:rFonts w:hint="eastAsia" w:eastAsia="宋体"/>
          <w:b/>
          <w:lang w:val="en-US" w:eastAsia="zh-CN"/>
        </w:rPr>
        <w:t>5</w:t>
      </w:r>
      <w:r>
        <w:rPr>
          <w:rStyle w:val="31"/>
          <w:rFonts w:hint="eastAsia"/>
          <w:b/>
        </w:rPr>
        <w:t>.2</w:t>
      </w:r>
      <w:r>
        <w:rPr>
          <w:rStyle w:val="31"/>
          <w:b/>
        </w:rPr>
        <w:t xml:space="preserve"> </w:t>
      </w:r>
      <w:r>
        <w:rPr>
          <w:rStyle w:val="31"/>
          <w:rFonts w:hint="eastAsia"/>
          <w:b/>
        </w:rPr>
        <w:t>环境风险防控措施、环境应急能力建</w:t>
      </w:r>
      <w:r>
        <w:rPr>
          <w:rFonts w:hint="eastAsia"/>
        </w:rPr>
        <w:t>设</w:t>
      </w:r>
      <w:bookmarkEnd w:id="467"/>
      <w:bookmarkEnd w:id="468"/>
      <w:bookmarkEnd w:id="469"/>
      <w:bookmarkEnd w:id="470"/>
      <w:bookmarkEnd w:id="471"/>
      <w:bookmarkEnd w:id="472"/>
      <w:bookmarkEnd w:id="473"/>
      <w:bookmarkEnd w:id="474"/>
      <w:bookmarkEnd w:id="475"/>
      <w:bookmarkEnd w:id="476"/>
      <w:bookmarkEnd w:id="477"/>
    </w:p>
    <w:p>
      <w:pPr>
        <w:bidi w:val="0"/>
        <w:rPr>
          <w:b/>
          <w:bCs/>
        </w:rPr>
      </w:pPr>
      <w:r>
        <w:rPr>
          <w:rFonts w:hint="eastAsia"/>
          <w:b/>
          <w:bCs/>
        </w:rPr>
        <w:t>一、完善突发环境应急预案</w:t>
      </w:r>
    </w:p>
    <w:p>
      <w:pPr>
        <w:bidi w:val="0"/>
      </w:pPr>
      <w:r>
        <w:rPr>
          <w:rFonts w:hint="eastAsia"/>
        </w:rPr>
        <w:t>健全和完善《南昌瀛宇金属制品有限公司突发环境事件应急预案》，并将预案呈报备案，提高预案科学性、可操作性和有效性。建立职责明确、规范有序、高效运行的应急指挥体系和工作网络，有效预防并及时控制和消除突发环境事故的危害，指导和规范突发环境事故的应急处置工作，提高对突发环境事故的综合防范能力。</w:t>
      </w:r>
    </w:p>
    <w:p>
      <w:pPr>
        <w:bidi w:val="0"/>
        <w:rPr>
          <w:b/>
          <w:bCs/>
        </w:rPr>
      </w:pPr>
      <w:r>
        <w:rPr>
          <w:rFonts w:hint="eastAsia"/>
          <w:b/>
          <w:bCs/>
        </w:rPr>
        <w:t>二、制定应急演练工作计划，做好处置演练</w:t>
      </w:r>
    </w:p>
    <w:p>
      <w:pPr>
        <w:bidi w:val="0"/>
      </w:pPr>
      <w:r>
        <w:rPr>
          <w:rFonts w:hint="eastAsia"/>
        </w:rPr>
        <w:t>科学制定应急演练计划，加强应急设备定期维护，督促重点风险源企业储备必要的应急处置物资，确保关键时刻应急设施、设备和物资能充分发挥作用。紧紧围绕本公司环境应急管理工作需要，以保障环境安全最大化为目标，进一步加大环境风险隐患排查和整治力度，加强职能部门职责和企业环境应急能力建设，不断提高应对突发事件能力，有效防范和坚决遏制环境安全事故的发生，确保不发生重特大环境污染事故。通过处置演练，查找问题，及时总结经验，吸取教训，举一反三制定整改措施，及时修订、完善应急预案，增强可操作性。</w:t>
      </w:r>
    </w:p>
    <w:p>
      <w:pPr>
        <w:bidi w:val="0"/>
        <w:rPr>
          <w:b/>
          <w:bCs/>
        </w:rPr>
      </w:pPr>
      <w:r>
        <w:rPr>
          <w:rFonts w:hint="eastAsia"/>
          <w:b/>
          <w:bCs/>
        </w:rPr>
        <w:t>三、风险防控措施实施计划</w:t>
      </w:r>
    </w:p>
    <w:p>
      <w:pPr>
        <w:bidi w:val="0"/>
      </w:pPr>
      <w:r>
        <w:rPr>
          <w:rFonts w:hint="eastAsia"/>
        </w:rPr>
        <w:t>以下从环境风险管理制度、环境风险防控措施、环境应急能力建设等内容制定加强环境风险防控措施和应急管理的目标、责任人及完成时限。</w:t>
      </w:r>
    </w:p>
    <w:p>
      <w:pPr>
        <w:bidi w:val="0"/>
      </w:pPr>
      <w:r>
        <w:rPr>
          <w:rFonts w:hint="eastAsia"/>
        </w:rPr>
        <w:t>针对企业需要整改的短期、中期和长期项目，分别制定完善环境风险防控和应急措施的实施计划如下。</w:t>
      </w:r>
    </w:p>
    <w:p>
      <w:pPr>
        <w:bidi w:val="0"/>
      </w:pPr>
      <w:r>
        <w:rPr>
          <w:rFonts w:hint="eastAsia"/>
        </w:rPr>
        <w:t>短期（负责人：孟凡伦）：明确环境风险防控重点岗位的责任机构，落实到人，开展定期巡检和维护工作。</w:t>
      </w:r>
    </w:p>
    <w:p>
      <w:pPr>
        <w:bidi w:val="0"/>
      </w:pPr>
      <w:r>
        <w:rPr>
          <w:rFonts w:hint="eastAsia"/>
        </w:rPr>
        <w:t>中期（负责人：王永平）：对环境风险防控重点岗位进行定期巡检和维护工作，对不达标的消防设施进行整治。</w:t>
      </w:r>
    </w:p>
    <w:p>
      <w:pPr>
        <w:bidi w:val="0"/>
        <w:rPr>
          <w:color w:val="000000" w:themeColor="text1"/>
          <w14:textFill>
            <w14:solidFill>
              <w14:schemeClr w14:val="tx1"/>
            </w14:solidFill>
          </w14:textFill>
        </w:rPr>
      </w:pPr>
      <w:r>
        <w:rPr>
          <w:rFonts w:hint="eastAsia"/>
        </w:rPr>
        <w:t>长期（负责人：秦俭）：定期对职工开展环境风险和环境应急管理宣传和培训，向周边企业、村落提供本单位有关危险物质特性、应急措施、救援知识等</w:t>
      </w:r>
      <w:r>
        <w:rPr>
          <w:rFonts w:hint="eastAsia"/>
          <w:color w:val="000000" w:themeColor="text1"/>
          <w14:textFill>
            <w14:solidFill>
              <w14:schemeClr w14:val="tx1"/>
            </w14:solidFill>
          </w14:textFill>
        </w:rPr>
        <w:t>。</w:t>
      </w:r>
    </w:p>
    <w:p>
      <w:pPr>
        <w:pStyle w:val="64"/>
        <w:ind w:firstLine="480"/>
        <w:rPr>
          <w:rFonts w:ascii="仿宋" w:eastAsia="仿宋" w:cs="仿宋"/>
          <w:kern w:val="0"/>
        </w:rPr>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p>
    <w:p>
      <w:pPr>
        <w:pStyle w:val="3"/>
        <w:bidi w:val="0"/>
      </w:pPr>
      <w:bookmarkStart w:id="478" w:name="_Toc10852"/>
      <w:bookmarkStart w:id="479" w:name="_Toc37591942"/>
      <w:bookmarkStart w:id="480" w:name="_Toc31288"/>
      <w:bookmarkStart w:id="481" w:name="_Toc497"/>
      <w:bookmarkStart w:id="482" w:name="_Toc4312"/>
      <w:bookmarkStart w:id="483" w:name="_Toc30840"/>
      <w:bookmarkStart w:id="484" w:name="_Toc31936"/>
      <w:bookmarkStart w:id="485" w:name="_Toc15908"/>
      <w:bookmarkStart w:id="486" w:name="_Toc12632"/>
      <w:bookmarkStart w:id="487" w:name="_Toc2995"/>
      <w:bookmarkStart w:id="488" w:name="_Toc11567"/>
      <w:r>
        <w:rPr>
          <w:rFonts w:hint="eastAsia"/>
          <w:lang w:val="en-US" w:eastAsia="zh-CN"/>
        </w:rPr>
        <w:t>6</w:t>
      </w:r>
      <w:r>
        <w:t xml:space="preserve"> </w:t>
      </w:r>
      <w:r>
        <w:rPr>
          <w:rFonts w:hint="eastAsia"/>
        </w:rPr>
        <w:t>企业环境风险等级</w:t>
      </w:r>
      <w:bookmarkEnd w:id="478"/>
      <w:bookmarkEnd w:id="479"/>
      <w:bookmarkEnd w:id="480"/>
      <w:bookmarkEnd w:id="481"/>
      <w:bookmarkEnd w:id="482"/>
      <w:bookmarkEnd w:id="483"/>
      <w:bookmarkEnd w:id="484"/>
      <w:bookmarkEnd w:id="485"/>
      <w:bookmarkEnd w:id="486"/>
      <w:bookmarkEnd w:id="487"/>
      <w:bookmarkEnd w:id="488"/>
    </w:p>
    <w:p>
      <w:pPr>
        <w:bidi w:val="0"/>
      </w:pPr>
    </w:p>
    <w:p>
      <w:pPr>
        <w:bidi w:val="0"/>
      </w:pPr>
      <w:r>
        <w:t>根据《企业突发环境事件风险分级方法》（HJ941-2018），通过定量分析企业生产、使用、存储的所有环境风险物质数量与其临界量的比值（Q），评估工艺过程与环境风险控制水平（M）以及环境风险受体敏感性（E）</w:t>
      </w:r>
      <w:r>
        <w:rPr>
          <w:rFonts w:hint="eastAsia"/>
        </w:rPr>
        <w:t>的评估分析结果</w:t>
      </w:r>
      <w:r>
        <w:t>，</w:t>
      </w:r>
      <w:r>
        <w:rPr>
          <w:rFonts w:hint="eastAsia"/>
        </w:rPr>
        <w:t>分别评估企业突发大气环境事件风险和突发水环境事件风险，将企业突发大气或水环境事件风险等级划分为一般环境风险、较大环境风险和重大环境风险三级，分别用蓝色、黄色和红色标识。同时涉及突发大气和水环境事件风险的企业，以等级高者确定企业突发环境风险等级。</w:t>
      </w:r>
    </w:p>
    <w:p>
      <w:pPr>
        <w:bidi w:val="0"/>
      </w:pPr>
      <w:r>
        <w:rPr>
          <w:rFonts w:hint="eastAsia"/>
        </w:rPr>
        <w:t>企业下设位置毗邻的多个独立厂区，可按厂区分别评估风险等级，以等级高者确定企业突发环境事件风险等级并进行表征，也可分别表征为企业（某厂区）突发环境事件风险等级。</w:t>
      </w:r>
    </w:p>
    <w:p>
      <w:pPr>
        <w:bidi w:val="0"/>
      </w:pPr>
      <w:r>
        <w:rPr>
          <w:rFonts w:hint="eastAsia"/>
        </w:rPr>
        <w:t>企业下设位置距离较远的多个独立厂区，分别评估确定各厂区风险等级，表征为企业</w:t>
      </w:r>
      <w:r>
        <w:rPr>
          <w:rFonts w:hint="eastAsia"/>
          <w:highlight w:val="none"/>
        </w:rPr>
        <w:t>(</w:t>
      </w:r>
      <w:r>
        <w:rPr>
          <w:rFonts w:hint="eastAsia"/>
        </w:rPr>
        <w:t>某厂区）突发环境事件风险等级。</w:t>
      </w:r>
      <w:r>
        <w:t>评估程序见图</w:t>
      </w:r>
      <w:r>
        <w:rPr>
          <w:rFonts w:hint="eastAsia"/>
          <w:lang w:val="en-US" w:eastAsia="zh-CN"/>
        </w:rPr>
        <w:t>6</w:t>
      </w:r>
      <w:r>
        <w:t>-1。</w:t>
      </w:r>
    </w:p>
    <w:p>
      <w:pPr>
        <w:ind w:firstLine="560"/>
        <w:jc w:val="center"/>
      </w:pPr>
      <w:r>
        <w:rPr>
          <w:rFonts w:hint="eastAsia"/>
        </w:rPr>
        <w:drawing>
          <wp:inline distT="0" distB="0" distL="114300" distR="114300">
            <wp:extent cx="5137785" cy="4067810"/>
            <wp:effectExtent l="0" t="0" r="5715" b="8890"/>
            <wp:docPr id="108" name="图片 89" descr="C:\Users\a\Desktop\X%`XQE1D$D6)~TIWF~V[(8C.pngX%`XQE1D$D6)~TIWF~V[(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89" descr="C:\Users\a\Desktop\X%`XQE1D$D6)~TIWF~V[(8C.pngX%`XQE1D$D6)~TIWF~V[(8C"/>
                    <pic:cNvPicPr>
                      <a:picLocks noChangeAspect="1"/>
                    </pic:cNvPicPr>
                  </pic:nvPicPr>
                  <pic:blipFill>
                    <a:blip r:embed="rId11"/>
                    <a:srcRect/>
                    <a:stretch>
                      <a:fillRect/>
                    </a:stretch>
                  </pic:blipFill>
                  <pic:spPr>
                    <a:xfrm>
                      <a:off x="0" y="0"/>
                      <a:ext cx="5137785" cy="4067810"/>
                    </a:xfrm>
                    <a:prstGeom prst="rect">
                      <a:avLst/>
                    </a:prstGeom>
                    <a:noFill/>
                    <a:ln>
                      <a:noFill/>
                    </a:ln>
                  </pic:spPr>
                </pic:pic>
              </a:graphicData>
            </a:graphic>
          </wp:inline>
        </w:drawing>
      </w:r>
    </w:p>
    <w:p>
      <w:pPr>
        <w:bidi w:val="0"/>
        <w:jc w:val="center"/>
        <w:rPr>
          <w:rFonts w:hint="eastAsia" w:ascii="黑体" w:hAnsi="黑体" w:eastAsia="黑体" w:cs="黑体"/>
        </w:rPr>
      </w:pPr>
      <w:bookmarkStart w:id="489" w:name="_Toc37591943"/>
      <w:r>
        <w:rPr>
          <w:rFonts w:hint="eastAsia" w:ascii="黑体" w:hAnsi="黑体" w:eastAsia="黑体" w:cs="黑体"/>
        </w:rPr>
        <w:t>图</w:t>
      </w:r>
      <w:r>
        <w:rPr>
          <w:rFonts w:hint="eastAsia" w:ascii="黑体" w:hAnsi="黑体" w:eastAsia="黑体" w:cs="黑体"/>
          <w:lang w:val="en-US" w:eastAsia="zh-CN"/>
        </w:rPr>
        <w:t>6</w:t>
      </w:r>
      <w:r>
        <w:rPr>
          <w:rFonts w:hint="eastAsia" w:ascii="黑体" w:hAnsi="黑体" w:eastAsia="黑体" w:cs="黑体"/>
        </w:rPr>
        <w:t>-1 环境风险等级评估程序图</w:t>
      </w:r>
      <w:bookmarkEnd w:id="489"/>
    </w:p>
    <w:p>
      <w:pPr>
        <w:pStyle w:val="4"/>
        <w:bidi w:val="0"/>
      </w:pPr>
      <w:bookmarkStart w:id="490" w:name="_Toc17094"/>
      <w:bookmarkStart w:id="491" w:name="_Toc32533"/>
      <w:bookmarkStart w:id="492" w:name="_Toc4821"/>
      <w:bookmarkStart w:id="493" w:name="_Toc17500"/>
      <w:bookmarkStart w:id="494" w:name="_Toc501"/>
      <w:bookmarkStart w:id="495" w:name="_Toc37591944"/>
      <w:bookmarkStart w:id="496" w:name="_Toc430095182"/>
      <w:bookmarkStart w:id="497" w:name="_Toc13190"/>
      <w:bookmarkStart w:id="498" w:name="_Toc7324"/>
      <w:bookmarkStart w:id="499" w:name="_Toc423011658"/>
      <w:bookmarkStart w:id="500" w:name="_Toc5992"/>
      <w:bookmarkStart w:id="501" w:name="_Toc7993"/>
      <w:bookmarkStart w:id="502" w:name="_Toc27196"/>
      <w:r>
        <w:rPr>
          <w:rFonts w:hint="eastAsia"/>
          <w:lang w:val="en-US" w:eastAsia="zh-CN"/>
        </w:rPr>
        <w:t>6</w:t>
      </w:r>
      <w:r>
        <w:rPr>
          <w:rFonts w:hint="eastAsia"/>
        </w:rPr>
        <w:t>.1</w:t>
      </w:r>
      <w:r>
        <w:t xml:space="preserve"> </w:t>
      </w:r>
      <w:r>
        <w:rPr>
          <w:rFonts w:hint="eastAsia"/>
        </w:rPr>
        <w:t>确定环境风险物质数量与其临界量比值（Q）</w:t>
      </w:r>
      <w:bookmarkEnd w:id="490"/>
      <w:bookmarkEnd w:id="491"/>
      <w:bookmarkEnd w:id="492"/>
      <w:bookmarkEnd w:id="493"/>
      <w:bookmarkEnd w:id="494"/>
      <w:bookmarkEnd w:id="495"/>
      <w:bookmarkEnd w:id="496"/>
      <w:bookmarkEnd w:id="497"/>
      <w:bookmarkEnd w:id="498"/>
      <w:bookmarkEnd w:id="499"/>
      <w:bookmarkEnd w:id="500"/>
      <w:bookmarkEnd w:id="501"/>
      <w:bookmarkEnd w:id="502"/>
    </w:p>
    <w:p>
      <w:pPr>
        <w:bidi w:val="0"/>
      </w:pPr>
      <w:r>
        <w:t>针对企业的生产</w:t>
      </w:r>
      <w:r>
        <w:rPr>
          <w:rFonts w:hint="eastAsia"/>
        </w:rPr>
        <w:t>物料</w:t>
      </w:r>
      <w:r>
        <w:t>、</w:t>
      </w:r>
      <w:r>
        <w:rPr>
          <w:rFonts w:hint="eastAsia"/>
        </w:rPr>
        <w:t>固废等</w:t>
      </w:r>
      <w:r>
        <w:t>污染物，列表说明下列内容：物质名称，目前数量和可能存在的最大数量，对照附录B 标明是否为环境风险物质。</w:t>
      </w:r>
    </w:p>
    <w:p>
      <w:pPr>
        <w:bidi w:val="0"/>
      </w:pPr>
      <w:r>
        <w:t>计算所涉及的每种环境风险物质在厂界内的最大存在总量与其在附录B 中对应的临界量的比值Q：</w:t>
      </w:r>
    </w:p>
    <w:p>
      <w:pPr>
        <w:bidi w:val="0"/>
      </w:pPr>
      <w:r>
        <w:rPr>
          <w:rFonts w:hint="eastAsia"/>
        </w:rPr>
        <w:t>①</w:t>
      </w:r>
      <w:r>
        <w:t>当企业只涉及一种环境风险物质时，计算该物质的总数量</w:t>
      </w:r>
    </w:p>
    <w:p>
      <w:pPr>
        <w:bidi w:val="0"/>
      </w:pPr>
      <w:r>
        <w:t>与其临界量比值，即为Q；</w:t>
      </w:r>
    </w:p>
    <w:p>
      <w:pPr>
        <w:bidi w:val="0"/>
      </w:pPr>
      <w:r>
        <w:rPr>
          <w:rFonts w:hint="eastAsia"/>
        </w:rPr>
        <w:t>②</w:t>
      </w:r>
      <w:r>
        <w:t>当企业存在多种环境风险物质时，则按式（1）计算物质</w:t>
      </w:r>
    </w:p>
    <w:p>
      <w:pPr>
        <w:bidi w:val="0"/>
      </w:pPr>
      <w:r>
        <w:t>数量与其临界量比值（Q）：</w:t>
      </w:r>
    </w:p>
    <w:p>
      <w:pPr>
        <w:pStyle w:val="64"/>
        <w:ind w:firstLine="480"/>
        <w:jc w:val="center"/>
      </w:pPr>
      <w:r>
        <w:rPr>
          <w:position w:val="-30"/>
        </w:rPr>
        <w:object>
          <v:shape id="_x0000_i1025" o:spt="75" type="#_x0000_t75" style="height:42.8pt;width:143.3pt;" o:ole="t" filled="f" o:preferrelative="t" stroked="f" coordsize="21600,21600">
            <v:path/>
            <v:fill on="f" focussize="0,0"/>
            <v:stroke on="f" joinstyle="miter"/>
            <v:imagedata r:id="rId13" o:title="4386328321516078225984"/>
            <o:lock v:ext="edit" aspectratio="t"/>
            <w10:wrap type="none"/>
            <w10:anchorlock/>
          </v:shape>
          <o:OLEObject Type="Embed" ProgID="Package" ShapeID="_x0000_i1025" DrawAspect="Icon" ObjectID="_1468075725" r:id="rId12">
            <o:LockedField>false</o:LockedField>
          </o:OLEObject>
        </w:object>
      </w:r>
    </w:p>
    <w:p>
      <w:pPr>
        <w:bidi w:val="0"/>
      </w:pPr>
      <w:r>
        <w:t>式中：q1，q2……qn——每种环境风险物质的最大存在总量，单位为t；</w:t>
      </w:r>
    </w:p>
    <w:p>
      <w:pPr>
        <w:bidi w:val="0"/>
      </w:pPr>
      <w:r>
        <w:t>Q1，Q2……Qn——每种环境风险物质的临界量，单位为t。</w:t>
      </w:r>
    </w:p>
    <w:p>
      <w:pPr>
        <w:bidi w:val="0"/>
      </w:pPr>
      <w:r>
        <w:t>当Q</w:t>
      </w:r>
      <w:r>
        <w:rPr>
          <w:highlight w:val="none"/>
        </w:rPr>
        <w:t>＜</w:t>
      </w:r>
      <w:r>
        <w:t>1 时，企业直接评为一般环境风险等级，以Q</w:t>
      </w:r>
      <w:r>
        <w:rPr>
          <w:rFonts w:hint="eastAsia"/>
        </w:rPr>
        <w:t>0</w:t>
      </w:r>
      <w:r>
        <w:t>表示。</w:t>
      </w:r>
    </w:p>
    <w:p>
      <w:pPr>
        <w:bidi w:val="0"/>
      </w:pPr>
      <w:r>
        <w:t>当Q≥1 时，将Q 值划分为：（1）1≤Q</w:t>
      </w:r>
      <w:r>
        <w:rPr>
          <w:highlight w:val="none"/>
        </w:rPr>
        <w:t>＜</w:t>
      </w:r>
      <w:r>
        <w:t>10；（2）10≤Q</w:t>
      </w:r>
      <w:r>
        <w:rPr>
          <w:highlight w:val="none"/>
        </w:rPr>
        <w:t>＜</w:t>
      </w:r>
      <w:r>
        <w:t>100；（3）Q≥100，分别以Q1、Q2和Q3表示。</w:t>
      </w:r>
    </w:p>
    <w:p>
      <w:pPr>
        <w:bidi w:val="0"/>
      </w:pPr>
      <w:r>
        <w:t>根据化学品</w:t>
      </w:r>
      <w:r>
        <w:rPr>
          <w:rFonts w:hint="eastAsia"/>
        </w:rPr>
        <w:t>储存</w:t>
      </w:r>
      <w:r>
        <w:t>的具体情况，本公司储运的化学品有一些列入附录B名单之内，具体辨识过程如下：</w:t>
      </w:r>
    </w:p>
    <w:p>
      <w:pPr>
        <w:pStyle w:val="28"/>
        <w:bidi w:val="0"/>
      </w:pPr>
      <w:r>
        <w:rPr>
          <w:rFonts w:hint="eastAsia"/>
        </w:rPr>
        <w:t>表</w:t>
      </w:r>
      <w:r>
        <w:rPr>
          <w:rFonts w:hint="eastAsia"/>
          <w:lang w:val="en-US" w:eastAsia="zh-CN"/>
        </w:rPr>
        <w:t>6</w:t>
      </w:r>
      <w:r>
        <w:rPr>
          <w:rFonts w:hint="eastAsia"/>
        </w:rPr>
        <w:t>.1-</w:t>
      </w:r>
      <w:r>
        <w:rPr>
          <w:rFonts w:hint="eastAsia"/>
          <w:lang w:val="en-US" w:eastAsia="zh-CN"/>
        </w:rPr>
        <w:t>1</w:t>
      </w:r>
      <w:r>
        <w:rPr>
          <w:rFonts w:hint="eastAsia"/>
        </w:rPr>
        <w:t xml:space="preserve"> 危险源物质名称及其临界量</w:t>
      </w:r>
    </w:p>
    <w:tbl>
      <w:tblPr>
        <w:tblStyle w:val="22"/>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0"/>
        <w:gridCol w:w="3244"/>
        <w:gridCol w:w="2108"/>
        <w:gridCol w:w="209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8" w:type="pct"/>
            <w:tcBorders>
              <w:bottom w:val="single" w:color="auto" w:sz="12" w:space="0"/>
            </w:tcBorders>
            <w:vAlign w:val="center"/>
          </w:tcPr>
          <w:p>
            <w:pPr>
              <w:pStyle w:val="39"/>
              <w:bidi w:val="0"/>
              <w:rPr>
                <w:b/>
                <w:bCs/>
              </w:rPr>
            </w:pPr>
            <w:r>
              <w:rPr>
                <w:b/>
                <w:bCs/>
              </w:rPr>
              <w:t>物质名称</w:t>
            </w:r>
          </w:p>
        </w:tc>
        <w:tc>
          <w:tcPr>
            <w:tcW w:w="1860" w:type="pct"/>
            <w:tcBorders>
              <w:bottom w:val="single" w:color="auto" w:sz="12" w:space="0"/>
            </w:tcBorders>
            <w:vAlign w:val="center"/>
          </w:tcPr>
          <w:p>
            <w:pPr>
              <w:pStyle w:val="39"/>
              <w:bidi w:val="0"/>
              <w:rPr>
                <w:b/>
                <w:bCs/>
              </w:rPr>
            </w:pPr>
            <w:r>
              <w:rPr>
                <w:rFonts w:hint="eastAsia"/>
                <w:b/>
                <w:bCs/>
              </w:rPr>
              <w:t>w</w:t>
            </w:r>
            <w:r>
              <w:rPr>
                <w:b/>
                <w:bCs/>
              </w:rPr>
              <w:t>储存量（吨）</w:t>
            </w:r>
          </w:p>
        </w:tc>
        <w:tc>
          <w:tcPr>
            <w:tcW w:w="1208" w:type="pct"/>
            <w:tcBorders>
              <w:bottom w:val="single" w:color="auto" w:sz="12" w:space="0"/>
            </w:tcBorders>
            <w:vAlign w:val="center"/>
          </w:tcPr>
          <w:p>
            <w:pPr>
              <w:pStyle w:val="39"/>
              <w:bidi w:val="0"/>
              <w:rPr>
                <w:b/>
                <w:bCs/>
              </w:rPr>
            </w:pPr>
            <w:r>
              <w:rPr>
                <w:rFonts w:hint="eastAsia"/>
                <w:b/>
                <w:bCs/>
              </w:rPr>
              <w:t>W</w:t>
            </w:r>
            <w:r>
              <w:rPr>
                <w:b/>
                <w:bCs/>
              </w:rPr>
              <w:t>临界量（吨）</w:t>
            </w:r>
          </w:p>
        </w:tc>
        <w:tc>
          <w:tcPr>
            <w:tcW w:w="1202" w:type="pct"/>
            <w:tcBorders>
              <w:bottom w:val="single" w:color="auto" w:sz="12" w:space="0"/>
            </w:tcBorders>
            <w:vAlign w:val="center"/>
          </w:tcPr>
          <w:p>
            <w:pPr>
              <w:pStyle w:val="39"/>
              <w:bidi w:val="0"/>
              <w:rPr>
                <w:b/>
                <w:bCs/>
              </w:rPr>
            </w:pPr>
            <w:r>
              <w:rPr>
                <w:rFonts w:hint="eastAsia"/>
                <w:b/>
                <w:bCs/>
              </w:rPr>
              <w:t>w/W</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8" w:type="pct"/>
            <w:tcBorders>
              <w:top w:val="single" w:color="auto" w:sz="12" w:space="0"/>
              <w:tl2br w:val="nil"/>
              <w:tr2bl w:val="nil"/>
            </w:tcBorders>
            <w:vAlign w:val="center"/>
          </w:tcPr>
          <w:p>
            <w:pPr>
              <w:pStyle w:val="39"/>
              <w:bidi w:val="0"/>
            </w:pPr>
            <w:r>
              <w:rPr>
                <w:rFonts w:hint="eastAsia"/>
              </w:rPr>
              <w:t>脱脂剂（氢氧化钠）</w:t>
            </w:r>
          </w:p>
        </w:tc>
        <w:tc>
          <w:tcPr>
            <w:tcW w:w="1860" w:type="pct"/>
            <w:tcBorders>
              <w:top w:val="single" w:color="auto" w:sz="12" w:space="0"/>
              <w:tl2br w:val="nil"/>
              <w:tr2bl w:val="nil"/>
            </w:tcBorders>
            <w:vAlign w:val="center"/>
          </w:tcPr>
          <w:p>
            <w:pPr>
              <w:pStyle w:val="39"/>
              <w:bidi w:val="0"/>
            </w:pPr>
            <w:r>
              <w:rPr>
                <w:rFonts w:hint="eastAsia"/>
              </w:rPr>
              <w:t>最大储存量为0.3t</w:t>
            </w:r>
          </w:p>
        </w:tc>
        <w:tc>
          <w:tcPr>
            <w:tcW w:w="1208" w:type="pct"/>
            <w:tcBorders>
              <w:top w:val="single" w:color="auto" w:sz="12" w:space="0"/>
              <w:tl2br w:val="nil"/>
              <w:tr2bl w:val="nil"/>
            </w:tcBorders>
            <w:vAlign w:val="center"/>
          </w:tcPr>
          <w:p>
            <w:pPr>
              <w:pStyle w:val="39"/>
              <w:bidi w:val="0"/>
            </w:pPr>
            <w:r>
              <w:rPr>
                <w:rFonts w:hint="eastAsia"/>
              </w:rPr>
              <w:t>50</w:t>
            </w:r>
          </w:p>
        </w:tc>
        <w:tc>
          <w:tcPr>
            <w:tcW w:w="1202" w:type="pct"/>
            <w:tcBorders>
              <w:top w:val="single" w:color="auto" w:sz="12" w:space="0"/>
              <w:tl2br w:val="nil"/>
              <w:tr2bl w:val="nil"/>
            </w:tcBorders>
            <w:vAlign w:val="center"/>
          </w:tcPr>
          <w:p>
            <w:pPr>
              <w:pStyle w:val="39"/>
              <w:bidi w:val="0"/>
            </w:pPr>
            <w:r>
              <w:rPr>
                <w:rFonts w:hint="eastAsia"/>
              </w:rPr>
              <w:t>0.006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8" w:type="pct"/>
            <w:tcBorders>
              <w:tl2br w:val="nil"/>
              <w:tr2bl w:val="nil"/>
            </w:tcBorders>
            <w:vAlign w:val="center"/>
          </w:tcPr>
          <w:p>
            <w:pPr>
              <w:pStyle w:val="39"/>
              <w:bidi w:val="0"/>
            </w:pPr>
            <w:r>
              <w:rPr>
                <w:rFonts w:hint="eastAsia"/>
              </w:rPr>
              <w:t>防锈剂（二乙醇胺）</w:t>
            </w:r>
          </w:p>
        </w:tc>
        <w:tc>
          <w:tcPr>
            <w:tcW w:w="1860" w:type="pct"/>
            <w:tcBorders>
              <w:tl2br w:val="nil"/>
              <w:tr2bl w:val="nil"/>
            </w:tcBorders>
            <w:vAlign w:val="center"/>
          </w:tcPr>
          <w:p>
            <w:pPr>
              <w:pStyle w:val="39"/>
              <w:bidi w:val="0"/>
            </w:pPr>
            <w:r>
              <w:rPr>
                <w:rFonts w:hint="eastAsia"/>
              </w:rPr>
              <w:t>最大储存量为0.1t</w:t>
            </w:r>
          </w:p>
        </w:tc>
        <w:tc>
          <w:tcPr>
            <w:tcW w:w="1208" w:type="pct"/>
            <w:tcBorders>
              <w:tl2br w:val="nil"/>
              <w:tr2bl w:val="nil"/>
            </w:tcBorders>
            <w:vAlign w:val="center"/>
          </w:tcPr>
          <w:p>
            <w:pPr>
              <w:pStyle w:val="39"/>
              <w:bidi w:val="0"/>
            </w:pPr>
            <w:r>
              <w:rPr>
                <w:rFonts w:hint="eastAsia"/>
              </w:rPr>
              <w:t>50</w:t>
            </w:r>
          </w:p>
        </w:tc>
        <w:tc>
          <w:tcPr>
            <w:tcW w:w="1202" w:type="pct"/>
            <w:tcBorders>
              <w:tl2br w:val="nil"/>
              <w:tr2bl w:val="nil"/>
            </w:tcBorders>
            <w:vAlign w:val="center"/>
          </w:tcPr>
          <w:p>
            <w:pPr>
              <w:pStyle w:val="39"/>
              <w:bidi w:val="0"/>
            </w:pPr>
            <w:r>
              <w:rPr>
                <w:rFonts w:hint="eastAsia"/>
              </w:rPr>
              <w:t>0.002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8" w:type="pct"/>
            <w:tcBorders>
              <w:tl2br w:val="nil"/>
              <w:tr2bl w:val="nil"/>
            </w:tcBorders>
            <w:vAlign w:val="center"/>
          </w:tcPr>
          <w:p>
            <w:pPr>
              <w:pStyle w:val="39"/>
              <w:bidi w:val="0"/>
            </w:pPr>
            <w:r>
              <w:rPr>
                <w:rFonts w:hint="eastAsia"/>
              </w:rPr>
              <w:t>废机油</w:t>
            </w:r>
          </w:p>
        </w:tc>
        <w:tc>
          <w:tcPr>
            <w:tcW w:w="1860" w:type="pct"/>
            <w:tcBorders>
              <w:tl2br w:val="nil"/>
              <w:tr2bl w:val="nil"/>
            </w:tcBorders>
            <w:vAlign w:val="center"/>
          </w:tcPr>
          <w:p>
            <w:pPr>
              <w:pStyle w:val="39"/>
              <w:bidi w:val="0"/>
            </w:pPr>
            <w:r>
              <w:rPr>
                <w:rFonts w:hint="eastAsia"/>
              </w:rPr>
              <w:t>危废暂存间最大储存量为0.01吨</w:t>
            </w:r>
          </w:p>
        </w:tc>
        <w:tc>
          <w:tcPr>
            <w:tcW w:w="1208" w:type="pct"/>
            <w:tcBorders>
              <w:tl2br w:val="nil"/>
              <w:tr2bl w:val="nil"/>
            </w:tcBorders>
            <w:vAlign w:val="center"/>
          </w:tcPr>
          <w:p>
            <w:pPr>
              <w:pStyle w:val="39"/>
              <w:bidi w:val="0"/>
            </w:pPr>
            <w:r>
              <w:rPr>
                <w:rFonts w:hint="eastAsia"/>
              </w:rPr>
              <w:t>2500</w:t>
            </w:r>
          </w:p>
        </w:tc>
        <w:tc>
          <w:tcPr>
            <w:tcW w:w="1202" w:type="pct"/>
            <w:tcBorders>
              <w:tl2br w:val="nil"/>
              <w:tr2bl w:val="nil"/>
            </w:tcBorders>
            <w:vAlign w:val="center"/>
          </w:tcPr>
          <w:p>
            <w:pPr>
              <w:pStyle w:val="39"/>
              <w:bidi w:val="0"/>
            </w:pPr>
            <w:r>
              <w:rPr>
                <w:rFonts w:hint="eastAsia"/>
              </w:rPr>
              <w:t>0.000004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97" w:type="pct"/>
            <w:gridSpan w:val="3"/>
            <w:tcBorders>
              <w:tl2br w:val="nil"/>
              <w:tr2bl w:val="nil"/>
            </w:tcBorders>
            <w:vAlign w:val="center"/>
          </w:tcPr>
          <w:p>
            <w:pPr>
              <w:pStyle w:val="39"/>
              <w:bidi w:val="0"/>
            </w:pPr>
            <w:r>
              <w:rPr>
                <w:rFonts w:hint="eastAsia"/>
              </w:rPr>
              <w:t>合计</w:t>
            </w:r>
          </w:p>
        </w:tc>
        <w:tc>
          <w:tcPr>
            <w:tcW w:w="1202" w:type="pct"/>
            <w:tcBorders>
              <w:tl2br w:val="nil"/>
              <w:tr2bl w:val="nil"/>
            </w:tcBorders>
            <w:vAlign w:val="center"/>
          </w:tcPr>
          <w:p>
            <w:pPr>
              <w:pStyle w:val="39"/>
              <w:bidi w:val="0"/>
            </w:pPr>
            <w:r>
              <w:rPr>
                <w:rFonts w:hint="eastAsia"/>
              </w:rPr>
              <w:t>0.008004</w:t>
            </w:r>
          </w:p>
        </w:tc>
      </w:tr>
    </w:tbl>
    <w:p>
      <w:pPr>
        <w:bidi w:val="0"/>
      </w:pPr>
      <w:r>
        <w:rPr>
          <w:rFonts w:hint="eastAsia"/>
        </w:rPr>
        <w:t>根据上表可知，南昌瀛宇金属制品有限公司环境风险物质最大储存量与临界量比值加和Σw/Q</w:t>
      </w:r>
      <w:r>
        <w:rPr>
          <w:rFonts w:hint="eastAsia"/>
          <w:highlight w:val="none"/>
        </w:rPr>
        <w:t>&lt;</w:t>
      </w:r>
      <w:r>
        <w:rPr>
          <w:rFonts w:hint="eastAsia"/>
        </w:rPr>
        <w:t>1，不构成重大危险源，以Q0表示。</w:t>
      </w:r>
    </w:p>
    <w:p>
      <w:pPr>
        <w:pStyle w:val="4"/>
        <w:bidi w:val="0"/>
      </w:pPr>
      <w:bookmarkStart w:id="503" w:name="_Toc25284"/>
      <w:bookmarkStart w:id="504" w:name="_Toc25919"/>
      <w:bookmarkStart w:id="505" w:name="_Toc1029"/>
      <w:bookmarkStart w:id="506" w:name="_Toc37591945"/>
      <w:bookmarkStart w:id="507" w:name="_Toc9435"/>
      <w:bookmarkStart w:id="508" w:name="_Toc5860"/>
      <w:bookmarkStart w:id="509" w:name="_Toc18264"/>
      <w:bookmarkStart w:id="510" w:name="_Toc30510"/>
      <w:bookmarkStart w:id="511" w:name="_Toc12759"/>
      <w:bookmarkStart w:id="512" w:name="_Toc7371"/>
      <w:r>
        <w:rPr>
          <w:rFonts w:hint="eastAsia"/>
          <w:lang w:val="en-US" w:eastAsia="zh-CN"/>
        </w:rPr>
        <w:t>6</w:t>
      </w:r>
      <w:r>
        <w:rPr>
          <w:rFonts w:hint="eastAsia"/>
        </w:rPr>
        <w:t>.2 突发大气环境事件风险等级评估</w:t>
      </w:r>
      <w:bookmarkEnd w:id="503"/>
      <w:bookmarkEnd w:id="504"/>
      <w:bookmarkEnd w:id="505"/>
      <w:bookmarkEnd w:id="506"/>
      <w:bookmarkEnd w:id="507"/>
      <w:bookmarkEnd w:id="508"/>
      <w:bookmarkEnd w:id="509"/>
      <w:bookmarkEnd w:id="510"/>
      <w:bookmarkEnd w:id="511"/>
      <w:bookmarkEnd w:id="512"/>
    </w:p>
    <w:p>
      <w:pPr>
        <w:pStyle w:val="5"/>
        <w:bidi w:val="0"/>
      </w:pPr>
      <w:bookmarkStart w:id="513" w:name="_Toc15705"/>
      <w:bookmarkStart w:id="514" w:name="_Toc16838"/>
      <w:bookmarkStart w:id="515" w:name="_Toc9187"/>
      <w:bookmarkStart w:id="516" w:name="_Toc37591946"/>
      <w:bookmarkStart w:id="517" w:name="_Toc5454"/>
      <w:bookmarkStart w:id="518" w:name="_Toc30825"/>
      <w:r>
        <w:rPr>
          <w:rFonts w:hint="eastAsia"/>
          <w:lang w:val="en-US" w:eastAsia="zh-CN"/>
        </w:rPr>
        <w:t>6</w:t>
      </w:r>
      <w:r>
        <w:rPr>
          <w:rFonts w:hint="eastAsia"/>
        </w:rPr>
        <w:t>.2.1 计算涉气风险物资数量与临界量比值（Q）</w:t>
      </w:r>
      <w:bookmarkEnd w:id="513"/>
      <w:bookmarkEnd w:id="514"/>
      <w:bookmarkEnd w:id="515"/>
      <w:bookmarkEnd w:id="516"/>
      <w:bookmarkEnd w:id="517"/>
      <w:bookmarkEnd w:id="518"/>
    </w:p>
    <w:p>
      <w:pPr>
        <w:bidi w:val="0"/>
      </w:pPr>
      <w:bookmarkStart w:id="519" w:name="_Toc423011659"/>
      <w:bookmarkStart w:id="520" w:name="_Toc430095183"/>
      <w:bookmarkStart w:id="521" w:name="_Toc30423"/>
      <w:r>
        <w:t>根据表</w:t>
      </w:r>
      <w:r>
        <w:rPr>
          <w:rFonts w:hint="eastAsia"/>
          <w:lang w:val="en-US" w:eastAsia="zh-CN"/>
        </w:rPr>
        <w:t>6</w:t>
      </w:r>
      <w:r>
        <w:t>.1-</w:t>
      </w:r>
      <w:r>
        <w:rPr>
          <w:rFonts w:hint="eastAsia"/>
          <w:lang w:val="en-US" w:eastAsia="zh-CN"/>
        </w:rPr>
        <w:t>1</w:t>
      </w:r>
      <w:r>
        <w:t>：大气计算涉气风险物资数量与临界量比值Q</w:t>
      </w:r>
      <w:r>
        <w:rPr>
          <w:highlight w:val="none"/>
        </w:rPr>
        <w:t>＜</w:t>
      </w:r>
      <w:r>
        <w:t>1,属于Q</w:t>
      </w:r>
      <w:r>
        <w:rPr>
          <w:rFonts w:hint="eastAsia"/>
        </w:rPr>
        <w:t>0</w:t>
      </w:r>
      <w:r>
        <w:t>。</w:t>
      </w:r>
    </w:p>
    <w:p>
      <w:pPr>
        <w:pStyle w:val="5"/>
        <w:bidi w:val="0"/>
      </w:pPr>
      <w:bookmarkStart w:id="522" w:name="_Toc12257"/>
      <w:bookmarkStart w:id="523" w:name="_Toc32353"/>
      <w:bookmarkStart w:id="524" w:name="_Toc21853"/>
      <w:bookmarkStart w:id="525" w:name="_Toc6355"/>
      <w:bookmarkStart w:id="526" w:name="_Toc37591947"/>
      <w:bookmarkStart w:id="527" w:name="_Toc20198"/>
      <w:r>
        <w:rPr>
          <w:rFonts w:hint="eastAsia"/>
          <w:lang w:val="en-US" w:eastAsia="zh-CN"/>
        </w:rPr>
        <w:t>6</w:t>
      </w:r>
      <w:r>
        <w:rPr>
          <w:rFonts w:hint="eastAsia"/>
        </w:rPr>
        <w:t>.2.2</w:t>
      </w:r>
      <w:r>
        <w:t xml:space="preserve"> </w:t>
      </w:r>
      <w:r>
        <w:rPr>
          <w:rFonts w:hint="eastAsia"/>
        </w:rPr>
        <w:t>确定大气工艺过程与环境风险控制水平（M）</w:t>
      </w:r>
      <w:bookmarkEnd w:id="519"/>
      <w:bookmarkEnd w:id="520"/>
      <w:bookmarkEnd w:id="521"/>
      <w:bookmarkEnd w:id="522"/>
      <w:bookmarkEnd w:id="523"/>
      <w:bookmarkEnd w:id="524"/>
      <w:bookmarkEnd w:id="525"/>
      <w:bookmarkEnd w:id="526"/>
      <w:bookmarkEnd w:id="527"/>
    </w:p>
    <w:p>
      <w:pPr>
        <w:bidi w:val="0"/>
      </w:pPr>
      <w:r>
        <w:t>（1）生产工艺</w:t>
      </w:r>
      <w:r>
        <w:rPr>
          <w:rFonts w:hint="eastAsia"/>
        </w:rPr>
        <w:t>过程含有风险工艺和设备情况</w:t>
      </w:r>
    </w:p>
    <w:p>
      <w:pPr>
        <w:bidi w:val="0"/>
      </w:pPr>
      <w:r>
        <w:t>企业生产工艺评估依据如下表</w:t>
      </w:r>
      <w:r>
        <w:rPr>
          <w:rFonts w:hint="eastAsia"/>
          <w:lang w:val="en-US" w:eastAsia="zh-CN"/>
        </w:rPr>
        <w:t>6</w:t>
      </w:r>
      <w:r>
        <w:rPr>
          <w:rFonts w:hint="eastAsia"/>
        </w:rPr>
        <w:t>.</w:t>
      </w:r>
      <w:r>
        <w:rPr>
          <w:rFonts w:hint="eastAsia"/>
          <w:lang w:val="en-US" w:eastAsia="zh-CN"/>
        </w:rPr>
        <w:t>6.2</w:t>
      </w:r>
      <w:r>
        <w:rPr>
          <w:rFonts w:hint="eastAsia"/>
        </w:rPr>
        <w:t>-</w:t>
      </w:r>
      <w:r>
        <w:rPr>
          <w:rFonts w:hint="eastAsia"/>
          <w:lang w:val="en-US" w:eastAsia="zh-CN"/>
        </w:rPr>
        <w:t>1</w:t>
      </w:r>
      <w:r>
        <w:t>所示。具有多套工艺单元的企业，对每套生产工艺分别评分并求和。企业生产工艺最高分值为30分，超过30分则按最高分计。</w:t>
      </w:r>
    </w:p>
    <w:p>
      <w:pPr>
        <w:pStyle w:val="28"/>
        <w:bidi w:val="0"/>
      </w:pPr>
      <w:r>
        <w:rPr>
          <w:rFonts w:hint="eastAsia"/>
        </w:rPr>
        <w:t>表</w:t>
      </w:r>
      <w:r>
        <w:rPr>
          <w:rFonts w:hint="eastAsia"/>
          <w:lang w:val="en-US" w:eastAsia="zh-CN"/>
        </w:rPr>
        <w:t>6</w:t>
      </w:r>
      <w:r>
        <w:rPr>
          <w:rFonts w:hint="eastAsia"/>
        </w:rPr>
        <w:t>.</w:t>
      </w:r>
      <w:r>
        <w:rPr>
          <w:rFonts w:hint="eastAsia"/>
          <w:lang w:val="en-US" w:eastAsia="zh-CN"/>
        </w:rPr>
        <w:t>2.2</w:t>
      </w:r>
      <w:r>
        <w:rPr>
          <w:rFonts w:hint="eastAsia"/>
        </w:rPr>
        <w:t>-</w:t>
      </w:r>
      <w:r>
        <w:rPr>
          <w:rFonts w:hint="eastAsia"/>
          <w:lang w:val="en-US" w:eastAsia="zh-CN"/>
        </w:rPr>
        <w:t>1</w:t>
      </w:r>
      <w:r>
        <w:t xml:space="preserve"> </w:t>
      </w:r>
      <w:r>
        <w:rPr>
          <w:rFonts w:hint="eastAsia"/>
        </w:rPr>
        <w:t>企业生产工艺</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6074"/>
        <w:gridCol w:w="999"/>
        <w:gridCol w:w="823"/>
        <w:gridCol w:w="821"/>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483" w:type="pct"/>
            <w:tcBorders>
              <w:bottom w:val="single" w:color="auto" w:sz="12" w:space="0"/>
            </w:tcBorders>
            <w:vAlign w:val="center"/>
          </w:tcPr>
          <w:p>
            <w:pPr>
              <w:pStyle w:val="39"/>
              <w:bidi w:val="0"/>
              <w:rPr>
                <w:b/>
                <w:bCs/>
              </w:rPr>
            </w:pPr>
            <w:r>
              <w:rPr>
                <w:b/>
                <w:bCs/>
              </w:rPr>
              <w:t>评估依据</w:t>
            </w:r>
          </w:p>
        </w:tc>
        <w:tc>
          <w:tcPr>
            <w:tcW w:w="573" w:type="pct"/>
            <w:tcBorders>
              <w:bottom w:val="single" w:color="auto" w:sz="12" w:space="0"/>
            </w:tcBorders>
            <w:vAlign w:val="center"/>
          </w:tcPr>
          <w:p>
            <w:pPr>
              <w:pStyle w:val="39"/>
              <w:bidi w:val="0"/>
              <w:rPr>
                <w:b/>
                <w:bCs/>
              </w:rPr>
            </w:pPr>
            <w:r>
              <w:rPr>
                <w:b/>
                <w:bCs/>
              </w:rPr>
              <w:t>分值</w:t>
            </w:r>
          </w:p>
        </w:tc>
        <w:tc>
          <w:tcPr>
            <w:tcW w:w="472" w:type="pct"/>
            <w:tcBorders>
              <w:bottom w:val="single" w:color="auto" w:sz="12" w:space="0"/>
            </w:tcBorders>
            <w:vAlign w:val="center"/>
          </w:tcPr>
          <w:p>
            <w:pPr>
              <w:pStyle w:val="39"/>
              <w:bidi w:val="0"/>
              <w:rPr>
                <w:b/>
                <w:bCs/>
              </w:rPr>
            </w:pPr>
            <w:r>
              <w:rPr>
                <w:b/>
                <w:bCs/>
              </w:rPr>
              <w:t>企业</w:t>
            </w:r>
          </w:p>
          <w:p>
            <w:pPr>
              <w:pStyle w:val="39"/>
              <w:bidi w:val="0"/>
              <w:rPr>
                <w:b/>
                <w:bCs/>
              </w:rPr>
            </w:pPr>
            <w:r>
              <w:rPr>
                <w:b/>
                <w:bCs/>
              </w:rPr>
              <w:t>现状</w:t>
            </w:r>
          </w:p>
        </w:tc>
        <w:tc>
          <w:tcPr>
            <w:tcW w:w="471" w:type="pct"/>
            <w:tcBorders>
              <w:bottom w:val="single" w:color="auto" w:sz="12" w:space="0"/>
            </w:tcBorders>
            <w:vAlign w:val="center"/>
          </w:tcPr>
          <w:p>
            <w:pPr>
              <w:pStyle w:val="39"/>
              <w:bidi w:val="0"/>
              <w:rPr>
                <w:b/>
                <w:bCs/>
              </w:rPr>
            </w:pPr>
            <w:r>
              <w:rPr>
                <w:b/>
                <w:bCs/>
              </w:rPr>
              <w:t>企业</w:t>
            </w:r>
          </w:p>
          <w:p>
            <w:pPr>
              <w:pStyle w:val="39"/>
              <w:bidi w:val="0"/>
              <w:rPr>
                <w:b/>
                <w:bCs/>
              </w:rPr>
            </w:pPr>
            <w:r>
              <w:rPr>
                <w:b/>
                <w:bCs/>
              </w:rPr>
              <w:t>得分</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483" w:type="pct"/>
            <w:tcBorders>
              <w:top w:val="single" w:color="auto" w:sz="12" w:space="0"/>
              <w:tl2br w:val="nil"/>
              <w:tr2bl w:val="nil"/>
            </w:tcBorders>
            <w:vAlign w:val="center"/>
          </w:tcPr>
          <w:p>
            <w:pPr>
              <w:pStyle w:val="39"/>
              <w:bidi w:val="0"/>
            </w:pPr>
            <w: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573" w:type="pct"/>
            <w:tcBorders>
              <w:top w:val="single" w:color="auto" w:sz="12" w:space="0"/>
              <w:tl2br w:val="nil"/>
              <w:tr2bl w:val="nil"/>
            </w:tcBorders>
            <w:vAlign w:val="center"/>
          </w:tcPr>
          <w:p>
            <w:pPr>
              <w:pStyle w:val="39"/>
              <w:bidi w:val="0"/>
            </w:pPr>
            <w:r>
              <w:t>10/每套</w:t>
            </w:r>
          </w:p>
        </w:tc>
        <w:tc>
          <w:tcPr>
            <w:tcW w:w="472" w:type="pct"/>
            <w:vMerge w:val="restart"/>
            <w:tcBorders>
              <w:top w:val="single" w:color="auto" w:sz="12" w:space="0"/>
              <w:tl2br w:val="nil"/>
              <w:tr2bl w:val="nil"/>
            </w:tcBorders>
            <w:vAlign w:val="center"/>
          </w:tcPr>
          <w:p>
            <w:pPr>
              <w:pStyle w:val="39"/>
              <w:bidi w:val="0"/>
            </w:pPr>
            <w:r>
              <w:rPr>
                <w:rFonts w:hint="eastAsia"/>
              </w:rPr>
              <w:t>不涉及以上危险工艺过程或国家规定禁用工艺/设备</w:t>
            </w:r>
          </w:p>
        </w:tc>
        <w:tc>
          <w:tcPr>
            <w:tcW w:w="471" w:type="pct"/>
            <w:tcBorders>
              <w:top w:val="single" w:color="auto" w:sz="12" w:space="0"/>
              <w:tl2br w:val="nil"/>
              <w:tr2bl w:val="nil"/>
            </w:tcBorders>
            <w:vAlign w:val="center"/>
          </w:tcPr>
          <w:p>
            <w:pPr>
              <w:pStyle w:val="39"/>
              <w:bidi w:val="0"/>
            </w:pPr>
            <w:r>
              <w:rPr>
                <w:rFonts w:hint="eastAsia"/>
              </w:rPr>
              <w:t>0</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483" w:type="pct"/>
            <w:tcBorders>
              <w:tl2br w:val="nil"/>
              <w:tr2bl w:val="nil"/>
            </w:tcBorders>
            <w:vAlign w:val="center"/>
          </w:tcPr>
          <w:p>
            <w:pPr>
              <w:pStyle w:val="39"/>
              <w:bidi w:val="0"/>
            </w:pPr>
            <w:r>
              <w:t>其他高温或高压、涉及易燃易爆等物质的工艺过程</w:t>
            </w:r>
          </w:p>
        </w:tc>
        <w:tc>
          <w:tcPr>
            <w:tcW w:w="573" w:type="pct"/>
            <w:tcBorders>
              <w:tl2br w:val="nil"/>
              <w:tr2bl w:val="nil"/>
            </w:tcBorders>
            <w:vAlign w:val="center"/>
          </w:tcPr>
          <w:p>
            <w:pPr>
              <w:pStyle w:val="39"/>
              <w:bidi w:val="0"/>
            </w:pPr>
            <w:r>
              <w:t>5/每套</w:t>
            </w:r>
          </w:p>
        </w:tc>
        <w:tc>
          <w:tcPr>
            <w:tcW w:w="472" w:type="pct"/>
            <w:vMerge w:val="continue"/>
            <w:tcBorders>
              <w:tl2br w:val="nil"/>
              <w:tr2bl w:val="nil"/>
            </w:tcBorders>
            <w:vAlign w:val="center"/>
          </w:tcPr>
          <w:p>
            <w:pPr>
              <w:pStyle w:val="39"/>
              <w:bidi w:val="0"/>
            </w:pPr>
          </w:p>
        </w:tc>
        <w:tc>
          <w:tcPr>
            <w:tcW w:w="471" w:type="pct"/>
            <w:tcBorders>
              <w:tl2br w:val="nil"/>
              <w:tr2bl w:val="nil"/>
            </w:tcBorders>
            <w:vAlign w:val="center"/>
          </w:tcPr>
          <w:p>
            <w:pPr>
              <w:pStyle w:val="39"/>
              <w:bidi w:val="0"/>
            </w:pPr>
            <w:r>
              <w:rPr>
                <w:rFonts w:hint="eastAsia"/>
              </w:rPr>
              <w:t>0</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483" w:type="pct"/>
            <w:tcBorders>
              <w:tl2br w:val="nil"/>
              <w:tr2bl w:val="nil"/>
            </w:tcBorders>
            <w:vAlign w:val="center"/>
          </w:tcPr>
          <w:p>
            <w:pPr>
              <w:pStyle w:val="39"/>
              <w:bidi w:val="0"/>
            </w:pPr>
            <w:r>
              <w:t>具有国家规定限期淘汰的工艺名录和设备</w:t>
            </w:r>
          </w:p>
        </w:tc>
        <w:tc>
          <w:tcPr>
            <w:tcW w:w="573" w:type="pct"/>
            <w:tcBorders>
              <w:tl2br w:val="nil"/>
              <w:tr2bl w:val="nil"/>
            </w:tcBorders>
            <w:vAlign w:val="center"/>
          </w:tcPr>
          <w:p>
            <w:pPr>
              <w:pStyle w:val="39"/>
              <w:bidi w:val="0"/>
            </w:pPr>
            <w:r>
              <w:t>5/每套</w:t>
            </w:r>
          </w:p>
        </w:tc>
        <w:tc>
          <w:tcPr>
            <w:tcW w:w="472" w:type="pct"/>
            <w:vMerge w:val="continue"/>
            <w:tcBorders>
              <w:tl2br w:val="nil"/>
              <w:tr2bl w:val="nil"/>
            </w:tcBorders>
            <w:vAlign w:val="center"/>
          </w:tcPr>
          <w:p>
            <w:pPr>
              <w:pStyle w:val="39"/>
              <w:bidi w:val="0"/>
            </w:pPr>
          </w:p>
        </w:tc>
        <w:tc>
          <w:tcPr>
            <w:tcW w:w="471" w:type="pct"/>
            <w:tcBorders>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483" w:type="pct"/>
            <w:tcBorders>
              <w:tl2br w:val="nil"/>
              <w:tr2bl w:val="nil"/>
            </w:tcBorders>
            <w:vAlign w:val="center"/>
          </w:tcPr>
          <w:p>
            <w:pPr>
              <w:pStyle w:val="39"/>
              <w:bidi w:val="0"/>
            </w:pPr>
            <w:r>
              <w:t>不涉及以上危险工艺过程或国家规定的禁用工艺/设备</w:t>
            </w:r>
          </w:p>
        </w:tc>
        <w:tc>
          <w:tcPr>
            <w:tcW w:w="573" w:type="pct"/>
            <w:tcBorders>
              <w:tl2br w:val="nil"/>
              <w:tr2bl w:val="nil"/>
            </w:tcBorders>
            <w:vAlign w:val="center"/>
          </w:tcPr>
          <w:p>
            <w:pPr>
              <w:pStyle w:val="39"/>
              <w:bidi w:val="0"/>
            </w:pPr>
            <w:r>
              <w:t>0</w:t>
            </w:r>
          </w:p>
        </w:tc>
        <w:tc>
          <w:tcPr>
            <w:tcW w:w="472" w:type="pct"/>
            <w:vMerge w:val="continue"/>
            <w:tcBorders>
              <w:tl2br w:val="nil"/>
              <w:tr2bl w:val="nil"/>
            </w:tcBorders>
            <w:vAlign w:val="center"/>
          </w:tcPr>
          <w:p>
            <w:pPr>
              <w:pStyle w:val="39"/>
              <w:bidi w:val="0"/>
            </w:pPr>
          </w:p>
        </w:tc>
        <w:tc>
          <w:tcPr>
            <w:tcW w:w="471" w:type="pct"/>
            <w:tcBorders>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483" w:type="pct"/>
            <w:tcBorders>
              <w:tl2br w:val="nil"/>
              <w:tr2bl w:val="nil"/>
            </w:tcBorders>
            <w:vAlign w:val="center"/>
          </w:tcPr>
          <w:p>
            <w:pPr>
              <w:pStyle w:val="39"/>
              <w:bidi w:val="0"/>
            </w:pPr>
            <w:r>
              <w:t>合计</w:t>
            </w:r>
          </w:p>
        </w:tc>
        <w:tc>
          <w:tcPr>
            <w:tcW w:w="1516" w:type="pct"/>
            <w:gridSpan w:val="3"/>
            <w:tcBorders>
              <w:tl2br w:val="nil"/>
              <w:tr2bl w:val="nil"/>
            </w:tcBorders>
            <w:vAlign w:val="center"/>
          </w:tcPr>
          <w:p>
            <w:pPr>
              <w:pStyle w:val="39"/>
              <w:bidi w:val="0"/>
            </w:pPr>
            <w:r>
              <w:rPr>
                <w:rFonts w:hint="eastAsia"/>
              </w:rPr>
              <w:t>0</w:t>
            </w:r>
          </w:p>
        </w:tc>
      </w:tr>
    </w:tbl>
    <w:p>
      <w:pPr>
        <w:pStyle w:val="64"/>
        <w:ind w:firstLine="480"/>
        <w:rPr>
          <w:rFonts w:hint="eastAsia" w:ascii="黑体" w:hAnsi="黑体" w:eastAsia="黑体" w:cs="黑体"/>
          <w:sz w:val="18"/>
          <w:szCs w:val="18"/>
        </w:rPr>
      </w:pPr>
      <w:r>
        <w:rPr>
          <w:rFonts w:hint="eastAsia" w:ascii="黑体" w:hAnsi="黑体" w:eastAsia="黑体" w:cs="黑体"/>
          <w:sz w:val="18"/>
          <w:szCs w:val="18"/>
        </w:rPr>
        <w:t>注1：高温指工艺温度≥300℃，高压指压力容器的设计压力（p）≥10.0MPa，易燃易爆等物质是指按照GB20576至GB20602《化学品分类、警示标签和警示性说明安全规范》所确定的化学物质；</w:t>
      </w:r>
    </w:p>
    <w:p>
      <w:pPr>
        <w:pStyle w:val="64"/>
        <w:ind w:firstLine="480"/>
        <w:rPr>
          <w:rFonts w:hint="eastAsia" w:ascii="黑体" w:hAnsi="黑体" w:eastAsia="黑体" w:cs="黑体"/>
          <w:sz w:val="18"/>
          <w:szCs w:val="18"/>
        </w:rPr>
      </w:pPr>
      <w:r>
        <w:rPr>
          <w:rFonts w:hint="eastAsia" w:ascii="黑体" w:hAnsi="黑体" w:eastAsia="黑体" w:cs="黑体"/>
          <w:sz w:val="18"/>
          <w:szCs w:val="18"/>
        </w:rPr>
        <w:t>注2：指根据国家发展改革委发布的《产业结构调整指导目录》（最新年本）中有淘汰期限的淘汰类落后生产工艺装备。</w:t>
      </w:r>
    </w:p>
    <w:p>
      <w:pPr>
        <w:pStyle w:val="64"/>
        <w:ind w:firstLine="480"/>
      </w:pPr>
      <w:r>
        <w:t>通过表</w:t>
      </w:r>
      <w:r>
        <w:rPr>
          <w:rFonts w:hint="eastAsia"/>
          <w:lang w:val="en-US" w:eastAsia="zh-CN"/>
        </w:rPr>
        <w:t>6</w:t>
      </w:r>
      <w:r>
        <w:rPr>
          <w:rFonts w:hint="eastAsia"/>
        </w:rPr>
        <w:t>.</w:t>
      </w:r>
      <w:r>
        <w:rPr>
          <w:rFonts w:hint="eastAsia"/>
          <w:lang w:val="en-US" w:eastAsia="zh-CN"/>
        </w:rPr>
        <w:t>2.2</w:t>
      </w:r>
      <w:r>
        <w:rPr>
          <w:rFonts w:hint="eastAsia"/>
        </w:rPr>
        <w:t>-</w:t>
      </w:r>
      <w:r>
        <w:rPr>
          <w:rFonts w:hint="eastAsia"/>
          <w:lang w:val="en-US" w:eastAsia="zh-CN"/>
        </w:rPr>
        <w:t>1</w:t>
      </w:r>
      <w:r>
        <w:t>分析，企业生产工艺分值为</w:t>
      </w:r>
      <w:r>
        <w:rPr>
          <w:rFonts w:hint="eastAsia"/>
        </w:rPr>
        <w:t>0</w:t>
      </w:r>
      <w:r>
        <w:t>分。</w:t>
      </w:r>
    </w:p>
    <w:p>
      <w:pPr>
        <w:pStyle w:val="64"/>
        <w:ind w:firstLine="480"/>
      </w:pPr>
      <w:r>
        <w:t>（2）大气环境控制水平风险防控措施及突发大气环境事件突发情况</w:t>
      </w:r>
    </w:p>
    <w:p>
      <w:pPr>
        <w:pStyle w:val="64"/>
        <w:ind w:firstLine="480"/>
      </w:pPr>
      <w:r>
        <w:t>企业大气环境控制水平风险防控措施及突发大气环境事件突发情况指标见表</w:t>
      </w:r>
      <w:r>
        <w:rPr>
          <w:rFonts w:hint="eastAsia"/>
          <w:lang w:val="en-US" w:eastAsia="zh-CN"/>
        </w:rPr>
        <w:t>6</w:t>
      </w:r>
      <w:r>
        <w:rPr>
          <w:rFonts w:hint="eastAsia"/>
        </w:rPr>
        <w:t>.</w:t>
      </w:r>
      <w:r>
        <w:rPr>
          <w:rFonts w:hint="eastAsia"/>
          <w:lang w:val="en-US" w:eastAsia="zh-CN"/>
        </w:rPr>
        <w:t>2.2</w:t>
      </w:r>
      <w:r>
        <w:rPr>
          <w:rFonts w:hint="eastAsia"/>
        </w:rPr>
        <w:t>-</w:t>
      </w:r>
      <w:r>
        <w:rPr>
          <w:rFonts w:hint="eastAsia"/>
          <w:lang w:val="en-US" w:eastAsia="zh-CN"/>
        </w:rPr>
        <w:t>1</w:t>
      </w:r>
      <w:r>
        <w:t>。对各项评估指标分别评分、计算总和，各项指标合计最高分70分。</w:t>
      </w:r>
    </w:p>
    <w:p>
      <w:pPr>
        <w:pStyle w:val="64"/>
        <w:ind w:firstLine="480"/>
      </w:pPr>
    </w:p>
    <w:p>
      <w:pPr>
        <w:pStyle w:val="64"/>
        <w:ind w:firstLine="480"/>
      </w:pPr>
    </w:p>
    <w:p>
      <w:pPr>
        <w:pStyle w:val="28"/>
        <w:bidi w:val="0"/>
      </w:pPr>
      <w:r>
        <w:rPr>
          <w:rFonts w:hint="eastAsia"/>
        </w:rPr>
        <w:t>表</w:t>
      </w:r>
      <w:r>
        <w:rPr>
          <w:rFonts w:hint="eastAsia"/>
          <w:lang w:val="en-US" w:eastAsia="zh-CN"/>
        </w:rPr>
        <w:t>6</w:t>
      </w:r>
      <w:r>
        <w:rPr>
          <w:rFonts w:hint="eastAsia"/>
        </w:rPr>
        <w:t>.</w:t>
      </w:r>
      <w:r>
        <w:rPr>
          <w:rFonts w:hint="eastAsia"/>
          <w:lang w:val="en-US" w:eastAsia="zh-CN"/>
        </w:rPr>
        <w:t>2.2</w:t>
      </w:r>
      <w:r>
        <w:rPr>
          <w:rFonts w:hint="eastAsia"/>
        </w:rPr>
        <w:t>-</w:t>
      </w:r>
      <w:r>
        <w:rPr>
          <w:rFonts w:hint="eastAsia"/>
          <w:lang w:val="en-US" w:eastAsia="zh-CN"/>
        </w:rPr>
        <w:t>1</w:t>
      </w:r>
      <w:r>
        <w:rPr>
          <w:rFonts w:hint="eastAsia"/>
        </w:rPr>
        <w:t xml:space="preserve"> 大气环境控制水平风险防控措施及突发大气环境事件突发情况发生情况评估</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15" w:type="dxa"/>
          <w:left w:w="15" w:type="dxa"/>
          <w:bottom w:w="15" w:type="dxa"/>
          <w:right w:w="15" w:type="dxa"/>
        </w:tblCellMar>
      </w:tblPr>
      <w:tblGrid>
        <w:gridCol w:w="1173"/>
        <w:gridCol w:w="4788"/>
        <w:gridCol w:w="964"/>
        <w:gridCol w:w="964"/>
        <w:gridCol w:w="64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tcBorders>
              <w:bottom w:val="single" w:color="auto" w:sz="12" w:space="0"/>
            </w:tcBorders>
            <w:vAlign w:val="center"/>
          </w:tcPr>
          <w:p>
            <w:pPr>
              <w:pStyle w:val="39"/>
              <w:bidi w:val="0"/>
              <w:rPr>
                <w:b/>
                <w:bCs/>
              </w:rPr>
            </w:pPr>
            <w:r>
              <w:rPr>
                <w:b/>
                <w:bCs/>
              </w:rPr>
              <w:t>评估指标</w:t>
            </w:r>
          </w:p>
        </w:tc>
        <w:tc>
          <w:tcPr>
            <w:tcW w:w="2805" w:type="pct"/>
            <w:tcBorders>
              <w:bottom w:val="single" w:color="auto" w:sz="12" w:space="0"/>
            </w:tcBorders>
            <w:vAlign w:val="center"/>
          </w:tcPr>
          <w:p>
            <w:pPr>
              <w:pStyle w:val="39"/>
              <w:bidi w:val="0"/>
              <w:rPr>
                <w:b/>
                <w:bCs/>
              </w:rPr>
            </w:pPr>
            <w:r>
              <w:rPr>
                <w:b/>
                <w:bCs/>
              </w:rPr>
              <w:t>评估依据</w:t>
            </w:r>
          </w:p>
        </w:tc>
        <w:tc>
          <w:tcPr>
            <w:tcW w:w="565" w:type="pct"/>
            <w:tcBorders>
              <w:bottom w:val="single" w:color="auto" w:sz="12" w:space="0"/>
            </w:tcBorders>
            <w:vAlign w:val="center"/>
          </w:tcPr>
          <w:p>
            <w:pPr>
              <w:pStyle w:val="39"/>
              <w:bidi w:val="0"/>
              <w:rPr>
                <w:b/>
                <w:bCs/>
              </w:rPr>
            </w:pPr>
            <w:r>
              <w:rPr>
                <w:b/>
                <w:bCs/>
              </w:rPr>
              <w:t>分值</w:t>
            </w:r>
          </w:p>
        </w:tc>
        <w:tc>
          <w:tcPr>
            <w:tcW w:w="565" w:type="pct"/>
            <w:tcBorders>
              <w:bottom w:val="single" w:color="auto" w:sz="12" w:space="0"/>
            </w:tcBorders>
            <w:vAlign w:val="center"/>
          </w:tcPr>
          <w:p>
            <w:pPr>
              <w:pStyle w:val="39"/>
              <w:bidi w:val="0"/>
              <w:rPr>
                <w:b/>
                <w:bCs/>
              </w:rPr>
            </w:pPr>
            <w:r>
              <w:rPr>
                <w:b/>
                <w:bCs/>
              </w:rPr>
              <w:t>企业现状</w:t>
            </w:r>
          </w:p>
        </w:tc>
        <w:tc>
          <w:tcPr>
            <w:tcW w:w="376" w:type="pct"/>
            <w:tcBorders>
              <w:bottom w:val="single" w:color="auto" w:sz="12" w:space="0"/>
            </w:tcBorders>
            <w:vAlign w:val="center"/>
          </w:tcPr>
          <w:p>
            <w:pPr>
              <w:pStyle w:val="39"/>
              <w:bidi w:val="0"/>
              <w:rPr>
                <w:b/>
                <w:bCs/>
              </w:rPr>
            </w:pPr>
            <w:r>
              <w:rPr>
                <w:b/>
                <w:bCs/>
              </w:rPr>
              <w:t>得分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1140" w:hRule="atLeast"/>
          <w:jc w:val="center"/>
        </w:trPr>
        <w:tc>
          <w:tcPr>
            <w:tcW w:w="687" w:type="pct"/>
            <w:vMerge w:val="restart"/>
            <w:tcBorders>
              <w:top w:val="single" w:color="auto" w:sz="12" w:space="0"/>
              <w:tl2br w:val="nil"/>
              <w:tr2bl w:val="nil"/>
            </w:tcBorders>
            <w:vAlign w:val="center"/>
          </w:tcPr>
          <w:p>
            <w:pPr>
              <w:pStyle w:val="39"/>
              <w:bidi w:val="0"/>
            </w:pPr>
            <w:r>
              <w:t>毒性气体泄漏</w:t>
            </w:r>
          </w:p>
        </w:tc>
        <w:tc>
          <w:tcPr>
            <w:tcW w:w="2805" w:type="pct"/>
            <w:tcBorders>
              <w:top w:val="single" w:color="auto" w:sz="12" w:space="0"/>
              <w:tl2br w:val="nil"/>
              <w:tr2bl w:val="nil"/>
            </w:tcBorders>
            <w:vAlign w:val="center"/>
          </w:tcPr>
          <w:p>
            <w:pPr>
              <w:pStyle w:val="39"/>
              <w:bidi w:val="0"/>
            </w:pPr>
            <w:r>
              <w:t>（1）不涉及附录A中有毒气体：或</w:t>
            </w:r>
            <w:r>
              <w:br w:type="textWrapping"/>
            </w:r>
            <w:r>
              <w:t>（2）根据实际情况，具备有毒有害气体（如硫化氢、氰化氢、氯化氢、光气、氯气、氨气、苯等）厂界泄漏监控预警系统的</w:t>
            </w:r>
          </w:p>
        </w:tc>
        <w:tc>
          <w:tcPr>
            <w:tcW w:w="565" w:type="pct"/>
            <w:tcBorders>
              <w:top w:val="single" w:color="auto" w:sz="12" w:space="0"/>
              <w:tl2br w:val="nil"/>
              <w:tr2bl w:val="nil"/>
            </w:tcBorders>
            <w:vAlign w:val="center"/>
          </w:tcPr>
          <w:p>
            <w:pPr>
              <w:pStyle w:val="39"/>
              <w:bidi w:val="0"/>
            </w:pPr>
            <w:r>
              <w:t>0</w:t>
            </w:r>
          </w:p>
        </w:tc>
        <w:tc>
          <w:tcPr>
            <w:tcW w:w="565" w:type="pct"/>
            <w:vMerge w:val="restart"/>
            <w:tcBorders>
              <w:top w:val="single" w:color="auto" w:sz="12" w:space="0"/>
              <w:tl2br w:val="nil"/>
              <w:tr2bl w:val="nil"/>
            </w:tcBorders>
            <w:vAlign w:val="center"/>
          </w:tcPr>
          <w:p>
            <w:pPr>
              <w:pStyle w:val="39"/>
              <w:bidi w:val="0"/>
            </w:pPr>
            <w:r>
              <w:t>不涉及有毒气体</w:t>
            </w:r>
          </w:p>
        </w:tc>
        <w:tc>
          <w:tcPr>
            <w:tcW w:w="376" w:type="pct"/>
            <w:vMerge w:val="restart"/>
            <w:tcBorders>
              <w:top w:val="single" w:color="auto" w:sz="12" w:space="0"/>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continue"/>
            <w:tcBorders>
              <w:tl2br w:val="nil"/>
              <w:tr2bl w:val="nil"/>
            </w:tcBorders>
            <w:vAlign w:val="center"/>
          </w:tcPr>
          <w:p>
            <w:pPr>
              <w:pStyle w:val="39"/>
              <w:bidi w:val="0"/>
            </w:pPr>
          </w:p>
        </w:tc>
        <w:tc>
          <w:tcPr>
            <w:tcW w:w="2805" w:type="pct"/>
            <w:tcBorders>
              <w:tl2br w:val="nil"/>
              <w:tr2bl w:val="nil"/>
            </w:tcBorders>
            <w:vAlign w:val="center"/>
          </w:tcPr>
          <w:p>
            <w:pPr>
              <w:pStyle w:val="39"/>
              <w:bidi w:val="0"/>
            </w:pPr>
            <w:r>
              <w:t>不具备厂界有毒有害气体泄漏监控预警系统的</w:t>
            </w:r>
          </w:p>
        </w:tc>
        <w:tc>
          <w:tcPr>
            <w:tcW w:w="565" w:type="pct"/>
            <w:tcBorders>
              <w:tl2br w:val="nil"/>
              <w:tr2bl w:val="nil"/>
            </w:tcBorders>
            <w:vAlign w:val="center"/>
          </w:tcPr>
          <w:p>
            <w:pPr>
              <w:pStyle w:val="39"/>
              <w:bidi w:val="0"/>
            </w:pPr>
            <w:r>
              <w:t>25</w:t>
            </w:r>
          </w:p>
        </w:tc>
        <w:tc>
          <w:tcPr>
            <w:tcW w:w="565" w:type="pct"/>
            <w:vMerge w:val="continue"/>
            <w:tcBorders>
              <w:tl2br w:val="nil"/>
              <w:tr2bl w:val="nil"/>
            </w:tcBorders>
            <w:vAlign w:val="center"/>
          </w:tcPr>
          <w:p>
            <w:pPr>
              <w:pStyle w:val="39"/>
              <w:bidi w:val="0"/>
            </w:pPr>
          </w:p>
        </w:tc>
        <w:tc>
          <w:tcPr>
            <w:tcW w:w="376"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restart"/>
            <w:tcBorders>
              <w:tl2br w:val="nil"/>
              <w:tr2bl w:val="nil"/>
            </w:tcBorders>
            <w:vAlign w:val="center"/>
          </w:tcPr>
          <w:p>
            <w:pPr>
              <w:pStyle w:val="39"/>
              <w:bidi w:val="0"/>
            </w:pPr>
            <w:r>
              <w:t>符合防护距离情况</w:t>
            </w:r>
          </w:p>
        </w:tc>
        <w:tc>
          <w:tcPr>
            <w:tcW w:w="2805" w:type="pct"/>
            <w:tcBorders>
              <w:tl2br w:val="nil"/>
              <w:tr2bl w:val="nil"/>
            </w:tcBorders>
            <w:vAlign w:val="center"/>
          </w:tcPr>
          <w:p>
            <w:pPr>
              <w:pStyle w:val="39"/>
              <w:bidi w:val="0"/>
            </w:pPr>
            <w:r>
              <w:t>符合环评及批复文件防护距离要求的</w:t>
            </w:r>
          </w:p>
        </w:tc>
        <w:tc>
          <w:tcPr>
            <w:tcW w:w="565" w:type="pct"/>
            <w:tcBorders>
              <w:tl2br w:val="nil"/>
              <w:tr2bl w:val="nil"/>
            </w:tcBorders>
            <w:vAlign w:val="center"/>
          </w:tcPr>
          <w:p>
            <w:pPr>
              <w:pStyle w:val="39"/>
              <w:bidi w:val="0"/>
            </w:pPr>
            <w:r>
              <w:t>0</w:t>
            </w:r>
          </w:p>
        </w:tc>
        <w:tc>
          <w:tcPr>
            <w:tcW w:w="565" w:type="pct"/>
            <w:vMerge w:val="restart"/>
            <w:tcBorders>
              <w:tl2br w:val="nil"/>
              <w:tr2bl w:val="nil"/>
            </w:tcBorders>
            <w:vAlign w:val="center"/>
          </w:tcPr>
          <w:p>
            <w:pPr>
              <w:pStyle w:val="39"/>
              <w:bidi w:val="0"/>
            </w:pPr>
            <w:r>
              <w:t>符合</w:t>
            </w:r>
          </w:p>
        </w:tc>
        <w:tc>
          <w:tcPr>
            <w:tcW w:w="376" w:type="pct"/>
            <w:vMerge w:val="restart"/>
            <w:tcBorders>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continue"/>
            <w:tcBorders>
              <w:tl2br w:val="nil"/>
              <w:tr2bl w:val="nil"/>
            </w:tcBorders>
            <w:vAlign w:val="center"/>
          </w:tcPr>
          <w:p>
            <w:pPr>
              <w:pStyle w:val="39"/>
              <w:bidi w:val="0"/>
            </w:pPr>
          </w:p>
        </w:tc>
        <w:tc>
          <w:tcPr>
            <w:tcW w:w="2805" w:type="pct"/>
            <w:tcBorders>
              <w:tl2br w:val="nil"/>
              <w:tr2bl w:val="nil"/>
            </w:tcBorders>
            <w:vAlign w:val="center"/>
          </w:tcPr>
          <w:p>
            <w:pPr>
              <w:pStyle w:val="39"/>
              <w:bidi w:val="0"/>
            </w:pPr>
            <w:r>
              <w:t>不符合环评及批复文件防护距离要求的</w:t>
            </w:r>
          </w:p>
        </w:tc>
        <w:tc>
          <w:tcPr>
            <w:tcW w:w="565" w:type="pct"/>
            <w:tcBorders>
              <w:tl2br w:val="nil"/>
              <w:tr2bl w:val="nil"/>
            </w:tcBorders>
            <w:vAlign w:val="center"/>
          </w:tcPr>
          <w:p>
            <w:pPr>
              <w:pStyle w:val="39"/>
              <w:bidi w:val="0"/>
            </w:pPr>
            <w:r>
              <w:t>25</w:t>
            </w:r>
          </w:p>
        </w:tc>
        <w:tc>
          <w:tcPr>
            <w:tcW w:w="565" w:type="pct"/>
            <w:vMerge w:val="continue"/>
            <w:tcBorders>
              <w:tl2br w:val="nil"/>
              <w:tr2bl w:val="nil"/>
            </w:tcBorders>
            <w:vAlign w:val="center"/>
          </w:tcPr>
          <w:p>
            <w:pPr>
              <w:pStyle w:val="39"/>
              <w:bidi w:val="0"/>
            </w:pPr>
          </w:p>
        </w:tc>
        <w:tc>
          <w:tcPr>
            <w:tcW w:w="376"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restart"/>
            <w:tcBorders>
              <w:tl2br w:val="nil"/>
              <w:tr2bl w:val="nil"/>
            </w:tcBorders>
            <w:vAlign w:val="center"/>
          </w:tcPr>
          <w:p>
            <w:pPr>
              <w:pStyle w:val="39"/>
              <w:bidi w:val="0"/>
            </w:pPr>
            <w:r>
              <w:t>近三年内突发大气环境事件发生情况</w:t>
            </w:r>
          </w:p>
        </w:tc>
        <w:tc>
          <w:tcPr>
            <w:tcW w:w="2805" w:type="pct"/>
            <w:tcBorders>
              <w:tl2br w:val="nil"/>
              <w:tr2bl w:val="nil"/>
            </w:tcBorders>
            <w:vAlign w:val="center"/>
          </w:tcPr>
          <w:p>
            <w:pPr>
              <w:pStyle w:val="39"/>
              <w:bidi w:val="0"/>
            </w:pPr>
            <w:r>
              <w:t>发生过特别重大或重大等级突发大气环境事件的</w:t>
            </w:r>
          </w:p>
        </w:tc>
        <w:tc>
          <w:tcPr>
            <w:tcW w:w="565" w:type="pct"/>
            <w:tcBorders>
              <w:tl2br w:val="nil"/>
              <w:tr2bl w:val="nil"/>
            </w:tcBorders>
            <w:vAlign w:val="center"/>
          </w:tcPr>
          <w:p>
            <w:pPr>
              <w:pStyle w:val="39"/>
              <w:bidi w:val="0"/>
            </w:pPr>
            <w:r>
              <w:t>20</w:t>
            </w:r>
          </w:p>
        </w:tc>
        <w:tc>
          <w:tcPr>
            <w:tcW w:w="565" w:type="pct"/>
            <w:vMerge w:val="restart"/>
            <w:tcBorders>
              <w:tl2br w:val="nil"/>
              <w:tr2bl w:val="nil"/>
            </w:tcBorders>
            <w:vAlign w:val="center"/>
          </w:tcPr>
          <w:p>
            <w:pPr>
              <w:pStyle w:val="39"/>
              <w:bidi w:val="0"/>
            </w:pPr>
            <w:r>
              <w:t>没有发生环境事件</w:t>
            </w:r>
          </w:p>
        </w:tc>
        <w:tc>
          <w:tcPr>
            <w:tcW w:w="376" w:type="pct"/>
            <w:vMerge w:val="restart"/>
            <w:tcBorders>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continue"/>
            <w:tcBorders>
              <w:tl2br w:val="nil"/>
              <w:tr2bl w:val="nil"/>
            </w:tcBorders>
            <w:vAlign w:val="center"/>
          </w:tcPr>
          <w:p>
            <w:pPr>
              <w:pStyle w:val="39"/>
              <w:bidi w:val="0"/>
            </w:pPr>
          </w:p>
        </w:tc>
        <w:tc>
          <w:tcPr>
            <w:tcW w:w="2805" w:type="pct"/>
            <w:tcBorders>
              <w:tl2br w:val="nil"/>
              <w:tr2bl w:val="nil"/>
            </w:tcBorders>
            <w:vAlign w:val="center"/>
          </w:tcPr>
          <w:p>
            <w:pPr>
              <w:pStyle w:val="39"/>
              <w:bidi w:val="0"/>
            </w:pPr>
            <w:r>
              <w:t>发生过较大等级突发大气环境事件的</w:t>
            </w:r>
          </w:p>
        </w:tc>
        <w:tc>
          <w:tcPr>
            <w:tcW w:w="565" w:type="pct"/>
            <w:tcBorders>
              <w:tl2br w:val="nil"/>
              <w:tr2bl w:val="nil"/>
            </w:tcBorders>
            <w:vAlign w:val="center"/>
          </w:tcPr>
          <w:p>
            <w:pPr>
              <w:pStyle w:val="39"/>
              <w:bidi w:val="0"/>
            </w:pPr>
            <w:r>
              <w:t>15</w:t>
            </w:r>
          </w:p>
        </w:tc>
        <w:tc>
          <w:tcPr>
            <w:tcW w:w="565" w:type="pct"/>
            <w:vMerge w:val="continue"/>
            <w:tcBorders>
              <w:tl2br w:val="nil"/>
              <w:tr2bl w:val="nil"/>
            </w:tcBorders>
            <w:vAlign w:val="center"/>
          </w:tcPr>
          <w:p>
            <w:pPr>
              <w:pStyle w:val="39"/>
              <w:bidi w:val="0"/>
            </w:pPr>
          </w:p>
        </w:tc>
        <w:tc>
          <w:tcPr>
            <w:tcW w:w="376"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continue"/>
            <w:tcBorders>
              <w:tl2br w:val="nil"/>
              <w:tr2bl w:val="nil"/>
            </w:tcBorders>
            <w:vAlign w:val="center"/>
          </w:tcPr>
          <w:p>
            <w:pPr>
              <w:pStyle w:val="39"/>
              <w:bidi w:val="0"/>
            </w:pPr>
          </w:p>
        </w:tc>
        <w:tc>
          <w:tcPr>
            <w:tcW w:w="2805" w:type="pct"/>
            <w:tcBorders>
              <w:tl2br w:val="nil"/>
              <w:tr2bl w:val="nil"/>
            </w:tcBorders>
            <w:vAlign w:val="center"/>
          </w:tcPr>
          <w:p>
            <w:pPr>
              <w:pStyle w:val="39"/>
              <w:bidi w:val="0"/>
            </w:pPr>
            <w:r>
              <w:t>发生过一般等级突发大气环境事件的</w:t>
            </w:r>
          </w:p>
        </w:tc>
        <w:tc>
          <w:tcPr>
            <w:tcW w:w="565" w:type="pct"/>
            <w:tcBorders>
              <w:tl2br w:val="nil"/>
              <w:tr2bl w:val="nil"/>
            </w:tcBorders>
            <w:vAlign w:val="center"/>
          </w:tcPr>
          <w:p>
            <w:pPr>
              <w:pStyle w:val="39"/>
              <w:bidi w:val="0"/>
            </w:pPr>
            <w:r>
              <w:t>20</w:t>
            </w:r>
          </w:p>
        </w:tc>
        <w:tc>
          <w:tcPr>
            <w:tcW w:w="565" w:type="pct"/>
            <w:vMerge w:val="continue"/>
            <w:tcBorders>
              <w:tl2br w:val="nil"/>
              <w:tr2bl w:val="nil"/>
            </w:tcBorders>
            <w:vAlign w:val="center"/>
          </w:tcPr>
          <w:p>
            <w:pPr>
              <w:pStyle w:val="39"/>
              <w:bidi w:val="0"/>
            </w:pPr>
          </w:p>
        </w:tc>
        <w:tc>
          <w:tcPr>
            <w:tcW w:w="376"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87" w:type="pct"/>
            <w:vMerge w:val="continue"/>
            <w:tcBorders>
              <w:tl2br w:val="nil"/>
              <w:tr2bl w:val="nil"/>
            </w:tcBorders>
            <w:vAlign w:val="center"/>
          </w:tcPr>
          <w:p>
            <w:pPr>
              <w:pStyle w:val="39"/>
              <w:bidi w:val="0"/>
            </w:pPr>
          </w:p>
        </w:tc>
        <w:tc>
          <w:tcPr>
            <w:tcW w:w="2805" w:type="pct"/>
            <w:tcBorders>
              <w:tl2br w:val="nil"/>
              <w:tr2bl w:val="nil"/>
            </w:tcBorders>
            <w:vAlign w:val="center"/>
          </w:tcPr>
          <w:p>
            <w:pPr>
              <w:pStyle w:val="39"/>
              <w:bidi w:val="0"/>
            </w:pPr>
            <w:r>
              <w:t>未发生突发大气环境事件的</w:t>
            </w:r>
          </w:p>
        </w:tc>
        <w:tc>
          <w:tcPr>
            <w:tcW w:w="565" w:type="pct"/>
            <w:tcBorders>
              <w:tl2br w:val="nil"/>
              <w:tr2bl w:val="nil"/>
            </w:tcBorders>
            <w:vAlign w:val="center"/>
          </w:tcPr>
          <w:p>
            <w:pPr>
              <w:pStyle w:val="39"/>
              <w:bidi w:val="0"/>
            </w:pPr>
            <w:r>
              <w:t>0</w:t>
            </w:r>
          </w:p>
        </w:tc>
        <w:tc>
          <w:tcPr>
            <w:tcW w:w="565" w:type="pct"/>
            <w:vMerge w:val="continue"/>
            <w:tcBorders>
              <w:tl2br w:val="nil"/>
              <w:tr2bl w:val="nil"/>
            </w:tcBorders>
            <w:vAlign w:val="center"/>
          </w:tcPr>
          <w:p>
            <w:pPr>
              <w:pStyle w:val="39"/>
              <w:bidi w:val="0"/>
            </w:pPr>
          </w:p>
        </w:tc>
        <w:tc>
          <w:tcPr>
            <w:tcW w:w="376" w:type="pct"/>
            <w:vMerge w:val="continue"/>
            <w:tcBorders>
              <w:tl2br w:val="nil"/>
              <w:tr2bl w:val="nil"/>
            </w:tcBorders>
            <w:vAlign w:val="center"/>
          </w:tcPr>
          <w:p>
            <w:pPr>
              <w:pStyle w:val="39"/>
              <w:bidi w:val="0"/>
            </w:pPr>
          </w:p>
        </w:tc>
      </w:tr>
    </w:tbl>
    <w:p>
      <w:pPr>
        <w:pStyle w:val="64"/>
        <w:ind w:firstLine="480"/>
      </w:pPr>
      <w:r>
        <w:rPr>
          <w:rFonts w:hint="eastAsia"/>
        </w:rPr>
        <w:t>通</w:t>
      </w:r>
      <w:r>
        <w:t>过表</w:t>
      </w:r>
      <w:r>
        <w:rPr>
          <w:rFonts w:hint="eastAsia"/>
          <w:lang w:val="en-US" w:eastAsia="zh-CN"/>
        </w:rPr>
        <w:t>6</w:t>
      </w:r>
      <w:r>
        <w:rPr>
          <w:rFonts w:hint="eastAsia"/>
        </w:rPr>
        <w:t>.</w:t>
      </w:r>
      <w:r>
        <w:rPr>
          <w:rFonts w:hint="eastAsia"/>
          <w:lang w:val="en-US" w:eastAsia="zh-CN"/>
        </w:rPr>
        <w:t>2.2</w:t>
      </w:r>
      <w:r>
        <w:rPr>
          <w:rFonts w:hint="eastAsia"/>
        </w:rPr>
        <w:t>-</w:t>
      </w:r>
      <w:r>
        <w:rPr>
          <w:rFonts w:hint="eastAsia"/>
          <w:lang w:val="en-US" w:eastAsia="zh-CN"/>
        </w:rPr>
        <w:t>1</w:t>
      </w:r>
      <w:r>
        <w:t>分析，企业大气环境控制水平风险防控措施及突发大气环境事件突发情况发生情况评估分值为0分。</w:t>
      </w:r>
    </w:p>
    <w:p>
      <w:pPr>
        <w:pStyle w:val="28"/>
        <w:bidi w:val="0"/>
      </w:pPr>
      <w:r>
        <w:rPr>
          <w:rFonts w:hint="eastAsia"/>
        </w:rPr>
        <w:t>表</w:t>
      </w:r>
      <w:r>
        <w:rPr>
          <w:rFonts w:hint="eastAsia"/>
          <w:lang w:val="en-US" w:eastAsia="zh-CN"/>
        </w:rPr>
        <w:t>6</w:t>
      </w:r>
      <w:r>
        <w:rPr>
          <w:rFonts w:hint="eastAsia"/>
        </w:rPr>
        <w:t>.</w:t>
      </w:r>
      <w:r>
        <w:rPr>
          <w:rFonts w:hint="eastAsia"/>
          <w:lang w:val="en-US" w:eastAsia="zh-CN"/>
        </w:rPr>
        <w:t>2.2</w:t>
      </w:r>
      <w:r>
        <w:rPr>
          <w:rFonts w:hint="eastAsia"/>
        </w:rPr>
        <w:t>-</w:t>
      </w:r>
      <w:r>
        <w:rPr>
          <w:rFonts w:hint="eastAsia"/>
          <w:lang w:val="en-US" w:eastAsia="zh-CN"/>
        </w:rPr>
        <w:t>2</w:t>
      </w:r>
      <w:r>
        <w:t xml:space="preserve"> </w:t>
      </w:r>
      <w:r>
        <w:rPr>
          <w:rFonts w:hint="eastAsia"/>
        </w:rPr>
        <w:t>企业生产工艺与环境风险控制水平</w:t>
      </w:r>
    </w:p>
    <w:tbl>
      <w:tblPr>
        <w:tblStyle w:val="22"/>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419"/>
        <w:gridCol w:w="429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34" w:type="pct"/>
            <w:tcBorders>
              <w:bottom w:val="single" w:color="auto" w:sz="12" w:space="0"/>
            </w:tcBorders>
            <w:vAlign w:val="center"/>
          </w:tcPr>
          <w:p>
            <w:pPr>
              <w:pStyle w:val="39"/>
              <w:bidi w:val="0"/>
              <w:rPr>
                <w:b/>
                <w:bCs/>
              </w:rPr>
            </w:pPr>
            <w:r>
              <w:rPr>
                <w:b/>
                <w:bCs/>
              </w:rPr>
              <w:t>工艺与环境风险控制水平值</w:t>
            </w:r>
          </w:p>
        </w:tc>
        <w:tc>
          <w:tcPr>
            <w:tcW w:w="2465" w:type="pct"/>
            <w:tcBorders>
              <w:bottom w:val="single" w:color="auto" w:sz="12" w:space="0"/>
            </w:tcBorders>
            <w:vAlign w:val="center"/>
          </w:tcPr>
          <w:p>
            <w:pPr>
              <w:pStyle w:val="39"/>
              <w:bidi w:val="0"/>
              <w:rPr>
                <w:b/>
                <w:bCs/>
              </w:rPr>
            </w:pPr>
            <w:r>
              <w:rPr>
                <w:b/>
                <w:bCs/>
              </w:rPr>
              <w:t>工艺过程与环境风险控制水平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34" w:type="pct"/>
            <w:tcBorders>
              <w:top w:val="single" w:color="auto" w:sz="12" w:space="0"/>
              <w:tl2br w:val="nil"/>
              <w:tr2bl w:val="nil"/>
            </w:tcBorders>
            <w:vAlign w:val="center"/>
          </w:tcPr>
          <w:p>
            <w:pPr>
              <w:pStyle w:val="39"/>
              <w:bidi w:val="0"/>
            </w:pPr>
            <w:r>
              <w:t>M﹤25</w:t>
            </w:r>
          </w:p>
        </w:tc>
        <w:tc>
          <w:tcPr>
            <w:tcW w:w="2465" w:type="pct"/>
            <w:tcBorders>
              <w:top w:val="single" w:color="auto" w:sz="12" w:space="0"/>
              <w:tl2br w:val="nil"/>
              <w:tr2bl w:val="nil"/>
            </w:tcBorders>
            <w:vAlign w:val="center"/>
          </w:tcPr>
          <w:p>
            <w:pPr>
              <w:pStyle w:val="39"/>
              <w:bidi w:val="0"/>
            </w:pPr>
            <w:r>
              <w:t>M1类水平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34" w:type="pct"/>
            <w:tcBorders>
              <w:tl2br w:val="nil"/>
              <w:tr2bl w:val="nil"/>
            </w:tcBorders>
            <w:vAlign w:val="center"/>
          </w:tcPr>
          <w:p>
            <w:pPr>
              <w:pStyle w:val="39"/>
              <w:bidi w:val="0"/>
            </w:pPr>
            <w:r>
              <w:t>25</w:t>
            </w:r>
            <w:r>
              <w:rPr>
                <w:rFonts w:hint="eastAsia"/>
              </w:rPr>
              <w:t>≦</w:t>
            </w:r>
            <w:r>
              <w:t>M﹤45</w:t>
            </w:r>
          </w:p>
        </w:tc>
        <w:tc>
          <w:tcPr>
            <w:tcW w:w="2465" w:type="pct"/>
            <w:tcBorders>
              <w:tl2br w:val="nil"/>
              <w:tr2bl w:val="nil"/>
            </w:tcBorders>
            <w:vAlign w:val="center"/>
          </w:tcPr>
          <w:p>
            <w:pPr>
              <w:pStyle w:val="39"/>
              <w:bidi w:val="0"/>
            </w:pPr>
            <w:r>
              <w:t>M2类水平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34" w:type="pct"/>
            <w:tcBorders>
              <w:tl2br w:val="nil"/>
              <w:tr2bl w:val="nil"/>
            </w:tcBorders>
            <w:vAlign w:val="center"/>
          </w:tcPr>
          <w:p>
            <w:pPr>
              <w:pStyle w:val="39"/>
              <w:bidi w:val="0"/>
            </w:pPr>
            <w:r>
              <w:t>45</w:t>
            </w:r>
            <w:r>
              <w:rPr>
                <w:rFonts w:hint="eastAsia"/>
              </w:rPr>
              <w:t>≦</w:t>
            </w:r>
            <w:r>
              <w:t>M﹤60</w:t>
            </w:r>
          </w:p>
        </w:tc>
        <w:tc>
          <w:tcPr>
            <w:tcW w:w="2465" w:type="pct"/>
            <w:tcBorders>
              <w:tl2br w:val="nil"/>
              <w:tr2bl w:val="nil"/>
            </w:tcBorders>
            <w:vAlign w:val="center"/>
          </w:tcPr>
          <w:p>
            <w:pPr>
              <w:pStyle w:val="39"/>
              <w:bidi w:val="0"/>
            </w:pPr>
            <w:r>
              <w:t>M3类水平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34" w:type="pct"/>
            <w:tcBorders>
              <w:tl2br w:val="nil"/>
              <w:tr2bl w:val="nil"/>
            </w:tcBorders>
            <w:vAlign w:val="center"/>
          </w:tcPr>
          <w:p>
            <w:pPr>
              <w:pStyle w:val="39"/>
              <w:bidi w:val="0"/>
            </w:pPr>
            <w:r>
              <w:t>M</w:t>
            </w:r>
            <w:r>
              <w:rPr>
                <w:rFonts w:hint="eastAsia"/>
              </w:rPr>
              <w:t>≧</w:t>
            </w:r>
            <w:r>
              <w:t>60</w:t>
            </w:r>
          </w:p>
        </w:tc>
        <w:tc>
          <w:tcPr>
            <w:tcW w:w="2465" w:type="pct"/>
            <w:tcBorders>
              <w:tl2br w:val="nil"/>
              <w:tr2bl w:val="nil"/>
            </w:tcBorders>
            <w:vAlign w:val="center"/>
          </w:tcPr>
          <w:p>
            <w:pPr>
              <w:pStyle w:val="39"/>
              <w:bidi w:val="0"/>
            </w:pPr>
            <w:r>
              <w:t>M4类水平</w:t>
            </w:r>
          </w:p>
        </w:tc>
      </w:tr>
    </w:tbl>
    <w:p>
      <w:pPr>
        <w:bidi w:val="0"/>
      </w:pPr>
      <w:r>
        <w:t>本公司生产工艺与环境风险控制水平评估指标总分值为</w:t>
      </w:r>
      <w:r>
        <w:rPr>
          <w:rFonts w:hint="eastAsia"/>
        </w:rPr>
        <w:t>0</w:t>
      </w:r>
      <w:r>
        <w:t>分，属于M</w:t>
      </w:r>
      <w:r>
        <w:rPr>
          <w:rFonts w:hint="eastAsia"/>
        </w:rPr>
        <w:t>1</w:t>
      </w:r>
      <w:r>
        <w:t>类水平。</w:t>
      </w:r>
    </w:p>
    <w:p>
      <w:pPr>
        <w:pStyle w:val="5"/>
        <w:bidi w:val="0"/>
      </w:pPr>
      <w:bookmarkStart w:id="528" w:name="_Toc37591948"/>
      <w:bookmarkStart w:id="529" w:name="_Toc27937"/>
      <w:bookmarkStart w:id="530" w:name="_Toc25062"/>
      <w:bookmarkStart w:id="531" w:name="_Toc430095184"/>
      <w:bookmarkStart w:id="532" w:name="_Toc3745"/>
      <w:bookmarkStart w:id="533" w:name="_Toc8334"/>
      <w:bookmarkStart w:id="534" w:name="_Toc3563"/>
      <w:bookmarkStart w:id="535" w:name="_Toc26936"/>
      <w:bookmarkStart w:id="536" w:name="_Toc423011660"/>
      <w:r>
        <w:rPr>
          <w:rFonts w:hint="eastAsia"/>
          <w:lang w:val="en-US" w:eastAsia="zh-CN"/>
        </w:rPr>
        <w:t>6</w:t>
      </w:r>
      <w:r>
        <w:rPr>
          <w:rFonts w:hint="eastAsia"/>
        </w:rPr>
        <w:t>.2.3</w:t>
      </w:r>
      <w:r>
        <w:t xml:space="preserve"> </w:t>
      </w:r>
      <w:r>
        <w:rPr>
          <w:rFonts w:hint="eastAsia"/>
        </w:rPr>
        <w:t>确定大气环境风险受体类型（E）</w:t>
      </w:r>
      <w:bookmarkEnd w:id="528"/>
      <w:bookmarkEnd w:id="529"/>
      <w:bookmarkEnd w:id="530"/>
      <w:bookmarkEnd w:id="531"/>
      <w:bookmarkEnd w:id="532"/>
      <w:bookmarkEnd w:id="533"/>
      <w:bookmarkEnd w:id="534"/>
      <w:bookmarkEnd w:id="535"/>
      <w:bookmarkEnd w:id="536"/>
    </w:p>
    <w:p>
      <w:pPr>
        <w:bidi w:val="0"/>
      </w:pPr>
      <w:bookmarkStart w:id="537" w:name="_Toc9281"/>
      <w:bookmarkStart w:id="538" w:name="_Toc423011661"/>
      <w:bookmarkStart w:id="539" w:name="_Toc430095185"/>
      <w:bookmarkStart w:id="540" w:name="_Toc390868894"/>
      <w:r>
        <w:t>参照《企业突发环境事件风险分级方法》（HJ941-2018）中的划分依据，环境风险受体的重要性和敏感程度，由高到低将企业周边的环境风险受体分为类型1、类型2和类型3，分别以E1、E2和E3表示。</w:t>
      </w:r>
    </w:p>
    <w:p>
      <w:pPr>
        <w:pStyle w:val="29"/>
        <w:spacing w:before="156"/>
      </w:pPr>
      <w:r>
        <w:rPr>
          <w:rFonts w:hint="eastAsia"/>
        </w:rPr>
        <w:t>表</w:t>
      </w:r>
      <w:r>
        <w:rPr>
          <w:rFonts w:hint="eastAsia"/>
          <w:lang w:val="en-US" w:eastAsia="zh-CN"/>
        </w:rPr>
        <w:t>6</w:t>
      </w:r>
      <w:r>
        <w:rPr>
          <w:rFonts w:hint="eastAsia"/>
        </w:rPr>
        <w:t>.</w:t>
      </w:r>
      <w:r>
        <w:rPr>
          <w:rFonts w:hint="eastAsia"/>
          <w:lang w:val="en-US" w:eastAsia="zh-CN"/>
        </w:rPr>
        <w:t>2.3</w:t>
      </w:r>
      <w:r>
        <w:rPr>
          <w:rFonts w:hint="eastAsia"/>
        </w:rPr>
        <w:t>-</w:t>
      </w:r>
      <w:r>
        <w:rPr>
          <w:rFonts w:hint="eastAsia"/>
          <w:lang w:val="en-US" w:eastAsia="zh-CN"/>
        </w:rPr>
        <w:t>1</w:t>
      </w:r>
      <w:r>
        <w:rPr>
          <w:rFonts w:hint="eastAsia"/>
        </w:rPr>
        <w:t xml:space="preserve"> 企业周边大气环境风险受体情况划分</w:t>
      </w:r>
    </w:p>
    <w:tbl>
      <w:tblPr>
        <w:tblStyle w:val="22"/>
        <w:tblW w:w="4942"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0" w:type="dxa"/>
          <w:left w:w="108" w:type="dxa"/>
          <w:bottom w:w="0" w:type="dxa"/>
          <w:right w:w="108" w:type="dxa"/>
        </w:tblCellMar>
      </w:tblPr>
      <w:tblGrid>
        <w:gridCol w:w="1334"/>
        <w:gridCol w:w="7285"/>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74" w:type="pct"/>
            <w:tcBorders>
              <w:bottom w:val="single" w:color="auto" w:sz="12" w:space="0"/>
            </w:tcBorders>
            <w:vAlign w:val="center"/>
          </w:tcPr>
          <w:p>
            <w:pPr>
              <w:pStyle w:val="39"/>
              <w:bidi w:val="0"/>
              <w:rPr>
                <w:b/>
                <w:bCs/>
                <w:lang w:val="zh-CN" w:eastAsia="en-US"/>
              </w:rPr>
            </w:pPr>
            <w:r>
              <w:rPr>
                <w:b/>
                <w:bCs/>
                <w:lang w:val="zh-CN" w:eastAsia="en-US"/>
              </w:rPr>
              <w:t>类别</w:t>
            </w:r>
          </w:p>
        </w:tc>
        <w:tc>
          <w:tcPr>
            <w:tcW w:w="4225" w:type="pct"/>
            <w:tcBorders>
              <w:bottom w:val="single" w:color="auto" w:sz="12" w:space="0"/>
            </w:tcBorders>
            <w:vAlign w:val="center"/>
          </w:tcPr>
          <w:p>
            <w:pPr>
              <w:pStyle w:val="39"/>
              <w:bidi w:val="0"/>
              <w:rPr>
                <w:b/>
                <w:bCs/>
                <w:lang w:val="zh-CN" w:eastAsia="en-US"/>
              </w:rPr>
            </w:pPr>
            <w:r>
              <w:rPr>
                <w:b/>
                <w:bCs/>
                <w:lang w:val="zh-CN" w:eastAsia="en-US"/>
              </w:rPr>
              <w:t>环境风险受体情况</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74" w:type="pct"/>
            <w:tcBorders>
              <w:top w:val="single" w:color="auto" w:sz="12" w:space="0"/>
              <w:tl2br w:val="nil"/>
              <w:tr2bl w:val="nil"/>
            </w:tcBorders>
            <w:vAlign w:val="center"/>
          </w:tcPr>
          <w:p>
            <w:pPr>
              <w:pStyle w:val="39"/>
              <w:bidi w:val="0"/>
              <w:rPr>
                <w:lang w:val="zh-CN" w:eastAsia="en-US"/>
              </w:rPr>
            </w:pPr>
            <w:r>
              <w:rPr>
                <w:lang w:val="zh-CN" w:eastAsia="en-US"/>
              </w:rPr>
              <w:t>类型1</w:t>
            </w:r>
          </w:p>
          <w:p>
            <w:pPr>
              <w:pStyle w:val="39"/>
              <w:bidi w:val="0"/>
              <w:rPr>
                <w:lang w:val="zh-CN" w:eastAsia="en-US"/>
              </w:rPr>
            </w:pPr>
            <w:r>
              <w:rPr>
                <w:lang w:val="zh-CN" w:eastAsia="en-US"/>
              </w:rPr>
              <w:t>（E1）</w:t>
            </w:r>
          </w:p>
        </w:tc>
        <w:tc>
          <w:tcPr>
            <w:tcW w:w="4225" w:type="pct"/>
            <w:tcBorders>
              <w:top w:val="single" w:color="auto" w:sz="12" w:space="0"/>
              <w:tl2br w:val="nil"/>
              <w:tr2bl w:val="nil"/>
            </w:tcBorders>
            <w:vAlign w:val="center"/>
          </w:tcPr>
          <w:p>
            <w:pPr>
              <w:pStyle w:val="39"/>
              <w:bidi w:val="0"/>
              <w:rPr>
                <w:lang w:val="zh-CN"/>
              </w:rPr>
            </w:pPr>
            <w:r>
              <w:rPr>
                <w:lang w:val="zh-CN"/>
              </w:rPr>
              <w:t>企业周边半径</w:t>
            </w:r>
            <w:r>
              <w:rPr>
                <w:highlight w:val="none"/>
                <w:lang w:val="zh-CN"/>
              </w:rPr>
              <w:t>5km</w:t>
            </w:r>
            <w:r>
              <w:rPr>
                <w:lang w:val="zh-CN"/>
              </w:rPr>
              <w:t>范围内居住区、医疗卫生</w:t>
            </w:r>
            <w:r>
              <w:rPr>
                <w:rFonts w:hint="eastAsia"/>
              </w:rPr>
              <w:t>机构</w:t>
            </w:r>
            <w:r>
              <w:rPr>
                <w:lang w:val="zh-CN"/>
              </w:rPr>
              <w:t>、文化教育</w:t>
            </w:r>
            <w:r>
              <w:rPr>
                <w:rFonts w:hint="eastAsia"/>
              </w:rPr>
              <w:t>机构</w:t>
            </w:r>
            <w:r>
              <w:rPr>
                <w:lang w:val="zh-CN"/>
              </w:rPr>
              <w:t>、科研</w:t>
            </w:r>
            <w:r>
              <w:rPr>
                <w:rFonts w:hint="eastAsia"/>
              </w:rPr>
              <w:t>单位</w:t>
            </w:r>
            <w:r>
              <w:rPr>
                <w:lang w:val="zh-CN"/>
              </w:rPr>
              <w:t>、行政</w:t>
            </w:r>
            <w:r>
              <w:rPr>
                <w:rFonts w:hint="eastAsia"/>
              </w:rPr>
              <w:t>机关、企业事业单位、商场、公园等人口总数5万人以上，或企业周边500米范围内人口总数1000人以上，或企业周边5公里涉及军事禁区、军事管理区、国家相关保密区域</w:t>
            </w:r>
            <w:r>
              <w:rPr>
                <w:lang w:val="zh-CN"/>
              </w:rPr>
              <w:t>；</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74" w:type="pct"/>
            <w:tcBorders>
              <w:tl2br w:val="nil"/>
              <w:tr2bl w:val="nil"/>
            </w:tcBorders>
            <w:vAlign w:val="center"/>
          </w:tcPr>
          <w:p>
            <w:pPr>
              <w:pStyle w:val="39"/>
              <w:bidi w:val="0"/>
              <w:rPr>
                <w:lang w:val="zh-CN" w:eastAsia="en-US"/>
              </w:rPr>
            </w:pPr>
            <w:r>
              <w:rPr>
                <w:lang w:val="zh-CN" w:eastAsia="en-US"/>
              </w:rPr>
              <w:t>类型2</w:t>
            </w:r>
          </w:p>
          <w:p>
            <w:pPr>
              <w:pStyle w:val="39"/>
              <w:bidi w:val="0"/>
              <w:rPr>
                <w:lang w:val="zh-CN" w:eastAsia="en-US"/>
              </w:rPr>
            </w:pPr>
            <w:r>
              <w:rPr>
                <w:lang w:val="zh-CN" w:eastAsia="en-US"/>
              </w:rPr>
              <w:t>（E2）</w:t>
            </w:r>
          </w:p>
        </w:tc>
        <w:tc>
          <w:tcPr>
            <w:tcW w:w="4225" w:type="pct"/>
            <w:tcBorders>
              <w:tl2br w:val="nil"/>
              <w:tr2bl w:val="nil"/>
            </w:tcBorders>
            <w:vAlign w:val="center"/>
          </w:tcPr>
          <w:p>
            <w:pPr>
              <w:pStyle w:val="39"/>
              <w:bidi w:val="0"/>
              <w:rPr>
                <w:lang w:val="zh-CN"/>
              </w:rPr>
            </w:pPr>
            <w:r>
              <w:rPr>
                <w:lang w:val="zh-CN"/>
              </w:rPr>
              <w:t>企业周边半径</w:t>
            </w:r>
            <w:r>
              <w:rPr>
                <w:highlight w:val="none"/>
                <w:lang w:val="zh-CN"/>
              </w:rPr>
              <w:t>5km</w:t>
            </w:r>
            <w:r>
              <w:rPr>
                <w:lang w:val="zh-CN"/>
              </w:rPr>
              <w:t>范围内居住区、医疗卫生</w:t>
            </w:r>
            <w:r>
              <w:rPr>
                <w:rFonts w:hint="eastAsia"/>
              </w:rPr>
              <w:t>机构</w:t>
            </w:r>
            <w:r>
              <w:rPr>
                <w:lang w:val="zh-CN"/>
              </w:rPr>
              <w:t>、文化教育</w:t>
            </w:r>
            <w:r>
              <w:rPr>
                <w:rFonts w:hint="eastAsia"/>
              </w:rPr>
              <w:t>机构</w:t>
            </w:r>
            <w:r>
              <w:rPr>
                <w:lang w:val="zh-CN"/>
              </w:rPr>
              <w:t>、科研</w:t>
            </w:r>
            <w:r>
              <w:rPr>
                <w:rFonts w:hint="eastAsia"/>
              </w:rPr>
              <w:t>单位</w:t>
            </w:r>
            <w:r>
              <w:rPr>
                <w:lang w:val="zh-CN"/>
              </w:rPr>
              <w:t>、行政</w:t>
            </w:r>
            <w:r>
              <w:rPr>
                <w:rFonts w:hint="eastAsia"/>
              </w:rPr>
              <w:t>机关、企业事业单位、商场、公园等人口总数1万人以上、5万人以下</w:t>
            </w:r>
            <w:r>
              <w:rPr>
                <w:rFonts w:hint="eastAsia"/>
                <w:lang w:val="en-US" w:eastAsia="zh-CN"/>
              </w:rPr>
              <w:t>.</w:t>
            </w:r>
            <w:r>
              <w:rPr>
                <w:rFonts w:hint="eastAsia"/>
              </w:rPr>
              <w:t>企业周边500米范围内人口总数500人以上、1000人以下</w:t>
            </w:r>
            <w:r>
              <w:rPr>
                <w:lang w:val="zh-CN"/>
              </w:rPr>
              <w:t>；</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74" w:type="pct"/>
            <w:tcBorders>
              <w:tl2br w:val="nil"/>
              <w:tr2bl w:val="nil"/>
            </w:tcBorders>
            <w:vAlign w:val="center"/>
          </w:tcPr>
          <w:p>
            <w:pPr>
              <w:pStyle w:val="39"/>
              <w:bidi w:val="0"/>
              <w:rPr>
                <w:lang w:val="zh-CN" w:eastAsia="en-US"/>
              </w:rPr>
            </w:pPr>
            <w:r>
              <w:rPr>
                <w:lang w:val="zh-CN" w:eastAsia="en-US"/>
              </w:rPr>
              <w:t>类型3</w:t>
            </w:r>
          </w:p>
          <w:p>
            <w:pPr>
              <w:pStyle w:val="39"/>
              <w:bidi w:val="0"/>
              <w:rPr>
                <w:lang w:val="zh-CN" w:eastAsia="en-US"/>
              </w:rPr>
            </w:pPr>
            <w:r>
              <w:rPr>
                <w:lang w:val="zh-CN" w:eastAsia="en-US"/>
              </w:rPr>
              <w:t>（E3）</w:t>
            </w:r>
          </w:p>
        </w:tc>
        <w:tc>
          <w:tcPr>
            <w:tcW w:w="4225" w:type="pct"/>
            <w:tcBorders>
              <w:tl2br w:val="nil"/>
              <w:tr2bl w:val="nil"/>
            </w:tcBorders>
            <w:vAlign w:val="center"/>
          </w:tcPr>
          <w:p>
            <w:pPr>
              <w:pStyle w:val="39"/>
              <w:bidi w:val="0"/>
              <w:rPr>
                <w:lang w:val="zh-CN"/>
              </w:rPr>
            </w:pPr>
            <w:r>
              <w:rPr>
                <w:lang w:val="zh-CN"/>
              </w:rPr>
              <w:t>企业周边半径</w:t>
            </w:r>
            <w:r>
              <w:rPr>
                <w:highlight w:val="none"/>
                <w:lang w:val="zh-CN"/>
              </w:rPr>
              <w:t>5km</w:t>
            </w:r>
            <w:r>
              <w:rPr>
                <w:lang w:val="zh-CN"/>
              </w:rPr>
              <w:t>范围内居住区、医疗卫生</w:t>
            </w:r>
            <w:r>
              <w:rPr>
                <w:rFonts w:hint="eastAsia"/>
              </w:rPr>
              <w:t>机构</w:t>
            </w:r>
            <w:r>
              <w:rPr>
                <w:lang w:val="zh-CN"/>
              </w:rPr>
              <w:t>、文化教育</w:t>
            </w:r>
            <w:r>
              <w:rPr>
                <w:rFonts w:hint="eastAsia"/>
              </w:rPr>
              <w:t>机构</w:t>
            </w:r>
            <w:r>
              <w:rPr>
                <w:lang w:val="zh-CN"/>
              </w:rPr>
              <w:t>、科研</w:t>
            </w:r>
            <w:r>
              <w:rPr>
                <w:rFonts w:hint="eastAsia"/>
              </w:rPr>
              <w:t>单位</w:t>
            </w:r>
            <w:r>
              <w:rPr>
                <w:lang w:val="zh-CN"/>
              </w:rPr>
              <w:t>、行政</w:t>
            </w:r>
            <w:r>
              <w:rPr>
                <w:rFonts w:hint="eastAsia"/>
              </w:rPr>
              <w:t>机关、企业事业单位、商场、公园等人口总数1万人以下，且企业周边500米范围内人口总数500人以下</w:t>
            </w:r>
            <w:r>
              <w:rPr>
                <w:lang w:val="zh-CN"/>
              </w:rPr>
              <w:t>；</w:t>
            </w:r>
          </w:p>
        </w:tc>
      </w:tr>
    </w:tbl>
    <w:p>
      <w:pPr>
        <w:bidi w:val="0"/>
      </w:pPr>
      <w:r>
        <w:rPr>
          <w:rFonts w:hint="eastAsia"/>
        </w:rPr>
        <w:t>企业周边半径500m范围内人口总数大于1000人，</w:t>
      </w:r>
      <w:r>
        <w:t>故本</w:t>
      </w:r>
      <w:r>
        <w:rPr>
          <w:rFonts w:hint="eastAsia"/>
        </w:rPr>
        <w:t>项目</w:t>
      </w:r>
      <w:r>
        <w:t>大气环境风险受体敏感程度类型为E</w:t>
      </w:r>
      <w:r>
        <w:rPr>
          <w:rFonts w:hint="eastAsia"/>
        </w:rPr>
        <w:t>1</w:t>
      </w:r>
      <w:r>
        <w:t>型</w:t>
      </w:r>
      <w:r>
        <w:rPr>
          <w:rFonts w:hint="eastAsia"/>
        </w:rPr>
        <w:t>。</w:t>
      </w:r>
    </w:p>
    <w:p>
      <w:pPr>
        <w:bidi w:val="0"/>
      </w:pPr>
      <w:r>
        <w:t>综上，</w:t>
      </w:r>
      <w:r>
        <w:rPr>
          <w:rFonts w:hint="eastAsia"/>
        </w:rPr>
        <w:t>南昌瀛宇金属制品有限公司</w:t>
      </w:r>
      <w:r>
        <w:t>周边大气环境风险受体类型为E</w:t>
      </w:r>
      <w:r>
        <w:rPr>
          <w:rFonts w:hint="eastAsia"/>
        </w:rPr>
        <w:t>1</w:t>
      </w:r>
      <w:r>
        <w:t>型。</w:t>
      </w:r>
    </w:p>
    <w:p>
      <w:pPr>
        <w:pStyle w:val="5"/>
        <w:bidi w:val="0"/>
      </w:pPr>
      <w:bookmarkStart w:id="541" w:name="_Toc19938"/>
      <w:bookmarkStart w:id="542" w:name="_Toc12552"/>
      <w:bookmarkStart w:id="543" w:name="_Toc8718"/>
      <w:bookmarkStart w:id="544" w:name="_Toc37591949"/>
      <w:bookmarkStart w:id="545" w:name="_Toc2827"/>
      <w:bookmarkStart w:id="546" w:name="_Toc16720"/>
      <w:r>
        <w:rPr>
          <w:rFonts w:hint="eastAsia"/>
          <w:lang w:val="en-US" w:eastAsia="zh-CN"/>
        </w:rPr>
        <w:t>6</w:t>
      </w:r>
      <w:r>
        <w:rPr>
          <w:rFonts w:hint="eastAsia"/>
        </w:rPr>
        <w:t>.2.4</w:t>
      </w:r>
      <w:r>
        <w:t xml:space="preserve"> </w:t>
      </w:r>
      <w:r>
        <w:rPr>
          <w:rFonts w:hint="eastAsia"/>
        </w:rPr>
        <w:t>企业大气环境风险等级确定</w:t>
      </w:r>
      <w:bookmarkEnd w:id="537"/>
      <w:bookmarkEnd w:id="538"/>
      <w:bookmarkEnd w:id="539"/>
      <w:bookmarkEnd w:id="540"/>
      <w:bookmarkEnd w:id="541"/>
      <w:bookmarkEnd w:id="542"/>
      <w:bookmarkEnd w:id="543"/>
      <w:bookmarkEnd w:id="544"/>
      <w:bookmarkEnd w:id="545"/>
      <w:bookmarkEnd w:id="546"/>
    </w:p>
    <w:p>
      <w:pPr>
        <w:pStyle w:val="64"/>
        <w:ind w:firstLine="480"/>
      </w:pPr>
      <w:r>
        <w:t>公司周边环境风险受体属于类型</w:t>
      </w:r>
      <w:r>
        <w:rPr>
          <w:rFonts w:hint="eastAsia"/>
        </w:rPr>
        <w:t>1</w:t>
      </w:r>
      <w:r>
        <w:t>，按表</w:t>
      </w:r>
      <w:r>
        <w:rPr>
          <w:rFonts w:hint="eastAsia"/>
          <w:lang w:val="en-US" w:eastAsia="zh-CN"/>
        </w:rPr>
        <w:t>6</w:t>
      </w:r>
      <w:r>
        <w:rPr>
          <w:rFonts w:hint="eastAsia"/>
        </w:rPr>
        <w:t>.</w:t>
      </w:r>
      <w:r>
        <w:rPr>
          <w:rFonts w:hint="eastAsia"/>
          <w:lang w:val="en-US" w:eastAsia="zh-CN"/>
        </w:rPr>
        <w:t>2.4</w:t>
      </w:r>
      <w:r>
        <w:rPr>
          <w:rFonts w:hint="eastAsia"/>
        </w:rPr>
        <w:t>-</w:t>
      </w:r>
      <w:r>
        <w:rPr>
          <w:rFonts w:hint="eastAsia"/>
          <w:lang w:val="en-US" w:eastAsia="zh-CN"/>
        </w:rPr>
        <w:t>1</w:t>
      </w:r>
      <w:r>
        <w:t>确定环境风险等级。</w:t>
      </w:r>
    </w:p>
    <w:p>
      <w:pPr>
        <w:pStyle w:val="28"/>
        <w:bidi w:val="0"/>
      </w:pPr>
      <w:r>
        <w:rPr>
          <w:rFonts w:hint="eastAsia"/>
        </w:rPr>
        <w:t>表</w:t>
      </w:r>
      <w:r>
        <w:rPr>
          <w:rFonts w:hint="eastAsia"/>
          <w:lang w:val="en-US" w:eastAsia="zh-CN"/>
        </w:rPr>
        <w:t>6</w:t>
      </w:r>
      <w:r>
        <w:rPr>
          <w:rFonts w:hint="eastAsia"/>
        </w:rPr>
        <w:t>.</w:t>
      </w:r>
      <w:r>
        <w:rPr>
          <w:rFonts w:hint="eastAsia"/>
          <w:lang w:val="en-US" w:eastAsia="zh-CN"/>
        </w:rPr>
        <w:t>2.4</w:t>
      </w:r>
      <w:r>
        <w:rPr>
          <w:rFonts w:hint="eastAsia"/>
        </w:rPr>
        <w:t>-</w:t>
      </w:r>
      <w:r>
        <w:rPr>
          <w:rFonts w:hint="eastAsia"/>
          <w:lang w:val="en-US" w:eastAsia="zh-CN"/>
        </w:rPr>
        <w:t>1</w:t>
      </w:r>
      <w:r>
        <w:t xml:space="preserve"> </w:t>
      </w:r>
      <w:r>
        <w:rPr>
          <w:rFonts w:hint="eastAsia"/>
        </w:rPr>
        <w:t>企业环境风险分级表</w:t>
      </w:r>
    </w:p>
    <w:tbl>
      <w:tblPr>
        <w:tblStyle w:val="22"/>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679"/>
        <w:gridCol w:w="1702"/>
        <w:gridCol w:w="1333"/>
        <w:gridCol w:w="1333"/>
        <w:gridCol w:w="1333"/>
        <w:gridCol w:w="133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963" w:type="pct"/>
            <w:vMerge w:val="restart"/>
            <w:vAlign w:val="center"/>
          </w:tcPr>
          <w:p>
            <w:pPr>
              <w:pStyle w:val="62"/>
              <w:rPr>
                <w:b/>
              </w:rPr>
            </w:pPr>
            <w:r>
              <w:rPr>
                <w:b/>
                <w:lang w:val="zh-CN"/>
              </w:rPr>
              <w:t>环境风险受体敏感程度（E）</w:t>
            </w:r>
          </w:p>
        </w:tc>
        <w:tc>
          <w:tcPr>
            <w:tcW w:w="976" w:type="pct"/>
            <w:vMerge w:val="restart"/>
            <w:vAlign w:val="center"/>
          </w:tcPr>
          <w:p>
            <w:pPr>
              <w:pStyle w:val="62"/>
              <w:rPr>
                <w:b/>
                <w:kern w:val="0"/>
              </w:rPr>
            </w:pPr>
            <w:r>
              <w:rPr>
                <w:b/>
                <w:lang w:val="zh-CN"/>
              </w:rPr>
              <w:t>风险物质数量与临界量比值（Q）</w:t>
            </w:r>
          </w:p>
        </w:tc>
        <w:tc>
          <w:tcPr>
            <w:tcW w:w="3059" w:type="pct"/>
            <w:gridSpan w:val="4"/>
            <w:vAlign w:val="center"/>
          </w:tcPr>
          <w:p>
            <w:pPr>
              <w:pStyle w:val="62"/>
              <w:rPr>
                <w:b/>
                <w:kern w:val="0"/>
              </w:rPr>
            </w:pPr>
            <w:r>
              <w:rPr>
                <w:b/>
                <w:lang w:val="zh-CN"/>
              </w:rPr>
              <w:t>生产工艺过程与环境风险控制水平（M）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46" w:hRule="atLeast"/>
          <w:jc w:val="center"/>
        </w:trPr>
        <w:tc>
          <w:tcPr>
            <w:tcW w:w="963" w:type="pct"/>
            <w:vMerge w:val="continue"/>
            <w:tcBorders>
              <w:bottom w:val="single" w:color="auto" w:sz="12" w:space="0"/>
            </w:tcBorders>
            <w:vAlign w:val="center"/>
          </w:tcPr>
          <w:p>
            <w:pPr>
              <w:pStyle w:val="62"/>
              <w:rPr>
                <w:b/>
              </w:rPr>
            </w:pPr>
          </w:p>
        </w:tc>
        <w:tc>
          <w:tcPr>
            <w:tcW w:w="976" w:type="pct"/>
            <w:vMerge w:val="continue"/>
            <w:tcBorders>
              <w:bottom w:val="single" w:color="auto" w:sz="12" w:space="0"/>
            </w:tcBorders>
            <w:vAlign w:val="center"/>
          </w:tcPr>
          <w:p>
            <w:pPr>
              <w:pStyle w:val="62"/>
              <w:rPr>
                <w:b/>
                <w:kern w:val="0"/>
              </w:rPr>
            </w:pPr>
          </w:p>
        </w:tc>
        <w:tc>
          <w:tcPr>
            <w:tcW w:w="764" w:type="pct"/>
            <w:tcBorders>
              <w:bottom w:val="single" w:color="auto" w:sz="12" w:space="0"/>
            </w:tcBorders>
            <w:vAlign w:val="center"/>
          </w:tcPr>
          <w:p>
            <w:pPr>
              <w:pStyle w:val="62"/>
              <w:rPr>
                <w:b/>
              </w:rPr>
            </w:pPr>
            <w:r>
              <w:rPr>
                <w:b/>
                <w:lang w:val="zh-CN" w:eastAsia="en-US"/>
              </w:rPr>
              <w:t>M1类水平</w:t>
            </w:r>
          </w:p>
        </w:tc>
        <w:tc>
          <w:tcPr>
            <w:tcW w:w="764" w:type="pct"/>
            <w:tcBorders>
              <w:bottom w:val="single" w:color="auto" w:sz="12" w:space="0"/>
            </w:tcBorders>
            <w:vAlign w:val="center"/>
          </w:tcPr>
          <w:p>
            <w:pPr>
              <w:pStyle w:val="62"/>
              <w:rPr>
                <w:b/>
              </w:rPr>
            </w:pPr>
            <w:r>
              <w:rPr>
                <w:b/>
                <w:lang w:val="zh-CN" w:eastAsia="en-US"/>
              </w:rPr>
              <w:t>M2类水平</w:t>
            </w:r>
          </w:p>
        </w:tc>
        <w:tc>
          <w:tcPr>
            <w:tcW w:w="764" w:type="pct"/>
            <w:tcBorders>
              <w:bottom w:val="single" w:color="auto" w:sz="12" w:space="0"/>
            </w:tcBorders>
            <w:vAlign w:val="center"/>
          </w:tcPr>
          <w:p>
            <w:pPr>
              <w:pStyle w:val="62"/>
              <w:rPr>
                <w:b/>
              </w:rPr>
            </w:pPr>
            <w:r>
              <w:rPr>
                <w:b/>
                <w:lang w:val="zh-CN" w:eastAsia="en-US"/>
              </w:rPr>
              <w:t>M3类水平</w:t>
            </w:r>
          </w:p>
        </w:tc>
        <w:tc>
          <w:tcPr>
            <w:tcW w:w="766" w:type="pct"/>
            <w:tcBorders>
              <w:bottom w:val="single" w:color="auto" w:sz="12" w:space="0"/>
            </w:tcBorders>
            <w:vAlign w:val="center"/>
          </w:tcPr>
          <w:p>
            <w:pPr>
              <w:pStyle w:val="62"/>
              <w:rPr>
                <w:b/>
              </w:rPr>
            </w:pPr>
            <w:r>
              <w:rPr>
                <w:b/>
                <w:lang w:val="zh-CN" w:eastAsia="en-US"/>
              </w:rPr>
              <w:t>M4类水平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963" w:type="pct"/>
            <w:vMerge w:val="restart"/>
            <w:tcBorders>
              <w:top w:val="single" w:color="auto" w:sz="12" w:space="0"/>
              <w:tl2br w:val="nil"/>
              <w:tr2bl w:val="nil"/>
            </w:tcBorders>
            <w:vAlign w:val="center"/>
          </w:tcPr>
          <w:p>
            <w:pPr>
              <w:pStyle w:val="62"/>
            </w:pPr>
            <w:r>
              <w:rPr>
                <w:lang w:val="zh-CN" w:eastAsia="en-US"/>
              </w:rPr>
              <w:t>类型1（E1）</w:t>
            </w:r>
          </w:p>
        </w:tc>
        <w:tc>
          <w:tcPr>
            <w:tcW w:w="976" w:type="pct"/>
            <w:tcBorders>
              <w:top w:val="single" w:color="auto" w:sz="12" w:space="0"/>
              <w:tl2br w:val="nil"/>
              <w:tr2bl w:val="nil"/>
            </w:tcBorders>
            <w:vAlign w:val="center"/>
          </w:tcPr>
          <w:p>
            <w:pPr>
              <w:pStyle w:val="62"/>
            </w:pPr>
            <w:r>
              <w:rPr>
                <w:lang w:val="zh-CN" w:eastAsia="en-US"/>
              </w:rPr>
              <w:t>1≤Q</w:t>
            </w:r>
            <w:r>
              <w:rPr>
                <w:highlight w:val="none"/>
                <w:lang w:val="zh-CN" w:eastAsia="en-US"/>
              </w:rPr>
              <w:t>＜</w:t>
            </w:r>
            <w:r>
              <w:rPr>
                <w:lang w:val="zh-CN" w:eastAsia="en-US"/>
              </w:rPr>
              <w:t>10（Q1）</w:t>
            </w:r>
          </w:p>
        </w:tc>
        <w:tc>
          <w:tcPr>
            <w:tcW w:w="764" w:type="pct"/>
            <w:tcBorders>
              <w:top w:val="single" w:color="auto" w:sz="12" w:space="0"/>
              <w:tl2br w:val="nil"/>
              <w:tr2bl w:val="nil"/>
            </w:tcBorders>
            <w:vAlign w:val="center"/>
          </w:tcPr>
          <w:p>
            <w:pPr>
              <w:pStyle w:val="62"/>
            </w:pPr>
            <w:r>
              <w:rPr>
                <w:lang w:val="zh-CN" w:eastAsia="en-US"/>
              </w:rPr>
              <w:t>较大</w:t>
            </w:r>
          </w:p>
        </w:tc>
        <w:tc>
          <w:tcPr>
            <w:tcW w:w="764" w:type="pct"/>
            <w:tcBorders>
              <w:top w:val="single" w:color="auto" w:sz="12" w:space="0"/>
              <w:tl2br w:val="nil"/>
              <w:tr2bl w:val="nil"/>
            </w:tcBorders>
            <w:vAlign w:val="center"/>
          </w:tcPr>
          <w:p>
            <w:pPr>
              <w:pStyle w:val="62"/>
            </w:pPr>
            <w:r>
              <w:rPr>
                <w:lang w:val="zh-CN" w:eastAsia="en-US"/>
              </w:rPr>
              <w:t>较大</w:t>
            </w:r>
          </w:p>
        </w:tc>
        <w:tc>
          <w:tcPr>
            <w:tcW w:w="764" w:type="pct"/>
            <w:tcBorders>
              <w:top w:val="single" w:color="auto" w:sz="12" w:space="0"/>
              <w:tl2br w:val="nil"/>
              <w:tr2bl w:val="nil"/>
            </w:tcBorders>
            <w:vAlign w:val="center"/>
          </w:tcPr>
          <w:p>
            <w:pPr>
              <w:pStyle w:val="62"/>
            </w:pPr>
            <w:r>
              <w:rPr>
                <w:lang w:val="zh-CN" w:eastAsia="en-US"/>
              </w:rPr>
              <w:t>重大</w:t>
            </w:r>
          </w:p>
        </w:tc>
        <w:tc>
          <w:tcPr>
            <w:tcW w:w="766" w:type="pct"/>
            <w:tcBorders>
              <w:top w:val="single" w:color="auto" w:sz="12" w:space="0"/>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963" w:type="pct"/>
            <w:vMerge w:val="continue"/>
            <w:tcBorders>
              <w:tl2br w:val="nil"/>
              <w:tr2bl w:val="nil"/>
            </w:tcBorders>
            <w:vAlign w:val="center"/>
          </w:tcPr>
          <w:p>
            <w:pPr>
              <w:pStyle w:val="62"/>
            </w:pPr>
          </w:p>
        </w:tc>
        <w:tc>
          <w:tcPr>
            <w:tcW w:w="976" w:type="pct"/>
            <w:tcBorders>
              <w:tl2br w:val="nil"/>
              <w:tr2bl w:val="nil"/>
            </w:tcBorders>
            <w:vAlign w:val="center"/>
          </w:tcPr>
          <w:p>
            <w:pPr>
              <w:pStyle w:val="62"/>
            </w:pPr>
            <w:r>
              <w:rPr>
                <w:lang w:val="zh-CN" w:eastAsia="en-US"/>
              </w:rPr>
              <w:t>10≤Q</w:t>
            </w:r>
            <w:r>
              <w:rPr>
                <w:highlight w:val="none"/>
                <w:lang w:val="zh-CN" w:eastAsia="en-US"/>
              </w:rPr>
              <w:t>＜</w:t>
            </w:r>
            <w:r>
              <w:rPr>
                <w:lang w:val="zh-CN" w:eastAsia="en-US"/>
              </w:rPr>
              <w:t>100（Q2）</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重大</w:t>
            </w:r>
          </w:p>
        </w:tc>
        <w:tc>
          <w:tcPr>
            <w:tcW w:w="764" w:type="pct"/>
            <w:tcBorders>
              <w:tl2br w:val="nil"/>
              <w:tr2bl w:val="nil"/>
            </w:tcBorders>
            <w:vAlign w:val="center"/>
          </w:tcPr>
          <w:p>
            <w:pPr>
              <w:pStyle w:val="62"/>
            </w:pPr>
            <w:r>
              <w:rPr>
                <w:lang w:val="zh-CN" w:eastAsia="en-US"/>
              </w:rPr>
              <w:t>重大</w:t>
            </w:r>
          </w:p>
        </w:tc>
        <w:tc>
          <w:tcPr>
            <w:tcW w:w="766" w:type="pct"/>
            <w:tcBorders>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963" w:type="pct"/>
            <w:vMerge w:val="continue"/>
            <w:tcBorders>
              <w:tl2br w:val="nil"/>
              <w:tr2bl w:val="nil"/>
            </w:tcBorders>
            <w:vAlign w:val="center"/>
          </w:tcPr>
          <w:p>
            <w:pPr>
              <w:pStyle w:val="62"/>
              <w:rPr>
                <w:kern w:val="0"/>
              </w:rPr>
            </w:pPr>
          </w:p>
        </w:tc>
        <w:tc>
          <w:tcPr>
            <w:tcW w:w="976" w:type="pct"/>
            <w:tcBorders>
              <w:tl2br w:val="nil"/>
              <w:tr2bl w:val="nil"/>
            </w:tcBorders>
            <w:vAlign w:val="center"/>
          </w:tcPr>
          <w:p>
            <w:pPr>
              <w:pStyle w:val="62"/>
            </w:pPr>
            <w:r>
              <w:rPr>
                <w:lang w:val="zh-CN" w:eastAsia="en-US"/>
              </w:rPr>
              <w:t>Q≥100（Q3）</w:t>
            </w:r>
          </w:p>
        </w:tc>
        <w:tc>
          <w:tcPr>
            <w:tcW w:w="764" w:type="pct"/>
            <w:tcBorders>
              <w:tl2br w:val="nil"/>
              <w:tr2bl w:val="nil"/>
            </w:tcBorders>
            <w:vAlign w:val="center"/>
          </w:tcPr>
          <w:p>
            <w:pPr>
              <w:pStyle w:val="62"/>
            </w:pPr>
            <w:r>
              <w:rPr>
                <w:lang w:val="zh-CN" w:eastAsia="en-US"/>
              </w:rPr>
              <w:t>重大</w:t>
            </w:r>
          </w:p>
        </w:tc>
        <w:tc>
          <w:tcPr>
            <w:tcW w:w="764" w:type="pct"/>
            <w:tcBorders>
              <w:tl2br w:val="nil"/>
              <w:tr2bl w:val="nil"/>
            </w:tcBorders>
            <w:vAlign w:val="center"/>
          </w:tcPr>
          <w:p>
            <w:pPr>
              <w:pStyle w:val="62"/>
            </w:pPr>
            <w:r>
              <w:rPr>
                <w:lang w:val="zh-CN" w:eastAsia="en-US"/>
              </w:rPr>
              <w:t>重大</w:t>
            </w:r>
          </w:p>
        </w:tc>
        <w:tc>
          <w:tcPr>
            <w:tcW w:w="764" w:type="pct"/>
            <w:tcBorders>
              <w:tl2br w:val="nil"/>
              <w:tr2bl w:val="nil"/>
            </w:tcBorders>
            <w:vAlign w:val="center"/>
          </w:tcPr>
          <w:p>
            <w:pPr>
              <w:pStyle w:val="62"/>
            </w:pPr>
            <w:r>
              <w:rPr>
                <w:lang w:val="zh-CN" w:eastAsia="en-US"/>
              </w:rPr>
              <w:t>重大</w:t>
            </w:r>
          </w:p>
        </w:tc>
        <w:tc>
          <w:tcPr>
            <w:tcW w:w="766" w:type="pct"/>
            <w:tcBorders>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9" w:hRule="atLeast"/>
          <w:jc w:val="center"/>
        </w:trPr>
        <w:tc>
          <w:tcPr>
            <w:tcW w:w="963" w:type="pct"/>
            <w:vMerge w:val="restart"/>
            <w:tcBorders>
              <w:tl2br w:val="nil"/>
              <w:tr2bl w:val="nil"/>
            </w:tcBorders>
            <w:vAlign w:val="center"/>
          </w:tcPr>
          <w:p>
            <w:pPr>
              <w:pStyle w:val="62"/>
            </w:pPr>
            <w:r>
              <w:rPr>
                <w:lang w:val="zh-CN" w:eastAsia="en-US"/>
              </w:rPr>
              <w:t>类型2（E2）</w:t>
            </w:r>
          </w:p>
        </w:tc>
        <w:tc>
          <w:tcPr>
            <w:tcW w:w="976" w:type="pct"/>
            <w:tcBorders>
              <w:tl2br w:val="nil"/>
              <w:tr2bl w:val="nil"/>
            </w:tcBorders>
            <w:vAlign w:val="center"/>
          </w:tcPr>
          <w:p>
            <w:pPr>
              <w:pStyle w:val="62"/>
            </w:pPr>
            <w:r>
              <w:rPr>
                <w:lang w:val="zh-CN" w:eastAsia="en-US"/>
              </w:rPr>
              <w:t>1≤Q</w:t>
            </w:r>
            <w:r>
              <w:rPr>
                <w:highlight w:val="none"/>
                <w:lang w:val="zh-CN" w:eastAsia="en-US"/>
              </w:rPr>
              <w:t>＜</w:t>
            </w:r>
            <w:r>
              <w:rPr>
                <w:lang w:val="zh-CN" w:eastAsia="en-US"/>
              </w:rPr>
              <w:t>10（Q1）</w:t>
            </w:r>
          </w:p>
        </w:tc>
        <w:tc>
          <w:tcPr>
            <w:tcW w:w="764" w:type="pct"/>
            <w:tcBorders>
              <w:tl2br w:val="nil"/>
              <w:tr2bl w:val="nil"/>
            </w:tcBorders>
            <w:vAlign w:val="center"/>
          </w:tcPr>
          <w:p>
            <w:pPr>
              <w:pStyle w:val="62"/>
            </w:pPr>
            <w:r>
              <w:rPr>
                <w:lang w:val="zh-CN" w:eastAsia="en-US"/>
              </w:rPr>
              <w:t>一般</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较大</w:t>
            </w:r>
          </w:p>
        </w:tc>
        <w:tc>
          <w:tcPr>
            <w:tcW w:w="766" w:type="pct"/>
            <w:tcBorders>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9" w:hRule="atLeast"/>
          <w:jc w:val="center"/>
        </w:trPr>
        <w:tc>
          <w:tcPr>
            <w:tcW w:w="963" w:type="pct"/>
            <w:vMerge w:val="continue"/>
            <w:tcBorders>
              <w:tl2br w:val="nil"/>
              <w:tr2bl w:val="nil"/>
            </w:tcBorders>
            <w:vAlign w:val="center"/>
          </w:tcPr>
          <w:p>
            <w:pPr>
              <w:pStyle w:val="62"/>
            </w:pPr>
          </w:p>
        </w:tc>
        <w:tc>
          <w:tcPr>
            <w:tcW w:w="976" w:type="pct"/>
            <w:tcBorders>
              <w:tl2br w:val="nil"/>
              <w:tr2bl w:val="nil"/>
            </w:tcBorders>
            <w:vAlign w:val="center"/>
          </w:tcPr>
          <w:p>
            <w:pPr>
              <w:pStyle w:val="62"/>
            </w:pPr>
            <w:r>
              <w:rPr>
                <w:lang w:val="zh-CN" w:eastAsia="en-US"/>
              </w:rPr>
              <w:t>10≤Q</w:t>
            </w:r>
            <w:r>
              <w:rPr>
                <w:highlight w:val="none"/>
                <w:lang w:val="zh-CN" w:eastAsia="en-US"/>
              </w:rPr>
              <w:t>＜</w:t>
            </w:r>
            <w:r>
              <w:rPr>
                <w:lang w:val="zh-CN" w:eastAsia="en-US"/>
              </w:rPr>
              <w:t>100（Q2）</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重大</w:t>
            </w:r>
          </w:p>
        </w:tc>
        <w:tc>
          <w:tcPr>
            <w:tcW w:w="766" w:type="pct"/>
            <w:tcBorders>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9" w:hRule="atLeast"/>
          <w:jc w:val="center"/>
        </w:trPr>
        <w:tc>
          <w:tcPr>
            <w:tcW w:w="963" w:type="pct"/>
            <w:vMerge w:val="continue"/>
            <w:tcBorders>
              <w:tl2br w:val="nil"/>
              <w:tr2bl w:val="nil"/>
            </w:tcBorders>
            <w:vAlign w:val="center"/>
          </w:tcPr>
          <w:p>
            <w:pPr>
              <w:pStyle w:val="62"/>
              <w:rPr>
                <w:kern w:val="0"/>
              </w:rPr>
            </w:pPr>
          </w:p>
        </w:tc>
        <w:tc>
          <w:tcPr>
            <w:tcW w:w="976" w:type="pct"/>
            <w:tcBorders>
              <w:tl2br w:val="nil"/>
              <w:tr2bl w:val="nil"/>
            </w:tcBorders>
            <w:vAlign w:val="center"/>
          </w:tcPr>
          <w:p>
            <w:pPr>
              <w:pStyle w:val="62"/>
            </w:pPr>
            <w:r>
              <w:rPr>
                <w:lang w:val="zh-CN" w:eastAsia="en-US"/>
              </w:rPr>
              <w:t>Q≥100（Q3）</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重大</w:t>
            </w:r>
          </w:p>
        </w:tc>
        <w:tc>
          <w:tcPr>
            <w:tcW w:w="764" w:type="pct"/>
            <w:tcBorders>
              <w:tl2br w:val="nil"/>
              <w:tr2bl w:val="nil"/>
            </w:tcBorders>
            <w:vAlign w:val="center"/>
          </w:tcPr>
          <w:p>
            <w:pPr>
              <w:pStyle w:val="62"/>
            </w:pPr>
            <w:r>
              <w:rPr>
                <w:lang w:val="zh-CN" w:eastAsia="en-US"/>
              </w:rPr>
              <w:t>重大</w:t>
            </w:r>
          </w:p>
        </w:tc>
        <w:tc>
          <w:tcPr>
            <w:tcW w:w="766" w:type="pct"/>
            <w:tcBorders>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7" w:hRule="atLeast"/>
          <w:jc w:val="center"/>
        </w:trPr>
        <w:tc>
          <w:tcPr>
            <w:tcW w:w="963" w:type="pct"/>
            <w:vMerge w:val="restart"/>
            <w:tcBorders>
              <w:tl2br w:val="nil"/>
              <w:tr2bl w:val="nil"/>
            </w:tcBorders>
            <w:vAlign w:val="center"/>
          </w:tcPr>
          <w:p>
            <w:pPr>
              <w:pStyle w:val="62"/>
            </w:pPr>
            <w:r>
              <w:rPr>
                <w:lang w:val="zh-CN" w:eastAsia="en-US"/>
              </w:rPr>
              <w:t>类型3（E3）</w:t>
            </w:r>
          </w:p>
        </w:tc>
        <w:tc>
          <w:tcPr>
            <w:tcW w:w="976" w:type="pct"/>
            <w:tcBorders>
              <w:tl2br w:val="nil"/>
              <w:tr2bl w:val="nil"/>
            </w:tcBorders>
            <w:vAlign w:val="center"/>
          </w:tcPr>
          <w:p>
            <w:pPr>
              <w:pStyle w:val="62"/>
            </w:pPr>
            <w:r>
              <w:rPr>
                <w:lang w:val="zh-CN" w:eastAsia="en-US"/>
              </w:rPr>
              <w:t>1≤Q</w:t>
            </w:r>
            <w:r>
              <w:rPr>
                <w:highlight w:val="none"/>
                <w:lang w:val="zh-CN" w:eastAsia="en-US"/>
              </w:rPr>
              <w:t>＜</w:t>
            </w:r>
            <w:r>
              <w:rPr>
                <w:lang w:val="zh-CN" w:eastAsia="en-US"/>
              </w:rPr>
              <w:t>10（Q1）</w:t>
            </w:r>
          </w:p>
        </w:tc>
        <w:tc>
          <w:tcPr>
            <w:tcW w:w="764" w:type="pct"/>
            <w:tcBorders>
              <w:tl2br w:val="nil"/>
              <w:tr2bl w:val="nil"/>
            </w:tcBorders>
            <w:vAlign w:val="center"/>
          </w:tcPr>
          <w:p>
            <w:pPr>
              <w:pStyle w:val="62"/>
            </w:pPr>
            <w:r>
              <w:rPr>
                <w:lang w:val="zh-CN" w:eastAsia="en-US"/>
              </w:rPr>
              <w:t>一般</w:t>
            </w:r>
          </w:p>
        </w:tc>
        <w:tc>
          <w:tcPr>
            <w:tcW w:w="764" w:type="pct"/>
            <w:tcBorders>
              <w:tl2br w:val="nil"/>
              <w:tr2bl w:val="nil"/>
            </w:tcBorders>
            <w:vAlign w:val="center"/>
          </w:tcPr>
          <w:p>
            <w:pPr>
              <w:pStyle w:val="62"/>
            </w:pPr>
            <w:r>
              <w:rPr>
                <w:lang w:val="zh-CN" w:eastAsia="en-US"/>
              </w:rPr>
              <w:t>一般</w:t>
            </w:r>
          </w:p>
        </w:tc>
        <w:tc>
          <w:tcPr>
            <w:tcW w:w="764" w:type="pct"/>
            <w:tcBorders>
              <w:tl2br w:val="nil"/>
              <w:tr2bl w:val="nil"/>
            </w:tcBorders>
            <w:vAlign w:val="center"/>
          </w:tcPr>
          <w:p>
            <w:pPr>
              <w:pStyle w:val="62"/>
            </w:pPr>
            <w:r>
              <w:rPr>
                <w:lang w:val="zh-CN" w:eastAsia="en-US"/>
              </w:rPr>
              <w:t>较大</w:t>
            </w:r>
          </w:p>
        </w:tc>
        <w:tc>
          <w:tcPr>
            <w:tcW w:w="766" w:type="pct"/>
            <w:tcBorders>
              <w:tl2br w:val="nil"/>
              <w:tr2bl w:val="nil"/>
            </w:tcBorders>
            <w:vAlign w:val="center"/>
          </w:tcPr>
          <w:p>
            <w:pPr>
              <w:pStyle w:val="62"/>
            </w:pPr>
            <w:r>
              <w:rPr>
                <w:lang w:val="zh-CN" w:eastAsia="en-US"/>
              </w:rPr>
              <w:t>较大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7" w:hRule="atLeast"/>
          <w:jc w:val="center"/>
        </w:trPr>
        <w:tc>
          <w:tcPr>
            <w:tcW w:w="963" w:type="pct"/>
            <w:vMerge w:val="continue"/>
            <w:tcBorders>
              <w:tl2br w:val="nil"/>
              <w:tr2bl w:val="nil"/>
            </w:tcBorders>
            <w:vAlign w:val="center"/>
          </w:tcPr>
          <w:p>
            <w:pPr>
              <w:pStyle w:val="62"/>
            </w:pPr>
          </w:p>
        </w:tc>
        <w:tc>
          <w:tcPr>
            <w:tcW w:w="976" w:type="pct"/>
            <w:tcBorders>
              <w:tl2br w:val="nil"/>
              <w:tr2bl w:val="nil"/>
            </w:tcBorders>
            <w:vAlign w:val="center"/>
          </w:tcPr>
          <w:p>
            <w:pPr>
              <w:pStyle w:val="62"/>
            </w:pPr>
            <w:r>
              <w:rPr>
                <w:lang w:val="zh-CN" w:eastAsia="en-US"/>
              </w:rPr>
              <w:t>10≤Q</w:t>
            </w:r>
            <w:r>
              <w:rPr>
                <w:highlight w:val="none"/>
                <w:lang w:val="zh-CN" w:eastAsia="en-US"/>
              </w:rPr>
              <w:t>＜</w:t>
            </w:r>
            <w:r>
              <w:rPr>
                <w:lang w:val="zh-CN" w:eastAsia="en-US"/>
              </w:rPr>
              <w:t>100（Q2）</w:t>
            </w:r>
          </w:p>
        </w:tc>
        <w:tc>
          <w:tcPr>
            <w:tcW w:w="764" w:type="pct"/>
            <w:tcBorders>
              <w:tl2br w:val="nil"/>
              <w:tr2bl w:val="nil"/>
            </w:tcBorders>
            <w:vAlign w:val="center"/>
          </w:tcPr>
          <w:p>
            <w:pPr>
              <w:pStyle w:val="62"/>
            </w:pPr>
            <w:r>
              <w:rPr>
                <w:lang w:val="zh-CN" w:eastAsia="en-US"/>
              </w:rPr>
              <w:t>一般</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较大</w:t>
            </w:r>
          </w:p>
        </w:tc>
        <w:tc>
          <w:tcPr>
            <w:tcW w:w="766" w:type="pct"/>
            <w:tcBorders>
              <w:tl2br w:val="nil"/>
              <w:tr2bl w:val="nil"/>
            </w:tcBorders>
            <w:vAlign w:val="center"/>
          </w:tcPr>
          <w:p>
            <w:pPr>
              <w:pStyle w:val="62"/>
            </w:pPr>
            <w:r>
              <w:rPr>
                <w:lang w:val="zh-CN" w:eastAsia="en-US"/>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7" w:hRule="atLeast"/>
          <w:jc w:val="center"/>
        </w:trPr>
        <w:tc>
          <w:tcPr>
            <w:tcW w:w="963" w:type="pct"/>
            <w:vMerge w:val="continue"/>
            <w:tcBorders>
              <w:tl2br w:val="nil"/>
              <w:tr2bl w:val="nil"/>
            </w:tcBorders>
            <w:vAlign w:val="center"/>
          </w:tcPr>
          <w:p>
            <w:pPr>
              <w:pStyle w:val="62"/>
              <w:rPr>
                <w:kern w:val="0"/>
              </w:rPr>
            </w:pPr>
          </w:p>
        </w:tc>
        <w:tc>
          <w:tcPr>
            <w:tcW w:w="976" w:type="pct"/>
            <w:tcBorders>
              <w:tl2br w:val="nil"/>
              <w:tr2bl w:val="nil"/>
            </w:tcBorders>
            <w:vAlign w:val="center"/>
          </w:tcPr>
          <w:p>
            <w:pPr>
              <w:pStyle w:val="62"/>
            </w:pPr>
            <w:r>
              <w:rPr>
                <w:lang w:val="zh-CN" w:eastAsia="en-US"/>
              </w:rPr>
              <w:t>Q≥100（Q3）</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较大</w:t>
            </w:r>
          </w:p>
        </w:tc>
        <w:tc>
          <w:tcPr>
            <w:tcW w:w="764" w:type="pct"/>
            <w:tcBorders>
              <w:tl2br w:val="nil"/>
              <w:tr2bl w:val="nil"/>
            </w:tcBorders>
            <w:vAlign w:val="center"/>
          </w:tcPr>
          <w:p>
            <w:pPr>
              <w:pStyle w:val="62"/>
            </w:pPr>
            <w:r>
              <w:rPr>
                <w:lang w:val="zh-CN" w:eastAsia="en-US"/>
              </w:rPr>
              <w:t>重大</w:t>
            </w:r>
          </w:p>
        </w:tc>
        <w:tc>
          <w:tcPr>
            <w:tcW w:w="766" w:type="pct"/>
            <w:tcBorders>
              <w:tl2br w:val="nil"/>
              <w:tr2bl w:val="nil"/>
            </w:tcBorders>
            <w:vAlign w:val="center"/>
          </w:tcPr>
          <w:p>
            <w:pPr>
              <w:pStyle w:val="62"/>
            </w:pPr>
            <w:r>
              <w:rPr>
                <w:lang w:val="zh-CN" w:eastAsia="en-US"/>
              </w:rPr>
              <w:t>重大</w:t>
            </w:r>
          </w:p>
        </w:tc>
      </w:tr>
    </w:tbl>
    <w:p>
      <w:pPr>
        <w:bidi w:val="0"/>
      </w:pPr>
      <w:r>
        <w:t>本项目大气环境风险物质数量与临界量比Q</w:t>
      </w:r>
      <w:r>
        <w:rPr>
          <w:rFonts w:hint="eastAsia"/>
        </w:rPr>
        <w:t>小</w:t>
      </w:r>
      <w:r>
        <w:t>于1</w:t>
      </w:r>
      <w:r>
        <w:rPr>
          <w:highlight w:val="none"/>
        </w:rPr>
        <w:t>，。</w:t>
      </w:r>
      <w:r>
        <w:rPr>
          <w:rFonts w:hint="eastAsia"/>
        </w:rPr>
        <w:t>Q</w:t>
      </w:r>
      <w:r>
        <w:rPr>
          <w:rFonts w:hint="eastAsia"/>
          <w:highlight w:val="none"/>
        </w:rPr>
        <w:t>＜</w:t>
      </w:r>
      <w:r>
        <w:rPr>
          <w:rFonts w:hint="eastAsia"/>
        </w:rPr>
        <w:t>1表示为Q0，且风险等级直接表示为“ 一般-大气（Q0）”。</w:t>
      </w:r>
    </w:p>
    <w:p>
      <w:pPr>
        <w:pStyle w:val="4"/>
        <w:bidi w:val="0"/>
      </w:pPr>
      <w:bookmarkStart w:id="547" w:name="_Toc11419"/>
      <w:bookmarkStart w:id="548" w:name="_Toc31912"/>
      <w:bookmarkStart w:id="549" w:name="_Toc37591950"/>
      <w:bookmarkStart w:id="550" w:name="_Toc8023"/>
      <w:bookmarkStart w:id="551" w:name="_Toc17796"/>
      <w:bookmarkStart w:id="552" w:name="_Toc4514"/>
      <w:bookmarkStart w:id="553" w:name="_Toc13245"/>
      <w:bookmarkStart w:id="554" w:name="_Toc24885"/>
      <w:bookmarkStart w:id="555" w:name="_Toc10938"/>
      <w:bookmarkStart w:id="556" w:name="_Toc15301"/>
      <w:r>
        <w:rPr>
          <w:rFonts w:hint="eastAsia"/>
          <w:lang w:val="en-US" w:eastAsia="zh-CN"/>
        </w:rPr>
        <w:t>6</w:t>
      </w:r>
      <w:r>
        <w:rPr>
          <w:rFonts w:hint="eastAsia"/>
        </w:rPr>
        <w:t>.3 突发水环境事件风险等级评估</w:t>
      </w:r>
      <w:bookmarkEnd w:id="547"/>
      <w:bookmarkEnd w:id="548"/>
      <w:bookmarkEnd w:id="549"/>
      <w:bookmarkEnd w:id="550"/>
      <w:bookmarkEnd w:id="551"/>
      <w:bookmarkEnd w:id="552"/>
      <w:bookmarkEnd w:id="553"/>
      <w:bookmarkEnd w:id="554"/>
      <w:bookmarkEnd w:id="555"/>
      <w:bookmarkEnd w:id="556"/>
    </w:p>
    <w:p>
      <w:pPr>
        <w:pStyle w:val="5"/>
        <w:bidi w:val="0"/>
      </w:pPr>
      <w:bookmarkStart w:id="557" w:name="_Toc21336"/>
      <w:bookmarkStart w:id="558" w:name="_Toc30102"/>
      <w:bookmarkStart w:id="559" w:name="_Toc5112"/>
      <w:bookmarkStart w:id="560" w:name="_Toc7577"/>
      <w:bookmarkStart w:id="561" w:name="_Toc37591951"/>
      <w:bookmarkStart w:id="562" w:name="_Toc26627"/>
      <w:r>
        <w:rPr>
          <w:rFonts w:hint="eastAsia"/>
          <w:lang w:val="en-US" w:eastAsia="zh-CN"/>
        </w:rPr>
        <w:t>6</w:t>
      </w:r>
      <w:r>
        <w:rPr>
          <w:rFonts w:hint="eastAsia"/>
        </w:rPr>
        <w:t>.3.1 计算涉水风险物资数量与临界量比值（Q）</w:t>
      </w:r>
      <w:bookmarkEnd w:id="557"/>
      <w:bookmarkEnd w:id="558"/>
      <w:bookmarkEnd w:id="559"/>
      <w:bookmarkEnd w:id="560"/>
      <w:bookmarkEnd w:id="561"/>
      <w:bookmarkEnd w:id="562"/>
    </w:p>
    <w:p>
      <w:pPr>
        <w:pStyle w:val="64"/>
        <w:ind w:firstLine="480"/>
      </w:pPr>
      <w:r>
        <w:t>根据表</w:t>
      </w:r>
      <w:r>
        <w:rPr>
          <w:rFonts w:hint="eastAsia"/>
          <w:lang w:val="en-US" w:eastAsia="zh-CN"/>
        </w:rPr>
        <w:t>6</w:t>
      </w:r>
      <w:r>
        <w:t>.1-</w:t>
      </w:r>
      <w:r>
        <w:rPr>
          <w:rFonts w:hint="eastAsia"/>
          <w:lang w:val="en-US" w:eastAsia="zh-CN"/>
        </w:rPr>
        <w:t>1</w:t>
      </w:r>
      <w:r>
        <w:t>：计算涉水风险物资数量与临界量比值Q</w:t>
      </w:r>
      <w:r>
        <w:rPr>
          <w:highlight w:val="none"/>
        </w:rPr>
        <w:t>＜</w:t>
      </w:r>
      <w:r>
        <w:t>1，属于Q</w:t>
      </w:r>
      <w:r>
        <w:rPr>
          <w:rFonts w:hint="eastAsia"/>
        </w:rPr>
        <w:t>0。</w:t>
      </w:r>
    </w:p>
    <w:p>
      <w:pPr>
        <w:pStyle w:val="5"/>
        <w:bidi w:val="0"/>
      </w:pPr>
      <w:bookmarkStart w:id="563" w:name="_Toc4889"/>
      <w:bookmarkStart w:id="564" w:name="_Toc37591952"/>
      <w:bookmarkStart w:id="565" w:name="_Toc30042"/>
      <w:bookmarkStart w:id="566" w:name="_Toc830"/>
      <w:bookmarkStart w:id="567" w:name="_Toc24335"/>
      <w:bookmarkStart w:id="568" w:name="_Toc5853"/>
      <w:r>
        <w:rPr>
          <w:rFonts w:hint="eastAsia"/>
          <w:lang w:val="en-US" w:eastAsia="zh-CN"/>
        </w:rPr>
        <w:t>6</w:t>
      </w:r>
      <w:r>
        <w:rPr>
          <w:rFonts w:hint="eastAsia"/>
        </w:rPr>
        <w:t>.3.2 水环境风险防控措施及突发水环境事件发生情况（M）</w:t>
      </w:r>
      <w:bookmarkEnd w:id="563"/>
      <w:bookmarkEnd w:id="564"/>
      <w:bookmarkEnd w:id="565"/>
      <w:bookmarkEnd w:id="566"/>
      <w:bookmarkEnd w:id="567"/>
      <w:bookmarkEnd w:id="568"/>
    </w:p>
    <w:p>
      <w:pPr>
        <w:bidi w:val="0"/>
      </w:pPr>
      <w:r>
        <w:t>企业水环境风险防控措施及突发水环境事件发生情况评估指标见表</w:t>
      </w:r>
      <w:r>
        <w:rPr>
          <w:rFonts w:hint="eastAsia"/>
          <w:lang w:val="en-US" w:eastAsia="zh-CN"/>
        </w:rPr>
        <w:t>6</w:t>
      </w:r>
      <w:r>
        <w:t>.</w:t>
      </w:r>
      <w:r>
        <w:rPr>
          <w:rFonts w:hint="eastAsia"/>
        </w:rPr>
        <w:t>3</w:t>
      </w:r>
      <w:r>
        <w:rPr>
          <w:rFonts w:hint="eastAsia"/>
          <w:lang w:val="en-US" w:eastAsia="zh-CN"/>
        </w:rPr>
        <w:t>.2</w:t>
      </w:r>
      <w:r>
        <w:rPr>
          <w:rFonts w:hint="eastAsia"/>
        </w:rPr>
        <w:t>-1</w:t>
      </w:r>
      <w:r>
        <w:t>.对各项评估指标分别评分、计算总和，各项指标分值合计最高为70分。</w:t>
      </w:r>
    </w:p>
    <w:p>
      <w:pPr>
        <w:pStyle w:val="28"/>
        <w:bidi w:val="0"/>
      </w:pPr>
      <w:r>
        <w:rPr>
          <w:rFonts w:hint="eastAsia"/>
        </w:rPr>
        <w:t>表</w:t>
      </w:r>
      <w:r>
        <w:rPr>
          <w:rFonts w:hint="eastAsia"/>
          <w:lang w:val="en-US" w:eastAsia="zh-CN"/>
        </w:rPr>
        <w:t>6</w:t>
      </w:r>
      <w:r>
        <w:rPr>
          <w:rFonts w:hint="eastAsia"/>
        </w:rPr>
        <w:t>.3</w:t>
      </w:r>
      <w:r>
        <w:rPr>
          <w:rFonts w:hint="eastAsia"/>
          <w:lang w:val="en-US" w:eastAsia="zh-CN"/>
        </w:rPr>
        <w:t>.2</w:t>
      </w:r>
      <w:r>
        <w:rPr>
          <w:rFonts w:hint="eastAsia"/>
        </w:rPr>
        <w:t>-1 企业水环境风险防控措施及突发水环境事件发生情况评估指标</w:t>
      </w:r>
    </w:p>
    <w:tbl>
      <w:tblPr>
        <w:tblStyle w:val="22"/>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15" w:type="dxa"/>
          <w:left w:w="15" w:type="dxa"/>
          <w:bottom w:w="15" w:type="dxa"/>
          <w:right w:w="15" w:type="dxa"/>
        </w:tblCellMar>
      </w:tblPr>
      <w:tblGrid>
        <w:gridCol w:w="1090"/>
        <w:gridCol w:w="6045"/>
        <w:gridCol w:w="725"/>
        <w:gridCol w:w="67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tcBorders>
              <w:bottom w:val="single" w:color="auto" w:sz="12" w:space="0"/>
            </w:tcBorders>
            <w:vAlign w:val="center"/>
          </w:tcPr>
          <w:p>
            <w:pPr>
              <w:pStyle w:val="39"/>
              <w:bidi w:val="0"/>
              <w:rPr>
                <w:b/>
                <w:bCs/>
              </w:rPr>
            </w:pPr>
            <w:r>
              <w:rPr>
                <w:b/>
                <w:bCs/>
              </w:rPr>
              <w:t>评估指标</w:t>
            </w:r>
          </w:p>
        </w:tc>
        <w:tc>
          <w:tcPr>
            <w:tcW w:w="3542" w:type="pct"/>
            <w:tcBorders>
              <w:bottom w:val="single" w:color="auto" w:sz="12" w:space="0"/>
            </w:tcBorders>
            <w:vAlign w:val="center"/>
          </w:tcPr>
          <w:p>
            <w:pPr>
              <w:pStyle w:val="39"/>
              <w:bidi w:val="0"/>
              <w:rPr>
                <w:b/>
                <w:bCs/>
              </w:rPr>
            </w:pPr>
            <w:r>
              <w:rPr>
                <w:b/>
                <w:bCs/>
              </w:rPr>
              <w:t>相关要求</w:t>
            </w:r>
          </w:p>
        </w:tc>
        <w:tc>
          <w:tcPr>
            <w:tcW w:w="425" w:type="pct"/>
            <w:tcBorders>
              <w:bottom w:val="single" w:color="auto" w:sz="12" w:space="0"/>
            </w:tcBorders>
            <w:vAlign w:val="center"/>
          </w:tcPr>
          <w:p>
            <w:pPr>
              <w:pStyle w:val="39"/>
              <w:bidi w:val="0"/>
              <w:rPr>
                <w:b/>
                <w:bCs/>
              </w:rPr>
            </w:pPr>
            <w:r>
              <w:rPr>
                <w:b/>
                <w:bCs/>
              </w:rPr>
              <w:t>分值</w:t>
            </w:r>
          </w:p>
        </w:tc>
        <w:tc>
          <w:tcPr>
            <w:tcW w:w="391" w:type="pct"/>
            <w:tcBorders>
              <w:bottom w:val="single" w:color="auto" w:sz="12" w:space="0"/>
            </w:tcBorders>
            <w:vAlign w:val="center"/>
          </w:tcPr>
          <w:p>
            <w:pPr>
              <w:pStyle w:val="39"/>
              <w:bidi w:val="0"/>
              <w:rPr>
                <w:b/>
                <w:bCs/>
              </w:rPr>
            </w:pPr>
            <w:r>
              <w:rPr>
                <w:b/>
                <w:bCs/>
              </w:rPr>
              <w:t>得分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80" w:hRule="atLeast"/>
          <w:jc w:val="center"/>
        </w:trPr>
        <w:tc>
          <w:tcPr>
            <w:tcW w:w="639" w:type="pct"/>
            <w:vMerge w:val="restart"/>
            <w:tcBorders>
              <w:top w:val="single" w:color="auto" w:sz="12" w:space="0"/>
              <w:tl2br w:val="nil"/>
              <w:tr2bl w:val="nil"/>
            </w:tcBorders>
            <w:vAlign w:val="center"/>
          </w:tcPr>
          <w:p>
            <w:pPr>
              <w:pStyle w:val="39"/>
              <w:bidi w:val="0"/>
            </w:pPr>
            <w:r>
              <w:t>截流措施</w:t>
            </w:r>
          </w:p>
        </w:tc>
        <w:tc>
          <w:tcPr>
            <w:tcW w:w="3542" w:type="pct"/>
            <w:tcBorders>
              <w:top w:val="single" w:color="auto" w:sz="12" w:space="0"/>
              <w:tl2br w:val="nil"/>
              <w:tr2bl w:val="nil"/>
            </w:tcBorders>
            <w:vAlign w:val="center"/>
          </w:tcPr>
          <w:p>
            <w:pPr>
              <w:pStyle w:val="39"/>
              <w:bidi w:val="0"/>
            </w:pPr>
            <w:r>
              <w:t>1</w:t>
            </w:r>
            <w:r>
              <w:rPr>
                <w:highlight w:val="none"/>
              </w:rPr>
              <w:t>)</w:t>
            </w:r>
            <w:r>
              <w:t>各个环境风险单元设防渗漏、防腐蚀、防淋溶、防流失措施，设防初期雨水、泄漏物、受污染的消防水（溢）流入雨水和清净下水系统的导流围挡收集措施（如防火堤、围堰等），且相关措施符合设计规范；且</w:t>
            </w:r>
          </w:p>
        </w:tc>
        <w:tc>
          <w:tcPr>
            <w:tcW w:w="425" w:type="pct"/>
            <w:vMerge w:val="restart"/>
            <w:tcBorders>
              <w:top w:val="single" w:color="auto" w:sz="12" w:space="0"/>
              <w:tl2br w:val="nil"/>
              <w:tr2bl w:val="nil"/>
            </w:tcBorders>
            <w:vAlign w:val="center"/>
          </w:tcPr>
          <w:p>
            <w:pPr>
              <w:pStyle w:val="39"/>
              <w:bidi w:val="0"/>
            </w:pPr>
            <w:r>
              <w:t>0</w:t>
            </w:r>
          </w:p>
        </w:tc>
        <w:tc>
          <w:tcPr>
            <w:tcW w:w="391" w:type="pct"/>
            <w:vMerge w:val="restart"/>
            <w:tcBorders>
              <w:top w:val="single" w:color="auto" w:sz="12" w:space="0"/>
              <w:tl2br w:val="nil"/>
              <w:tr2bl w:val="nil"/>
            </w:tcBorders>
            <w:vAlign w:val="center"/>
          </w:tcPr>
          <w:p>
            <w:pPr>
              <w:pStyle w:val="39"/>
              <w:bidi w:val="0"/>
            </w:pPr>
            <w:r>
              <w:rPr>
                <w:rFonts w:hint="eastAsia"/>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8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2</w:t>
            </w:r>
            <w:r>
              <w:rPr>
                <w:highlight w:val="none"/>
              </w:rPr>
              <w:t>)</w:t>
            </w:r>
            <w:r>
              <w:t>装置围堰与罐区防火堤（围堰）外设排水切换阀，正常情况下通向雨水系统的阀门关闭，通向事故存液池、应急事故水池、清净下水排放缓冲池或污水处理系统的阀门打开；且</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2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3</w:t>
            </w:r>
            <w:r>
              <w:rPr>
                <w:highlight w:val="none"/>
              </w:rPr>
              <w:t>)</w:t>
            </w:r>
            <w:r>
              <w:t>前述措施日常管理及维护良好，有专人负责阀门切换，保证初期雨水、泄漏物和受污染的消防水排入污水系统。</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有任意一个环境风险单元的截流措施不符合上述任意一条要求的。</w:t>
            </w:r>
          </w:p>
        </w:tc>
        <w:tc>
          <w:tcPr>
            <w:tcW w:w="425" w:type="pct"/>
            <w:tcBorders>
              <w:tl2br w:val="nil"/>
              <w:tr2bl w:val="nil"/>
            </w:tcBorders>
            <w:vAlign w:val="center"/>
          </w:tcPr>
          <w:p>
            <w:pPr>
              <w:pStyle w:val="39"/>
              <w:bidi w:val="0"/>
            </w:pPr>
            <w:r>
              <w:t>8</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80" w:hRule="atLeast"/>
          <w:jc w:val="center"/>
        </w:trPr>
        <w:tc>
          <w:tcPr>
            <w:tcW w:w="639" w:type="pct"/>
            <w:vMerge w:val="restart"/>
            <w:tcBorders>
              <w:tl2br w:val="nil"/>
              <w:tr2bl w:val="nil"/>
            </w:tcBorders>
            <w:vAlign w:val="center"/>
          </w:tcPr>
          <w:p>
            <w:pPr>
              <w:pStyle w:val="39"/>
              <w:bidi w:val="0"/>
            </w:pPr>
            <w:r>
              <w:t>事故排水收集措施</w:t>
            </w:r>
          </w:p>
        </w:tc>
        <w:tc>
          <w:tcPr>
            <w:tcW w:w="3542" w:type="pct"/>
            <w:tcBorders>
              <w:tl2br w:val="nil"/>
              <w:tr2bl w:val="nil"/>
            </w:tcBorders>
            <w:vAlign w:val="center"/>
          </w:tcPr>
          <w:p>
            <w:pPr>
              <w:pStyle w:val="39"/>
              <w:bidi w:val="0"/>
              <w:jc w:val="left"/>
            </w:pPr>
            <w:r>
              <w:t>1</w:t>
            </w:r>
            <w:r>
              <w:rPr>
                <w:highlight w:val="none"/>
              </w:rPr>
              <w:t>)</w:t>
            </w:r>
            <w:r>
              <w:t>按相关设计规范设置应急事故水池、事故存液池或清净下水排放缓冲池等事故排水收集设施，并根据下游环境风险受体敏感程度和易发生极端天气情况，设置事故排水收集设施的容量；且</w:t>
            </w:r>
          </w:p>
        </w:tc>
        <w:tc>
          <w:tcPr>
            <w:tcW w:w="425" w:type="pct"/>
            <w:vMerge w:val="restart"/>
            <w:tcBorders>
              <w:tl2br w:val="nil"/>
              <w:tr2bl w:val="nil"/>
            </w:tcBorders>
            <w:vAlign w:val="center"/>
          </w:tcPr>
          <w:p>
            <w:pPr>
              <w:pStyle w:val="39"/>
              <w:bidi w:val="0"/>
            </w:pPr>
            <w:r>
              <w:t>0</w:t>
            </w:r>
          </w:p>
        </w:tc>
        <w:tc>
          <w:tcPr>
            <w:tcW w:w="391" w:type="pct"/>
            <w:vMerge w:val="restart"/>
            <w:tcBorders>
              <w:tl2br w:val="nil"/>
              <w:tr2bl w:val="nil"/>
            </w:tcBorders>
            <w:vAlign w:val="center"/>
          </w:tcPr>
          <w:p>
            <w:pPr>
              <w:pStyle w:val="39"/>
              <w:bidi w:val="0"/>
            </w:pPr>
            <w:r>
              <w:rPr>
                <w:rFonts w:hint="eastAsia"/>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8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2</w:t>
            </w:r>
            <w:r>
              <w:rPr>
                <w:highlight w:val="none"/>
              </w:rPr>
              <w:t>)</w:t>
            </w:r>
            <w:r>
              <w:t>事故存液池、应急事故水池、清净下水排放缓冲池等事故排水收集设施位置合理，能自流式或确保事故状态下顺利收集泄漏物和消防水，日常保持足够的事故排水缓冲容量；且</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2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3</w:t>
            </w:r>
            <w:r>
              <w:rPr>
                <w:highlight w:val="none"/>
              </w:rPr>
              <w:t>)</w:t>
            </w:r>
            <w:r>
              <w:t>设抽水设施，并与污水管线连接，能将所收集物送至厂区内污水处理设施处理。</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有任意一个环境风险单元的事故排水收集措施不符合上述任意一条要求的。</w:t>
            </w:r>
          </w:p>
        </w:tc>
        <w:tc>
          <w:tcPr>
            <w:tcW w:w="425" w:type="pct"/>
            <w:tcBorders>
              <w:tl2br w:val="nil"/>
              <w:tr2bl w:val="nil"/>
            </w:tcBorders>
            <w:vAlign w:val="center"/>
          </w:tcPr>
          <w:p>
            <w:pPr>
              <w:pStyle w:val="39"/>
              <w:bidi w:val="0"/>
            </w:pPr>
            <w:r>
              <w:t>8</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restart"/>
            <w:tcBorders>
              <w:tl2br w:val="nil"/>
              <w:tr2bl w:val="nil"/>
            </w:tcBorders>
            <w:vAlign w:val="center"/>
          </w:tcPr>
          <w:p>
            <w:pPr>
              <w:pStyle w:val="39"/>
              <w:bidi w:val="0"/>
            </w:pPr>
            <w:r>
              <w:t>清净下水系统防控措施</w:t>
            </w:r>
          </w:p>
        </w:tc>
        <w:tc>
          <w:tcPr>
            <w:tcW w:w="3542" w:type="pct"/>
            <w:tcBorders>
              <w:tl2br w:val="nil"/>
              <w:tr2bl w:val="nil"/>
            </w:tcBorders>
            <w:vAlign w:val="center"/>
          </w:tcPr>
          <w:p>
            <w:pPr>
              <w:pStyle w:val="39"/>
              <w:bidi w:val="0"/>
              <w:jc w:val="left"/>
            </w:pPr>
            <w:r>
              <w:t>1</w:t>
            </w:r>
            <w:r>
              <w:rPr>
                <w:highlight w:val="none"/>
              </w:rPr>
              <w:t>)</w:t>
            </w:r>
            <w:r>
              <w:t>不涉及清净下水；</w:t>
            </w:r>
          </w:p>
        </w:tc>
        <w:tc>
          <w:tcPr>
            <w:tcW w:w="425" w:type="pct"/>
            <w:vMerge w:val="restart"/>
            <w:tcBorders>
              <w:tl2br w:val="nil"/>
              <w:tr2bl w:val="nil"/>
            </w:tcBorders>
            <w:vAlign w:val="center"/>
          </w:tcPr>
          <w:p>
            <w:pPr>
              <w:pStyle w:val="39"/>
              <w:bidi w:val="0"/>
            </w:pPr>
            <w:r>
              <w:t>0</w:t>
            </w:r>
          </w:p>
        </w:tc>
        <w:tc>
          <w:tcPr>
            <w:tcW w:w="391" w:type="pct"/>
            <w:vMerge w:val="restart"/>
            <w:tcBorders>
              <w:tl2br w:val="nil"/>
              <w:tr2bl w:val="nil"/>
            </w:tcBorders>
            <w:vAlign w:val="center"/>
          </w:tcPr>
          <w:p>
            <w:pPr>
              <w:pStyle w:val="39"/>
              <w:bidi w:val="0"/>
            </w:pPr>
            <w:r>
              <w:rPr>
                <w:rFonts w:hint="eastAsia"/>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2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2</w:t>
            </w:r>
            <w:r>
              <w:rPr>
                <w:highlight w:val="none"/>
              </w:rPr>
              <w:t>)</w:t>
            </w:r>
            <w:r>
              <w:t>厂区内清净下水均进入废水处理系统；或清污分流，且清净下水系统具有下述所有措施：</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6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①</w:t>
            </w:r>
            <w:r>
              <w:t>具有收集受污染的清净下水、初期雨水和消防水功能的清净下水排放缓冲池（或雨水收集池），池内日常保持足够的事故排水缓冲容量；池内设有提升设施，能将所集物送至厂区内污水处理设施处理；且</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6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②</w:t>
            </w:r>
            <w:r>
              <w:t>具有清净下水系统（或排入雨水系统）的总排口监视及关闭设施，有专人负责在紧急情况下关闭清净下水总排口，防止受污染的雨水、清净下水、消防水和泄漏物进入外环境。</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2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涉及清净下水，有任意一个环境风险单元的清净下水系统防控措施但不符合上述2）要求的。</w:t>
            </w:r>
          </w:p>
        </w:tc>
        <w:tc>
          <w:tcPr>
            <w:tcW w:w="425" w:type="pct"/>
            <w:tcBorders>
              <w:tl2br w:val="nil"/>
              <w:tr2bl w:val="nil"/>
            </w:tcBorders>
            <w:vAlign w:val="center"/>
          </w:tcPr>
          <w:p>
            <w:pPr>
              <w:pStyle w:val="39"/>
              <w:bidi w:val="0"/>
            </w:pPr>
            <w:r>
              <w:t>8</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10" w:hRule="atLeast"/>
          <w:jc w:val="center"/>
        </w:trPr>
        <w:tc>
          <w:tcPr>
            <w:tcW w:w="639" w:type="pct"/>
            <w:vMerge w:val="restart"/>
            <w:tcBorders>
              <w:tl2br w:val="nil"/>
              <w:tr2bl w:val="nil"/>
            </w:tcBorders>
            <w:vAlign w:val="center"/>
          </w:tcPr>
          <w:p>
            <w:pPr>
              <w:pStyle w:val="39"/>
              <w:bidi w:val="0"/>
            </w:pPr>
            <w:r>
              <w:t>雨水排水系统防控措施</w:t>
            </w:r>
          </w:p>
        </w:tc>
        <w:tc>
          <w:tcPr>
            <w:tcW w:w="3542" w:type="pct"/>
            <w:tcBorders>
              <w:tl2br w:val="nil"/>
              <w:tr2bl w:val="nil"/>
            </w:tcBorders>
            <w:vAlign w:val="center"/>
          </w:tcPr>
          <w:p>
            <w:pPr>
              <w:pStyle w:val="39"/>
              <w:bidi w:val="0"/>
              <w:jc w:val="left"/>
            </w:pPr>
            <w:r>
              <w:t>厂区内雨水均进入废水处理系统；或雨污分流，</w:t>
            </w:r>
            <w:r>
              <w:rPr>
                <w:highlight w:val="none"/>
              </w:rPr>
              <w:t>且雨</w:t>
            </w:r>
            <w:r>
              <w:t>排水系统具有下述所有措施：</w:t>
            </w:r>
          </w:p>
        </w:tc>
        <w:tc>
          <w:tcPr>
            <w:tcW w:w="425" w:type="pct"/>
            <w:vMerge w:val="restart"/>
            <w:tcBorders>
              <w:tl2br w:val="nil"/>
              <w:tr2bl w:val="nil"/>
            </w:tcBorders>
            <w:vAlign w:val="center"/>
          </w:tcPr>
          <w:p>
            <w:pPr>
              <w:pStyle w:val="39"/>
              <w:bidi w:val="0"/>
            </w:pPr>
            <w:r>
              <w:t>0</w:t>
            </w:r>
          </w:p>
        </w:tc>
        <w:tc>
          <w:tcPr>
            <w:tcW w:w="391" w:type="pct"/>
            <w:vMerge w:val="restart"/>
            <w:tcBorders>
              <w:tl2br w:val="nil"/>
              <w:tr2bl w:val="nil"/>
            </w:tcBorders>
            <w:vAlign w:val="center"/>
          </w:tcPr>
          <w:p>
            <w:pPr>
              <w:pStyle w:val="39"/>
              <w:bidi w:val="0"/>
              <w:rPr>
                <w:rFonts w:hint="default" w:eastAsia="宋体"/>
                <w:lang w:val="en-US" w:eastAsia="zh-CN"/>
              </w:rPr>
            </w:pPr>
            <w:r>
              <w:rPr>
                <w:rFonts w:hint="eastAsia"/>
                <w:lang w:val="en-US" w:eastAsia="zh-CN"/>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6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①</w:t>
            </w:r>
            <w:r>
              <w:t>具有收集初期雨水的收集池或雨水监控池；池出水管上设置切断阀，正常情况下阀门关闭，防止受污染的水外排；池内设有提升设施，能将所集物送至厂区内污水处理设施处理；且</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76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②</w:t>
            </w:r>
            <w:r>
              <w:t>具有雨水系统外排总排口（含泄洪渠）监视及关闭设施，有专人负责在紧急情况下关闭雨水排口（含与清净下水共用一套排水系统情况），防止雨水、消防水和泄漏物进入外境；</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1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③</w:t>
            </w:r>
            <w:r>
              <w:t>如果有排洪沟，排洪沟不通过生产区和罐区，具有防止泄漏物和受污染的消防水流入区域排洪沟的措施。</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不符合上述要求的</w:t>
            </w:r>
          </w:p>
        </w:tc>
        <w:tc>
          <w:tcPr>
            <w:tcW w:w="425" w:type="pct"/>
            <w:tcBorders>
              <w:tl2br w:val="nil"/>
              <w:tr2bl w:val="nil"/>
            </w:tcBorders>
            <w:vAlign w:val="center"/>
          </w:tcPr>
          <w:p>
            <w:pPr>
              <w:pStyle w:val="39"/>
              <w:bidi w:val="0"/>
            </w:pPr>
            <w:r>
              <w:t>8</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restart"/>
            <w:tcBorders>
              <w:tl2br w:val="nil"/>
              <w:tr2bl w:val="nil"/>
            </w:tcBorders>
            <w:vAlign w:val="center"/>
          </w:tcPr>
          <w:p>
            <w:pPr>
              <w:pStyle w:val="39"/>
              <w:bidi w:val="0"/>
            </w:pPr>
            <w:r>
              <w:t>生产废水处理系统防控措施</w:t>
            </w:r>
          </w:p>
        </w:tc>
        <w:tc>
          <w:tcPr>
            <w:tcW w:w="3542" w:type="pct"/>
            <w:tcBorders>
              <w:tl2br w:val="nil"/>
              <w:tr2bl w:val="nil"/>
            </w:tcBorders>
            <w:vAlign w:val="center"/>
          </w:tcPr>
          <w:p>
            <w:pPr>
              <w:pStyle w:val="39"/>
              <w:bidi w:val="0"/>
              <w:jc w:val="left"/>
            </w:pPr>
            <w:r>
              <w:t>1）无生产废水产生或外排；</w:t>
            </w:r>
          </w:p>
        </w:tc>
        <w:tc>
          <w:tcPr>
            <w:tcW w:w="425" w:type="pct"/>
            <w:vMerge w:val="restart"/>
            <w:tcBorders>
              <w:tl2br w:val="nil"/>
              <w:tr2bl w:val="nil"/>
            </w:tcBorders>
            <w:vAlign w:val="center"/>
          </w:tcPr>
          <w:p>
            <w:pPr>
              <w:pStyle w:val="39"/>
              <w:bidi w:val="0"/>
            </w:pPr>
            <w:r>
              <w:t>0</w:t>
            </w:r>
          </w:p>
        </w:tc>
        <w:tc>
          <w:tcPr>
            <w:tcW w:w="391" w:type="pct"/>
            <w:vMerge w:val="restart"/>
            <w:tcBorders>
              <w:tl2br w:val="nil"/>
              <w:tr2bl w:val="nil"/>
            </w:tcBorders>
            <w:vAlign w:val="center"/>
          </w:tcPr>
          <w:p>
            <w:pPr>
              <w:pStyle w:val="39"/>
              <w:bidi w:val="0"/>
              <w:rPr>
                <w:rFonts w:hint="eastAsia" w:eastAsia="宋体"/>
                <w:lang w:eastAsia="zh-CN"/>
              </w:rPr>
            </w:pPr>
            <w:r>
              <w:rPr>
                <w:rFonts w:hint="eastAsia"/>
                <w:lang w:val="en-US" w:eastAsia="zh-CN"/>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2）有废水产生或外排时：</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1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①</w:t>
            </w:r>
            <w:r>
              <w:t>受污染的循环冷却水、雨水、消防水等排入生产污水系统或独立处理系统；且</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②</w:t>
            </w:r>
            <w:r>
              <w:t>生产废水排放前设监控池，能够将不合格废水送废水处理设施重新处理；且</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1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③</w:t>
            </w:r>
            <w:r>
              <w:t>如企业受污染的清净下水或雨水进入废水处理系统处理，则废水处理系统应设置事故水缓冲设施；</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51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rPr>
                <w:rFonts w:hint="eastAsia"/>
              </w:rPr>
              <w:t>④</w:t>
            </w:r>
            <w:r>
              <w:t>具有生产废水总排口监视及关闭设施，有专人负责启闭，确保泄漏物、受污染的消防水、不合格废水不排出厂外。</w:t>
            </w:r>
          </w:p>
        </w:tc>
        <w:tc>
          <w:tcPr>
            <w:tcW w:w="425" w:type="pct"/>
            <w:vMerge w:val="continue"/>
            <w:tcBorders>
              <w:tl2br w:val="nil"/>
              <w:tr2bl w:val="nil"/>
            </w:tcBorders>
            <w:vAlign w:val="center"/>
          </w:tcPr>
          <w:p>
            <w:pPr>
              <w:pStyle w:val="39"/>
              <w:bidi w:val="0"/>
            </w:pP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涉及废水产生或外排，但不符合上述2）中任意一条要求的</w:t>
            </w:r>
          </w:p>
        </w:tc>
        <w:tc>
          <w:tcPr>
            <w:tcW w:w="425" w:type="pct"/>
            <w:tcBorders>
              <w:tl2br w:val="nil"/>
              <w:tr2bl w:val="nil"/>
            </w:tcBorders>
            <w:vAlign w:val="center"/>
          </w:tcPr>
          <w:p>
            <w:pPr>
              <w:pStyle w:val="39"/>
              <w:bidi w:val="0"/>
            </w:pPr>
            <w:r>
              <w:t>8</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restart"/>
            <w:tcBorders>
              <w:tl2br w:val="nil"/>
              <w:tr2bl w:val="nil"/>
            </w:tcBorders>
            <w:vAlign w:val="center"/>
          </w:tcPr>
          <w:p>
            <w:pPr>
              <w:pStyle w:val="39"/>
              <w:bidi w:val="0"/>
            </w:pPr>
            <w:r>
              <w:t>废水排放去向</w:t>
            </w:r>
          </w:p>
        </w:tc>
        <w:tc>
          <w:tcPr>
            <w:tcW w:w="3542" w:type="pct"/>
            <w:tcBorders>
              <w:tl2br w:val="nil"/>
              <w:tr2bl w:val="nil"/>
            </w:tcBorders>
            <w:vAlign w:val="center"/>
          </w:tcPr>
          <w:p>
            <w:pPr>
              <w:pStyle w:val="39"/>
              <w:bidi w:val="0"/>
              <w:jc w:val="left"/>
            </w:pPr>
            <w:r>
              <w:t>无生产废水产生或外排</w:t>
            </w:r>
          </w:p>
        </w:tc>
        <w:tc>
          <w:tcPr>
            <w:tcW w:w="425" w:type="pct"/>
            <w:tcBorders>
              <w:tl2br w:val="nil"/>
              <w:tr2bl w:val="nil"/>
            </w:tcBorders>
            <w:vAlign w:val="center"/>
          </w:tcPr>
          <w:p>
            <w:pPr>
              <w:pStyle w:val="39"/>
              <w:bidi w:val="0"/>
            </w:pPr>
            <w:r>
              <w:t>0</w:t>
            </w:r>
          </w:p>
        </w:tc>
        <w:tc>
          <w:tcPr>
            <w:tcW w:w="391" w:type="pct"/>
            <w:vMerge w:val="restart"/>
            <w:tcBorders>
              <w:tl2br w:val="nil"/>
              <w:tr2bl w:val="nil"/>
            </w:tcBorders>
            <w:vAlign w:val="center"/>
          </w:tcPr>
          <w:p>
            <w:pPr>
              <w:pStyle w:val="39"/>
              <w:bidi w:val="0"/>
            </w:pPr>
            <w:r>
              <w:t>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855"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（1）依法获取污水排入排水管网许可，进入城镇污水处理厂；或</w:t>
            </w:r>
            <w:r>
              <w:br w:type="textWrapping"/>
            </w:r>
            <w:r>
              <w:t>（2）进入工业废水集中处理厂；或</w:t>
            </w:r>
            <w:r>
              <w:br w:type="textWrapping"/>
            </w:r>
            <w:r>
              <w:t>（3）进入其他单位</w:t>
            </w:r>
          </w:p>
        </w:tc>
        <w:tc>
          <w:tcPr>
            <w:tcW w:w="425" w:type="pct"/>
            <w:tcBorders>
              <w:tl2br w:val="nil"/>
              <w:tr2bl w:val="nil"/>
            </w:tcBorders>
            <w:vAlign w:val="center"/>
          </w:tcPr>
          <w:p>
            <w:pPr>
              <w:pStyle w:val="39"/>
              <w:bidi w:val="0"/>
            </w:pPr>
            <w:r>
              <w:t>6</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1140"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（1）直接进入海域或江、河、湖、库等水环境；或</w:t>
            </w:r>
            <w:r>
              <w:br w:type="textWrapping"/>
            </w:r>
            <w:r>
              <w:t>（2）直接进入城市下水道再入江、河、湖、库或再入海域；或</w:t>
            </w:r>
            <w:r>
              <w:br w:type="textWrapping"/>
            </w:r>
            <w:r>
              <w:t>（3）未依法取得污水排入排水管网许可，进入城镇污水处理厂；或</w:t>
            </w:r>
            <w:r>
              <w:br w:type="textWrapping"/>
            </w:r>
            <w:r>
              <w:t>（4）直接进入污灌农田或蒸发地</w:t>
            </w:r>
          </w:p>
        </w:tc>
        <w:tc>
          <w:tcPr>
            <w:tcW w:w="425" w:type="pct"/>
            <w:tcBorders>
              <w:tl2br w:val="nil"/>
              <w:tr2bl w:val="nil"/>
            </w:tcBorders>
            <w:vAlign w:val="center"/>
          </w:tcPr>
          <w:p>
            <w:pPr>
              <w:pStyle w:val="39"/>
              <w:bidi w:val="0"/>
            </w:pPr>
            <w:r>
              <w:t>12</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855" w:hRule="atLeast"/>
          <w:jc w:val="center"/>
        </w:trPr>
        <w:tc>
          <w:tcPr>
            <w:tcW w:w="639" w:type="pct"/>
            <w:vMerge w:val="restart"/>
            <w:tcBorders>
              <w:tl2br w:val="nil"/>
              <w:tr2bl w:val="nil"/>
            </w:tcBorders>
            <w:vAlign w:val="center"/>
          </w:tcPr>
          <w:p>
            <w:pPr>
              <w:pStyle w:val="39"/>
              <w:bidi w:val="0"/>
            </w:pPr>
            <w:r>
              <w:t>厂内危险废物管理</w:t>
            </w:r>
          </w:p>
        </w:tc>
        <w:tc>
          <w:tcPr>
            <w:tcW w:w="3542" w:type="pct"/>
            <w:tcBorders>
              <w:tl2br w:val="nil"/>
              <w:tr2bl w:val="nil"/>
            </w:tcBorders>
            <w:vAlign w:val="center"/>
          </w:tcPr>
          <w:p>
            <w:pPr>
              <w:pStyle w:val="39"/>
              <w:bidi w:val="0"/>
              <w:jc w:val="left"/>
            </w:pPr>
            <w:r>
              <w:t>（1）不涉及危险废物的；或</w:t>
            </w:r>
            <w:r>
              <w:br w:type="textWrapping"/>
            </w:r>
            <w:r>
              <w:t>（2）针对危险废物分区贮存、运输、利用、处置具有完善的专业设施和风险防控措施</w:t>
            </w:r>
          </w:p>
        </w:tc>
        <w:tc>
          <w:tcPr>
            <w:tcW w:w="425" w:type="pct"/>
            <w:tcBorders>
              <w:tl2br w:val="nil"/>
              <w:tr2bl w:val="nil"/>
            </w:tcBorders>
            <w:vAlign w:val="center"/>
          </w:tcPr>
          <w:p>
            <w:pPr>
              <w:pStyle w:val="39"/>
              <w:bidi w:val="0"/>
            </w:pPr>
            <w:r>
              <w:t>0</w:t>
            </w:r>
          </w:p>
        </w:tc>
        <w:tc>
          <w:tcPr>
            <w:tcW w:w="391" w:type="pct"/>
            <w:vMerge w:val="restart"/>
            <w:tcBorders>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603"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不具备完善的危险废物贮存、运输、利用、处置设施和风险防控措施</w:t>
            </w:r>
          </w:p>
        </w:tc>
        <w:tc>
          <w:tcPr>
            <w:tcW w:w="425" w:type="pct"/>
            <w:tcBorders>
              <w:tl2br w:val="nil"/>
              <w:tr2bl w:val="nil"/>
            </w:tcBorders>
            <w:vAlign w:val="center"/>
          </w:tcPr>
          <w:p>
            <w:pPr>
              <w:pStyle w:val="39"/>
              <w:bidi w:val="0"/>
            </w:pPr>
            <w:r>
              <w:t>10</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restart"/>
            <w:tcBorders>
              <w:tl2br w:val="nil"/>
              <w:tr2bl w:val="nil"/>
            </w:tcBorders>
            <w:vAlign w:val="center"/>
          </w:tcPr>
          <w:p>
            <w:pPr>
              <w:pStyle w:val="39"/>
              <w:bidi w:val="0"/>
            </w:pPr>
            <w:r>
              <w:t>近3年内突发水环境事件发生情况</w:t>
            </w:r>
          </w:p>
        </w:tc>
        <w:tc>
          <w:tcPr>
            <w:tcW w:w="3542" w:type="pct"/>
            <w:tcBorders>
              <w:tl2br w:val="nil"/>
              <w:tr2bl w:val="nil"/>
            </w:tcBorders>
            <w:vAlign w:val="center"/>
          </w:tcPr>
          <w:p>
            <w:pPr>
              <w:pStyle w:val="39"/>
              <w:bidi w:val="0"/>
              <w:jc w:val="left"/>
            </w:pPr>
            <w:r>
              <w:t>发生过特别重大或重大等级突发水环境事件的</w:t>
            </w:r>
          </w:p>
        </w:tc>
        <w:tc>
          <w:tcPr>
            <w:tcW w:w="425" w:type="pct"/>
            <w:tcBorders>
              <w:tl2br w:val="nil"/>
              <w:tr2bl w:val="nil"/>
            </w:tcBorders>
            <w:vAlign w:val="center"/>
          </w:tcPr>
          <w:p>
            <w:pPr>
              <w:pStyle w:val="39"/>
              <w:bidi w:val="0"/>
            </w:pPr>
            <w:r>
              <w:t>8</w:t>
            </w:r>
          </w:p>
        </w:tc>
        <w:tc>
          <w:tcPr>
            <w:tcW w:w="391" w:type="pct"/>
            <w:vMerge w:val="restart"/>
            <w:tcBorders>
              <w:tl2br w:val="nil"/>
              <w:tr2bl w:val="nil"/>
            </w:tcBorders>
            <w:vAlign w:val="center"/>
          </w:tcPr>
          <w:p>
            <w:pPr>
              <w:pStyle w:val="39"/>
              <w:bidi w:val="0"/>
            </w:pPr>
            <w: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发生过较大等级突发水环境事件的</w:t>
            </w:r>
          </w:p>
        </w:tc>
        <w:tc>
          <w:tcPr>
            <w:tcW w:w="425" w:type="pct"/>
            <w:tcBorders>
              <w:tl2br w:val="nil"/>
              <w:tr2bl w:val="nil"/>
            </w:tcBorders>
            <w:vAlign w:val="center"/>
          </w:tcPr>
          <w:p>
            <w:pPr>
              <w:pStyle w:val="39"/>
              <w:bidi w:val="0"/>
            </w:pPr>
            <w:r>
              <w:t>6</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发生过一般等级突发水环境事件的</w:t>
            </w:r>
          </w:p>
        </w:tc>
        <w:tc>
          <w:tcPr>
            <w:tcW w:w="425" w:type="pct"/>
            <w:tcBorders>
              <w:tl2br w:val="nil"/>
              <w:tr2bl w:val="nil"/>
            </w:tcBorders>
            <w:vAlign w:val="center"/>
          </w:tcPr>
          <w:p>
            <w:pPr>
              <w:pStyle w:val="39"/>
              <w:bidi w:val="0"/>
            </w:pPr>
            <w:r>
              <w:t>4</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vMerge w:val="continue"/>
            <w:tcBorders>
              <w:tl2br w:val="nil"/>
              <w:tr2bl w:val="nil"/>
            </w:tcBorders>
            <w:vAlign w:val="center"/>
          </w:tcPr>
          <w:p>
            <w:pPr>
              <w:pStyle w:val="39"/>
              <w:bidi w:val="0"/>
            </w:pPr>
          </w:p>
        </w:tc>
        <w:tc>
          <w:tcPr>
            <w:tcW w:w="3542" w:type="pct"/>
            <w:tcBorders>
              <w:tl2br w:val="nil"/>
              <w:tr2bl w:val="nil"/>
            </w:tcBorders>
            <w:vAlign w:val="center"/>
          </w:tcPr>
          <w:p>
            <w:pPr>
              <w:pStyle w:val="39"/>
              <w:bidi w:val="0"/>
              <w:jc w:val="left"/>
            </w:pPr>
            <w:r>
              <w:t>未发生突发水环境事件的</w:t>
            </w:r>
          </w:p>
        </w:tc>
        <w:tc>
          <w:tcPr>
            <w:tcW w:w="425" w:type="pct"/>
            <w:tcBorders>
              <w:tl2br w:val="nil"/>
              <w:tr2bl w:val="nil"/>
            </w:tcBorders>
            <w:vAlign w:val="center"/>
          </w:tcPr>
          <w:p>
            <w:pPr>
              <w:pStyle w:val="39"/>
              <w:bidi w:val="0"/>
            </w:pPr>
            <w:r>
              <w:t>0</w:t>
            </w:r>
          </w:p>
        </w:tc>
        <w:tc>
          <w:tcPr>
            <w:tcW w:w="391" w:type="pct"/>
            <w:vMerge w:val="continue"/>
            <w:tcBorders>
              <w:tl2br w:val="nil"/>
              <w:tr2bl w:val="nil"/>
            </w:tcBorders>
            <w:vAlign w:val="center"/>
          </w:tcPr>
          <w:p>
            <w:pPr>
              <w:pStyle w:val="39"/>
              <w:bidi w:val="0"/>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286" w:hRule="atLeast"/>
          <w:jc w:val="center"/>
        </w:trPr>
        <w:tc>
          <w:tcPr>
            <w:tcW w:w="639" w:type="pct"/>
            <w:tcBorders>
              <w:tl2br w:val="nil"/>
              <w:tr2bl w:val="nil"/>
            </w:tcBorders>
            <w:vAlign w:val="center"/>
          </w:tcPr>
          <w:p>
            <w:pPr>
              <w:pStyle w:val="39"/>
              <w:bidi w:val="0"/>
            </w:pPr>
            <w:r>
              <w:rPr>
                <w:rFonts w:hint="eastAsia"/>
              </w:rPr>
              <w:t>总分</w:t>
            </w:r>
          </w:p>
        </w:tc>
        <w:tc>
          <w:tcPr>
            <w:tcW w:w="4360" w:type="pct"/>
            <w:gridSpan w:val="3"/>
            <w:tcBorders>
              <w:tl2br w:val="nil"/>
              <w:tr2bl w:val="nil"/>
            </w:tcBorders>
            <w:vAlign w:val="center"/>
          </w:tcPr>
          <w:p>
            <w:pPr>
              <w:pStyle w:val="39"/>
              <w:bidi w:val="0"/>
              <w:rPr>
                <w:rFonts w:hint="default" w:eastAsia="宋体"/>
                <w:lang w:val="en-US" w:eastAsia="zh-CN"/>
              </w:rPr>
            </w:pPr>
            <w:r>
              <w:rPr>
                <w:rFonts w:hint="eastAsia"/>
                <w:lang w:val="en-US" w:eastAsia="zh-CN"/>
              </w:rPr>
              <w:t>38</w:t>
            </w:r>
          </w:p>
        </w:tc>
      </w:tr>
    </w:tbl>
    <w:p>
      <w:pPr>
        <w:bidi w:val="0"/>
      </w:pPr>
      <w:r>
        <w:t>将企业生产工艺过程、水环境风险防控措施及突发水环境事件发生情况各项指标评估分值累加，得出生产工艺过程与水环境风险控制水平值，按照表4划分为4个类型。</w:t>
      </w:r>
    </w:p>
    <w:p>
      <w:pPr>
        <w:pStyle w:val="28"/>
        <w:bidi w:val="0"/>
      </w:pPr>
      <w:r>
        <w:rPr>
          <w:rFonts w:hint="eastAsia"/>
        </w:rPr>
        <w:t>表</w:t>
      </w:r>
      <w:r>
        <w:rPr>
          <w:rFonts w:hint="eastAsia"/>
          <w:lang w:val="en-US" w:eastAsia="zh-CN"/>
        </w:rPr>
        <w:t>6</w:t>
      </w:r>
      <w:r>
        <w:rPr>
          <w:rFonts w:hint="eastAsia"/>
        </w:rPr>
        <w:t>.3</w:t>
      </w:r>
      <w:r>
        <w:rPr>
          <w:rFonts w:hint="eastAsia"/>
          <w:lang w:val="en-US" w:eastAsia="zh-CN"/>
        </w:rPr>
        <w:t>.2</w:t>
      </w:r>
      <w:r>
        <w:rPr>
          <w:rFonts w:hint="eastAsia"/>
        </w:rPr>
        <w:t>-2 企业生产工艺过程与环境风险控制水平类型划分</w:t>
      </w:r>
    </w:p>
    <w:tbl>
      <w:tblPr>
        <w:tblStyle w:val="22"/>
        <w:tblW w:w="499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76"/>
        <w:gridCol w:w="414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624" w:type="pct"/>
            <w:tcBorders>
              <w:bottom w:val="single" w:color="auto" w:sz="12" w:space="0"/>
            </w:tcBorders>
            <w:vAlign w:val="center"/>
          </w:tcPr>
          <w:p>
            <w:pPr>
              <w:pStyle w:val="62"/>
              <w:rPr>
                <w:b/>
              </w:rPr>
            </w:pPr>
            <w:r>
              <w:rPr>
                <w:b/>
              </w:rPr>
              <w:t>生产工艺过程与环境风险控制水平值</w:t>
            </w:r>
          </w:p>
        </w:tc>
        <w:tc>
          <w:tcPr>
            <w:tcW w:w="2375" w:type="pct"/>
            <w:tcBorders>
              <w:bottom w:val="single" w:color="auto" w:sz="12" w:space="0"/>
            </w:tcBorders>
            <w:vAlign w:val="center"/>
          </w:tcPr>
          <w:p>
            <w:pPr>
              <w:pStyle w:val="62"/>
              <w:rPr>
                <w:b/>
              </w:rPr>
            </w:pPr>
            <w:r>
              <w:rPr>
                <w:b/>
              </w:rPr>
              <w:t>生产工艺过程与环境风险控制水平类型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624" w:type="pct"/>
            <w:tcBorders>
              <w:top w:val="single" w:color="auto" w:sz="12" w:space="0"/>
              <w:tl2br w:val="nil"/>
              <w:tr2bl w:val="nil"/>
            </w:tcBorders>
          </w:tcPr>
          <w:p>
            <w:pPr>
              <w:pStyle w:val="62"/>
            </w:pPr>
            <w:r>
              <w:t>M</w:t>
            </w:r>
            <w:r>
              <w:rPr>
                <w:highlight w:val="none"/>
              </w:rPr>
              <w:t>＜</w:t>
            </w:r>
            <w:r>
              <w:t>25</w:t>
            </w:r>
          </w:p>
        </w:tc>
        <w:tc>
          <w:tcPr>
            <w:tcW w:w="2375" w:type="pct"/>
            <w:tcBorders>
              <w:top w:val="single" w:color="auto" w:sz="12" w:space="0"/>
              <w:tl2br w:val="nil"/>
              <w:tr2bl w:val="nil"/>
            </w:tcBorders>
          </w:tcPr>
          <w:p>
            <w:pPr>
              <w:pStyle w:val="62"/>
            </w:pPr>
            <w:r>
              <w:t>M1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624" w:type="pct"/>
            <w:tcBorders>
              <w:tl2br w:val="nil"/>
              <w:tr2bl w:val="nil"/>
            </w:tcBorders>
          </w:tcPr>
          <w:p>
            <w:pPr>
              <w:pStyle w:val="62"/>
            </w:pPr>
            <w:r>
              <w:t>25≤M</w:t>
            </w:r>
            <w:r>
              <w:rPr>
                <w:highlight w:val="none"/>
              </w:rPr>
              <w:t>＜</w:t>
            </w:r>
            <w:r>
              <w:t>45</w:t>
            </w:r>
          </w:p>
        </w:tc>
        <w:tc>
          <w:tcPr>
            <w:tcW w:w="2375" w:type="pct"/>
            <w:tcBorders>
              <w:tl2br w:val="nil"/>
              <w:tr2bl w:val="nil"/>
            </w:tcBorders>
          </w:tcPr>
          <w:p>
            <w:pPr>
              <w:pStyle w:val="62"/>
            </w:pPr>
            <w:r>
              <w:t>M2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624" w:type="pct"/>
            <w:tcBorders>
              <w:tl2br w:val="nil"/>
              <w:tr2bl w:val="nil"/>
            </w:tcBorders>
          </w:tcPr>
          <w:p>
            <w:pPr>
              <w:pStyle w:val="62"/>
            </w:pPr>
            <w:r>
              <w:t>45≤M</w:t>
            </w:r>
            <w:r>
              <w:rPr>
                <w:highlight w:val="none"/>
              </w:rPr>
              <w:t>＜</w:t>
            </w:r>
            <w:r>
              <w:t>65</w:t>
            </w:r>
          </w:p>
        </w:tc>
        <w:tc>
          <w:tcPr>
            <w:tcW w:w="2375" w:type="pct"/>
            <w:tcBorders>
              <w:tl2br w:val="nil"/>
              <w:tr2bl w:val="nil"/>
            </w:tcBorders>
          </w:tcPr>
          <w:p>
            <w:pPr>
              <w:pStyle w:val="62"/>
            </w:pPr>
            <w:r>
              <w:t>M3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624" w:type="pct"/>
            <w:tcBorders>
              <w:tl2br w:val="nil"/>
              <w:tr2bl w:val="nil"/>
            </w:tcBorders>
          </w:tcPr>
          <w:p>
            <w:pPr>
              <w:pStyle w:val="62"/>
            </w:pPr>
            <w:r>
              <w:t>M≥65</w:t>
            </w:r>
          </w:p>
        </w:tc>
        <w:tc>
          <w:tcPr>
            <w:tcW w:w="2375" w:type="pct"/>
            <w:tcBorders>
              <w:tl2br w:val="nil"/>
              <w:tr2bl w:val="nil"/>
            </w:tcBorders>
          </w:tcPr>
          <w:p>
            <w:pPr>
              <w:pStyle w:val="62"/>
            </w:pPr>
            <w:r>
              <w:t>M4</w:t>
            </w:r>
          </w:p>
        </w:tc>
      </w:tr>
    </w:tbl>
    <w:p>
      <w:pPr>
        <w:bidi w:val="0"/>
      </w:pPr>
      <w:r>
        <w:t>由上表可知，本项目属于M</w:t>
      </w:r>
      <w:r>
        <w:rPr>
          <w:rFonts w:hint="eastAsia"/>
          <w:lang w:val="en-US" w:eastAsia="zh-CN"/>
        </w:rPr>
        <w:t>2</w:t>
      </w:r>
      <w:r>
        <w:t>。</w:t>
      </w:r>
    </w:p>
    <w:p>
      <w:pPr>
        <w:pStyle w:val="5"/>
        <w:bidi w:val="0"/>
      </w:pPr>
      <w:bookmarkStart w:id="569" w:name="_Toc11893"/>
      <w:bookmarkStart w:id="570" w:name="_Toc3427"/>
      <w:bookmarkStart w:id="571" w:name="_Toc17710"/>
      <w:bookmarkStart w:id="572" w:name="_Toc11047"/>
      <w:bookmarkStart w:id="573" w:name="_Toc8575"/>
      <w:bookmarkStart w:id="574" w:name="_Toc37591953"/>
      <w:r>
        <w:rPr>
          <w:rFonts w:hint="eastAsia"/>
          <w:lang w:val="en-US" w:eastAsia="zh-CN"/>
        </w:rPr>
        <w:t>6</w:t>
      </w:r>
      <w:r>
        <w:t>.</w:t>
      </w:r>
      <w:r>
        <w:rPr>
          <w:rFonts w:hint="eastAsia"/>
        </w:rPr>
        <w:t>3</w:t>
      </w:r>
      <w:r>
        <w:t>.3 确定水环境风险受体类型（E）</w:t>
      </w:r>
      <w:bookmarkEnd w:id="569"/>
      <w:bookmarkEnd w:id="570"/>
      <w:bookmarkEnd w:id="571"/>
      <w:bookmarkEnd w:id="572"/>
      <w:bookmarkEnd w:id="573"/>
      <w:bookmarkEnd w:id="574"/>
    </w:p>
    <w:p>
      <w:pPr>
        <w:bidi w:val="0"/>
      </w:pPr>
      <w:r>
        <w:t>按照水环境风险受体敏感程度，同时考虑河流跨界的情况和可能造成土壤污染的情况，将水环境受体敏感程度类型划分为类型1、类型2和类型3，分别以E1、E2和E3表示，见表</w:t>
      </w:r>
      <w:r>
        <w:rPr>
          <w:rFonts w:hint="eastAsia"/>
        </w:rPr>
        <w:t>7</w:t>
      </w:r>
      <w:r>
        <w:t>.3-</w:t>
      </w:r>
      <w:r>
        <w:rPr>
          <w:rFonts w:hint="eastAsia"/>
        </w:rPr>
        <w:t>3</w:t>
      </w:r>
      <w:r>
        <w:t>。</w:t>
      </w:r>
    </w:p>
    <w:p>
      <w:pPr>
        <w:bidi w:val="0"/>
      </w:pPr>
      <w:r>
        <w:t>水环境风险受体敏感程度按类型1、类型2和类型3以此降低。若企业周边存在多种敏感程度类型的水环境风险受体，则按敏感程度高者确定企业水环境风险受体敏感程度类型。</w:t>
      </w:r>
    </w:p>
    <w:p>
      <w:pPr>
        <w:pStyle w:val="28"/>
        <w:bidi w:val="0"/>
      </w:pPr>
      <w:r>
        <w:t>表</w:t>
      </w:r>
      <w:r>
        <w:rPr>
          <w:rFonts w:hint="eastAsia"/>
          <w:lang w:val="en-US" w:eastAsia="zh-CN"/>
        </w:rPr>
        <w:t>6</w:t>
      </w:r>
      <w:r>
        <w:t>.</w:t>
      </w:r>
      <w:r>
        <w:rPr>
          <w:rFonts w:hint="eastAsia"/>
        </w:rPr>
        <w:t>3-3</w:t>
      </w:r>
      <w:r>
        <w:t xml:space="preserve"> 水环境风险受体敏感程度类型划分</w:t>
      </w:r>
    </w:p>
    <w:p>
      <w:pPr>
        <w:pStyle w:val="18"/>
        <w:jc w:val="center"/>
        <w:rPr>
          <w:rFonts w:ascii="Times New Roman" w:hAnsi="Times New Roman"/>
        </w:rPr>
      </w:pPr>
      <w:r>
        <w:rPr>
          <w:rFonts w:ascii="Times New Roman" w:hAnsi="Times New Roman"/>
        </w:rPr>
        <w:drawing>
          <wp:inline distT="0" distB="0" distL="114300" distR="114300">
            <wp:extent cx="5489575" cy="3388995"/>
            <wp:effectExtent l="0" t="0" r="15875"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5489575" cy="3388995"/>
                    </a:xfrm>
                    <a:prstGeom prst="rect">
                      <a:avLst/>
                    </a:prstGeom>
                    <a:noFill/>
                    <a:ln>
                      <a:noFill/>
                    </a:ln>
                  </pic:spPr>
                </pic:pic>
              </a:graphicData>
            </a:graphic>
          </wp:inline>
        </w:drawing>
      </w:r>
    </w:p>
    <w:p>
      <w:pPr>
        <w:bidi w:val="0"/>
      </w:pPr>
      <w:r>
        <w:t>本项目污水</w:t>
      </w:r>
      <w:r>
        <w:rPr>
          <w:rFonts w:hint="eastAsia"/>
        </w:rPr>
        <w:t>排入白水湖污水处理厂，白水湖污水处理厂</w:t>
      </w:r>
      <w:r>
        <w:t>排到</w:t>
      </w:r>
      <w:r>
        <w:rPr>
          <w:rFonts w:hint="eastAsia"/>
        </w:rPr>
        <w:t>赣江北支</w:t>
      </w:r>
      <w:r>
        <w:t>，企业水环境受体敏感程度为E</w:t>
      </w:r>
      <w:r>
        <w:rPr>
          <w:rFonts w:hint="eastAsia"/>
        </w:rPr>
        <w:t>3</w:t>
      </w:r>
      <w:r>
        <w:t>。</w:t>
      </w:r>
    </w:p>
    <w:p>
      <w:pPr>
        <w:pStyle w:val="5"/>
        <w:bidi w:val="0"/>
      </w:pPr>
      <w:bookmarkStart w:id="575" w:name="_Toc30261"/>
      <w:bookmarkStart w:id="576" w:name="_Toc28555"/>
      <w:bookmarkStart w:id="577" w:name="_Toc6524"/>
      <w:bookmarkStart w:id="578" w:name="_Toc31730"/>
      <w:bookmarkStart w:id="579" w:name="_Toc31207"/>
      <w:bookmarkStart w:id="580" w:name="_Toc37591954"/>
      <w:r>
        <w:rPr>
          <w:rFonts w:hint="eastAsia"/>
          <w:lang w:val="en-US" w:eastAsia="zh-CN"/>
        </w:rPr>
        <w:t>6</w:t>
      </w:r>
      <w:r>
        <w:rPr>
          <w:rFonts w:hint="eastAsia"/>
        </w:rPr>
        <w:t>.3.4</w:t>
      </w:r>
      <w:r>
        <w:t xml:space="preserve"> </w:t>
      </w:r>
      <w:r>
        <w:rPr>
          <w:rFonts w:hint="eastAsia"/>
        </w:rPr>
        <w:t>突发水环境风险等级确定</w:t>
      </w:r>
      <w:bookmarkEnd w:id="575"/>
      <w:bookmarkEnd w:id="576"/>
      <w:bookmarkEnd w:id="577"/>
      <w:bookmarkEnd w:id="578"/>
      <w:bookmarkEnd w:id="579"/>
      <w:bookmarkEnd w:id="580"/>
    </w:p>
    <w:p>
      <w:pPr>
        <w:bidi w:val="0"/>
      </w:pPr>
      <w:r>
        <w:t>根据企业周边水环境风险受体敏感程度（E）、涉水风险物质数量与临界量比值（Q）和生产工艺过程与水环境风险控制水平（M），按照表</w:t>
      </w:r>
      <w:r>
        <w:rPr>
          <w:rFonts w:hint="eastAsia"/>
          <w:lang w:val="en-US" w:eastAsia="zh-CN"/>
        </w:rPr>
        <w:t>6.2.4-1</w:t>
      </w:r>
      <w:r>
        <w:t>确定企业突发水环境事件风险等级。</w:t>
      </w:r>
    </w:p>
    <w:p>
      <w:pPr>
        <w:bidi w:val="0"/>
      </w:pPr>
      <w:r>
        <w:t>根据《企业突发环境事件风险分级方法》（HJ941-2018），企业突发水环境事件风险等级表征分为两种情况：</w:t>
      </w:r>
    </w:p>
    <w:p>
      <w:pPr>
        <w:bidi w:val="0"/>
      </w:pPr>
      <w:r>
        <w:t>（1）Q</w:t>
      </w:r>
      <w:r>
        <w:rPr>
          <w:highlight w:val="none"/>
        </w:rPr>
        <w:t>＜</w:t>
      </w:r>
      <w:r>
        <w:t>1时，企业突发水环境事件风险等级表示为“一般-水（Q0）”。</w:t>
      </w:r>
    </w:p>
    <w:p>
      <w:pPr>
        <w:bidi w:val="0"/>
      </w:pPr>
      <w:r>
        <w:t>（2）Q≥1时，企业突发水环境事件风险等级表示为“环境风险等级-水（Q水平-M类型-E类型）”。</w:t>
      </w:r>
    </w:p>
    <w:p>
      <w:pPr>
        <w:bidi w:val="0"/>
      </w:pPr>
      <w:r>
        <w:t>综上所述，因南昌</w:t>
      </w:r>
      <w:r>
        <w:rPr>
          <w:rFonts w:hint="eastAsia"/>
        </w:rPr>
        <w:t>瀛宇金属制品</w:t>
      </w:r>
      <w:r>
        <w:t>有限公司水涉水风险物质</w:t>
      </w:r>
      <w:r>
        <w:rPr>
          <w:rFonts w:hint="eastAsia"/>
        </w:rPr>
        <w:t>Q=0.008004.</w:t>
      </w:r>
      <w:r>
        <w:t>，Q</w:t>
      </w:r>
      <w:r>
        <w:rPr>
          <w:highlight w:val="none"/>
        </w:rPr>
        <w:t>＜</w:t>
      </w:r>
      <w:r>
        <w:t>1</w:t>
      </w:r>
      <w:r>
        <w:rPr>
          <w:rFonts w:hint="eastAsia"/>
        </w:rPr>
        <w:t>，</w:t>
      </w:r>
      <w:r>
        <w:t>所以南昌</w:t>
      </w:r>
      <w:r>
        <w:rPr>
          <w:rFonts w:hint="eastAsia"/>
        </w:rPr>
        <w:t>瀛宇金属制品</w:t>
      </w:r>
      <w:r>
        <w:t>有限公司突发水环境事件风险等级为“一般-水（Q</w:t>
      </w:r>
      <w:r>
        <w:rPr>
          <w:rFonts w:hint="eastAsia"/>
        </w:rPr>
        <w:t>0</w:t>
      </w:r>
      <w:r>
        <w:t>）”。</w:t>
      </w:r>
    </w:p>
    <w:p>
      <w:pPr>
        <w:pStyle w:val="4"/>
        <w:bidi w:val="0"/>
      </w:pPr>
      <w:bookmarkStart w:id="581" w:name="_Toc3641"/>
      <w:bookmarkStart w:id="582" w:name="_Toc25372"/>
      <w:bookmarkStart w:id="583" w:name="_Toc2704"/>
      <w:bookmarkStart w:id="584" w:name="_Toc28166"/>
      <w:bookmarkStart w:id="585" w:name="_Toc14717"/>
      <w:bookmarkStart w:id="586" w:name="_Toc11402"/>
      <w:bookmarkStart w:id="587" w:name="_Toc37591955"/>
      <w:bookmarkStart w:id="588" w:name="_Toc7768"/>
      <w:bookmarkStart w:id="589" w:name="_Toc5226"/>
      <w:bookmarkStart w:id="590" w:name="_Toc24223"/>
      <w:r>
        <w:rPr>
          <w:rFonts w:hint="eastAsia"/>
          <w:lang w:val="en-US" w:eastAsia="zh-CN"/>
        </w:rPr>
        <w:t>6</w:t>
      </w:r>
      <w:r>
        <w:rPr>
          <w:rFonts w:hint="eastAsia"/>
        </w:rPr>
        <w:t>.4 企业环境风险等级的确定</w:t>
      </w:r>
      <w:bookmarkEnd w:id="581"/>
      <w:bookmarkEnd w:id="582"/>
      <w:bookmarkEnd w:id="583"/>
      <w:bookmarkEnd w:id="584"/>
      <w:bookmarkEnd w:id="585"/>
      <w:bookmarkEnd w:id="586"/>
      <w:bookmarkEnd w:id="587"/>
      <w:bookmarkEnd w:id="588"/>
      <w:bookmarkEnd w:id="589"/>
      <w:bookmarkEnd w:id="590"/>
    </w:p>
    <w:p>
      <w:pPr>
        <w:bidi w:val="0"/>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33" w:charSpace="0"/>
        </w:sectPr>
      </w:pPr>
      <w:r>
        <w:t>由《南昌</w:t>
      </w:r>
      <w:r>
        <w:rPr>
          <w:rFonts w:hint="eastAsia"/>
        </w:rPr>
        <w:t>瀛宇金属制品</w:t>
      </w:r>
      <w:r>
        <w:t>有限公司环境风险评估报告》可知，企业同时涉及突发大气和水环境事件风险的企业，风险等级表示为“一般-大气（Q</w:t>
      </w:r>
      <w:r>
        <w:rPr>
          <w:rFonts w:hint="eastAsia"/>
        </w:rPr>
        <w:t>0</w:t>
      </w:r>
      <w:r>
        <w:t>）+一般-水（Q</w:t>
      </w:r>
      <w:r>
        <w:rPr>
          <w:rFonts w:hint="eastAsia"/>
        </w:rPr>
        <w:t>0</w:t>
      </w:r>
      <w:r>
        <w:t>）”。</w:t>
      </w:r>
    </w:p>
    <w:p>
      <w:pPr>
        <w:pStyle w:val="84"/>
        <w:bidi w:val="0"/>
      </w:pPr>
      <w:bookmarkStart w:id="591" w:name="_Toc5649"/>
      <w:bookmarkStart w:id="592" w:name="_Toc17046"/>
      <w:bookmarkStart w:id="593" w:name="_Toc2565"/>
      <w:bookmarkStart w:id="594" w:name="_Toc20640"/>
      <w:bookmarkStart w:id="595" w:name="_Toc37591956"/>
      <w:bookmarkStart w:id="596" w:name="_Toc25711"/>
      <w:r>
        <w:rPr>
          <w:rFonts w:hint="eastAsia"/>
        </w:rPr>
        <w:t>附图一 企业地理位置图</w:t>
      </w:r>
      <w:bookmarkEnd w:id="591"/>
      <w:bookmarkEnd w:id="592"/>
      <w:bookmarkEnd w:id="593"/>
      <w:bookmarkEnd w:id="594"/>
      <w:bookmarkEnd w:id="595"/>
      <w:bookmarkEnd w:id="596"/>
    </w:p>
    <w:p>
      <w:pPr>
        <w:ind w:firstLine="560"/>
        <w:rPr>
          <w:rFonts w:hint="eastAsia"/>
        </w:rPr>
      </w:pPr>
      <w:r>
        <w:drawing>
          <wp:inline distT="0" distB="0" distL="114300" distR="114300">
            <wp:extent cx="8550275" cy="4679950"/>
            <wp:effectExtent l="0" t="0" r="3175" b="6350"/>
            <wp:docPr id="12" name="图片 23" descr="C:\Users\a\Desktop\0b11af09587d21ff61b7ce21b290e65.png0b11af09587d21ff61b7ce21b290e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3" descr="C:\Users\a\Desktop\0b11af09587d21ff61b7ce21b290e65.png0b11af09587d21ff61b7ce21b290e65"/>
                    <pic:cNvPicPr>
                      <a:picLocks noChangeAspect="1"/>
                    </pic:cNvPicPr>
                  </pic:nvPicPr>
                  <pic:blipFill>
                    <a:blip r:embed="rId15"/>
                    <a:srcRect/>
                    <a:stretch>
                      <a:fillRect/>
                    </a:stretch>
                  </pic:blipFill>
                  <pic:spPr>
                    <a:xfrm>
                      <a:off x="0" y="0"/>
                      <a:ext cx="8550275" cy="4679950"/>
                    </a:xfrm>
                    <a:prstGeom prst="rect">
                      <a:avLst/>
                    </a:prstGeom>
                    <a:noFill/>
                    <a:ln>
                      <a:noFill/>
                    </a:ln>
                  </pic:spPr>
                </pic:pic>
              </a:graphicData>
            </a:graphic>
          </wp:inline>
        </w:drawing>
      </w:r>
    </w:p>
    <w:p>
      <w:pPr>
        <w:ind w:firstLine="560"/>
      </w:pPr>
    </w:p>
    <w:p>
      <w:pPr>
        <w:ind w:firstLine="560"/>
        <w:sectPr>
          <w:pgSz w:w="16838" w:h="11906" w:orient="landscape"/>
          <w:pgMar w:top="1417" w:right="1701" w:bottom="1417" w:left="1701" w:header="851" w:footer="992" w:gutter="0"/>
          <w:pgBorders>
            <w:top w:val="none" w:sz="0" w:space="0"/>
            <w:left w:val="none" w:sz="0" w:space="0"/>
            <w:bottom w:val="none" w:sz="0" w:space="0"/>
            <w:right w:val="none" w:sz="0" w:space="0"/>
          </w:pgBorders>
          <w:pgNumType w:fmt="decimal"/>
          <w:cols w:space="0" w:num="1"/>
          <w:rtlGutter w:val="0"/>
          <w:docGrid w:type="lines" w:linePitch="380" w:charSpace="0"/>
        </w:sectPr>
      </w:pPr>
    </w:p>
    <w:p>
      <w:pPr>
        <w:pStyle w:val="84"/>
        <w:bidi w:val="0"/>
      </w:pPr>
      <w:bookmarkStart w:id="597" w:name="_Toc31951"/>
      <w:bookmarkStart w:id="598" w:name="_Toc13237"/>
      <w:bookmarkStart w:id="599" w:name="_Toc8741"/>
      <w:bookmarkStart w:id="600" w:name="_Toc37591957"/>
      <w:bookmarkStart w:id="601" w:name="_Toc428904873"/>
      <w:bookmarkStart w:id="602" w:name="_Toc8969"/>
      <w:bookmarkStart w:id="603" w:name="_Toc8561"/>
      <w:bookmarkStart w:id="604" w:name="_Toc455741316"/>
      <w:bookmarkStart w:id="605" w:name="_Toc16067"/>
      <w:r>
        <w:rPr>
          <w:rFonts w:hint="eastAsia"/>
        </w:rPr>
        <w:t>附图二</w:t>
      </w:r>
      <w:r>
        <w:t xml:space="preserve"> </w:t>
      </w:r>
      <w:r>
        <w:rPr>
          <w:rFonts w:hint="eastAsia"/>
        </w:rPr>
        <w:t>厂区</w:t>
      </w:r>
      <w:r>
        <w:rPr>
          <w:rFonts w:hint="eastAsia"/>
          <w:highlight w:val="none"/>
        </w:rPr>
        <w:t>平面布置图</w:t>
      </w:r>
      <w:bookmarkEnd w:id="597"/>
      <w:bookmarkEnd w:id="598"/>
      <w:bookmarkEnd w:id="599"/>
      <w:bookmarkEnd w:id="600"/>
      <w:bookmarkEnd w:id="601"/>
      <w:bookmarkEnd w:id="602"/>
      <w:bookmarkEnd w:id="603"/>
      <w:bookmarkEnd w:id="604"/>
      <w:bookmarkEnd w:id="605"/>
    </w:p>
    <w:p>
      <w:pPr>
        <w:pStyle w:val="32"/>
        <w:jc w:val="center"/>
        <w:rPr>
          <w:color w:val="auto"/>
        </w:rPr>
        <w:sectPr>
          <w:pgSz w:w="11907" w:h="16839"/>
          <w:pgMar w:top="1803" w:right="1440" w:bottom="1803" w:left="1440" w:header="851" w:footer="992" w:gutter="0"/>
          <w:pgBorders>
            <w:top w:val="none" w:sz="0" w:space="0"/>
            <w:left w:val="none" w:sz="0" w:space="0"/>
            <w:bottom w:val="none" w:sz="0" w:space="0"/>
            <w:right w:val="none" w:sz="0" w:space="0"/>
          </w:pgBorders>
          <w:pgNumType w:fmt="decimal"/>
          <w:cols w:space="720" w:num="1"/>
          <w:docGrid w:type="lines" w:linePitch="381" w:charSpace="0"/>
        </w:sectPr>
      </w:pPr>
      <w:r>
        <w:rPr>
          <w:color w:val="auto"/>
        </w:rPr>
        <w:drawing>
          <wp:inline distT="0" distB="0" distL="114300" distR="114300">
            <wp:extent cx="5258435" cy="6120130"/>
            <wp:effectExtent l="0" t="0" r="18415" b="13970"/>
            <wp:docPr id="11" name="图片 5" descr="C:\Users\a\Desktop\5b52d24a56e78a13fb0748448a1df89.png5b52d24a56e78a13fb0748448a1df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C:\Users\a\Desktop\5b52d24a56e78a13fb0748448a1df89.png5b52d24a56e78a13fb0748448a1df89"/>
                    <pic:cNvPicPr>
                      <a:picLocks noChangeAspect="1"/>
                    </pic:cNvPicPr>
                  </pic:nvPicPr>
                  <pic:blipFill>
                    <a:blip r:embed="rId16"/>
                    <a:srcRect/>
                    <a:stretch>
                      <a:fillRect/>
                    </a:stretch>
                  </pic:blipFill>
                  <pic:spPr>
                    <a:xfrm>
                      <a:off x="0" y="0"/>
                      <a:ext cx="5258435" cy="6120130"/>
                    </a:xfrm>
                    <a:prstGeom prst="rect">
                      <a:avLst/>
                    </a:prstGeom>
                    <a:noFill/>
                    <a:ln>
                      <a:noFill/>
                    </a:ln>
                  </pic:spPr>
                </pic:pic>
              </a:graphicData>
            </a:graphic>
          </wp:inline>
        </w:drawing>
      </w:r>
    </w:p>
    <w:p>
      <w:pPr>
        <w:pStyle w:val="84"/>
        <w:bidi w:val="0"/>
      </w:pPr>
      <w:bookmarkStart w:id="606" w:name="page1"/>
      <w:bookmarkEnd w:id="606"/>
      <w:bookmarkStart w:id="607" w:name="_Toc32174"/>
      <w:bookmarkStart w:id="608" w:name="_Toc15619"/>
      <w:bookmarkStart w:id="609" w:name="_Toc455741317"/>
      <w:bookmarkStart w:id="610" w:name="_Toc11418"/>
      <w:bookmarkStart w:id="611" w:name="_Toc17827"/>
      <w:bookmarkStart w:id="612" w:name="_Toc428904874"/>
      <w:bookmarkStart w:id="613" w:name="_Toc20258"/>
      <w:bookmarkStart w:id="614" w:name="_Toc22670"/>
      <w:bookmarkStart w:id="615" w:name="_Toc37591958"/>
      <w:r>
        <w:rPr>
          <w:rFonts w:hint="eastAsia"/>
        </w:rPr>
        <w:t>附图三 周边环境风险受体分布图</w:t>
      </w:r>
      <w:bookmarkEnd w:id="607"/>
      <w:bookmarkEnd w:id="608"/>
      <w:bookmarkEnd w:id="609"/>
      <w:bookmarkEnd w:id="610"/>
      <w:bookmarkEnd w:id="611"/>
      <w:bookmarkEnd w:id="612"/>
      <w:bookmarkEnd w:id="613"/>
      <w:bookmarkEnd w:id="614"/>
      <w:bookmarkEnd w:id="615"/>
    </w:p>
    <w:p>
      <w:pPr>
        <w:ind w:firstLine="0" w:firstLineChars="0"/>
        <w:jc w:val="center"/>
      </w:pPr>
      <w:r>
        <w:drawing>
          <wp:inline distT="0" distB="0" distL="114300" distR="114300">
            <wp:extent cx="12734290" cy="7595235"/>
            <wp:effectExtent l="0" t="0" r="10160" b="5715"/>
            <wp:docPr id="13" name="图片 6" descr="C:\Users\a\Desktop\f7505dcdf766d862b14eb02e178db3d.pngf7505dcdf766d862b14eb02e178db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descr="C:\Users\a\Desktop\f7505dcdf766d862b14eb02e178db3d.pngf7505dcdf766d862b14eb02e178db3d"/>
                    <pic:cNvPicPr>
                      <a:picLocks noChangeAspect="1"/>
                    </pic:cNvPicPr>
                  </pic:nvPicPr>
                  <pic:blipFill>
                    <a:blip r:embed="rId17"/>
                    <a:srcRect/>
                    <a:stretch>
                      <a:fillRect/>
                    </a:stretch>
                  </pic:blipFill>
                  <pic:spPr>
                    <a:xfrm>
                      <a:off x="0" y="0"/>
                      <a:ext cx="12734290" cy="7595235"/>
                    </a:xfrm>
                    <a:prstGeom prst="rect">
                      <a:avLst/>
                    </a:prstGeom>
                    <a:noFill/>
                    <a:ln>
                      <a:noFill/>
                    </a:ln>
                  </pic:spPr>
                </pic:pic>
              </a:graphicData>
            </a:graphic>
          </wp:inline>
        </w:drawing>
      </w:r>
    </w:p>
    <w:p>
      <w:pPr>
        <w:ind w:firstLine="560"/>
        <w:jc w:val="left"/>
        <w:sectPr>
          <w:pgSz w:w="23757" w:h="16783" w:orient="landscape"/>
          <w:pgMar w:top="1247" w:right="1134" w:bottom="1134" w:left="1134" w:header="851" w:footer="992" w:gutter="0"/>
          <w:pgBorders>
            <w:top w:val="none" w:sz="0" w:space="0"/>
            <w:left w:val="none" w:sz="0" w:space="0"/>
            <w:bottom w:val="none" w:sz="0" w:space="0"/>
            <w:right w:val="none" w:sz="0" w:space="0"/>
          </w:pgBorders>
          <w:pgNumType w:fmt="decimal"/>
          <w:cols w:space="720" w:num="1"/>
          <w:docGrid w:type="lines" w:linePitch="381" w:charSpace="0"/>
        </w:sectPr>
      </w:pPr>
      <w:r>
        <w:br w:type="page"/>
      </w:r>
    </w:p>
    <w:p>
      <w:pPr>
        <w:pStyle w:val="84"/>
        <w:bidi w:val="0"/>
      </w:pPr>
      <w:bookmarkStart w:id="616" w:name="_Toc10011"/>
      <w:bookmarkStart w:id="617" w:name="_Toc18023"/>
      <w:bookmarkStart w:id="618" w:name="_Toc3289"/>
      <w:bookmarkStart w:id="619" w:name="_Toc32693"/>
      <w:bookmarkStart w:id="620" w:name="_Toc37591959"/>
      <w:bookmarkStart w:id="621" w:name="_Toc9265"/>
      <w:r>
        <w:rPr>
          <w:rFonts w:hint="eastAsia"/>
        </w:rPr>
        <w:t>附图四</w:t>
      </w:r>
      <w:r>
        <w:t xml:space="preserve"> </w:t>
      </w:r>
      <w:r>
        <w:rPr>
          <w:rFonts w:hint="eastAsia"/>
        </w:rPr>
        <w:t>应急资源图</w:t>
      </w:r>
      <w:bookmarkEnd w:id="616"/>
      <w:bookmarkEnd w:id="617"/>
      <w:bookmarkEnd w:id="618"/>
      <w:bookmarkEnd w:id="619"/>
      <w:bookmarkEnd w:id="620"/>
      <w:bookmarkEnd w:id="621"/>
    </w:p>
    <w:p>
      <w:pPr>
        <w:ind w:firstLine="0" w:firstLineChars="0"/>
        <w:jc w:val="center"/>
      </w:pPr>
      <w:r>
        <w:rPr>
          <w:sz w:val="24"/>
        </w:rPr>
        <mc:AlternateContent>
          <mc:Choice Requires="wps">
            <w:drawing>
              <wp:anchor distT="0" distB="0" distL="114300" distR="114300" simplePos="0" relativeHeight="251651072" behindDoc="0" locked="0" layoutInCell="1" allowOverlap="1">
                <wp:simplePos x="0" y="0"/>
                <wp:positionH relativeFrom="column">
                  <wp:posOffset>4359910</wp:posOffset>
                </wp:positionH>
                <wp:positionV relativeFrom="paragraph">
                  <wp:posOffset>5758815</wp:posOffset>
                </wp:positionV>
                <wp:extent cx="162560" cy="175260"/>
                <wp:effectExtent l="10160" t="15240" r="17780" b="19050"/>
                <wp:wrapNone/>
                <wp:docPr id="69" name="等腰三角形 69"/>
                <wp:cNvGraphicFramePr/>
                <a:graphic xmlns:a="http://schemas.openxmlformats.org/drawingml/2006/main">
                  <a:graphicData uri="http://schemas.microsoft.com/office/word/2010/wordprocessingShape">
                    <wps:wsp>
                      <wps:cNvSpPr/>
                      <wps:spPr>
                        <a:xfrm>
                          <a:off x="0" y="0"/>
                          <a:ext cx="162560" cy="175260"/>
                        </a:xfrm>
                        <a:prstGeom prst="triangle">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43.3pt;margin-top:453.45pt;height:13.8pt;width:12.8pt;z-index:251651072;v-text-anchor:middle;mso-width-relative:page;mso-height-relative:page;" fillcolor="#FF0000" filled="t" stroked="t" coordsize="21600,21600" o:gfxdata="UEsDBAoAAAAAAIdO4kAAAAAAAAAAAAAAAAAEAAAAZHJzL1BLAwQUAAAACACHTuJAsDmD39wAAAAL&#10;AQAADwAAAGRycy9kb3ducmV2LnhtbE2PwU7DMAyG70i8Q2QkbixpgdCVpjtMQgJpEtqAA7esydpq&#10;jVOSdBs8Pd4JjrY//f7+anFyAzvYEHuPCrKZAGax8abHVsH729NNASwmjUYPHq2CbxthUV9eVLo0&#10;/ohre9ikllEIxlIr6FIaS85j01mn48yPFum288HpRGNouQn6SOFu4LkQkjvdI33o9GiXnW32m8kp&#10;SK+rdZh++ufPr49xuecvxa5oV0pdX2XiEViyp/QHw1mf1KEmp62f0EQ2KJCFlIQqmAs5B0bEQ5bn&#10;wLa0ub27B15X/H+H+hdQSwMEFAAAAAgAh07iQF6Y8s5nAgAAtAQAAA4AAABkcnMvZTJvRG9jLnht&#10;bK1UzW4TMRC+I/EOlu90k6hN21U3VdQqCKmilQriPPHau5b8h+1kU+4ceuURuPSExJELbwOij8HY&#10;u21T6AmRw2TGM56fz9/s0fFGK7LmPkhrKjreGVHCDbO1NE1F375ZvDigJEQwNShreEWveKDHs+fP&#10;jjpX8oltraq5J5jEhLJzFW1jdGVRBNZyDWHHOm7QKazXENH0TVF76DC7VsVkNJoWnfW185bxEPD0&#10;tHfSWc4vBGfxXIjAI1EVxd5ilj7LZZLF7AjKxoNrJRvagH/oQoM0WPQ+1SlEICsv/0qlJfM2WBF3&#10;mNWFFUIynmfAacajP6a5bMHxPAuCE9w9TOH/pWWv1xeeyLqi00NKDGh8o19frm8/fv3x7fr25tPP&#10;758JehCmzoUSoy/dhR+sgGqaeSO8Tv84DdlkaK/uoeWbSBgejqeTvSk+AEPXeH9vgjpmKR4uOx/i&#10;S241SUpFo5dgGpWmhxLWZyH24Xdh6ThYJeuFVCobvlmeKE/WgC+9WIzwN1R4FKYM6bCDyT66CQNk&#10;nFAQUdUOMQimoQRUg1Rm0efaj26H7SKpxNNFUpOnENq+mZwh9QKllhHZrqSu6MH2bWUQiwRwD2nS&#10;lra+wpfxtqdscGwhMe0ZhHgBHjmK/ePexXMUQlkcyg4aJa31H546T/FIHfRS0iHnceD3K/CcEvXK&#10;IKkOx7u7aUmysbu3P0HDb3uW2x6z0icWwR7jhjuW1RQf1Z0qvNXvcD3nqSq6wDCs3UM7GCex30Vc&#10;cMbn8xyGi+EgnplLx1LyhJux81W0QmYSPKAzgIarkak0rHHavW07Rz18bG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LA5g9/cAAAACwEAAA8AAAAAAAAAAQAgAAAAIgAAAGRycy9kb3ducmV2Lnht&#10;bFBLAQIUABQAAAAIAIdO4kBemPLOZwIAALQEAAAOAAAAAAAAAAEAIAAAACsBAABkcnMvZTJvRG9j&#10;LnhtbFBLBQYAAAAABgAGAFkBAAAEBgAAAAA=&#10;" adj="1080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48000" behindDoc="0" locked="0" layoutInCell="1" allowOverlap="1">
                <wp:simplePos x="0" y="0"/>
                <wp:positionH relativeFrom="column">
                  <wp:posOffset>4368800</wp:posOffset>
                </wp:positionH>
                <wp:positionV relativeFrom="paragraph">
                  <wp:posOffset>5507355</wp:posOffset>
                </wp:positionV>
                <wp:extent cx="194945" cy="158750"/>
                <wp:effectExtent l="6350" t="13335" r="27305" b="18415"/>
                <wp:wrapNone/>
                <wp:docPr id="66" name="直角三角形 66"/>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344pt;margin-top:433.65pt;height:12.5pt;width:15.35pt;z-index:251648000;v-text-anchor:middle;mso-width-relative:page;mso-height-relative:page;" fillcolor="#FFFF00" filled="t" stroked="t" coordsize="21600,21600" o:gfxdata="UEsDBAoAAAAAAIdO4kAAAAAAAAAAAAAAAAAEAAAAZHJzL1BLAwQUAAAACACHTuJAVqbApNwAAAAL&#10;AQAADwAAAGRycy9kb3ducmV2LnhtbE2PwU7DMBBE70j8g7VIXBB10kqJG+JUAsGBC6gJUq9uvCSB&#10;2E5ttyl8PcsJjrMzmn1Tbs5mZCf0YXBWQrpIgKFtnR5sJ+GteboVwEJUVqvRWZTwhQE21eVFqQrt&#10;ZrvFUx07RiU2FEpCH+NUcB7aHo0KCzehJe/deaMiSd9x7dVM5WbkyyTJuFGDpQ+9mvChx/azPhoJ&#10;9ykaPzxOr/PHy83zoT40u/y7kfL6Kk3ugEU8x78w/OITOlTEtHdHqwMbJWRC0JYoQWT5Chgl8lTk&#10;wPZ0WS9XwKuS/99Q/QBQSwMEFAAAAAgAh07iQCjyMBlpAgAAtgQAAA4AAABkcnMvZTJvRG9jLnht&#10;bK1UzW4TMRC+I/EOlu90kyjpT9RNFbUKQqpopRRxnni9u5b8x9jJprwBV67cuPACHLjwNiB4DMbe&#10;tE2BE2IPkxnPeH4+f5PTs63RbCMxKGdLPjwYcCatcJWyTclf3SyeHXMWItgKtLOy5Lcy8LPZ0yen&#10;nZ/KkWudriQySmLDtPMlb2P006IIopUGwoHz0pKzdmggkolNUSF0lN3oYjQYHBadw8qjEzIEOr3o&#10;nXyW89e1FPGqroOMTJeceotZYparJIvZKUwbBN8qsWsD/qELA8pS0ftUFxCBrVH9kcoogS64Oh4I&#10;ZwpX10rIPANNMxz8Ns2yBS/zLARO8Pcwhf+XVrzcXCNTVckPDzmzYOiNfnz4/PPT+29f3pH8/vUj&#10;Iw/B1Pkwpeilv8adFUhNM29rNOmXpmHbDO3tPbRyG5mgw+HJ+GQ84UyQazg5Pppk6IuHyx5DfC6d&#10;YUkpOcYbVGAbneaHKWwuQ6SydOEuMB0Hp1W1UFpnA5vVuUa2AXrrBX2DuxqPwrRlHfUwOiI3E0Cc&#10;qzVEUo0nFIJtOAPdEJlFxFz70e2wX2SQvwQO9fUoLDV5AaHtm8munmpGReK7Vqbkx/u3taUkCeIe&#10;1KStXHVLb4OuJ23wYqEo7SWEeA1ILKX+afPiFYlaOxrK7TTOWodv/3ae4ok85OWsI9bTwG/WgJIz&#10;/cISrU6G43Fak2yMJ0cjMnDfs9r32LU5dwT2kHbci6ym+Kjv1BqdeU0LOk9VyQVWUO0e2p1xHvtt&#10;pBUXcj7PYbQaHuKlXXqRkqfHtW6+jq5WmQQP6OxAo+XIb7Bb5LR9+3aOevi7mf0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VqbApNwAAAALAQAADwAAAAAAAAABACAAAAAiAAAAZHJzL2Rvd25yZXYu&#10;eG1sUEsBAhQAFAAAAAgAh07iQCjyMBlpAgAAtgQAAA4AAAAAAAAAAQAgAAAAKwEAAGRycy9lMm9E&#10;b2MueG1sUEsFBgAAAAAGAAYAWQEAAAYGA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44928" behindDoc="0" locked="0" layoutInCell="1" allowOverlap="1">
                <wp:simplePos x="0" y="0"/>
                <wp:positionH relativeFrom="column">
                  <wp:posOffset>4325620</wp:posOffset>
                </wp:positionH>
                <wp:positionV relativeFrom="paragraph">
                  <wp:posOffset>5245735</wp:posOffset>
                </wp:positionV>
                <wp:extent cx="1271270" cy="830580"/>
                <wp:effectExtent l="4445" t="4445" r="19685" b="22225"/>
                <wp:wrapNone/>
                <wp:docPr id="60" name="文本框 60"/>
                <wp:cNvGraphicFramePr/>
                <a:graphic xmlns:a="http://schemas.openxmlformats.org/drawingml/2006/main">
                  <a:graphicData uri="http://schemas.microsoft.com/office/word/2010/wordprocessingShape">
                    <wps:wsp>
                      <wps:cNvSpPr txBox="1"/>
                      <wps:spPr>
                        <a:xfrm>
                          <a:off x="0" y="0"/>
                          <a:ext cx="1271270" cy="83058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spacing w:line="240" w:lineRule="auto"/>
                              <w:ind w:firstLine="0" w:firstLineChars="0"/>
                              <w:jc w:val="center"/>
                            </w:pPr>
                            <w:r>
                              <w:rPr>
                                <w:rFonts w:hint="eastAsia"/>
                              </w:rPr>
                              <w:t>图例</w:t>
                            </w:r>
                          </w:p>
                          <w:p>
                            <w:pPr>
                              <w:spacing w:line="360" w:lineRule="auto"/>
                              <w:ind w:firstLine="220" w:firstLineChars="100"/>
                              <w:rPr>
                                <w:rFonts w:hint="eastAsia" w:ascii="Calibri" w:hAnsi="Calibri"/>
                                <w:kern w:val="0"/>
                                <w:sz w:val="22"/>
                              </w:rPr>
                            </w:pPr>
                            <w:r>
                              <w:rPr>
                                <w:rFonts w:hint="eastAsia" w:ascii="Calibri" w:hAnsi="Calibri"/>
                                <w:kern w:val="0"/>
                                <w:sz w:val="22"/>
                              </w:rPr>
                              <w:t>应急消防设施</w:t>
                            </w:r>
                          </w:p>
                          <w:p>
                            <w:pPr>
                              <w:spacing w:line="360" w:lineRule="auto"/>
                              <w:ind w:firstLine="220" w:firstLineChars="100"/>
                              <w:rPr>
                                <w:rFonts w:ascii="Calibri" w:hAnsi="Calibri"/>
                                <w:kern w:val="0"/>
                                <w:sz w:val="22"/>
                              </w:rPr>
                            </w:pPr>
                            <w:r>
                              <w:rPr>
                                <w:rFonts w:hint="eastAsia" w:ascii="Calibri" w:hAnsi="Calibri"/>
                                <w:kern w:val="0"/>
                                <w:sz w:val="22"/>
                              </w:rPr>
                              <w:t>报警系统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0.6pt;margin-top:413.05pt;height:65.4pt;width:100.1pt;z-index:251644928;mso-width-relative:page;mso-height-relative:page;" fillcolor="#FFFFFF [3201]" filled="t" stroked="t" coordsize="21600,21600" o:gfxdata="UEsDBAoAAAAAAIdO4kAAAAAAAAAAAAAAAAAEAAAAZHJzL1BLAwQUAAAACACHTuJAsTSu6tgAAAAL&#10;AQAADwAAAGRycy9kb3ducmV2LnhtbE2PwU7DMBBE70j8g7VI3KjjFCw3zaYSSEiIGyUXbm68TaLG&#10;dmS7Tfl7zAmOq3maeVvvrnZiFwpx9A5BrApg5DpvRtcjtJ+vDwpYTNoZPXlHCN8UYdfc3tS6Mn5x&#10;H3TZp57lEhcrjTCkNFecx24gq+PKz+RydvTB6pTP0HMT9JLL7cTLopDc6tHlhUHP9DJQd9qfLcKb&#10;fE5f1Jp3sy7Xfml5F45TRLy/E8UWWKJr+oPhVz+rQ5OdDv7sTGQTglSizCiCKqUAlgmlxCOwA8Lm&#10;SW6ANzX//0PzA1BLAwQUAAAACACHTuJAooFvFTwCAABrBAAADgAAAGRycy9lMm9Eb2MueG1srVTN&#10;bhMxEL4j8Q6W72STNP0hyqYKrYKQKlqpIM6O15us8HqM7WQ3PAB9A05cuPNceQ4+Oz9NKSdEFDnz&#10;588z38xkdNnWmq2U8xWZnPc6Xc6UkVRUZp7zjx+mry4480GYQmgyKudr5fnl+OWLUWOHqk8L0oVy&#10;DCDGDxub80UIdphlXi5ULXyHrDJwluRqEaC6eVY40QC91lm/2z3LGnKFdSSV97Beb518nPDLUslw&#10;W5ZeBaZzjtxCOl06Z/HMxiMxnDthF5XcpSH+IYtaVAaPHqCuRRBs6apnUHUlHXkqQ0dSnVFZVlKl&#10;GlBNr/tHNfcLYVWqBeR4e6DJ/z9Y+X5151hV5PwM9BhRo0eb7w+bH782P78x2EBQY/0QcfcWkaF9&#10;Qy0avbd7GGPdbenq+IuKGPzAWh/oVW1gMl7qn+MLl4Tv4qR7epHgs8fb1vnwVlHNopBzh/YlVsXq&#10;xgdkgtB9SHzMk66KaaV1Utx8dqUdWwm0epo+MUlceRKmDWtQ7MlpNyE/8UXsA8RMC/n5OQLwtAFs&#10;JGVbfJRCO2t3TM2oWIMoR9tZ81ZOK+DeCB/uhMNwgQAsTLjFUWpCMrSTOFuQ+/o3e4xHz+HlrMGw&#10;5tx/WQqnONPvDKbhdW8wAGxIyuD0vA/FHXtmxx6zrK8IJPWwmlYmMcYHvRdLR/Un7NUkvgqXMBJv&#10;5zzsxauwXSHspVSTSQrCPFsRbsy9lRE6tsTQZBmorFLrIk1bbnbsYaJTe3bbF1fmWE9Rj/8R4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xNK7q2AAAAAsBAAAPAAAAAAAAAAEAIAAAACIAAABkcnMv&#10;ZG93bnJldi54bWxQSwECFAAUAAAACACHTuJAooFvFTwCAABrBAAADgAAAAAAAAABACAAAAAnAQAA&#10;ZHJzL2Uyb0RvYy54bWxQSwUGAAAAAAYABgBZAQAA1QUAAAAA&#10;">
                <v:fill on="t" focussize="0,0"/>
                <v:stroke weight="0.5pt" color="#000000 [3204]" joinstyle="round"/>
                <v:imagedata o:title=""/>
                <o:lock v:ext="edit" aspectratio="f"/>
                <v:textbox>
                  <w:txbxContent>
                    <w:p>
                      <w:pPr>
                        <w:spacing w:line="240" w:lineRule="auto"/>
                        <w:ind w:firstLine="0" w:firstLineChars="0"/>
                        <w:jc w:val="center"/>
                      </w:pPr>
                      <w:r>
                        <w:rPr>
                          <w:rFonts w:hint="eastAsia"/>
                        </w:rPr>
                        <w:t>图例</w:t>
                      </w:r>
                    </w:p>
                    <w:p>
                      <w:pPr>
                        <w:spacing w:line="360" w:lineRule="auto"/>
                        <w:ind w:firstLine="220" w:firstLineChars="100"/>
                        <w:rPr>
                          <w:rFonts w:hint="eastAsia" w:ascii="Calibri" w:hAnsi="Calibri"/>
                          <w:kern w:val="0"/>
                          <w:sz w:val="22"/>
                        </w:rPr>
                      </w:pPr>
                      <w:r>
                        <w:rPr>
                          <w:rFonts w:hint="eastAsia" w:ascii="Calibri" w:hAnsi="Calibri"/>
                          <w:kern w:val="0"/>
                          <w:sz w:val="22"/>
                        </w:rPr>
                        <w:t>应急消防设施</w:t>
                      </w:r>
                    </w:p>
                    <w:p>
                      <w:pPr>
                        <w:spacing w:line="360" w:lineRule="auto"/>
                        <w:ind w:firstLine="220" w:firstLineChars="100"/>
                        <w:rPr>
                          <w:rFonts w:ascii="Calibri" w:hAnsi="Calibri"/>
                          <w:kern w:val="0"/>
                          <w:sz w:val="22"/>
                        </w:rPr>
                      </w:pPr>
                      <w:r>
                        <w:rPr>
                          <w:rFonts w:hint="eastAsia" w:ascii="Calibri" w:hAnsi="Calibri"/>
                          <w:kern w:val="0"/>
                          <w:sz w:val="22"/>
                        </w:rPr>
                        <w:t>报警系统</w:t>
                      </w:r>
                    </w:p>
                  </w:txbxContent>
                </v:textbox>
              </v:shape>
            </w:pict>
          </mc:Fallback>
        </mc:AlternateContent>
      </w:r>
      <w:r>
        <w:rPr>
          <w:sz w:val="24"/>
        </w:rPr>
        <mc:AlternateContent>
          <mc:Choice Requires="wps">
            <w:drawing>
              <wp:anchor distT="0" distB="0" distL="114300" distR="114300" simplePos="0" relativeHeight="251624448" behindDoc="0" locked="0" layoutInCell="1" allowOverlap="1">
                <wp:simplePos x="0" y="0"/>
                <wp:positionH relativeFrom="column">
                  <wp:posOffset>3463925</wp:posOffset>
                </wp:positionH>
                <wp:positionV relativeFrom="paragraph">
                  <wp:posOffset>640080</wp:posOffset>
                </wp:positionV>
                <wp:extent cx="194945" cy="158750"/>
                <wp:effectExtent l="6350" t="13335" r="27305" b="18415"/>
                <wp:wrapNone/>
                <wp:docPr id="21" name="直角三角形 21"/>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272.75pt;margin-top:50.4pt;height:12.5pt;width:15.35pt;z-index:251624448;v-text-anchor:middle;mso-width-relative:page;mso-height-relative:page;" fillcolor="#FFFF00" filled="t" stroked="t" coordsize="21600,21600" o:gfxdata="UEsDBAoAAAAAAIdO4kAAAAAAAAAAAAAAAAAEAAAAZHJzL1BLAwQUAAAACACHTuJAYLaxsdoAAAAL&#10;AQAADwAAAGRycy9kb3ducmV2LnhtbE2PwU7DMBBE70j8g7VIXBC1E+G2CnEqgeDABdQEiasbL0kg&#10;tlPbbQpfz3KC4848zc6Um5Md2RFDHLxTkC0EMHStN4PrFLw2j9drYDFpZ/ToHSr4wgib6vys1IXx&#10;s9visU4doxAXC62gT2kqOI9tj1bHhZ/Qkffug9WJztBxE/RM4XbkuRBLbvXg6EOvJ7zvsf2sD1bB&#10;XYY2DA/Ty/zxfPW0r/fN2+q7UeryIhO3wBKe0h8Mv/WpOlTUaecPzkQ2KpA3UhJKhhC0gQi5WubA&#10;dqTkcg28Kvn/DdUPUEsDBBQAAAAIAIdO4kCHMqFbaAIAALYEAAAOAAAAZHJzL2Uyb0RvYy54bWyt&#10;VM1uEzEQviPxDpbvdJMooW3UTRW1CkKqaKUUcXa83l1L/sN2silvwJUrNy59AQ5ceBsQPAafvWmb&#10;AifEHiYznvH8fP4mJ6dbrchG+CCtKenwYECJMNxW0jQlfX29eHZESYjMVExZI0p6IwI9nT19ctK5&#10;qRjZ1qpKeIIkJkw7V9I2RjctisBboVk4sE4YOGvrNYswfVNUnnXIrlUxGgyeF531lfOWixBwet47&#10;6Sznr2vB42VdBxGJKil6i1n6LFdJFrMTNm08c63kuzbYP3ShmTQoep/qnEVG1l7+kUpL7m2wdTzg&#10;Vhe2riUXeQZMMxz8Ns2yZU7kWQBOcPcwhf+Xlr/aXHkiq5KOhpQYpvFGPz5+/nn74duX95Dfv34i&#10;8ACmzoUpopfuyu+sADXNvK29Tr+YhmwztDf30IptJByHw+Px8XhCCYdrODk6nGToi4fLzof4QlhN&#10;klJSH6+9ZKZRaX42ZZuLEFEWF+4C03GwSlYLqVQ2fLM6U55sGN56gW9wV+NRmDKkQw+jQ7gJZ+Bc&#10;rViEqh1QCKahhKkGZObR59qPbof9IoP8JXDQ16Ow1OQ5C23fTHb1VNMygu9K6pIe7d9WBkkSxD2o&#10;SVvZ6gZv421P2uD4QiLtBQvxinmwFP1j8+IlRK0shrI7jZLW+nd/O0/xIA+8lHRgPQZ+u2ZeUKJe&#10;GtDqeDgepzXJxnhyOILh9z2rfY9Z6zMLsMEcdJfVFB/VnVp7q99gQeepKlzMcNTuod0ZZ7HfRqw4&#10;F/N5DsNqOBYvzNLxlDw9rrHzdbS1zCR4QGcHGpYjv8FukdP27ds56uHvZvY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YLaxsdoAAAALAQAADwAAAAAAAAABACAAAAAiAAAAZHJzL2Rvd25yZXYueG1s&#10;UEsBAhQAFAAAAAgAh07iQIcyoVtoAgAAtgQAAA4AAAAAAAAAAQAgAAAAKQEAAGRycy9lMm9Eb2Mu&#10;eG1sUEsFBgAAAAAGAAYAWQEAAAMGA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15232" behindDoc="0" locked="0" layoutInCell="1" allowOverlap="1">
                <wp:simplePos x="0" y="0"/>
                <wp:positionH relativeFrom="column">
                  <wp:posOffset>2225675</wp:posOffset>
                </wp:positionH>
                <wp:positionV relativeFrom="paragraph">
                  <wp:posOffset>640080</wp:posOffset>
                </wp:positionV>
                <wp:extent cx="194945" cy="158750"/>
                <wp:effectExtent l="6350" t="13335" r="27305" b="18415"/>
                <wp:wrapNone/>
                <wp:docPr id="19" name="直角三角形 19"/>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175.25pt;margin-top:50.4pt;height:12.5pt;width:15.35pt;z-index:251615232;v-text-anchor:middle;mso-width-relative:page;mso-height-relative:page;" fillcolor="#FFFF00" filled="t" stroked="t" coordsize="21600,21600" o:gfxdata="UEsDBAoAAAAAAIdO4kAAAAAAAAAAAAAAAAAEAAAAZHJzL1BLAwQUAAAACACHTuJAhli8V9oAAAAL&#10;AQAADwAAAGRycy9kb3ducmV2LnhtbE2PQU+EMBCF7yb+h2ZMvBi3hQ1KkLKJRg9eNIKJ1y6MgNIp&#10;23aX1V/veNLjvPflzXvl5mgncUAfRkcakpUCgdS6bqRew2vzcJmDCNFQZyZHqOELA2yq05PSFJ1b&#10;6AUPdewFh1AojIYhxrmQMrQDWhNWbkZi7915ayKfvpedNwuH20mmSl1Ja0biD4OZ8W7A9rPeWw23&#10;CVo/3s/Py8fTxeOu3jVv19+N1udniboBEfEY/2D4rc/VoeJOW7enLohJwzpTGaNsKMUbmFjnSQpi&#10;y0qa5SCrUv7fUP0AUEsDBBQAAAAIAIdO4kA6Y55YaAIAALYEAAAOAAAAZHJzL2Uyb0RvYy54bWyt&#10;VM1uEzEQviPxDpbvdJMooU3UTRW1CkKqaKUWcXa83l1L/sN2silvwJUrNy59AQ5ceBsQPAafvWmb&#10;AifEHpwZz3h+vvkmxydbrchG+CCtKenwYECJMNxW0jQlfX29fHZESYjMVExZI0p6IwI9mT99cty5&#10;mRjZ1qpKeIIgJsw6V9I2RjcrisBboVk4sE4YGGvrNYtQfVNUnnWIrlUxGgyeF531lfOWixBwe9Yb&#10;6TzHr2vB40VdBxGJKilqi/n0+Vyls5gfs1njmWsl35XB/qEKzaRB0vtQZywysvbyj1Bacm+DreMB&#10;t7qwdS25yD2gm+Hgt26uWuZE7gXgBHcPU/h/YfmrzaUnssLsppQYpjGjHx8//7z98O3Le5zfv34i&#10;sACmzoUZvK/cpd9pAWLqeVt7nX7RDdlmaG/uoRXbSDguh9PxdDyhhMM0nBwdTjL0xcNj50N8Iawm&#10;SSipj9deMtOo1D+bsc15iEiLB3eO6TpYJaulVCorvlmdKk82DLNe4hvc5XjkpgzpUMPoEGbCGThX&#10;KxYhagcUgmkoYaoBmXn0Ofej12E/ySB/CRzU9cgtFXnGQtsXk0091bSM4LuSuqRH+6+VQZAEcQ9q&#10;kla2usFsvO1JGxxfSoQ9ZyFeMg+Won5sXrzAUSuLpuxOoqS1/t3f7pM/yAMrJR1Yj4bfrpkXlKiX&#10;BrSaDsfjtCZZGU8OR1D8vmW1bzFrfWoB9hA77ngWk39Ud2LtrX6DBV2krDAxw5G7h3annMZ+G7Hi&#10;XCwW2Q2r4Vg8N1eOp+BpuMYu1tHWMpPgAZ0daFiOPIPdIqft29ez18Pfzfw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hli8V9oAAAALAQAADwAAAAAAAAABACAAAAAiAAAAZHJzL2Rvd25yZXYueG1s&#10;UEsBAhQAFAAAAAgAh07iQDpjnlhoAgAAtgQAAA4AAAAAAAAAAQAgAAAAKQEAAGRycy9lMm9Eb2Mu&#10;eG1sUEsFBgAAAAAGAAYAWQEAAAMGA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27520" behindDoc="0" locked="0" layoutInCell="1" allowOverlap="1">
                <wp:simplePos x="0" y="0"/>
                <wp:positionH relativeFrom="column">
                  <wp:posOffset>4930775</wp:posOffset>
                </wp:positionH>
                <wp:positionV relativeFrom="paragraph">
                  <wp:posOffset>1573530</wp:posOffset>
                </wp:positionV>
                <wp:extent cx="194945" cy="158750"/>
                <wp:effectExtent l="6350" t="13335" r="27305" b="18415"/>
                <wp:wrapNone/>
                <wp:docPr id="22" name="直角三角形 22"/>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388.25pt;margin-top:123.9pt;height:12.5pt;width:15.35pt;z-index:251627520;v-text-anchor:middle;mso-width-relative:page;mso-height-relative:page;" fillcolor="#FFFF00" filled="t" stroked="t" coordsize="21600,21600" o:gfxdata="UEsDBAoAAAAAAIdO4kAAAAAAAAAAAAAAAAAEAAAAZHJzL1BLAwQUAAAACACHTuJAelLlldoAAAAL&#10;AQAADwAAAGRycy9kb3ducmV2LnhtbE2PwU7DMAyG70i8Q2QkLoglrWCpStNJIDhwAdEicc0a0xaa&#10;pEuydfD0mBMcbX/6/f3V5mgndsAQR+8UZCsBDF3nzeh6Ba/tw2UBLCbtjJ68QwVfGGFTn55UujR+&#10;cS94aFLPKMTFUisYUppLzmM3oNVx5Wd0dHv3wepEY+i5CXqhcDvxXIg1t3p09GHQM94N2H02e6vg&#10;NkMbxvv5efl4unjcNbv2TX63Sp2fZeIGWMJj+oPhV5/UoSanrd87E9mkQMr1NaEK8itJHYgohMyB&#10;bWkj8wJ4XfH/HeofUEsDBBQAAAAIAIdO4kA8gh8KaQIAALYEAAAOAAAAZHJzL2Uyb0RvYy54bWyt&#10;VM1uEzEQviPxDpbvdJMooW3UTRW1CkKqaKUUcZ54vbuW/MfYyaa8AVeu3Lj0BThw4W1A8BiMvWmb&#10;AifEHiYznvH8fP4mJ6dbo9lGYlDOlnx4MOBMWuEqZZuSv75ePDviLESwFWhnZclvZOCns6dPTjo/&#10;lSPXOl1JZJTEhmnnS97G6KdFEUQrDYQD56UlZ+3QQCQTm6JC6Ci70cVoMHhedA4rj07IEOj0vHfy&#10;Wc5f11LEy7oOMjJdcuotZolZrpIsZicwbRB8q8SuDfiHLgwoS0XvU51DBLZG9UcqowS64Op4IJwp&#10;XF0rIfMMNM1w8Ns0yxa8zLMQOMHfwxT+X1rxanOFTFUlH404s2DojX58/Pzz9sO3L+9Jfv/6iZGH&#10;YOp8mFL00l/hzgqkppm3NZr0S9OwbYb25h5auY1M0OHweHw8nnAmyDWcHB1OMvTFw2WPIb6QzrCk&#10;lBzjNSqwjU7zwxQ2FyFSWbpwF5iOg9OqWiits4HN6kwj2wC99YK+wV2NR2Haso56GB2SmwkgztUa&#10;IqnGEwrBNpyBbojMImKu/eh22C8yyF8Ch/p6FJaaPIfQ9s1kV081oyLxXStT8qP929pSkgRxD2rS&#10;Vq66obdB15M2eLFQlPYCQrwCJJZS/7R58ZJErR0N5XYaZ63Dd387T/FEHvJy1hHraeC3a0DJmX5p&#10;iVbHw/E4rUk2xpPDERm471nte+zanDkCe0g77kVWU3zUd2qNzryhBZ2nquQCK6h2D+3OOIv9NtKK&#10;Czmf5zBaDQ/xwi69SMnT41o3X0dXq0yCB3R2oNFy5DfYLXLavn07Rz383cx+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HpS5ZXaAAAACwEAAA8AAAAAAAAAAQAgAAAAIgAAAGRycy9kb3ducmV2Lnht&#10;bFBLAQIUABQAAAAIAIdO4kA8gh8KaQIAALYEAAAOAAAAAAAAAAEAIAAAACkBAABkcnMvZTJvRG9j&#10;LnhtbFBLBQYAAAAABgAGAFkBAAAEBg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30592" behindDoc="0" locked="0" layoutInCell="1" allowOverlap="1">
                <wp:simplePos x="0" y="0"/>
                <wp:positionH relativeFrom="column">
                  <wp:posOffset>3178175</wp:posOffset>
                </wp:positionH>
                <wp:positionV relativeFrom="paragraph">
                  <wp:posOffset>1811655</wp:posOffset>
                </wp:positionV>
                <wp:extent cx="194945" cy="158750"/>
                <wp:effectExtent l="6350" t="13335" r="27305" b="18415"/>
                <wp:wrapNone/>
                <wp:docPr id="20" name="直角三角形 20"/>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250.25pt;margin-top:142.65pt;height:12.5pt;width:15.35pt;z-index:251630592;v-text-anchor:middle;mso-width-relative:page;mso-height-relative:page;" fillcolor="#FFFF00" filled="t" stroked="t" coordsize="21600,21600" o:gfxdata="UEsDBAoAAAAAAIdO4kAAAAAAAAAAAAAAAAAEAAAAZHJzL1BLAwQUAAAACACHTuJA2dXU5NsAAAAL&#10;AQAADwAAAGRycy9kb3ducmV2LnhtbE2PQUvEMBCF74L/IYzgRdwkLdWlNl1Q9OBFsRW8ZpuxrTaT&#10;bpLdrv5640mPw/t475tqc7QTO6APoyMFciWAIXXOjNQreG0fLtfAQtRk9OQIFXxhgE19elLp0riF&#10;XvDQxJ6lEgqlVjDEOJech25Aq8PKzUgpe3fe6phO33Pj9ZLK7cQzIa641SOlhUHPeDdg99nsrYJb&#10;idaP9/Pz8vF08bhrdu3b9Xer1PmZFDfAIh7jHwy/+kkd6uS0dXsygU0KCiGKhCrI1kUOLBFFLjNg&#10;WwW5FDnwuuL/f6h/AFBLAwQUAAAACACHTuJA7qI0a2gCAAC2BAAADgAAAGRycy9lMm9Eb2MueG1s&#10;rVTNbhMxEL4j8Q6W73STKKFt1E0VtQpCqmilFHGeeL27lvzH2MmmvAFXrty49AU4cOFtQPAYjL1p&#10;mwInxB4mM57x/Hz+JienW6PZRmJQzpZ8eDDgTFrhKmWbkr++Xjw74ixEsBVoZ2XJb2Tgp7OnT046&#10;P5Uj1zpdSWSUxIZp50vexuinRRFEKw2EA+elJWft0EAkE5uiQugou9HFaDB4XnQOK49OyBDo9Lx3&#10;8lnOX9dSxMu6DjIyXXLqLWaJWa6SLGYnMG0QfKvErg34hy4MKEtF71OdQwS2RvVHKqMEuuDqeCCc&#10;KVxdKyHzDDTNcPDbNMsWvMyzEDjB38MU/l9a8WpzhUxVJR8RPBYMvdGPj59/3n749uU9ye9fPzHy&#10;EEydD1OKXvor3FmB1DTztkaTfmkats3Q3txDK7eRCTocHo+PxxPOBLmGk6PDSc5ZPFz2GOIL6QxL&#10;SskxXqMC2+g0P0xhcxEilaULd4HpODitqoXSOhvYrM40sg3QWy/oG9zVeBSmLeuoh9EhuZkA4lyt&#10;IZJqPKEQbMMZ6IbILCLm2o9uh/0ig/wlcKivR2GpyXMIbd9MdvVUMyoS37UyJT/av60tJUkQ96Am&#10;beWqG3obdD1pgxcLRWkvIMQrQGIp9U+bFy9J1NrRUG6ncdY6fPe38xRP5CEvZx2xngZ+uwaUnOmX&#10;lmh1PByP05pkYzw5TKTAfc9q32PX5swR2EPacS+ymuKjvlNrdOYNLeg8VSUXWEG1e2h3xlnst5FW&#10;XMj5PIfRaniIF3bpRUqeHte6+Tq6WmUSPKCzA42WI7/BbpHT9u3bOerh72b2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nV1OTbAAAACwEAAA8AAAAAAAAAAQAgAAAAIgAAAGRycy9kb3ducmV2Lnht&#10;bFBLAQIUABQAAAAIAIdO4kDuojRraAIAALYEAAAOAAAAAAAAAAEAIAAAACoBAABkcnMvZTJvRG9j&#10;LnhtbFBLBQYAAAAABgAGAFkBAAAEBg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33664" behindDoc="0" locked="0" layoutInCell="1" allowOverlap="1">
                <wp:simplePos x="0" y="0"/>
                <wp:positionH relativeFrom="column">
                  <wp:posOffset>3425825</wp:posOffset>
                </wp:positionH>
                <wp:positionV relativeFrom="paragraph">
                  <wp:posOffset>3649980</wp:posOffset>
                </wp:positionV>
                <wp:extent cx="194945" cy="158750"/>
                <wp:effectExtent l="6350" t="13335" r="27305" b="18415"/>
                <wp:wrapNone/>
                <wp:docPr id="14" name="直角三角形 14"/>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269.75pt;margin-top:287.4pt;height:12.5pt;width:15.35pt;z-index:251633664;v-text-anchor:middle;mso-width-relative:page;mso-height-relative:page;" fillcolor="#FFFF00" filled="t" stroked="t" coordsize="21600,21600" o:gfxdata="UEsDBAoAAAAAAIdO4kAAAAAAAAAAAAAAAAAEAAAAZHJzL1BLAwQUAAAACACHTuJAZjP+e9sAAAAL&#10;AQAADwAAAGRycy9kb3ducmV2LnhtbE2PwU7DMBBE70j8g7VIXBC1UwhpQpxKIDhwKSJB4urGSxKI&#10;7dR2m8LXs5zgNqN9mp0p10czsgP6MDgrIVkIYGhbpwfbSXhtHi9XwEJUVqvRWZTwhQHW1elJqQrt&#10;ZvuChzp2jEJsKJSEPsap4Dy0PRoVFm5CS7d3542KZH3HtVczhZuRL4W44UYNlj70asL7HtvPem8k&#10;3CVo/PAwPc8fm4unXb1r3rLvRsrzs0TcAot4jH8w/Nan6lBRp63bWx3YKCG9ylNCSWTXtIGINBNL&#10;YFsSeb4CXpX8/4bqB1BLAwQUAAAACACHTuJA/jeA9WgCAAC2BAAADgAAAGRycy9lMm9Eb2MueG1s&#10;rVTNbhMxEL4j8Q6W73STKKFt1E0VtQpCqmilFHF2vN5dS/7DdrIpb8CVKzcufQEOXHgbEDwGn71p&#10;mwInxB6cGc94fr75JienW63IRvggrSnp8GBAiTDcVtI0JX19vXh2REmIzFRMWSNKeiMCPZ09fXLS&#10;uakY2daqSniCICZMO1fSNkY3LYrAW6FZOLBOGBhr6zWLUH1TVJ51iK5VMRoMnhed9ZXzlosQcHve&#10;G+ksx69rweNlXQcRiSopaov59PlcpbOYnbBp45lrJd+Vwf6hCs2kQdL7UOcsMrL28o9QWnJvg63j&#10;Abe6sHUtucg9oJvh4Lduli1zIvcCcIK7hyn8v7D81ebKE1lhdmNKDNOY0Y+Pn3/efvj25T3O718/&#10;EVgAU+fCFN5Ld+V3WoCYet7WXqdfdEO2Gdqbe2jFNhKOy+Hx+Hg8oYTDNJwcHU4y9MXDY+dDfCGs&#10;JkkoqY/XXjLTqNQ/m7LNRYhIiwd3juk6WCWrhVQqK75ZnSlPNgyzXuAb3OV45KYM6VDD6BBmwhk4&#10;VysWIWoHFIJpKGGqAZl59Dn3o9dhP8kgfwkc1PXILRV5zkLbF5NNPdW0jOC7krqkR/uvlUGQBHEP&#10;apJWtrrBbLztSRscX0iEvWAhXjEPlqJ+bF68xFEri6bsTqKktf7d3+6TP8gDKyUdWI+G366ZF5So&#10;lwa0Oh6Ox2lNsjKeHI6g+H3Lat9i1vrMAuwhdtzxLCb/qO7E2lv9Bgs6T1lhYoYjdw/tTjmL/TZi&#10;xbmYz7MbVsOxeGGWjqfgabjGztfR1jKT4AGdHWhYjjyD3SKn7dvXs9fD383s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GYz/nvbAAAACwEAAA8AAAAAAAAAAQAgAAAAIgAAAGRycy9kb3ducmV2Lnht&#10;bFBLAQIUABQAAAAIAIdO4kD+N4D1aAIAALYEAAAOAAAAAAAAAAEAIAAAACoBAABkcnMvZTJvRG9j&#10;LnhtbFBLBQYAAAAABgAGAFkBAAAEBg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36736" behindDoc="0" locked="0" layoutInCell="1" allowOverlap="1">
                <wp:simplePos x="0" y="0"/>
                <wp:positionH relativeFrom="column">
                  <wp:posOffset>4921250</wp:posOffset>
                </wp:positionH>
                <wp:positionV relativeFrom="paragraph">
                  <wp:posOffset>4326255</wp:posOffset>
                </wp:positionV>
                <wp:extent cx="194945" cy="158750"/>
                <wp:effectExtent l="6350" t="13335" r="27305" b="18415"/>
                <wp:wrapNone/>
                <wp:docPr id="18" name="直角三角形 18"/>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387.5pt;margin-top:340.65pt;height:12.5pt;width:15.35pt;z-index:251636736;v-text-anchor:middle;mso-width-relative:page;mso-height-relative:page;" fillcolor="#FFFF00" filled="t" stroked="t" coordsize="21600,21600" o:gfxdata="UEsDBAoAAAAAAIdO4kAAAAAAAAAAAAAAAAAEAAAAZHJzL1BLAwQUAAAACACHTuJA5qjxR9sAAAAL&#10;AQAADwAAAGRycy9kb3ducmV2LnhtbE2PMU/DMBSEdyT+g/WQWBC1Q9UkSuNUAsHAAmqC1NWNH0kg&#10;fk5ttyn8eswE4+lOd9+Vm7MZ2QmdHyxJSBYCGFJr9UCdhLfm6TYH5oMirUZLKOELPWyqy4tSFdrO&#10;tMVTHToWS8gXSkIfwlRw7tsejfILOyFF7906o0KUruPaqTmWm5HfCZFyowaKC72a8KHH9rM+Ggn3&#10;CRo3PE6v88fLzfOhPjS77LuR8voqEWtgAc/hLwy/+BEdqsi0t0fSno0SsmwVvwQJaZ4sgcVELlYZ&#10;sH20RLoEXpX8/4fqB1BLAwQUAAAACACHTuJAU/MLaGgCAAC2BAAADgAAAGRycy9lMm9Eb2MueG1s&#10;rVTNbhMxEL4j8Q6W73STKKFt1E0VtQpCqmilFHF2vN5dS/7DdrIpb8CVKzcufQEOXHgbEDwGn71p&#10;mwInxB6cGc94fr75JienW63IRvggrSnp8GBAiTDcVtI0JX19vXh2REmIzFRMWSNKeiMCPZ09fXLS&#10;uakY2daqSniCICZMO1fSNkY3LYrAW6FZOLBOGBhr6zWLUH1TVJ51iK5VMRoMnhed9ZXzlosQcHve&#10;G+ksx69rweNlXQcRiSopaov59PlcpbOYnbBp45lrJd+Vwf6hCs2kQdL7UOcsMrL28o9QWnJvg63j&#10;Abe6sHUtucg9oJvh4Lduli1zIvcCcIK7hyn8v7D81ebKE1lhdpiUYRoz+vHx88/bD9++vMf5/esn&#10;Agtg6lyYwnvprvxOCxBTz9va6/SLbsg2Q3tzD63YRsJxOTweH48nlHCYhpOjw0mGvnh47HyIL4TV&#10;JAkl9fHaS2YalfpnU7a5CBFp8eDOMV0Hq2S1kEplxTerM+XJhmHWC3yDuxyP3JQhHWoYHcJMOAPn&#10;asUiRO2AQjANJUw1IDOPPud+9DrsJxnkL4GDuh65pSLPWWj7YrKpp5qWEXxXUpf0aP+1MgiSIO5B&#10;TdLKVjeYjbc9aYPjC4mwFyzEK+bBUtSPzYuXOGpl0ZTdSZS01r/7233yB3lgpaQD69Hw2zXzghL1&#10;0oBWx8PxOK1JVsaTwxEUv29Z7VvMWp9ZgD3EjjuexeQf1Z1Ye6vfYEHnKStMzHDk7qHdKWex30as&#10;OBfzeXbDajgWL8zS8RQ8DdfY+TraWmYSPKCzAw3LkWewW+S0fft69nr4u5n9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ao8UfbAAAACwEAAA8AAAAAAAAAAQAgAAAAIgAAAGRycy9kb3ducmV2Lnht&#10;bFBLAQIUABQAAAAIAIdO4kBT8wtoaAIAALYEAAAOAAAAAAAAAAEAIAAAACoBAABkcnMvZTJvRG9j&#10;LnhtbFBLBQYAAAAABgAGAFkBAAAEBg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18304" behindDoc="0" locked="0" layoutInCell="1" allowOverlap="1">
                <wp:simplePos x="0" y="0"/>
                <wp:positionH relativeFrom="column">
                  <wp:posOffset>4054475</wp:posOffset>
                </wp:positionH>
                <wp:positionV relativeFrom="paragraph">
                  <wp:posOffset>5212080</wp:posOffset>
                </wp:positionV>
                <wp:extent cx="194945" cy="158750"/>
                <wp:effectExtent l="6350" t="13335" r="27305" b="18415"/>
                <wp:wrapNone/>
                <wp:docPr id="4" name="直角三角形 4"/>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319.25pt;margin-top:410.4pt;height:12.5pt;width:15.35pt;z-index:251618304;v-text-anchor:middle;mso-width-relative:page;mso-height-relative:page;" fillcolor="#FFFF00" filled="t" stroked="t" coordsize="21600,21600" o:gfxdata="UEsDBAoAAAAAAIdO4kAAAAAAAAAAAAAAAAAEAAAAZHJzL1BLAwQUAAAACACHTuJAkmV6wtsAAAAL&#10;AQAADwAAAGRycy9kb3ducmV2LnhtbE2PwU7DMAyG70i8Q2QkLoglLawrpekkEBy4gGgncc0a0xaa&#10;pEuydfD0mBMcbX/6/f3l+mhGdkAfBmclJAsBDG3r9GA7CZvm8TIHFqKyWo3OooQvDLCuTk9KVWg3&#10;21c81LFjFGJDoST0MU4F56Ht0aiwcBNaur07b1Sk0XdcezVTuBl5KkTGjRosfejVhPc9tp/13ki4&#10;S9D44WF6mT+eL5529a55W303Up6fJeIWWMRj/IPhV5/UoSKnrdtbHdgoIbvKl4RKyFNBHYjIspsU&#10;2JY218sceFXy/x2qH1BLAwQUAAAACACHTuJA71SWsmcCAAC0BAAADgAAAGRycy9lMm9Eb2MueG1s&#10;rVTNbhMxEL4j8Q6W73STaEPbqJsqahWEVEGlFnGeeL27lvzH2MmmvAFXrty48AIcuPA2IHgMxt60&#10;TYETYg+TGc94fj5/k5PTrdFsIzEoZys+PhhxJq1wtbJtxV9dL58ccRYi2Bq0s7LiNzLw0/njRye9&#10;n8mJ65yuJTJKYsOs9xXvYvSzogiikwbCgfPSkrNxaCCSiW1RI/SU3ehiMho9LXqHtUcnZAh0ej44&#10;+Tznbxop4sumCTIyXXHqLWaJWa6SLOYnMGsRfKfErg34hy4MKEtF71KdQwS2RvVHKqMEuuCaeCCc&#10;KVzTKCHzDDTNePTbNFcdeJlnIXCCv4Mp/L+04sXmEpmqK15yZsHQE/348Pnnp/ffvrwj+f3rR1Ym&#10;kHofZhR75S9xZwVS08TbBk36pVnYNgN7cwes3EYm6HB8XB6XU84EucbTo8NpBr64v+wxxGfSGZaU&#10;imO8RgW21Wl6mMHmIkQqSxduA9NxcFrVS6V1NrBdnWlkG6CXXtI3uq3xIExb1lMPk0NyMwHEuEZD&#10;JNV4wiDYljPQLVFZRMy1H9wO+0VG+UvgUF8PwlKT5xC6oZnsGohmVCS2a2UqfrR/W1tKkiAeQE3a&#10;ytU39DLoBsoGL5aK0l5AiJeAxFHqn/YuviTRaEdDuZ3GWefw7d/OUzxRh7yc9cR5GvjNGlBypp9b&#10;ItXxuCzTkmSjnB5OyMB9z2rfY9fmzBHYY9pwL7Ka4qO+VRt05jWt5yJVJRdYQbUHaHfGWRx2kRZc&#10;yMUih9FieIgX9sqLlDw9rnWLdXSNyiS4R2cHGq1GfoPdGqfd27dz1P2fzfw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kmV6wtsAAAALAQAADwAAAAAAAAABACAAAAAiAAAAZHJzL2Rvd25yZXYueG1s&#10;UEsBAhQAFAAAAAgAh07iQO9UlrJnAgAAtAQAAA4AAAAAAAAAAQAgAAAAKgEAAGRycy9lMm9Eb2Mu&#10;eG1sUEsFBgAAAAAGAAYAWQEAAAMGA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39808" behindDoc="0" locked="0" layoutInCell="1" allowOverlap="1">
                <wp:simplePos x="0" y="0"/>
                <wp:positionH relativeFrom="column">
                  <wp:posOffset>3111500</wp:posOffset>
                </wp:positionH>
                <wp:positionV relativeFrom="paragraph">
                  <wp:posOffset>5202555</wp:posOffset>
                </wp:positionV>
                <wp:extent cx="194945" cy="158750"/>
                <wp:effectExtent l="6350" t="13335" r="27305" b="18415"/>
                <wp:wrapNone/>
                <wp:docPr id="2" name="直角三角形 2"/>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245pt;margin-top:409.65pt;height:12.5pt;width:15.35pt;z-index:251639808;v-text-anchor:middle;mso-width-relative:page;mso-height-relative:page;" fillcolor="#FFFF00" filled="t" stroked="t" coordsize="21600,21600" o:gfxdata="UEsDBAoAAAAAAIdO4kAAAAAAAAAAAAAAAAAEAAAAZHJzL1BLAwQUAAAACACHTuJAn6mlZNwAAAAL&#10;AQAADwAAAGRycy9kb3ducmV2LnhtbE2PwU7DMBBE70j8g7VIXBC10wbahjiVQHDgAiJB4uomSxKI&#10;16ntNoWvZznBcXZGs2/yzdEO4oA+9I40JDMFAql2TU+thtfq4XIFIkRDjRkcoYYvDLApTk9ykzVu&#10;ohc8lLEVXEIhMxq6GMdMylB3aE2YuRGJvXfnrYksfSsbbyYut4OcK3UtremJP3RmxLsO689ybzXc&#10;Jmh9fz8+Tx9PF4+7cle9Lb8rrc/PEnUDIuIx/oXhF5/RoWCmrdtTE8SgIV0r3hI1rJL1AgQnruZq&#10;CWLLlzRdgCxy+X9D8QNQSwMEFAAAAAgAh07iQIBDiFJnAgAAtAQAAA4AAABkcnMvZTJvRG9jLnht&#10;bK1UzW4TMRC+I/EOlu90kyihbdRNFbUKQqpopRRxnni9u5b8x9jJprwBV67cuPQFOHDhbUDwGIy9&#10;aZsCJ8QeJjOe8fx8/iYnp1uj2UZiUM6WfHgw4Exa4Splm5K/vl48O+IsRLAVaGdlyW9k4Kezp09O&#10;Oj+VI9c6XUlklMSGaedL3sbop0URRCsNhAPnpSVn7dBAJBObokLoKLvRxWgweF50DiuPTsgQ6PS8&#10;d/JZzl/XUsTLug4yMl1y6i1miVmukixmJzBtEHyrxK4N+IcuDChLRe9TnUMEtkb1RyqjBLrg6ngg&#10;nClcXSsh8ww0zXDw2zTLFrzMsxA4wd/DFP5fWvFqc4VMVSUfcWbB0BP9+Pj55+2Hb1/ek/z+9RMb&#10;JZA6H6YUu/RXuLMCqWnibY0m/dIsbJuBvbkHVm4jE3Q4PB4fjyecCXINJ0eHkwx88XDZY4gvpDMs&#10;KSXHeI0KbKPT9DCFzUWIVJYu3AWm4+C0qhZK62xgszrTyDZAL72gb3BX41GYtqyjHkaH5GYCiHG1&#10;hkiq8YRBsA1noBuisoiYaz+6HfaLDPKXwKG+HoWlJs8htH0z2dUTzahIbNfKlPxo/7a2lCRB3IOa&#10;tJWrbuhl0PWUDV4sFKW9gBCvAImj1D/tXbwkUWtHQ7mdxlnr8N3fzlM8UYe8nHXEeRr47RpQcqZf&#10;WiLV8XA8TkuSjfHkcEQG7ntW+x67NmeOwB7ShnuR1RQf9Z1aozNvaD3nqSq5wAqq3UO7M85iv4u0&#10;4ELO5zmMFsNDvLBLL1Ly9LjWzdfR1SqT4AGdHWi0GvkNdmucdm/fzlEPfzaz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J+ppWTcAAAACwEAAA8AAAAAAAAAAQAgAAAAIgAAAGRycy9kb3ducmV2Lnht&#10;bFBLAQIUABQAAAAIAIdO4kCAQ4hSZwIAALQEAAAOAAAAAAAAAAEAIAAAACsBAABkcnMvZTJvRG9j&#10;LnhtbFBLBQYAAAAABgAGAFkBAAAEBgAAAAA=&#10;">
                <v:fill on="t" focussize="0,0"/>
                <v:stroke weight="1pt" color="#000000 [3213]" miterlimit="8" joinstyle="miter"/>
                <v:imagedata o:title=""/>
                <o:lock v:ext="edit" aspectratio="f"/>
              </v:shape>
            </w:pict>
          </mc:Fallback>
        </mc:AlternateContent>
      </w:r>
      <w:r>
        <w:rPr>
          <w:sz w:val="24"/>
        </w:rPr>
        <mc:AlternateContent>
          <mc:Choice Requires="wps">
            <w:drawing>
              <wp:anchor distT="0" distB="0" distL="114300" distR="114300" simplePos="0" relativeHeight="251641856" behindDoc="0" locked="0" layoutInCell="1" allowOverlap="1">
                <wp:simplePos x="0" y="0"/>
                <wp:positionH relativeFrom="column">
                  <wp:posOffset>1549400</wp:posOffset>
                </wp:positionH>
                <wp:positionV relativeFrom="paragraph">
                  <wp:posOffset>5193030</wp:posOffset>
                </wp:positionV>
                <wp:extent cx="194945" cy="158750"/>
                <wp:effectExtent l="6350" t="13335" r="27305" b="18415"/>
                <wp:wrapNone/>
                <wp:docPr id="1" name="直角三角形 1"/>
                <wp:cNvGraphicFramePr/>
                <a:graphic xmlns:a="http://schemas.openxmlformats.org/drawingml/2006/main">
                  <a:graphicData uri="http://schemas.microsoft.com/office/word/2010/wordprocessingShape">
                    <wps:wsp>
                      <wps:cNvSpPr/>
                      <wps:spPr>
                        <a:xfrm>
                          <a:off x="0" y="0"/>
                          <a:ext cx="194945" cy="158750"/>
                        </a:xfrm>
                        <a:prstGeom prst="rtTriangle">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 type="#_x0000_t6" style="position:absolute;left:0pt;margin-left:122pt;margin-top:408.9pt;height:12.5pt;width:15.35pt;z-index:251641856;v-text-anchor:middle;mso-width-relative:page;mso-height-relative:page;" fillcolor="#FFFF00" filled="t" stroked="t" coordsize="21600,21600" o:gfxdata="UEsDBAoAAAAAAIdO4kAAAAAAAAAAAAAAAAAEAAAAZHJzL1BLAwQUAAAACACHTuJA3qoSRNsAAAAL&#10;AQAADwAAAGRycy9kb3ducmV2LnhtbE2PwU6DQBCG7ya+w2ZMvBi7QIgQytJEowcvGsHE65adAsrO&#10;UnZbqk/veKrHmfnzz/eVm5MdxRFnPzhSEK8iEEitMwN1Ct6bp9schA+ajB4doYJv9LCpLi9KXRi3&#10;0Bse69AJLiFfaAV9CFMhpW97tNqv3ITEt52brQ48zp00s1643I4yiaI7afVA/KHXEz702H7VB6vg&#10;PkY7D4/T6/L5cvO8r/fNR/bTKHV9FUdrEAFP4RyGP3xGh4qZtu5AxotRQZKm7BIU5HHGDpxIsjQD&#10;seVNmuQgq1L+d6h+AVBLAwQUAAAACACHTuJAF8s/z2cCAAC0BAAADgAAAGRycy9lMm9Eb2MueG1s&#10;rVTNbhMxEL4j8Q6W73STKKFt1E0VtQpCqmilFHGeeL27lvzH2MmmvAFXrty49AU4cOFtQPAYjL1p&#10;mwInxB6cGc94fr75JienW6PZRmJQzpZ8eDDgTFrhKmWbkr++Xjw74ixEsBVoZ2XJb2Tgp7OnT046&#10;P5Uj1zpdSWQUxIZp50vexuinRRFEKw2EA+elJWPt0EAkFZuiQugoutHFaDB4XnQOK49OyBDo9rw3&#10;8lmOX9dSxMu6DjIyXXKqLeYT87lKZzE7gWmD4FsldmXAP1RhQFlKeh/qHCKwNao/Qhkl0AVXxwPh&#10;TOHqWgmZe6BuhoPfulm24GXuhcAJ/h6m8P/CilebK2SqotlxZsHQiH58/Pzz9sO3L+/p/P71Exsm&#10;kDofpuS79Fe40wKJqeNtjSb9Ui9sm4G9uQdWbiMTdDk8Hh+PJ5wJMg0nR4eTDHzx8NhjiC+kMywJ&#10;Jcd4jQpso1P3MIXNRYiUlh7cOabr4LSqFkrrrGCzOtPINkCTXtA3uMvxyE1b1lENo0MyMwHEuFpD&#10;JNF4wiDYhjPQDVFZRMy5H70O+0kG+UvgUF2P3FKR5xDavphs6olmVCS2a2VKfrT/WlsKkiDuQU3S&#10;ylU3NBl0PWWDFwtFYS8gxCtA4ijVT3sXL+motaOm3E7irHX47m/3yZ+oQ1bOOuI8Nfx2DSg50y8t&#10;kep4OB6nJcnKeHI4IgX3Lat9i12bM0dgE3Gouiwm/6jvxBqdeUPrOU9ZyQRWUO4e2p1yFvtdpAUX&#10;cj7PbrQYHuKFXXqRgqfhWjdfR1erTIIHdHag0WrkGezWOO3evp69Hv5sZr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3qoSRNsAAAALAQAADwAAAAAAAAABACAAAAAiAAAAZHJzL2Rvd25yZXYueG1s&#10;UEsBAhQAFAAAAAgAh07iQBfLP89nAgAAtAQAAA4AAAAAAAAAAQAgAAAAKgEAAGRycy9lMm9Eb2Mu&#10;eG1sUEsFBgAAAAAGAAYAWQEAAAMGAAAAAA==&#10;">
                <v:fill on="t" focussize="0,0"/>
                <v:stroke weight="1pt" color="#000000 [3213]" miterlimit="8" joinstyle="miter"/>
                <v:imagedata o:title=""/>
                <o:lock v:ext="edit" aspectratio="f"/>
              </v:shape>
            </w:pict>
          </mc:Fallback>
        </mc:AlternateContent>
      </w:r>
      <w:r>
        <w:drawing>
          <wp:inline distT="0" distB="0" distL="114300" distR="114300">
            <wp:extent cx="5258435" cy="6120130"/>
            <wp:effectExtent l="0" t="0" r="18415" b="13970"/>
            <wp:docPr id="10" name="图片 4" descr="C:\Users\a\Desktop\5b52d24a56e78a13fb0748448a1df89.png5b52d24a56e78a13fb0748448a1df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C:\Users\a\Desktop\5b52d24a56e78a13fb0748448a1df89.png5b52d24a56e78a13fb0748448a1df89"/>
                    <pic:cNvPicPr>
                      <a:picLocks noChangeAspect="1"/>
                    </pic:cNvPicPr>
                  </pic:nvPicPr>
                  <pic:blipFill>
                    <a:blip r:embed="rId16"/>
                    <a:srcRect/>
                    <a:stretch>
                      <a:fillRect/>
                    </a:stretch>
                  </pic:blipFill>
                  <pic:spPr>
                    <a:xfrm>
                      <a:off x="0" y="0"/>
                      <a:ext cx="5258435" cy="6120130"/>
                    </a:xfrm>
                    <a:prstGeom prst="rect">
                      <a:avLst/>
                    </a:prstGeom>
                    <a:noFill/>
                    <a:ln>
                      <a:noFill/>
                    </a:ln>
                  </pic:spPr>
                </pic:pic>
              </a:graphicData>
            </a:graphic>
          </wp:inline>
        </w:drawing>
      </w:r>
    </w:p>
    <w:p>
      <w:pPr>
        <w:pStyle w:val="18"/>
        <w:ind w:left="0"/>
      </w:pPr>
    </w:p>
    <w:p>
      <w:pPr>
        <w:pStyle w:val="4"/>
        <w:spacing w:before="0" w:after="0" w:line="240" w:lineRule="auto"/>
        <w:ind w:firstLine="0" w:firstLineChars="0"/>
        <w:sectPr>
          <w:pgSz w:w="11907" w:h="16839"/>
          <w:pgMar w:top="1134" w:right="1134" w:bottom="1134" w:left="1247" w:header="851" w:footer="992" w:gutter="0"/>
          <w:pgBorders>
            <w:top w:val="none" w:sz="0" w:space="0"/>
            <w:left w:val="none" w:sz="0" w:space="0"/>
            <w:bottom w:val="none" w:sz="0" w:space="0"/>
            <w:right w:val="none" w:sz="0" w:space="0"/>
          </w:pgBorders>
          <w:pgNumType w:fmt="decimal"/>
          <w:cols w:space="720" w:num="1"/>
          <w:docGrid w:type="lines" w:linePitch="381" w:charSpace="0"/>
        </w:sectPr>
      </w:pPr>
    </w:p>
    <w:p>
      <w:pPr>
        <w:pStyle w:val="84"/>
        <w:bidi w:val="0"/>
      </w:pPr>
      <w:bookmarkStart w:id="622" w:name="_Toc13794"/>
      <w:bookmarkStart w:id="623" w:name="_Toc8204"/>
      <w:bookmarkStart w:id="624" w:name="_Toc14383"/>
      <w:bookmarkStart w:id="625" w:name="_Toc5110"/>
      <w:bookmarkStart w:id="626" w:name="_Toc18287"/>
      <w:bookmarkStart w:id="627" w:name="_Toc37591960"/>
      <w:r>
        <w:rPr>
          <w:rFonts w:hint="eastAsia"/>
        </w:rPr>
        <w:t>附图五 项目雨水排水走向图</w:t>
      </w:r>
      <w:bookmarkEnd w:id="622"/>
      <w:bookmarkEnd w:id="623"/>
      <w:bookmarkEnd w:id="624"/>
      <w:bookmarkEnd w:id="625"/>
      <w:bookmarkEnd w:id="626"/>
      <w:bookmarkEnd w:id="627"/>
    </w:p>
    <w:p>
      <w:pPr>
        <w:ind w:firstLine="0" w:firstLineChars="0"/>
        <w:jc w:val="center"/>
      </w:pPr>
      <w:r>
        <mc:AlternateContent>
          <mc:Choice Requires="wps">
            <w:drawing>
              <wp:anchor distT="0" distB="0" distL="114300" distR="114300" simplePos="0" relativeHeight="251702272" behindDoc="0" locked="0" layoutInCell="1" allowOverlap="1">
                <wp:simplePos x="0" y="0"/>
                <wp:positionH relativeFrom="column">
                  <wp:posOffset>4369435</wp:posOffset>
                </wp:positionH>
                <wp:positionV relativeFrom="paragraph">
                  <wp:posOffset>5622925</wp:posOffset>
                </wp:positionV>
                <wp:extent cx="314960" cy="76200"/>
                <wp:effectExtent l="0" t="0" r="8890" b="0"/>
                <wp:wrapNone/>
                <wp:docPr id="23" name="矩形 23"/>
                <wp:cNvGraphicFramePr/>
                <a:graphic xmlns:a="http://schemas.openxmlformats.org/drawingml/2006/main">
                  <a:graphicData uri="http://schemas.microsoft.com/office/word/2010/wordprocessingShape">
                    <wps:wsp>
                      <wps:cNvSpPr/>
                      <wps:spPr>
                        <a:xfrm>
                          <a:off x="0" y="0"/>
                          <a:ext cx="314960" cy="762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44.05pt;margin-top:442.75pt;height:6pt;width:24.8pt;z-index:251702272;v-text-anchor:middle;mso-width-relative:page;mso-height-relative:page;" fillcolor="#5B9BD5 [3204]" filled="t" stroked="f" coordsize="21600,21600" o:gfxdata="UEsDBAoAAAAAAIdO4kAAAAAAAAAAAAAAAAAEAAAAZHJzL1BLAwQUAAAACACHTuJAxzhBo9kAAAAL&#10;AQAADwAAAGRycy9kb3ducmV2LnhtbE2PsU7DMBCGdyTewTokNmqbKrEJcTqA6ISQaDswuvE1iRrb&#10;ke226dvXTDDe3af/vr9ezXYkZwxx8E4BXzAg6FpvBtcp2G0/niSQmLQzevQOFVwxwqq5v6t1ZfzF&#10;feN5kzqSQ1ystII+pamiNLY9Wh0XfkKXbwcfrE55DB01QV9yuB3pM2MltXpw+UOvJ3zrsT1uTlaB&#10;SOz9ypY/X59rXoTDzI+p9DulHh84ewWScE5/MPzqZ3VostPen5yJZFRQSskzqkDKogCSCbEUAsg+&#10;b15EAbSp6f8OzQ1QSwMEFAAAAAgAh07iQCzSc5RSAgAAfQQAAA4AAABkcnMvZTJvRG9jLnhtbK1U&#10;zW4aMRC+V+o7WL43C4SQsMoSkaBUlaIGiVY9D16bteS/2oaFvkyl3voQfZyqr9GxdxPoz6kqBzPj&#10;Geab+fwN1zd7rciO+yCtqejwbEAJN8zW0mwq+v7d/asrSkIEU4Oyhlf0wAO9mb18cd26ko9sY1XN&#10;PcEiJpStq2gToyuLIrCGawhn1nGDQWG9hoiu3xS1hxara1WMBoNJ0VpfO28ZDwFvF12QznJ9ITiL&#10;j0IEHomqKPYW8+nzuU5nMbuGcuPBNZL1bcA/dKFBGgR9LrWACGTr5R+ltGTeBiviGbO6sEJIxvMM&#10;OM1w8Ns0qwYcz7MgOcE90xT+X1n2drf0RNYVHZ1TYkDjG/34/PX7ty8EL5Cd1oUSk1Zu6XsvoJlG&#10;3Quv0zcOQfaZ0cMzo3wfCcPL8+F4OkHeGYYuJ/hgqWRx/K3zIb7mVpNkVNTje2UaYfcQYpf6lJKg&#10;glWyvpdKZcdv1nfKkx3g217cTm8XF331X9KUIS0qc3SJ4IQBakwoiGhqh1MHs6EE1AbFy6LP2MYm&#10;BASHMmEvIDQdRi6bIKDUMqJsldQVvRqkT4+sDI6XKOtIStba1gek2NtOe8Gxe4llHyDEJXgUG7aF&#10;CxQf8RDKYq+2tyhprP/0t/uUjxrAKCUtihfn+LgFzylRbwyqYzocj5PaszO+uByh408j69OI2eo7&#10;ixwOcVUdy2bKj+rJFN7qD7hn84SKITAMsTvGeucudkuFm8r4fJ7TUOEO4oNZOZaKJ96MnW+jFTK/&#10;7ZGdnjTUeFZHv49piU79nHX815j9B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c4QaPZAAAACwEA&#10;AA8AAAAAAAAAAQAgAAAAIgAAAGRycy9kb3ducmV2LnhtbFBLAQIUABQAAAAIAIdO4kAs0nOUUgIA&#10;AH0EAAAOAAAAAAAAAAEAIAAAACgBAABkcnMvZTJvRG9jLnhtbFBLBQYAAAAABgAGAFkBAADsBQAA&#10;AAA=&#10;">
                <v:fill on="t" focussize="0,0"/>
                <v:stroke on="f" weight="1pt" miterlimit="8" joinstyle="miter"/>
                <v:imagedata o:title=""/>
                <o:lock v:ext="edit" aspectratio="f"/>
              </v:rect>
            </w:pict>
          </mc:Fallback>
        </mc:AlternateContent>
      </w:r>
      <w:r>
        <w:rPr>
          <w:sz w:val="24"/>
        </w:rPr>
        <mc:AlternateContent>
          <mc:Choice Requires="wps">
            <w:drawing>
              <wp:anchor distT="0" distB="0" distL="114300" distR="114300" simplePos="0" relativeHeight="251659264" behindDoc="0" locked="0" layoutInCell="1" allowOverlap="1">
                <wp:simplePos x="0" y="0"/>
                <wp:positionH relativeFrom="column">
                  <wp:posOffset>4335145</wp:posOffset>
                </wp:positionH>
                <wp:positionV relativeFrom="paragraph">
                  <wp:posOffset>5324475</wp:posOffset>
                </wp:positionV>
                <wp:extent cx="1271270" cy="840105"/>
                <wp:effectExtent l="4445" t="4445" r="19685" b="12700"/>
                <wp:wrapNone/>
                <wp:docPr id="38" name="文本框 38"/>
                <wp:cNvGraphicFramePr/>
                <a:graphic xmlns:a="http://schemas.openxmlformats.org/drawingml/2006/main">
                  <a:graphicData uri="http://schemas.microsoft.com/office/word/2010/wordprocessingShape">
                    <wps:wsp>
                      <wps:cNvSpPr txBox="1"/>
                      <wps:spPr>
                        <a:xfrm>
                          <a:off x="0" y="0"/>
                          <a:ext cx="1271270" cy="84010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spacing w:line="240" w:lineRule="auto"/>
                              <w:ind w:firstLine="660" w:firstLineChars="300"/>
                              <w:rPr>
                                <w:rFonts w:ascii="Calibri" w:hAnsi="Calibri"/>
                                <w:kern w:val="0"/>
                                <w:sz w:val="22"/>
                              </w:rPr>
                            </w:pPr>
                            <w:r>
                              <w:rPr>
                                <w:rFonts w:hint="eastAsia" w:ascii="Calibri" w:hAnsi="Calibri"/>
                                <w:kern w:val="0"/>
                                <w:sz w:val="22"/>
                              </w:rPr>
                              <w:t>图例</w:t>
                            </w:r>
                          </w:p>
                          <w:p>
                            <w:pPr>
                              <w:spacing w:line="360" w:lineRule="auto"/>
                              <w:ind w:firstLine="440"/>
                              <w:rPr>
                                <w:rFonts w:hint="eastAsia" w:ascii="Calibri" w:hAnsi="Calibri"/>
                                <w:kern w:val="0"/>
                                <w:sz w:val="22"/>
                              </w:rPr>
                            </w:pPr>
                            <w:r>
                              <w:rPr>
                                <w:rFonts w:hint="eastAsia" w:ascii="Calibri" w:hAnsi="Calibri"/>
                                <w:kern w:val="0"/>
                                <w:sz w:val="22"/>
                              </w:rPr>
                              <w:t>雨水管网</w:t>
                            </w:r>
                          </w:p>
                          <w:p>
                            <w:pPr>
                              <w:spacing w:line="360" w:lineRule="auto"/>
                              <w:ind w:firstLine="440"/>
                              <w:rPr>
                                <w:rFonts w:ascii="Calibri" w:hAnsi="Calibri"/>
                                <w:kern w:val="0"/>
                                <w:sz w:val="22"/>
                              </w:rPr>
                            </w:pPr>
                            <w:r>
                              <w:rPr>
                                <w:rFonts w:hint="eastAsia" w:ascii="Calibri" w:hAnsi="Calibri"/>
                                <w:kern w:val="0"/>
                                <w:sz w:val="22"/>
                              </w:rPr>
                              <w:t>雨水排口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1.35pt;margin-top:419.25pt;height:66.15pt;width:100.1pt;z-index:251659264;mso-width-relative:page;mso-height-relative:page;" fillcolor="#FFFFFF [3201]" filled="t" stroked="t" coordsize="21600,21600" o:gfxdata="UEsDBAoAAAAAAIdO4kAAAAAAAAAAAAAAAAAEAAAAZHJzL1BLAwQUAAAACACHTuJA0+sQHtgAAAAL&#10;AQAADwAAAGRycy9kb3ducmV2LnhtbE2Py07DMBBF90j8gzVI7KjdRKRuyKQSSEiIHW027Nx4mkT4&#10;EdluU/4es4Ll6B7de6bZXa1hFwpx8g5hvRLAyPVeT25A6A6vDxJYTMppZbwjhG+KsGtvbxpVa7+4&#10;D7rs08ByiYu1QhhTmmvOYz+SVXHlZ3I5O/lgVcpnGLgOasnl1vBCiIpbNbm8MKqZXkbqv/Zni/BW&#10;PadP6vS7LovSLx3vw8lExPu7tXgCluia/mD41c/q0Ganoz87HZlBqGSxySiCLOUjsExIWWyBHRG2&#10;GyGBtw3//0P7A1BLAwQUAAAACACHTuJAYQYs1zwCAABrBAAADgAAAGRycy9lMm9Eb2MueG1srVTN&#10;jtMwEL4j8Q6W7zRtt91dqqar0lURUsWuVBBnx3EaC8djbLdJeQD2DThx4c5z9TkYO2m3y3JCRJE7&#10;f/k8881MpzdNpchOWCdBp3TQ61MiNIdc6k1KP35YvrqmxHmmc6ZAi5TuhaM3s5cvprWZiCGUoHJh&#10;CYJoN6lNSkvvzSRJHC9FxVwPjNDoLMBWzKNqN0luWY3olUqG/f5lUoPNjQUunEPrbeuks4hfFIL7&#10;u6JwwhOVUszNx9PGMwtnMpuyycYyU0repcH+IYuKSY2XnqBumWdka+UzqEpyCw4K3+NQJVAUkotY&#10;A1Yz6P9RzbpkRsRakBxnTjS5/wfL3+/uLZF5Si+wU5pV2KPD94fDj1+Hn98I2pCg2rgJxq0NRvrm&#10;DTTY6KPdoTHU3RS2Cr9YEUE/Ur0/0SsaT3j4aHiFL7o4+q5HWO84wCSPXxvr/FsBFQlCSi22L7LK&#10;divn29BjSLjMgZL5UioVFbvJFsqSHcNWL+PToT8JU5rUKb28GPcj8hNfwD5BZIrxz88RMFulMelA&#10;Slt8kHyTNR1TGeR7JMpCO2vO8KVE3BVz/p5ZHC4kABfG3+FRKMBkoJMoKcF+/Zs9xGPP0UtJjcOa&#10;Uvdly6ygRL3TOA2vB6NRmO6ojMZXQ1TsuSc79+httQAkaYCraXgUQ7xXR7GwUH3CvZqHW9HFNMe7&#10;U+qP4sK3K4R7ycV8HoNwng3zK702PECHlmiYbz0UMrYu0NRy07GHEx2b321fWJlzPUY9/kfM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T6xAe2AAAAAsBAAAPAAAAAAAAAAEAIAAAACIAAABkcnMv&#10;ZG93bnJldi54bWxQSwECFAAUAAAACACHTuJAYQYs1zwCAABrBAAADgAAAAAAAAABACAAAAAnAQAA&#10;ZHJzL2Uyb0RvYy54bWxQSwUGAAAAAAYABgBZAQAA1QUAAAAA&#10;">
                <v:fill on="t" focussize="0,0"/>
                <v:stroke weight="0.5pt" color="#000000 [3204]" joinstyle="round"/>
                <v:imagedata o:title=""/>
                <o:lock v:ext="edit" aspectratio="f"/>
                <v:textbox>
                  <w:txbxContent>
                    <w:p>
                      <w:pPr>
                        <w:spacing w:line="240" w:lineRule="auto"/>
                        <w:ind w:firstLine="660" w:firstLineChars="300"/>
                        <w:rPr>
                          <w:rFonts w:ascii="Calibri" w:hAnsi="Calibri"/>
                          <w:kern w:val="0"/>
                          <w:sz w:val="22"/>
                        </w:rPr>
                      </w:pPr>
                      <w:r>
                        <w:rPr>
                          <w:rFonts w:hint="eastAsia" w:ascii="Calibri" w:hAnsi="Calibri"/>
                          <w:kern w:val="0"/>
                          <w:sz w:val="22"/>
                        </w:rPr>
                        <w:t>图例</w:t>
                      </w:r>
                    </w:p>
                    <w:p>
                      <w:pPr>
                        <w:spacing w:line="360" w:lineRule="auto"/>
                        <w:ind w:firstLine="440"/>
                        <w:rPr>
                          <w:rFonts w:hint="eastAsia" w:ascii="Calibri" w:hAnsi="Calibri"/>
                          <w:kern w:val="0"/>
                          <w:sz w:val="22"/>
                        </w:rPr>
                      </w:pPr>
                      <w:r>
                        <w:rPr>
                          <w:rFonts w:hint="eastAsia" w:ascii="Calibri" w:hAnsi="Calibri"/>
                          <w:kern w:val="0"/>
                          <w:sz w:val="22"/>
                        </w:rPr>
                        <w:t>雨水管网</w:t>
                      </w:r>
                    </w:p>
                    <w:p>
                      <w:pPr>
                        <w:spacing w:line="360" w:lineRule="auto"/>
                        <w:ind w:firstLine="440"/>
                        <w:rPr>
                          <w:rFonts w:ascii="Calibri" w:hAnsi="Calibri"/>
                          <w:kern w:val="0"/>
                          <w:sz w:val="22"/>
                        </w:rPr>
                      </w:pPr>
                      <w:r>
                        <w:rPr>
                          <w:rFonts w:hint="eastAsia" w:ascii="Calibri" w:hAnsi="Calibri"/>
                          <w:kern w:val="0"/>
                          <w:sz w:val="22"/>
                        </w:rPr>
                        <w:t>雨水排口</w:t>
                      </w:r>
                    </w:p>
                  </w:txbxContent>
                </v:textbox>
              </v:shape>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4417695</wp:posOffset>
                </wp:positionH>
                <wp:positionV relativeFrom="paragraph">
                  <wp:posOffset>5842000</wp:posOffset>
                </wp:positionV>
                <wp:extent cx="152400" cy="152400"/>
                <wp:effectExtent l="6350" t="6350" r="12700" b="12700"/>
                <wp:wrapNone/>
                <wp:docPr id="39" name="椭圆 39"/>
                <wp:cNvGraphicFramePr/>
                <a:graphic xmlns:a="http://schemas.openxmlformats.org/drawingml/2006/main">
                  <a:graphicData uri="http://schemas.microsoft.com/office/word/2010/wordprocessingShape">
                    <wps:wsp>
                      <wps:cNvSpPr/>
                      <wps:spPr>
                        <a:xfrm>
                          <a:off x="0" y="0"/>
                          <a:ext cx="152400" cy="152400"/>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47.85pt;margin-top:460pt;height:12pt;width:12pt;z-index:251663360;v-text-anchor:middle;mso-width-relative:page;mso-height-relative:page;" fillcolor="#FFFF00" filled="t" stroked="t" coordsize="21600,21600" o:gfxdata="UEsDBAoAAAAAAIdO4kAAAAAAAAAAAAAAAAAEAAAAZHJzL1BLAwQUAAAACACHTuJAWVvPetcAAAAL&#10;AQAADwAAAGRycy9kb3ducmV2LnhtbE2Py07DMBBF90j8gzWV2FE7JW1IGqdClWBZiRb2bjzEUWM7&#10;2G5T/p5hRZdz5+g+6s3VDuyCIfbeScjmAhi61uvedRI+Dq+Pz8BiUk6rwTuU8IMRNs39Xa0q7Sf3&#10;jpd96hiZuFgpCSalseI8tgatinM/oqPflw9WJTpDx3VQE5nbgS+EWHGrekcJRo24Ndie9mcrYeq+&#10;P087k+9esuLwtgh9+7RdRikfZplYA0t4Tf8w/NWn6tBQp6M/Ox3ZIGFVLgtCJZSUA4yIIitJOZKS&#10;5wJ4U/PbDc0vUEsDBBQAAAAIAIdO4kBENAENZAIAAMsEAAAOAAAAZHJzL2Uyb0RvYy54bWytVM1u&#10;EzEQviPxDpbvdLMhpe0qmypKFYRU0UgFcZ547awl/2E72ZQH4Ck4cu1jwXMw9m7aBDgh9uDMeMbf&#10;zHwzk+n1Xiuy4z5Ia2pano0o4YbZRppNTT9+WL66pCREMA0oa3hNH3ig17OXL6adq/jYtlY13BME&#10;MaHqXE3bGF1VFIG1XEM4s44bNArrNURU/aZoPHSIrlUxHo3eFJ31jfOW8RDw9qY30lnGF4KzeCdE&#10;4JGommJuMZ8+n+t0FrMpVBsPrpVsSAP+IQsN0mDQJ6gbiEC2Xv4BpSXzNlgRz5jVhRVCMp5rwGrK&#10;0W/V3LfgeK4FyQnuiabw/2DZ+93KE9nU9PUVJQY09ujn98cf374SvEB2OhcqdLp3Kz9oAcVU6l54&#10;nX6xCLLPjD48Mcr3kTC8LM/HkxHyztA0yIhSPD92PsS33GqShJpypaQLqWaoYHcbYu998ErXwSrZ&#10;LKVSWfGb9UJ5sgPs7xI/DNY/OXFThnSYwPgi5wI4Z0JBxLS0w8qD2VACaoMDzKLPsU9eh+Mgk/Ki&#10;vFr0Ti00vA99PsLvELl3z2We4KQqbiC0/ZNsSk+g0jLiEiipa3qZgA5IyiBIakBPeZLWtnnAhnnb&#10;T3JwbCkR9hZCXIHH0UWycR3jHR5CWazaDhIlrfVf/naf/HGi0EpJh6uAjHzegueUqHcGZ+2qnEzS&#10;7mRlcn4xRsUfW9bHFrPVC4vdKHHxHcti8o/qIApv9Sfc2nmKiiYwDGP33A/KIvYrinvP+Hye3XBf&#10;HMRbc+9YAk+8GTvfRitknpJndgbScGNyD4btTit5rGev5/+g2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ZW8961wAAAAsBAAAPAAAAAAAAAAEAIAAAACIAAABkcnMvZG93bnJldi54bWxQSwECFAAU&#10;AAAACACHTuJARDQBDWQCAADLBAAADgAAAAAAAAABACAAAAAmAQAAZHJzL2Uyb0RvYy54bWxQSwUG&#10;AAAAAAYABgBZAQAA/AUAAAAA&#10;">
                <v:fill on="t" focussize="0,0"/>
                <v:stroke weight="1pt" color="#41719C [3204]" miterlimit="8" joinstyle="miter"/>
                <v:imagedata o:title=""/>
                <o:lock v:ext="edit" aspectratio="f"/>
              </v:shape>
            </w:pict>
          </mc:Fallback>
        </mc:AlternateContent>
      </w:r>
      <w:r>
        <w:rPr>
          <w:sz w:val="24"/>
        </w:rPr>
        <mc:AlternateContent>
          <mc:Choice Requires="wps">
            <w:drawing>
              <wp:anchor distT="0" distB="0" distL="114300" distR="114300" simplePos="0" relativeHeight="251654144" behindDoc="0" locked="0" layoutInCell="1" allowOverlap="1">
                <wp:simplePos x="0" y="0"/>
                <wp:positionH relativeFrom="column">
                  <wp:posOffset>4312920</wp:posOffset>
                </wp:positionH>
                <wp:positionV relativeFrom="paragraph">
                  <wp:posOffset>5689600</wp:posOffset>
                </wp:positionV>
                <wp:extent cx="238125" cy="95250"/>
                <wp:effectExtent l="6350" t="6350" r="22225" b="12700"/>
                <wp:wrapNone/>
                <wp:docPr id="41" name="矩形 41"/>
                <wp:cNvGraphicFramePr/>
                <a:graphic xmlns:a="http://schemas.openxmlformats.org/drawingml/2006/main">
                  <a:graphicData uri="http://schemas.microsoft.com/office/word/2010/wordprocessingShape">
                    <wps:wsp>
                      <wps:cNvSpPr/>
                      <wps:spPr>
                        <a:xfrm>
                          <a:off x="5104765" y="6923405"/>
                          <a:ext cx="238125" cy="9525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39.6pt;margin-top:448pt;height:7.5pt;width:18.75pt;z-index:251654144;v-text-anchor:middle;mso-width-relative:page;mso-height-relative:page;" fillcolor="#5B9BD5 [3204]" filled="t" stroked="f" coordsize="21600,21600" o:gfxdata="UEsDBAoAAAAAAIdO4kAAAAAAAAAAAAAAAAAEAAAAZHJzL1BLAwQUAAAACACHTuJAIVH+stkAAAAL&#10;AQAADwAAAGRycy9kb3ducmV2LnhtbE2PMU/DMBCFdyT+g3VIbNR2EU4T4nQAwYSQaDswuvE1iRqf&#10;I9tt03+PmWA83af3vlevZzeyM4Y4eNIgFwIYUuvtQJ2G3fbtYQUsJkPWjJ5QwxUjrJvbm9pU1l/o&#10;C8+b1LEcQrEyGvqUporz2PboTFz4CSn/Dj44k/IZOm6DueRwN/KlEIo7M1Bu6M2ELz22x83JaSiS&#10;eL2Kx+/Pj3f5FA6zPCbld1rf30nxDCzhnP5g+NXP6tBkp70/kY1s1KCKcplRDatS5VGZKKQqgO01&#10;lFIK4E3N/29ofgBQSwMEFAAAAAgAh07iQDXBATlgAgAAiQQAAA4AAABkcnMvZTJvRG9jLnhtbK1U&#10;224TMRB9R+IfLL/T3WyTtom6qdJGRUgVrVQQz47Xm7XkG7aTTfkZJN74CD4H8Rsce9OmXJ4QeXBm&#10;PJM5M8dncn6x04pshQ/SmpqOjkpKhOG2kWZd0/fvrl+dURIiMw1T1oiaPohAL+YvX5z3biYq21nV&#10;CE9QxIRZ72raxehmRRF4JzQLR9YJg2BrvWYRrl8XjWc9qmtVVGV5UvTWN85bLkLA7XII0nmu37aC&#10;x9u2DSISVVP0FvPp87lKZzE/Z7O1Z66TfN8G+4cuNJMGoE+lliwysvHyj1Jacm+DbeMRt7qwbSu5&#10;yDNgmlH52zT3HXMizwJygnuiKfy/svzt9s4T2dR0PKLEMI03+vH56/dvXwguwE7vwgxJ9+7O770A&#10;M426a71O3xiC7Go6GZXj05MJJQ81PZlWx+NyMrArdpFwJFTHZ6MKcY6E6aSaZPKLQx3nQ3wtrCbJ&#10;qKnH22VK2fYmRGAj9TElwQarZHMtlcqOX6+ulCdbhneeXE4vlxkcP/klTRnSQ6XVaQktcAa9tYpF&#10;mNqBgWDWlDC1hpB59Bnb2ISQRZKwlyx0A0YuO8ynZYSEldQ1PSvTJ10DWRl8JfoGwpK1ss0D6PZ2&#10;0GFw/Fqi7A0L8Y55CA9tYZniLY5WWfRq9xYlnfWf/naf8qEHRCnpIWTM8XHDvKBEvTFQynQ0Hifl&#10;Z2c8Oa3g+OeR1fOI2egrCw4hBnSXzZQf1aPZeqs/YOcWCRUhZjiwB8b2zlUcFgxby8VikdOgdsfi&#10;jbl3PBVPb2bsYhNtK/PbHtjZkwa9Zxb3u5kW6rmfsw7/IPO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IVH+stkAAAALAQAADwAAAAAAAAABACAAAAAiAAAAZHJzL2Rvd25yZXYueG1sUEsBAhQAFAAA&#10;AAgAh07iQDXBATlgAgAAiQQAAA4AAAAAAAAAAQAgAAAAKAEAAGRycy9lMm9Eb2MueG1sUEsFBgAA&#10;AAAGAAYAWQEAAPoFAAAAAA==&#10;">
                <v:fill on="t" focussize="0,0"/>
                <v:stroke on="f" weight="1pt" miterlimit="8" joinstyle="miter"/>
                <v:imagedata o:title=""/>
                <o:lock v:ext="edit" aspectratio="f"/>
              </v:rect>
            </w:pict>
          </mc:Fallback>
        </mc:AlternateContent>
      </w:r>
      <w:r>
        <w:rPr>
          <w:sz w:val="24"/>
        </w:rPr>
        <mc:AlternateContent>
          <mc:Choice Requires="wps">
            <w:drawing>
              <wp:anchor distT="0" distB="0" distL="114300" distR="114300" simplePos="0" relativeHeight="251657216" behindDoc="0" locked="0" layoutInCell="1" allowOverlap="1">
                <wp:simplePos x="0" y="0"/>
                <wp:positionH relativeFrom="column">
                  <wp:posOffset>4370070</wp:posOffset>
                </wp:positionH>
                <wp:positionV relativeFrom="paragraph">
                  <wp:posOffset>5975350</wp:posOffset>
                </wp:positionV>
                <wp:extent cx="152400" cy="152400"/>
                <wp:effectExtent l="6350" t="6350" r="12700" b="12700"/>
                <wp:wrapNone/>
                <wp:docPr id="40" name="椭圆 40"/>
                <wp:cNvGraphicFramePr/>
                <a:graphic xmlns:a="http://schemas.openxmlformats.org/drawingml/2006/main">
                  <a:graphicData uri="http://schemas.microsoft.com/office/word/2010/wordprocessingShape">
                    <wps:wsp>
                      <wps:cNvSpPr/>
                      <wps:spPr>
                        <a:xfrm>
                          <a:off x="5161915" y="7237730"/>
                          <a:ext cx="152400" cy="152400"/>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44.1pt;margin-top:470.5pt;height:12pt;width:12pt;z-index:251657216;v-text-anchor:middle;mso-width-relative:page;mso-height-relative:page;" fillcolor="#FFFF00" filled="t" stroked="t" coordsize="21600,21600" o:gfxdata="UEsDBAoAAAAAAIdO4kAAAAAAAAAAAAAAAAAEAAAAZHJzL1BLAwQUAAAACACHTuJAyGz8itgAAAAL&#10;AQAADwAAAGRycy9kb3ducmV2LnhtbE2Py07DMBBF90j8gzVI7Kid0KZpiFOhSrCsRAt7N3bjqPE4&#10;2G5T/p5hRZdz5+g+6vXVDexiQuw9SshmApjB1useOwmf+7enElhMCrUaPBoJPybCurm/q1Wl/YQf&#10;5rJLHSMTjJWSYFMaK85ja41TceZHg/Q7+uBUojN0XAc1kbkbeC5EwZ3qkRKsGs3Gmva0OzsJU/f9&#10;ddra+fY1W+7f89C3z5tFlPLxIRMvwJK5pn8Y/upTdWio08GfUUc2SCjKMidUwmqe0SgilllOyoGU&#10;YiGANzW/3dD8AlBLAwQUAAAACACHTuJAUsgK2XICAADXBAAADgAAAGRycy9lMm9Eb2MueG1srVTN&#10;btswDL4P2DsIuq+O06RpjTpFkCLDgGIt0A07M7IUC9DfJCVO9wB7ih137WNtzzFKdtp022mYDzIp&#10;Uh/JT6Qur/ZakR33QVpT0/JkRAk3zDbSbGr68cPqzTklIYJpQFnDa/rAA72av3512bmKj21rVcM9&#10;QRATqs7VtI3RVUURWMs1hBPruEGjsF5DRNVvisZDh+haFePR6KzorG+ct4yHgLvXvZHOM74QnMVb&#10;IQKPRNUUc4t59Xldp7WYX0K18eBayYY04B+y0CANBn2CuoYIZOvlH1BaMm+DFfGEWV1YISTjuQas&#10;phz9Vs19C47nWpCc4J5oCv8Plr3f3Xkim5pOkB4DGu/o5/fHH9++EtxAdjoXKnS6d3d+0AKKqdS9&#10;8Dr9sQiyr+m0PCsvyiklDzWdjU9ns9OBXb6PhKFDOR1PRhiEocMgI2LxDOR8iG+51SQJNeVKSRdS&#10;/VDB7ibE3vvglbaDVbJZSaWy4jfrpfJkB3jXK/wwWH/khZsypMMExrOcC2DPCQUR09IOWQhmQwmo&#10;DTYziz7HfnE6HAeZlLPyYtk7tdDwPvR0hN8hcu+ey3yBk6q4htD2R7IpHYFKy4gDoaSu6XkCOiAp&#10;gyDpMnr6k7S2zQNenrd9VwfHVhJhbyDEO/DYxkg2jma8xUUoi1XbQaKktf7L3/aTP3YXWinpcCyQ&#10;kc9b8JwS9c5g312Uk9QoMSuT6WyMij+2rI8tZquXFm+jxEfAsSwm/6gOovBWf8IJXqSoaALDMHbP&#10;/aAsYz+u+AYwvlhkN5wdB/HG3DuWwBNvxi620QqZu+SZnYE0nJ58B8Okp/E81rPX83s0/w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IbPyK2AAAAAsBAAAPAAAAAAAAAAEAIAAAACIAAABkcnMvZG93&#10;bnJldi54bWxQSwECFAAUAAAACACHTuJAUsgK2XICAADXBAAADgAAAAAAAAABACAAAAAnAQAAZHJz&#10;L2Uyb0RvYy54bWxQSwUGAAAAAAYABgBZAQAACwYAAAAA&#10;">
                <v:fill on="t" focussize="0,0"/>
                <v:stroke weight="1pt" color="#41719C [3204]" miterlimit="8" joinstyle="miter"/>
                <v:imagedata o:title=""/>
                <o:lock v:ext="edit" aspectratio="f"/>
              </v:shape>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3417570</wp:posOffset>
                </wp:positionH>
                <wp:positionV relativeFrom="paragraph">
                  <wp:posOffset>2727325</wp:posOffset>
                </wp:positionV>
                <wp:extent cx="152400" cy="152400"/>
                <wp:effectExtent l="6350" t="6350" r="12700" b="12700"/>
                <wp:wrapNone/>
                <wp:docPr id="37" name="椭圆 37"/>
                <wp:cNvGraphicFramePr/>
                <a:graphic xmlns:a="http://schemas.openxmlformats.org/drawingml/2006/main">
                  <a:graphicData uri="http://schemas.microsoft.com/office/word/2010/wordprocessingShape">
                    <wps:wsp>
                      <wps:cNvSpPr/>
                      <wps:spPr>
                        <a:xfrm>
                          <a:off x="4228465" y="3989705"/>
                          <a:ext cx="152400" cy="152400"/>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269.1pt;margin-top:214.75pt;height:12pt;width:12pt;z-index:251668480;v-text-anchor:middle;mso-width-relative:page;mso-height-relative:page;" fillcolor="#FFFF00" filled="t" stroked="t" coordsize="21600,21600" o:gfxdata="UEsDBAoAAAAAAIdO4kAAAAAAAAAAAAAAAAAEAAAAZHJzL1BLAwQUAAAACACHTuJASaHqC9gAAAAL&#10;AQAADwAAAGRycy9kb3ducmV2LnhtbE2PwU7DMAyG70i8Q2QkbixtuozRNZ3QJDhOYoN71nhttSYp&#10;SbaOt8ec2NG/P/3+XK2vdmAXDLH3TkE+y4Cha7zpXavgc//2tAQWk3ZGD96hgh+MsK7v7ypdGj+5&#10;D7zsUsuoxMVSK+hSGkvOY9Oh1XHmR3S0O/pgdaIxtNwEPVG5HbjIsgW3und0odMjbjpsTruzVTC1&#10;31+nbTffvubP+3cR+qbYyKjU40OerYAlvKZ/GP70SR1qcjr4szORDQpksRSEKpiLFwmMCLkQlBwo&#10;kYUEXlf89of6F1BLAwQUAAAACACHTuJAxTPoe3ECAADXBAAADgAAAGRycy9lMm9Eb2MueG1srVRL&#10;jhMxEN0jcQfLe6Y/dCYfpTOKMgpCGjGRBsTacbvTlvzDdtIZDsApWLLlWHAOynZnJgFWiF64q1zl&#10;V65XVZ7fHKVAB2Yd16rGxVWOEVNUN1ztavzh/frVBCPniWqI0IrV+JE5fLN4+WLemxkrdadFwywC&#10;EOVmvalx572ZZZmjHZPEXWnDFBhbbSXxoNpd1ljSA7oUWZnn11mvbWOspsw52L1NRryI+G3LqL9v&#10;W8c8EjWGu/m42rhuw5ot5mS2s8R0nA7XIP9wC0m4gqBPULfEE7S3/A8oyanVTrf+imqZ6bbllMUc&#10;IJsi/y2bh44YFnMBcpx5osn9P1j67rCxiDc1fj3GSBEJNfr57fuPr18QbAA7vXEzcHowGztoDsSQ&#10;6rG1MvwhCXSscVWWk+p6hNEjYE0n03E+Suyyo0cUHIpRWeVQAwoOgwyI2TOQsc6/YVqiINSYCcGN&#10;C/mTGTncOZ+8T15h22nBmzUXIip2t10Jiw4Ear2GD4KlIxduQqEeLlCO410I9FwriIdrSQMsOLXD&#10;iIgdNDP1Nsa+OO3Og1TFuJiuklNHGpZCj3L4TpGTe0zzAidkcUtcl45EU2JLcg8DIbis8SQAnZCE&#10;ApBQjER/kLa6eYTiWZ262hm65gB7R5zfEAttDGTDaPp7WFqhIWs9SBh12n7+237wh+4CK0Y9jAUw&#10;8mlPLMNIvFXQd9OiqsIcRaUajUtQ7Llle25Re7nSUI0CHgFDoxj8vTiJrdXyI0zwMkQFE1EUYifu&#10;B2Xl07jCG0DZchndYHYM8XfqwdAAHqqv9HLvdctjlzyzM5AG0xNrMEx6GM9zPXo9v0e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Emh6gvYAAAACwEAAA8AAAAAAAAAAQAgAAAAIgAAAGRycy9kb3du&#10;cmV2LnhtbFBLAQIUABQAAAAIAIdO4kDFM+h7cQIAANcEAAAOAAAAAAAAAAEAIAAAACcBAABkcnMv&#10;ZTJvRG9jLnhtbFBLBQYAAAAABgAGAFkBAAAKBgAAAAA=&#10;">
                <v:fill on="t" focussize="0,0"/>
                <v:stroke weight="1pt" color="#41719C [3204]" miterlimit="8" joinstyle="miter"/>
                <v:imagedata o:title=""/>
                <o:lock v:ext="edit" aspectratio="f"/>
              </v:shape>
            </w:pict>
          </mc:Fallback>
        </mc:AlternateContent>
      </w:r>
      <w:r>
        <mc:AlternateContent>
          <mc:Choice Requires="wps">
            <w:drawing>
              <wp:anchor distT="0" distB="0" distL="114300" distR="114300" simplePos="0" relativeHeight="251671552" behindDoc="0" locked="0" layoutInCell="1" allowOverlap="1">
                <wp:simplePos x="0" y="0"/>
                <wp:positionH relativeFrom="column">
                  <wp:posOffset>3093720</wp:posOffset>
                </wp:positionH>
                <wp:positionV relativeFrom="paragraph">
                  <wp:posOffset>2794000</wp:posOffset>
                </wp:positionV>
                <wp:extent cx="381000" cy="0"/>
                <wp:effectExtent l="0" t="48895" r="0" b="65405"/>
                <wp:wrapNone/>
                <wp:docPr id="36" name="直接箭头连接符 36"/>
                <wp:cNvGraphicFramePr/>
                <a:graphic xmlns:a="http://schemas.openxmlformats.org/drawingml/2006/main">
                  <a:graphicData uri="http://schemas.microsoft.com/office/word/2010/wordprocessingShape">
                    <wps:wsp>
                      <wps:cNvCnPr/>
                      <wps:spPr>
                        <a:xfrm>
                          <a:off x="3885565" y="4027805"/>
                          <a:ext cx="38100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3.6pt;margin-top:220pt;height:0pt;width:30pt;z-index:251671552;mso-width-relative:page;mso-height-relative:page;" filled="f" stroked="t" coordsize="21600,21600" o:gfxdata="UEsDBAoAAAAAAIdO4kAAAAAAAAAAAAAAAAAEAAAAZHJzL1BLAwQUAAAACACHTuJAUbW7x9gAAAAL&#10;AQAADwAAAGRycy9kb3ducmV2LnhtbE2Py07DMBBF90j8gzVIbBC1W4W2hDgVDyEeuxY+wI2nSRp7&#10;HMXu6++ZSkiwm7lzdefcYnH0TuxxiG0gDeORAoFUBdtSreH76/V2DiImQ9a4QKjhhBEW5eVFYXIb&#10;DrTE/SrVgkMo5kZDk1KfSxmrBr2Jo9Aj8W0TBm8Sr0Mt7WAOHO6dnCg1ld60xB8a0+Nzg1W32nkN&#10;m+3H9Cmrtp9v8eRv3u8fu/DiOq2vr8bqAUTCY/ozwxmf0aFkpnXYkY3CacjmswlbecgUl2LHXXZW&#10;1r+KLAv5v0P5A1BLAwQUAAAACACHTuJAK+yfz/QBAACdAwAADgAAAGRycy9lMm9Eb2MueG1srVPN&#10;jtMwEL4j8Q6W7zRpl5YqarqHluWCoBLwAFPHSSz5T2PTtC/BCyBxAk6wp73zNLA8BmO3dPm5IXJw&#10;xpmZb+b7ZrK43BvNdhKDcrbm41HJmbTCNcp2NX/18urBnLMQwTagnZU1P8jAL5f37y0GX8mJ651u&#10;JDICsaEafM37GH1VFEH00kAYOS8tOVuHBiJdsSsahIHQjS4mZTkrBoeNRydkCPR1fXTyZcZvWyni&#10;87YNMjJdc+ot5hPzuU1nsVxA1SH4XolTG/APXRhQloqeodYQgb1G9ReUUQJdcG0cCWcK17ZKyMyB&#10;2IzLP9i86MHLzIXECf4sU/h/sOLZboNMNTW/mHFmwdCMbt/efHvz4fb689f3N9+/vEv2p4+M/CTW&#10;4ENFOSu7wdMt+A0m5vsWTXoTJ7YnuPl8Op1NOTvU/GE5eTQvp0ex5T4ykQPGZUkjERSQ51DcYXgM&#10;8Yl0hiWj5iEiqK6PK2ctTdThOGsNu6chUheU+DMhNWDdldI6D1ZbNtR8djFNdYDWq9UQyTSeCAfb&#10;cQa6o70VETNicFo1KTvhBOy2K41sB2l38pMYULXfwlLpNYT+GJddR6JGRVptrUzN5+dsqCIo/dg2&#10;LB48aQ2IbjjBakvoSeCjpMnauuaQlc7faQdy/dO+piX79Z6z7/6q5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RtbvH2AAAAAsBAAAPAAAAAAAAAAEAIAAAACIAAABkcnMvZG93bnJldi54bWxQSwEC&#10;FAAUAAAACACHTuJAK+yfz/QBAACdAwAADgAAAAAAAAABACAAAAAnAQAAZHJzL2Uyb0RvYy54bWxQ&#10;SwUGAAAAAAYABgBZAQAAjQUAAAAA&#10;">
                <v:fill on="f" focussize="0,0"/>
                <v:stroke weight="0.5pt" color="#000000 [3213]" miterlimit="8" joinstyle="miter" endarrow="open"/>
                <v:imagedata o:title=""/>
                <o:lock v:ext="edit" aspectratio="f"/>
              </v:shape>
            </w:pict>
          </mc:Fallback>
        </mc:AlternateContent>
      </w:r>
      <w:r>
        <mc:AlternateContent>
          <mc:Choice Requires="wps">
            <w:drawing>
              <wp:anchor distT="0" distB="0" distL="114300" distR="114300" simplePos="0" relativeHeight="251674624" behindDoc="0" locked="0" layoutInCell="1" allowOverlap="1">
                <wp:simplePos x="0" y="0"/>
                <wp:positionH relativeFrom="column">
                  <wp:posOffset>3136900</wp:posOffset>
                </wp:positionH>
                <wp:positionV relativeFrom="paragraph">
                  <wp:posOffset>2327275</wp:posOffset>
                </wp:positionV>
                <wp:extent cx="4445" cy="352425"/>
                <wp:effectExtent l="45720" t="0" r="64135" b="9525"/>
                <wp:wrapNone/>
                <wp:docPr id="34" name="直接箭头连接符 34"/>
                <wp:cNvGraphicFramePr/>
                <a:graphic xmlns:a="http://schemas.openxmlformats.org/drawingml/2006/main">
                  <a:graphicData uri="http://schemas.microsoft.com/office/word/2010/wordprocessingShape">
                    <wps:wsp>
                      <wps:cNvCnPr/>
                      <wps:spPr>
                        <a:xfrm>
                          <a:off x="3928745" y="3561080"/>
                          <a:ext cx="4445" cy="3524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47pt;margin-top:183.25pt;height:27.75pt;width:0.35pt;z-index:251674624;mso-width-relative:page;mso-height-relative:page;" filled="f" stroked="t" coordsize="21600,21600" o:gfxdata="UEsDBAoAAAAAAIdO4kAAAAAAAAAAAAAAAAAEAAAAZHJzL1BLAwQUAAAACACHTuJA2F6lydoAAAAL&#10;AQAADwAAAGRycy9kb3ducmV2LnhtbE2PzU7DMBCE70i8g7VIXFBrN4RAQ5yKH6ECtxYewI23SZp4&#10;HcXu39uznOC2uzOa/aZYnFwvDjiG1pOG2VSBQKq8banW8P31NnkAEaIha3pPqOGMARbl5UVhcuuP&#10;tMLDOtaCQyjkRkMT45BLGaoGnQlTPyCxtvWjM5HXsZZ2NEcOd71MlMqkMy3xh8YM+NJg1a33TsN2&#10;95E9p9XucxnO7uZ9/tT5177T+vpqph5BRDzFPzP84jM6lMy08XuyQfQa0nnKXaKG2yy7A8EOvtyD&#10;2PCQJApkWcj/HcofUEsDBBQAAAAIAIdO4kCKRf+J9QEAAKADAAAOAAAAZHJzL2Uyb0RvYy54bWyt&#10;U0uOEzEQ3SNxB8t70kkmCaGVziwShg2CSMABKm53tyX/VDbp5BJcAIkVsGJYzZ7TwHAMyk7I8Nkh&#10;euEuu+q9rvdcvbjcG812EoNytuKjwZAzaYWrlW0r/url1YM5ZyGCrUE7Kyt+kIFfLu/fW/S+lGPX&#10;OV1LZERiQ9n7incx+rIoguikgTBwXlpKNg4NRNpiW9QIPbEbXYyHw1nRO6w9OiFDoNP1McmXmb9p&#10;pIjPmybIyHTFqbeYV8zrNq3FcgFli+A7JU5twD90YUBZ+uiZag0R2GtUf1EZJdAF18SBcKZwTaOE&#10;zBpIzWj4h5oXHXiZtZA5wZ9tCv+PVjzbbZCpuuIXE84sGLqj27c33958uP18/fX9zfcv71L86SOj&#10;PJnV+1ASZmU3eNoFv8GkfN+gSW/SxPZE92g8fziZcnageDobDecns+U+MkEFk0nKipweT8bTxF7c&#10;0XgM8Yl0hqWg4iEiqLaLK2ctXarDUbYbdk9DPAJ/AlIP1l0prekcSm1ZX/HZxZRuXwBNWKMhUmg8&#10;aQ625Qx0S6MrImbG4LSqEzqBA7bblUa2gzQ++Tm1+VtZ+vQaQnesy6lUBqVRkaZbK1Px+RkNZQSl&#10;H9uaxYMnuwHR9SdabcmE5PHR1RRtXX3IZudzGoNs02lk05z9us/oux9r+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YXqXJ2gAAAAsBAAAPAAAAAAAAAAEAIAAAACIAAABkcnMvZG93bnJldi54bWxQ&#10;SwECFAAUAAAACACHTuJAikX/ifUBAACgAwAADgAAAAAAAAABACAAAAApAQAAZHJzL2Uyb0RvYy54&#10;bWxQSwUGAAAAAAYABgBZAQAAkAUAAAAA&#10;">
                <v:fill on="f" focussize="0,0"/>
                <v:stroke weight="0.5pt" color="#000000 [3213]" miterlimit="8" joinstyle="miter" endarrow="open"/>
                <v:imagedata o:title=""/>
                <o:lock v:ext="edit" aspectratio="f"/>
              </v:shape>
            </w:pict>
          </mc:Fallback>
        </mc:AlternateContent>
      </w:r>
      <w:r>
        <mc:AlternateContent>
          <mc:Choice Requires="wps">
            <w:drawing>
              <wp:anchor distT="0" distB="0" distL="114300" distR="114300" simplePos="0" relativeHeight="251677696" behindDoc="0" locked="0" layoutInCell="1" allowOverlap="1">
                <wp:simplePos x="0" y="0"/>
                <wp:positionH relativeFrom="column">
                  <wp:posOffset>3141345</wp:posOffset>
                </wp:positionH>
                <wp:positionV relativeFrom="paragraph">
                  <wp:posOffset>3241675</wp:posOffset>
                </wp:positionV>
                <wp:extent cx="0" cy="400050"/>
                <wp:effectExtent l="48895" t="0" r="65405" b="0"/>
                <wp:wrapNone/>
                <wp:docPr id="33" name="直接箭头连接符 33"/>
                <wp:cNvGraphicFramePr/>
                <a:graphic xmlns:a="http://schemas.openxmlformats.org/drawingml/2006/main">
                  <a:graphicData uri="http://schemas.microsoft.com/office/word/2010/wordprocessingShape">
                    <wps:wsp>
                      <wps:cNvCnPr/>
                      <wps:spPr>
                        <a:xfrm flipV="1">
                          <a:off x="3933190" y="4475480"/>
                          <a:ext cx="0" cy="40005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47.35pt;margin-top:255.25pt;height:31.5pt;width:0pt;z-index:251677696;mso-width-relative:page;mso-height-relative:page;" filled="f" stroked="t" coordsize="21600,21600" o:gfxdata="UEsDBAoAAAAAAIdO4kAAAAAAAAAAAAAAAAAEAAAAZHJzL1BLAwQUAAAACACHTuJAmIaMhNgAAAAL&#10;AQAADwAAAGRycy9kb3ducmV2LnhtbE2Py07DMBBF90j8gzVI7KgdaCiEOJWgzYouIGXBchIPSYQf&#10;ke0+6NdjxAKWc+fozplyeTSa7cmH0VkJ2UwAI9s5Ndpewtu2vroDFiJahdpZkvBFAZbV+VmJhXIH&#10;+0r7JvYsldhQoIQhxqngPHQDGQwzN5FNuw/nDcY0+p4rj4dUbjS/FuKWGxxtujDgRE8DdZ/NzkiY&#10;3jfr0/NjjbE+6dX6hfx21bRSXl5k4gFYpGP8g+FHP6lDlZxat7MqMC1hfj9fJFRCnokcWCJ+kzYl&#10;i5sceFXy/z9U31BLAwQUAAAACACHTuJAOQyK+vsBAACnAwAADgAAAGRycy9lMm9Eb2MueG1srVNL&#10;jhMxEN0jcQfLe9KdSWbItNKZRcKwQRCJz77idndb8k9lk04uwQWQWAErYDV7TgPDMSg7Ifx2iF5Y&#10;ZZffq6rn1/OrndFsKzEoZ2s+HpWcSStco2xX8+fPru/NOAsRbAPaWVnzvQz8anH3znzwlTxzvdON&#10;REYkNlSDr3kfo6+KIoheGggj56WlZOvQQKQtdkWDMBC70cVZWV4Ug8PGoxMyBDpdHZJ8kfnbVor4&#10;pG2DjEzXnHqLecW8btJaLOZQdQi+V+LYBvxDFwaUpaInqhVEYC9R/UVllEAXXBtHwpnCta0SMs9A&#10;04zLP6Z52oOXeRYSJ/iTTOH/0YrH2zUy1dR8MuHMgqE3un198/XVu9tPH7+8vfn2+U2KP7xnlCex&#10;Bh8qwiztGo+74NeYJt+1aFirlX9BPsha0HRsR8SXk8n4ksTf13w6vX8+nR1ll7vIBF2glEi5sizP&#10;c6o4sCVWjyE+lM6wFNQ8RATV9XHprKW3dXioBNtHIVI/BPwBSGDrrpXW+Ym1ZUPNLyZUgAkgo7Ua&#10;IoXG0+jBdpyB7sjBImLuPTitmoROPAG7zVIj20JyUf6SFlTtt2up9ApCf7iXUwd/GRXJ5FqZms9O&#10;aKgiKP3ANizuPakOiG440mpL7Enqg7gp2rhmnzXP5+SGXP/o3GS3X/cZ/fP/Wnw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IaMhNgAAAALAQAADwAAAAAAAAABACAAAAAiAAAAZHJzL2Rvd25yZXYu&#10;eG1sUEsBAhQAFAAAAAgAh07iQDkMivr7AQAApwMAAA4AAAAAAAAAAQAgAAAAJwEAAGRycy9lMm9E&#10;b2MueG1sUEsFBgAAAAAGAAYAWQEAAJQFAAAAAA==&#10;">
                <v:fill on="f" focussize="0,0"/>
                <v:stroke weight="0.5pt" color="#000000 [3213]" miterlimit="8" joinstyle="miter" endarrow="open"/>
                <v:imagedata o:title=""/>
                <o:lock v:ext="edit" aspectratio="f"/>
              </v:shape>
            </w:pict>
          </mc:Fallback>
        </mc:AlternateContent>
      </w:r>
      <w:r>
        <mc:AlternateContent>
          <mc:Choice Requires="wps">
            <w:drawing>
              <wp:anchor distT="0" distB="0" distL="114300" distR="114300" simplePos="0" relativeHeight="251680768" behindDoc="0" locked="0" layoutInCell="1" allowOverlap="1">
                <wp:simplePos x="0" y="0"/>
                <wp:positionH relativeFrom="column">
                  <wp:posOffset>1998345</wp:posOffset>
                </wp:positionH>
                <wp:positionV relativeFrom="paragraph">
                  <wp:posOffset>2336800</wp:posOffset>
                </wp:positionV>
                <wp:extent cx="619125" cy="0"/>
                <wp:effectExtent l="0" t="48895" r="9525" b="65405"/>
                <wp:wrapNone/>
                <wp:docPr id="32" name="直接箭头连接符 32"/>
                <wp:cNvGraphicFramePr/>
                <a:graphic xmlns:a="http://schemas.openxmlformats.org/drawingml/2006/main">
                  <a:graphicData uri="http://schemas.microsoft.com/office/word/2010/wordprocessingShape">
                    <wps:wsp>
                      <wps:cNvCnPr/>
                      <wps:spPr>
                        <a:xfrm>
                          <a:off x="2790190" y="3570605"/>
                          <a:ext cx="61912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57.35pt;margin-top:184pt;height:0pt;width:48.75pt;z-index:251680768;mso-width-relative:page;mso-height-relative:page;" filled="f" stroked="t" coordsize="21600,21600" o:gfxdata="UEsDBAoAAAAAAIdO4kAAAAAAAAAAAAAAAAAEAAAAZHJzL1BLAwQUAAAACACHTuJA9t1uDdkAAAAL&#10;AQAADwAAAGRycy9kb3ducmV2LnhtbE2PzU7DMBCE70i8g7VIXBB1EqJQQpyKHyEKNwoP4MbbJI29&#10;jmL37+1ZJCS47e6MZr+pFkdnxR6n0HtSkM4SEEiNNz21Cr4+X67nIELUZLT1hApOGGBRn59VujT+&#10;QB+4X8VWcAiFUivoYhxLKUPTodNh5kck1jZ+cjryOrXSTPrA4c7KLEkK6XRP/KHTIz512AyrnVOw&#10;2b4Vj3mzfX8NJ3e1vHsY/LMdlLq8SJN7EBGP8c8MP/iMDjUzrf2OTBBWwU2a37KVh2LOpdiRp1kG&#10;Yv17kXUl/3eovwFQSwMEFAAAAAgAh07iQAT8Uib3AQAAnQMAAA4AAABkcnMvZTJvRG9jLnhtbK1T&#10;zY7TMBC+I/EOlu80aVftbqOme2hZLghWAh5g6jiJJf9pbJr2JXgBJE7ACfa0d54Glsdg7JYuPzdE&#10;Ds44M/PNfN9MFpc7o9lWYlDO1nw8KjmTVrhG2a7mr15ePbrgLESwDWhnZc33MvDL5cMHi8FXcuJ6&#10;pxuJjEBsqAZf8z5GXxVFEL00EEbOS0vO1qGBSFfsigZhIHSji0lZzorBYePRCRkCfV0fnHyZ8dtW&#10;ivi8bYOMTNeceov5xHxu0lksF1B1CL5X4tgG/EMXBpSloieoNURgr1H9BWWUQBdcG0fCmcK1rRIy&#10;cyA24/IPNi968DJzIXGCP8kU/h+seLa9Rqaamp9NOLNgaEZ3b2+/vflwd/P56/vb71/eJfvTR0Z+&#10;EmvwoaKclb3G4y34a0zMdy2a9CZObFfzyfm8HM9J8j1BT8/LWTk9iC13kQkKmI3n48mUM0EBeQ7F&#10;PYbHEJ9IZ1gyah4igur6uHLW0kQdjrPWsH0aInVBiT8TUgPWXSmt82C1ZQNVOptSHwJovVoNkUzj&#10;iXCwHWegO9pbETEjBqdVk7ITTsBus9LItpB2Jz+JAVX7LSyVXkPoD3HZdSBqVKTV1srU/OKUDVUE&#10;pR/bhsW9J60B0Q1HWG0JPQl8kDRZG9fss9L5O+1Arn/c17Rkv95z9v1ftfw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9t1uDdkAAAALAQAADwAAAAAAAAABACAAAAAiAAAAZHJzL2Rvd25yZXYueG1s&#10;UEsBAhQAFAAAAAgAh07iQAT8Uib3AQAAnQMAAA4AAAAAAAAAAQAgAAAAKAEAAGRycy9lMm9Eb2Mu&#10;eG1sUEsFBgAAAAAGAAYAWQEAAJEFAAAAAA==&#10;">
                <v:fill on="f" focussize="0,0"/>
                <v:stroke weight="0.5pt" color="#000000 [3213]" miterlimit="8" joinstyle="miter" endarrow="open"/>
                <v:imagedata o:title=""/>
                <o:lock v:ext="edit" aspectratio="f"/>
              </v:shape>
            </w:pict>
          </mc:Fallback>
        </mc:AlternateContent>
      </w:r>
      <w:r>
        <mc:AlternateContent>
          <mc:Choice Requires="wps">
            <w:drawing>
              <wp:anchor distT="0" distB="0" distL="114300" distR="114300" simplePos="0" relativeHeight="251683840" behindDoc="0" locked="0" layoutInCell="1" allowOverlap="1">
                <wp:simplePos x="0" y="0"/>
                <wp:positionH relativeFrom="column">
                  <wp:posOffset>1664970</wp:posOffset>
                </wp:positionH>
                <wp:positionV relativeFrom="paragraph">
                  <wp:posOffset>2489200</wp:posOffset>
                </wp:positionV>
                <wp:extent cx="0" cy="466725"/>
                <wp:effectExtent l="48895" t="0" r="65405" b="9525"/>
                <wp:wrapNone/>
                <wp:docPr id="31" name="直接箭头连接符 31"/>
                <wp:cNvGraphicFramePr/>
                <a:graphic xmlns:a="http://schemas.openxmlformats.org/drawingml/2006/main">
                  <a:graphicData uri="http://schemas.microsoft.com/office/word/2010/wordprocessingShape">
                    <wps:wsp>
                      <wps:cNvCnPr/>
                      <wps:spPr>
                        <a:xfrm flipV="1">
                          <a:off x="2456815" y="3723005"/>
                          <a:ext cx="0" cy="46672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31.1pt;margin-top:196pt;height:36.75pt;width:0pt;z-index:251683840;mso-width-relative:page;mso-height-relative:page;" filled="f" stroked="t" coordsize="21600,21600" o:gfxdata="UEsDBAoAAAAAAIdO4kAAAAAAAAAAAAAAAAAEAAAAZHJzL1BLAwQUAAAACACHTuJAXqwbM9kAAAAL&#10;AQAADwAAAGRycy9kb3ducmV2LnhtbE2PPU/DMBCGdyT+g3VIbNSpoRGEOJWgzQQDpB06OvGRRNjn&#10;yHY/6K/HiAHGu3v03vOWy5M17IA+jI4kzGcZMKTO6ZF6CdtNfXMPLERFWhlHKOELAyyry4tSFdod&#10;6R0PTexZCqFQKAlDjFPBeegGtCrM3ISUbh/OWxXT6HuuvTqmcGu4yLKcWzVS+jCoCZ8H7D6bvZUw&#10;7V7X55enWsX6bFbrN/SbVdNKeX01zx6BRTzFPxh+9JM6VMmpdXvSgRkJIhcioRJuH0QqlYjfTSvh&#10;Ll8sgFcl/9+h+gZQSwMEFAAAAAgAh07iQN8P7vL9AQAApwMAAA4AAABkcnMvZTJvRG9jLnhtbK1T&#10;S44TMRDdI3EHy3vSnWSSiVrpzCJh2CCIxGfvuO1uS/6pbNLJJbgAEitgxbCaPaeB4RiU3SH8dohe&#10;WLbL9areq9fLq4PRZC8gKGdrOh6VlAjLXaNsW9MXz68fLCgJkdmGaWdFTY8i0KvV/XvL3ldi4jqn&#10;GwEEQWyoel/TLkZfFUXgnTAsjJwXFoPSgWERj9AWDbAe0Y0uJmU5L3oHjQfHRQh4uxmCdJXxpRQ8&#10;PpUyiEh0TbG3mFfI6y6txWrJqhaY7xQ/tcH+oQvDlMWiZ6gNi4y8AvUXlFEcXHAyjrgzhZNScZE5&#10;IJtx+QebZx3zInNBcYI/yxT+Hyx/st8CUU1Np2NKLDM4o7s3t19fv7/7dPPl3e23z2/T/uMHgnEU&#10;q/ehwpy13cLpFPwWEvODBEOkVv4l+iBrgezIoaaTi9l8MZ5RcsQil5NpWc4G2cUhEo4PcC4cYxfz&#10;+eUkh4oBLaF6CPGRcIakTU1DBKbaLq6dtThbB0Mltn8cIvaDiT8SUrJ110rrPGJtSV/T+XSWijE0&#10;mtQs4tZ4pB5sSwnTLTqYR8i9B6dVk7ITToB2t9ZA9iy5KH+JAVb77VkqvWGhG97l0EDUqIgm18rU&#10;dHHOZlVkSj+0DYlHj6ozANefYLVF9CT1IG7a7VxzzJrne3RDrn9ybrLbr+ec/fP/Wn0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XqwbM9kAAAALAQAADwAAAAAAAAABACAAAAAiAAAAZHJzL2Rvd25y&#10;ZXYueG1sUEsBAhQAFAAAAAgAh07iQN8P7vL9AQAApwMAAA4AAAAAAAAAAQAgAAAAKAEAAGRycy9l&#10;Mm9Eb2MueG1sUEsFBgAAAAAGAAYAWQEAAJcFAAAAAA==&#10;">
                <v:fill on="f" focussize="0,0"/>
                <v:stroke weight="0.5pt" color="#000000 [3213]" miterlimit="8" joinstyle="miter" endarrow="open"/>
                <v:imagedata o:title=""/>
                <o:lock v:ext="edit" aspectratio="f"/>
              </v:shape>
            </w:pict>
          </mc:Fallback>
        </mc:AlternateContent>
      </w:r>
      <w:r>
        <mc:AlternateContent>
          <mc:Choice Requires="wps">
            <w:drawing>
              <wp:anchor distT="0" distB="0" distL="114300" distR="114300" simplePos="0" relativeHeight="251686912" behindDoc="0" locked="0" layoutInCell="1" allowOverlap="1">
                <wp:simplePos x="0" y="0"/>
                <wp:positionH relativeFrom="column">
                  <wp:posOffset>1674495</wp:posOffset>
                </wp:positionH>
                <wp:positionV relativeFrom="paragraph">
                  <wp:posOffset>3050540</wp:posOffset>
                </wp:positionV>
                <wp:extent cx="0" cy="571500"/>
                <wp:effectExtent l="48895" t="0" r="65405" b="0"/>
                <wp:wrapNone/>
                <wp:docPr id="29" name="直接箭头连接符 29"/>
                <wp:cNvGraphicFramePr/>
                <a:graphic xmlns:a="http://schemas.openxmlformats.org/drawingml/2006/main">
                  <a:graphicData uri="http://schemas.microsoft.com/office/word/2010/wordprocessingShape">
                    <wps:wsp>
                      <wps:cNvCnPr/>
                      <wps:spPr>
                        <a:xfrm flipV="1">
                          <a:off x="2456815" y="4198620"/>
                          <a:ext cx="0" cy="5715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31.85pt;margin-top:240.2pt;height:45pt;width:0pt;z-index:251686912;mso-width-relative:page;mso-height-relative:page;" filled="f" stroked="t" coordsize="21600,21600" o:gfxdata="UEsDBAoAAAAAAIdO4kAAAAAAAAAAAAAAAAAEAAAAZHJzL1BLAwQUAAAACACHTuJANWCEC9kAAAAL&#10;AQAADwAAAGRycy9kb3ducmV2LnhtbE2PTU/DMAyG70j8h8hI3FiyMbapNJ0EW09wgI4DR7cxbUWT&#10;VEn2wX49Rhzg6NePXj/O1yc7iAOF2HunYTpRIMg13vSu1fC2K29WIGJCZ3DwjjR8UYR1cXmRY2b8&#10;0b3SoUqt4BIXM9TQpTRmUsamI4tx4kdyvPvwwWLiMbTSBDxyuR3kTKmFtNg7vtDhSI8dNZ/V3moY&#10;35+356eHElN5HjbbFwq7TVVrfX01VfcgEp3SHww/+qwOBTvVfu9MFIOG2eJ2yaiG+UrNQTDxm9Qa&#10;7pacyCKX/38ovgFQSwMEFAAAAAgAh07iQKzYoob9AQAApwMAAA4AAABkcnMvZTJvRG9jLnhtbK1T&#10;S44TMRDdI3EHy3vSSZiETCudWSQMGwQj8dlX3O5uS/6pbNLJJbgAEitgNbCaPaeB4RiU3SH8dohe&#10;WFUu16uqV6+XF3uj2U5iUM5WfDIacyatcLWybcVfPL+8t+AsRLA1aGdlxQ8y8IvV3TvL3pdy6jqn&#10;a4mMQGwoe1/xLkZfFkUQnTQQRs5LS8HGoYFILrZFjdATutHFdDyeF73D2qMTMgS63QxBvsr4TSNF&#10;fNo0QUamK069xXxiPrfpLFZLKFsE3ylxbAP+oQsDylLRE9QGIrBXqP6CMkqgC66JI+FM4ZpGCZln&#10;oGkm4z+medaBl3kWIif4E03h/8GKJ7srZKqu+PScMwuGdnT75ubr6/e3nz5+eXfz7fPbZF9/YBQn&#10;snofSspZ2ys8esFfYZp836BhjVb+Jekgc0HTsT0Bn83mi8mMs0PFzybni/n0SLvcRyboAe1FUGz2&#10;YDIb51AxoCVUjyE+ks6wZFQ8RATVdnHtrKXdOhwqwe5xiNQPJf5ISMnWXSqt84q1ZX3F5/dnqRiQ&#10;0BoNkUzjafRgW85At6RgETH3HpxWdcpOOAHb7Voj20FSUf4SF1Ttt2ep9AZCN7zLoUFfRkUSuVam&#10;4otTNpQRlH5oaxYPnlgHRNcfYbUl9ET1QG6ytq4+ZM7zPakh1z8qN8ntVz9n//y/Vt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NWCEC9kAAAALAQAADwAAAAAAAAABACAAAAAiAAAAZHJzL2Rvd25y&#10;ZXYueG1sUEsBAhQAFAAAAAgAh07iQKzYoob9AQAApwMAAA4AAAAAAAAAAQAgAAAAKAEAAGRycy9l&#10;Mm9Eb2MueG1sUEsFBgAAAAAGAAYAWQEAAJcFAAAAAA==&#10;">
                <v:fill on="f" focussize="0,0"/>
                <v:stroke weight="0.5pt" color="#000000 [3213]" miterlimit="8" joinstyle="miter" endarrow="open"/>
                <v:imagedata o:title=""/>
                <o:lock v:ext="edit" aspectratio="f"/>
              </v:shape>
            </w:pict>
          </mc:Fallback>
        </mc:AlternateContent>
      </w:r>
      <w:r>
        <mc:AlternateContent>
          <mc:Choice Requires="wps">
            <w:drawing>
              <wp:anchor distT="0" distB="0" distL="114300" distR="114300" simplePos="0" relativeHeight="251689984" behindDoc="0" locked="0" layoutInCell="1" allowOverlap="1">
                <wp:simplePos x="0" y="0"/>
                <wp:positionH relativeFrom="column">
                  <wp:posOffset>3093720</wp:posOffset>
                </wp:positionH>
                <wp:positionV relativeFrom="paragraph">
                  <wp:posOffset>2755900</wp:posOffset>
                </wp:positionV>
                <wp:extent cx="381000" cy="76200"/>
                <wp:effectExtent l="0" t="0" r="0" b="0"/>
                <wp:wrapNone/>
                <wp:docPr id="28" name="矩形 28"/>
                <wp:cNvGraphicFramePr/>
                <a:graphic xmlns:a="http://schemas.openxmlformats.org/drawingml/2006/main">
                  <a:graphicData uri="http://schemas.microsoft.com/office/word/2010/wordprocessingShape">
                    <wps:wsp>
                      <wps:cNvSpPr/>
                      <wps:spPr>
                        <a:xfrm>
                          <a:off x="0" y="0"/>
                          <a:ext cx="381000" cy="762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3.6pt;margin-top:217pt;height:6pt;width:30pt;z-index:251689984;v-text-anchor:middle;mso-width-relative:page;mso-height-relative:page;" fillcolor="#5B9BD5 [3204]" filled="t" stroked="f" coordsize="21600,21600" o:gfxdata="UEsDBAoAAAAAAIdO4kAAAAAAAAAAAAAAAAAEAAAAZHJzL1BLAwQUAAAACACHTuJAi2QmZNgAAAAL&#10;AQAADwAAAGRycy9kb3ducmV2LnhtbE2PMU/DMBCFdyT+g3VIbNROm6ZViNMBBBNConRgdONrEjU+&#10;R7bbpv+e6wTb3bund9+rNpMbxBlD7D1pyGYKBFLjbU+tht3329MaREyGrBk8oYYrRtjU93eVKa2/&#10;0Beet6kVHEKxNBq6lMZSyth06Eyc+RGJbwcfnEm8hlbaYC4c7gY5V6qQzvTEHzoz4kuHzXF7chpW&#10;Sb1e1eLn8+M9W4bDlB1T4XdaPz5k6hlEwin9meGGz+hQM9Pen8hGMWjI16s5W3lY5FyKHcv8puxZ&#10;yQsFsq7k/w71L1BLAwQUAAAACACHTuJAE42AJFACAAB9BAAADgAAAGRycy9lMm9Eb2MueG1srVTb&#10;bhMxEH1H4h8sv9NNQkvbVTdV2qgIqaKVCuLZ8dpZS75hO9mUn0HijY/gcxC/wbF3m5bLE+LF8Xgm&#10;Z2bOnNmz853RZCtCVM42dHowoURY7lpl1w19/+7qxQklMTHbMu2saOi9iPR8/vzZWe9rMXOd060I&#10;BCA21r1vaJeSr6sq8k4YFg+cFxZO6YJhCWZYV21gPdCNrmaTyauqd6H1wXERI16Xg5POC76Ugqcb&#10;KaNIRDcUtaVyhnKu8lnNz1i9Dsx3io9lsH+owjBlkXQPtWSJkU1Qf0AZxYOLTqYD7kzlpFRclB7Q&#10;zXTyWzd3HfOi9AJyot/TFP8fLH+7vQ1EtQ2dYVKWGczox+ev3799IXgAO72PNYLu/G0YrYhrbnUn&#10;g8m/aILsCqP3e0bFLhGOx5cn08kEvHO4jl9hYBmyevyvDzG9Fs6QfGlowLwKjWx7HdMQ+hCSU0Wn&#10;VXultC5GWK8udSBbhtkeXZxeLI9G9F/CtCU9lDk7LnUwaExqllCS8eg62jUlTK8hXp5CyW1dzoDk&#10;rM65lyx2Q44Cm1Ow2qgE2WplGnqCBvd9aYv2MmUDSfm2cu09KA5u0F70/EoB9prFdMsCxAZ6sEDp&#10;BofUDrW68UZJ58Knv73neGgAXkp6iBd9fNywICjRbyzUcTo9PMxqL8bh0fEMRnjqWT312I25dOBw&#10;ilX1vFxzfNIPVxmc+YA9W+SscDHLkXtgbDQu07BU2FQuFosSBoV7lq7tnecZPPNm3WKTnFRlto/s&#10;jKRB40Ud4z7mJXpql6jHr8b8J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ItkJmTYAAAACwEAAA8A&#10;AAAAAAAAAQAgAAAAIgAAAGRycy9kb3ducmV2LnhtbFBLAQIUABQAAAAIAIdO4kATjYAkUAIAAH0E&#10;AAAOAAAAAAAAAAEAIAAAACcBAABkcnMvZTJvRG9jLnhtbFBLBQYAAAAABgAGAFkBAADpBQAAAAA=&#10;">
                <v:fill on="t" focussize="0,0"/>
                <v:stroke on="f" weight="1pt" miterlimit="8" joinstyle="miter"/>
                <v:imagedata o:title=""/>
                <o:lock v:ext="edit" aspectratio="f"/>
              </v:rect>
            </w:pict>
          </mc:Fallback>
        </mc:AlternateContent>
      </w:r>
      <w:r>
        <mc:AlternateContent>
          <mc:Choice Requires="wps">
            <w:drawing>
              <wp:anchor distT="0" distB="0" distL="114300" distR="114300" simplePos="0" relativeHeight="251693056" behindDoc="0" locked="0" layoutInCell="1" allowOverlap="1">
                <wp:simplePos x="0" y="0"/>
                <wp:positionH relativeFrom="column">
                  <wp:posOffset>1645920</wp:posOffset>
                </wp:positionH>
                <wp:positionV relativeFrom="paragraph">
                  <wp:posOffset>2308225</wp:posOffset>
                </wp:positionV>
                <wp:extent cx="1513840" cy="76200"/>
                <wp:effectExtent l="0" t="0" r="10160" b="0"/>
                <wp:wrapNone/>
                <wp:docPr id="26" name="矩形 26"/>
                <wp:cNvGraphicFramePr/>
                <a:graphic xmlns:a="http://schemas.openxmlformats.org/drawingml/2006/main">
                  <a:graphicData uri="http://schemas.microsoft.com/office/word/2010/wordprocessingShape">
                    <wps:wsp>
                      <wps:cNvSpPr/>
                      <wps:spPr>
                        <a:xfrm>
                          <a:off x="0" y="0"/>
                          <a:ext cx="1513840" cy="762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9.6pt;margin-top:181.75pt;height:6pt;width:119.2pt;z-index:251693056;v-text-anchor:middle;mso-width-relative:page;mso-height-relative:page;" fillcolor="#5B9BD5 [3204]" filled="t" stroked="f" coordsize="21600,21600" o:gfxdata="UEsDBAoAAAAAAIdO4kAAAAAAAAAAAAAAAAAEAAAAZHJzL1BLAwQUAAAACACHTuJAE6KKgtoAAAAL&#10;AQAADwAAAGRycy9kb3ducmV2LnhtbE2PsU7DMBCGdyTewbpKbNROghOaxukAggkhUTowuvE1iRqf&#10;o9ht07fHTHS8u0//fX+1me3Azjj53pGCZCmAITXO9NQq2H2/PT4D80GT0YMjVHBFD5v6/q7SpXEX&#10;+sLzNrQshpAvtYIuhLHk3DcdWu2XbkSKt4ObrA5xnFpuJn2J4XbgqRA5t7qn+KHTI7502By3J6ug&#10;COL1KrKfz4/3RE6HOTmG3O2UelgkYg0s4Bz+YfjTj+pQR6e9O5HxbFCQylUaUQVZnklgkXhaFTmw&#10;fdwUUgKvK37bof4FUEsDBBQAAAAIAIdO4kDUSfZRUgIAAH4EAAAOAAAAZHJzL2Uyb0RvYy54bWyt&#10;VNtuEzEQfUfiHyy/001C08uqmyo0KkKqaKWCeJ547awl3xg72ZSfQeKNj+BzEL/B2Lu9cHlC5MGZ&#10;8UzmzByfydn53hq2kxi1dw2fHkw4k074VrtNw9+/u3xxwllM4Fow3smG38nIzxfPn531oZYz33nT&#10;SmRUxMW6Dw3vUgp1VUXRSQvxwAfpKKg8Wkjk4qZqEXqqbk01m0yOqt5jG9ALGSPdroYgX5T6SkmR&#10;rpWKMjHTcOotlRPLuc5ntTiDeoMQOi3GNuAfurCgHYE+lFpBArZF/UcpqwX66FU6EN5WXiktZJmB&#10;pplOfpvmtoMgyyxETgwPNMX/V1a83d0g023DZ0ecObD0Rj8+f/3+7QujC2KnD7GmpNtwg6MXycyj&#10;7hXa/E1DsH1h9O6BUblPTNDldD59eXJIxAuKHR/Ri+Wa1eOPA8b0WnrLstFwpAcrPMLuKqYh9T4l&#10;Y0VvdHupjSkObtYXBtkO6HHnr05freZj9V/SjGM9dTI7JnAmgESmDCQybaCxo9twBmZD6hUJC7bz&#10;GYHAoc7YK4jdgFHKZgiorU6kW6Ntw08m+TMiG0fjZc4GlrK19u0dcYx+EF8M4lJT2SuI6QaQ1EZt&#10;0QalazqU8dSrHy3OOo+f/naf80kEFOWsJ/XSHB+3gJIz88aRPE6nh5n1VJzD+fGMHHwaWT+NuK29&#10;8MThlHY1iGLm/GTuTYXefqBFW2ZUCoEThD0wNjoXadgqWlUhl8uSRhIPkK7cbRC5eObN+eU2eaXL&#10;2z6yM5JGIi/qGBcyb9FTv2Q9/m0sfg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TooqC2gAAAAsB&#10;AAAPAAAAAAAAAAEAIAAAACIAAABkcnMvZG93bnJldi54bWxQSwECFAAUAAAACACHTuJA1En2UVIC&#10;AAB+BAAADgAAAAAAAAABACAAAAApAQAAZHJzL2Uyb0RvYy54bWxQSwUGAAAAAAYABgBZAQAA7QUA&#10;AAAA&#10;">
                <v:fill on="t" focussize="0,0"/>
                <v:stroke on="f" weight="1pt" miterlimit="8" joinstyle="miter"/>
                <v:imagedata o:title=""/>
                <o:lock v:ext="edit" aspectratio="f"/>
              </v:rect>
            </w:pict>
          </mc:Fallback>
        </mc:AlternateContent>
      </w:r>
      <w:r>
        <mc:AlternateContent>
          <mc:Choice Requires="wps">
            <w:drawing>
              <wp:anchor distT="0" distB="0" distL="114300" distR="114300" simplePos="0" relativeHeight="251696128" behindDoc="0" locked="0" layoutInCell="1" allowOverlap="1">
                <wp:simplePos x="0" y="0"/>
                <wp:positionH relativeFrom="column">
                  <wp:posOffset>3093720</wp:posOffset>
                </wp:positionH>
                <wp:positionV relativeFrom="paragraph">
                  <wp:posOffset>2327275</wp:posOffset>
                </wp:positionV>
                <wp:extent cx="85725" cy="1562100"/>
                <wp:effectExtent l="0" t="0" r="9525" b="0"/>
                <wp:wrapNone/>
                <wp:docPr id="27" name="矩形 27"/>
                <wp:cNvGraphicFramePr/>
                <a:graphic xmlns:a="http://schemas.openxmlformats.org/drawingml/2006/main">
                  <a:graphicData uri="http://schemas.microsoft.com/office/word/2010/wordprocessingShape">
                    <wps:wsp>
                      <wps:cNvSpPr/>
                      <wps:spPr>
                        <a:xfrm flipH="1" flipV="1">
                          <a:off x="0" y="0"/>
                          <a:ext cx="85725" cy="1562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flip:x y;margin-left:243.6pt;margin-top:183.25pt;height:123pt;width:6.75pt;z-index:251696128;v-text-anchor:middle;mso-width-relative:page;mso-height-relative:page;" fillcolor="#5B9BD5 [3204]" filled="t" stroked="f" coordsize="21600,21600" o:gfxdata="UEsDBAoAAAAAAIdO4kAAAAAAAAAAAAAAAAAEAAAAZHJzL1BLAwQUAAAACACHTuJArzTSC9oAAAAL&#10;AQAADwAAAGRycy9kb3ducmV2LnhtbE2Py07DMBBF90j8gzVI7KidQNIqZFJRXio7KCxg58bTOMKP&#10;KHbb9O8xK1iO7tG9Z+rlZA070Bh67xCymQBGrvWqdx3Cx/vT1QJYiNIpabwjhBMFWDbnZ7WslD+6&#10;NzpsYsdSiQuVRNAxDhXnodVkZZj5gVzKdn60MqZz7Lga5TGVW8NzIUpuZe/SgpYD3Wtqvzd7i7Be&#10;0epOhJ1/fn381OZheuHy9IV4eZGJW2CRpvgHw69+UocmOW393qnADMLNYp4nFOG6LAtgiSiEmAPb&#10;IpRZXgBvav7/h+YHUEsDBBQAAAAIAIdO4kAZ/6/gWwIAAJIEAAAOAAAAZHJzL2Uyb0RvYy54bWyt&#10;VMlu2zAQvRfoPxC8N7KNOIsROXBipC0QNAbS5UxTpEWAW0nacvozBXrrR/Rziv5GHyll6XIqqgMx&#10;wxnO8uaNzs73RpOdCFE5W9PxwYgSYblrlN3U9N3bqxcnlMTEbMO0s6KmdyLS8/nzZ2edn4mJa51u&#10;RCAIYuOs8zVtU/Kzqoq8FYbFA+eFhVG6YFiCGjZVE1iH6EZXk9HoqOpcaHxwXMSI22VvpPMSX0rB&#10;042UUSSia4raUjlDOdf5rOZnbLYJzLeKD2Wwf6jCMGWR9CHUkiVGtkH9EcooHlx0Mh1wZyonpeKi&#10;9IBuxqPfurltmRelF4AT/QNM8f+F5W92q0BUU9PJMSWWGczox+ev3799IbgAOp2PMzjd+lUYtAgx&#10;t7qXwRCplX+FwdMivc9StqExsi8o3z2gLPaJcFyeTI8nU0o4LOPp0WQ8KlOo+oD5sQ8xvRTOkCzU&#10;NGCIJSjbXceEIuB675Ldo9OquVJaFyVs1pc6kB3DwKcXpxfLae4CT35x05Z0SD85RnLCGYgnNUsQ&#10;jQcU0W4oYXoDRvMUSm7rcgZE6nMvWWz7HCVsTyOjErislUGPo/wNmbVFARnHHrksrV1zB9yD6wkZ&#10;Pb9SaPaaxbRiAQxEWdiqdINDaoda3SBR0rrw6W/32R/EgJWSDoxGHx+3LAhK9GsLypyODw/zChTl&#10;EEOAEp5a1k8tdmsuHTDEZFFdEbN/0veiDM58wPItclaYmOXI3SM2KJep3zSsLxeLRXED7T1L1/bW&#10;83uyWLfYJidVme0jOgNoIH6Z37CkebOe6sXr8Vcy/w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v&#10;NNIL2gAAAAsBAAAPAAAAAAAAAAEAIAAAACIAAABkcnMvZG93bnJldi54bWxQSwECFAAUAAAACACH&#10;TuJAGf+v4FsCAACSBAAADgAAAAAAAAABACAAAAApAQAAZHJzL2Uyb0RvYy54bWxQSwUGAAAAAAYA&#10;BgBZAQAA9gUAAAAA&#10;">
                <v:fill on="t" focussize="0,0"/>
                <v:stroke on="f" weight="1pt" miterlimit="8" joinstyle="miter"/>
                <v:imagedata o:title=""/>
                <o:lock v:ext="edit" aspectratio="f"/>
              </v:rect>
            </w:pict>
          </mc:Fallback>
        </mc:AlternateContent>
      </w:r>
      <w:r>
        <mc:AlternateContent>
          <mc:Choice Requires="wps">
            <w:drawing>
              <wp:anchor distT="0" distB="0" distL="114300" distR="114300" simplePos="0" relativeHeight="251699200" behindDoc="0" locked="0" layoutInCell="1" allowOverlap="1">
                <wp:simplePos x="0" y="0"/>
                <wp:positionH relativeFrom="column">
                  <wp:posOffset>1636395</wp:posOffset>
                </wp:positionH>
                <wp:positionV relativeFrom="paragraph">
                  <wp:posOffset>2346325</wp:posOffset>
                </wp:positionV>
                <wp:extent cx="75565" cy="1543050"/>
                <wp:effectExtent l="0" t="0" r="635" b="0"/>
                <wp:wrapNone/>
                <wp:docPr id="25" name="矩形 25"/>
                <wp:cNvGraphicFramePr/>
                <a:graphic xmlns:a="http://schemas.openxmlformats.org/drawingml/2006/main">
                  <a:graphicData uri="http://schemas.microsoft.com/office/word/2010/wordprocessingShape">
                    <wps:wsp>
                      <wps:cNvSpPr/>
                      <wps:spPr>
                        <a:xfrm>
                          <a:off x="2418715" y="3618230"/>
                          <a:ext cx="75565" cy="154305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85pt;margin-top:184.75pt;height:121.5pt;width:5.95pt;z-index:251699200;v-text-anchor:middle;mso-width-relative:page;mso-height-relative:page;" fillcolor="#5B9BD5 [3204]" filled="t" stroked="f" coordsize="21600,21600" o:gfxdata="UEsDBAoAAAAAAIdO4kAAAAAAAAAAAAAAAAAEAAAAZHJzL1BLAwQUAAAACACHTuJAWrgRN9kAAAAL&#10;AQAADwAAAGRycy9kb3ducmV2LnhtbE2PMU/DMBCFd6T+B+sqsVHbqeLQEKcDCCaEROnA6MbXJGp8&#10;jmK3Tf89ZoLx9D699121nd3ALjiF3pMGuRLAkBpve2o17L9eHx6BhWjImsETarhhgG29uKtMaf2V&#10;PvGyiy1LJRRKo6GLcSw5D02HzoSVH5FSdvSTMzGdU8vtZK6p3A08E0JxZ3pKC50Z8bnD5rQ7Ow1F&#10;FC83sf7+eH+T+XSc5Skqv9f6finFE7CIc/yD4Vc/qUOdnA7+TDawQUOWF0VCNazVJgeWiExtFLCD&#10;BiWzHHhd8f8/1D9QSwMEFAAAAAgAh07iQBiFqhVfAgAAigQAAA4AAABkcnMvZTJvRG9jLnhtbK1U&#10;S27bMBDdF+gdCO4bSY4VO0bkwImRokDQBEiLrmmKsgTwV5K2nF6mQHc9RI9T9Bp9pJRPP6uiWlAz&#10;nNF83rzR2flBSbIXzndGV7Q4yikRmpu609uKvn939WpOiQ9M10waLSp6Lzw9X758cdbbhZiY1sha&#10;OIIg2i96W9E2BLvIMs9boZg/MlZoGBvjFAtQ3TarHesRXclskucnWW9cbZ3hwnvcrgcjXab4TSN4&#10;uGkaLwKRFUVtIZ0unZt4Zsszttg6ZtuOj2Wwf6hCsU4j6WOoNQuM7Fz3RyjVcWe8acIRNyozTdNx&#10;kXpAN0X+Wzd3LbMi9QJwvH2Eyf+/sPzt/taRrq7opKREM4UZ/fj89fu3LwQXQKe3fgGnO3vrRs1D&#10;jK0eGqfiG02QA76fFvNZgSD3FT0+KeaT4xFdcQiEw2FWlicwc9iLcnqcl8mePQWyzofXwigShYo6&#10;DC9hyvbXPiA5XB9cYl5vZFdfdVImxW03l9KRPcOgy4vTi3WqHp/84iY16ZF+MstBBs5AuEayAFFZ&#10;QOD1lhImt2AyDy7l1iZmSCyJudfMt0OOFHagj+oCOCw7VdF5Hp94jcxS4xXxGxCL0sbU98DbmYGI&#10;3vKrDmGvmQ+3zIF5KAvbFG5wNNKgVjNKlLTGffrbffQHIWClpAeT0cfHHXOCEvlGgyqnxXQaqZ+U&#10;aTmbQHHPLZvnFr1TlwYYFthby5MY/YN8EBtn1Acs3SpmhYlpjtwDYqNyGYYNw9pysVolN9DdsnCt&#10;7yyPwePMtFntgmm6NNsndEbQQPiE4riccaOe68nr6Rey/A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auBE32QAAAAsBAAAPAAAAAAAAAAEAIAAAACIAAABkcnMvZG93bnJldi54bWxQSwECFAAUAAAA&#10;CACHTuJAGIWqFV8CAACKBAAADgAAAAAAAAABACAAAAAoAQAAZHJzL2Uyb0RvYy54bWxQSwUGAAAA&#10;AAYABgBZAQAA+QUAAAAA&#10;">
                <v:fill on="t" focussize="0,0"/>
                <v:stroke on="f" weight="1pt" miterlimit="8" joinstyle="miter"/>
                <v:imagedata o:title=""/>
                <o:lock v:ext="edit" aspectratio="f"/>
              </v:rect>
            </w:pict>
          </mc:Fallback>
        </mc:AlternateContent>
      </w:r>
      <w:r>
        <w:drawing>
          <wp:inline distT="0" distB="0" distL="114300" distR="114300">
            <wp:extent cx="5282565" cy="6155690"/>
            <wp:effectExtent l="9525" t="9525" r="22860" b="26035"/>
            <wp:docPr id="9" name="图片 3" descr="C:\Users\a\Desktop\de1ffdf70b511f616831602dc29ec87.pngde1ffdf70b511f616831602dc29ec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C:\Users\a\Desktop\de1ffdf70b511f616831602dc29ec87.pngde1ffdf70b511f616831602dc29ec87"/>
                    <pic:cNvPicPr>
                      <a:picLocks noChangeAspect="1"/>
                    </pic:cNvPicPr>
                  </pic:nvPicPr>
                  <pic:blipFill>
                    <a:blip r:embed="rId18"/>
                    <a:srcRect/>
                    <a:stretch>
                      <a:fillRect/>
                    </a:stretch>
                  </pic:blipFill>
                  <pic:spPr>
                    <a:xfrm>
                      <a:off x="0" y="0"/>
                      <a:ext cx="5282565" cy="6155690"/>
                    </a:xfrm>
                    <a:prstGeom prst="rect">
                      <a:avLst/>
                    </a:prstGeom>
                    <a:noFill/>
                    <a:ln>
                      <a:solidFill>
                        <a:schemeClr val="tx1"/>
                      </a:solidFill>
                    </a:ln>
                  </pic:spPr>
                </pic:pic>
              </a:graphicData>
            </a:graphic>
          </wp:inline>
        </w:drawing>
      </w:r>
    </w:p>
    <w:p>
      <w:pPr>
        <w:pStyle w:val="84"/>
        <w:bidi w:val="0"/>
        <w:rPr>
          <w:rFonts w:hint="eastAsia"/>
        </w:rPr>
        <w:sectPr>
          <w:pgSz w:w="11907" w:h="16839"/>
          <w:pgMar w:top="1134" w:right="1134" w:bottom="1134" w:left="1247" w:header="851" w:footer="992" w:gutter="0"/>
          <w:pgBorders>
            <w:top w:val="none" w:sz="0" w:space="0"/>
            <w:left w:val="none" w:sz="0" w:space="0"/>
            <w:bottom w:val="none" w:sz="0" w:space="0"/>
            <w:right w:val="none" w:sz="0" w:space="0"/>
          </w:pgBorders>
          <w:pgNumType w:fmt="decimal"/>
          <w:cols w:space="720" w:num="1"/>
          <w:docGrid w:type="lines" w:linePitch="381" w:charSpace="0"/>
        </w:sectPr>
      </w:pPr>
      <w:bookmarkStart w:id="628" w:name="_Toc37591961"/>
      <w:bookmarkStart w:id="629" w:name="_Toc30417"/>
    </w:p>
    <w:p>
      <w:pPr>
        <w:pStyle w:val="84"/>
        <w:bidi w:val="0"/>
      </w:pPr>
      <w:bookmarkStart w:id="630" w:name="_Toc15442"/>
      <w:bookmarkStart w:id="631" w:name="_Toc22685"/>
      <w:bookmarkStart w:id="632" w:name="_Toc18203"/>
      <w:bookmarkStart w:id="633" w:name="_Toc2303"/>
      <w:r>
        <w:rPr>
          <w:rFonts w:hint="eastAsia"/>
        </w:rPr>
        <w:t>附图六</w:t>
      </w:r>
      <w:r>
        <w:t xml:space="preserve"> </w:t>
      </w:r>
      <w:r>
        <w:rPr>
          <w:rFonts w:hint="eastAsia"/>
        </w:rPr>
        <w:t>项目污水管网图</w:t>
      </w:r>
      <w:bookmarkEnd w:id="628"/>
      <w:bookmarkEnd w:id="629"/>
      <w:bookmarkEnd w:id="630"/>
      <w:bookmarkEnd w:id="631"/>
      <w:bookmarkEnd w:id="632"/>
      <w:bookmarkEnd w:id="633"/>
    </w:p>
    <w:p>
      <w:pPr>
        <w:ind w:firstLine="0" w:firstLineChars="0"/>
        <w:jc w:val="center"/>
      </w:pPr>
      <w:r>
        <w:drawing>
          <wp:inline distT="0" distB="0" distL="114300" distR="114300">
            <wp:extent cx="5259070" cy="6120130"/>
            <wp:effectExtent l="9525" t="9525" r="27305" b="23495"/>
            <wp:docPr id="8" name="图片 5" descr="C:\Users\a\Desktop\de9bd3cf47397f9560a292642eba12f.pngde9bd3cf47397f9560a292642eba1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C:\Users\a\Desktop\de9bd3cf47397f9560a292642eba12f.pngde9bd3cf47397f9560a292642eba12f"/>
                    <pic:cNvPicPr>
                      <a:picLocks noChangeAspect="1"/>
                    </pic:cNvPicPr>
                  </pic:nvPicPr>
                  <pic:blipFill>
                    <a:blip r:embed="rId19"/>
                    <a:srcRect/>
                    <a:stretch>
                      <a:fillRect/>
                    </a:stretch>
                  </pic:blipFill>
                  <pic:spPr>
                    <a:xfrm>
                      <a:off x="0" y="0"/>
                      <a:ext cx="5259070" cy="6120130"/>
                    </a:xfrm>
                    <a:prstGeom prst="rect">
                      <a:avLst/>
                    </a:prstGeom>
                    <a:noFill/>
                    <a:ln>
                      <a:solidFill>
                        <a:schemeClr val="tx1"/>
                      </a:solidFill>
                    </a:ln>
                  </pic:spPr>
                </pic:pic>
              </a:graphicData>
            </a:graphic>
          </wp:inline>
        </w:drawing>
      </w:r>
    </w:p>
    <w:sectPr>
      <w:pgSz w:w="11907" w:h="16839"/>
      <w:pgMar w:top="1417" w:right="1134" w:bottom="1134" w:left="1701" w:header="851" w:footer="992" w:gutter="0"/>
      <w:pgBorders>
        <w:top w:val="none" w:sz="0" w:space="0"/>
        <w:left w:val="none" w:sz="0" w:space="0"/>
        <w:bottom w:val="none" w:sz="0" w:space="0"/>
        <w:right w:val="none" w:sz="0" w:space="0"/>
      </w:pgBorders>
      <w:pgNumType w:fmt="decimal"/>
      <w:cols w:space="0" w:num="1"/>
      <w:rtlGutter w:val="0"/>
      <w:docGrid w:type="lines"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libri Light">
    <w:panose1 w:val="020F0302020204030204"/>
    <w:charset w:val="00"/>
    <w:family w:val="swiss"/>
    <w:pitch w:val="default"/>
    <w:sig w:usb0="E0002A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Vs2AVAgAAEwQAAA4AAABkcnMvZTJvRG9jLnhtbK1TTY7TMBTeI3EH&#10;y3uatIiZqmo6KjMqQqqYkQpi7Tp2Y8n2s2y3STkA3IAVG/acq+fg2Wk6aIYVYuN88fv/3uf5TWc0&#10;OQgfFNiKjkclJcJyqJXdVfTTx9WrKSUhMlszDVZU9CgCvVm8fDFv3UxMoAFdC08wiQ2z1lW0idHN&#10;iiLwRhgWRuCERaMEb1jEX78ras9azG50MSnLq6IFXzsPXISAt3e9kS5yfikFj/dSBhGJrij2FvPp&#10;87lNZ7GYs9nOM9cofm6D/UMXhimLRS+p7lhkZO/Vs1RGcQ8BZBxxMAVIqbjIM+A04/LJNJuGOZFn&#10;QXKCu9AU/l9a/uHw4ImqK3pNiWUGV3T6/u3049fp51dynehpXZih18ahX+zeQodrHu4DXqapO+lN&#10;+uI8BO1I9PFCrugi4SloOplOSzRxtA0/mL94DHc+xHcCDEmgoh63l0llh3WIvevgkqpZWCmt8wa1&#10;JW1Fr16/KXPAxYLJtcUaaYi+2YRit+3Ok22hPuJgHnplBMdXCouvWYgPzKMUsGGUd7zHQ2rAInBG&#10;lDTgv/ztPvnjhtBKSYvSqqhF7VOi31vcXFLhAPwAtgOwe3MLqNUxPhvHM8QAH/UApQfzGTW/TDXQ&#10;xCzHShWNA7yNvbzxzXCxXGanvfNq1/QBqDvH4tpuHE9lEpHBLfcRycwcJ4J6Vs68ofLyls6vJEn7&#10;z//s9fiW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NTVs2AVAgAAEwQAAA4AAAAAAAAA&#10;AQAgAAAAHwEAAGRycy9lMm9Eb2MueG1sUEsFBgAAAAAGAAYAWQEAAKYFA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jc w:val="center"/>
      <w:rPr>
        <w:rFonts w:hint="eastAsia"/>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Fonts w:hint="eastAsia" w:eastAsia="宋体"/>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QmRUUAgAAEwQAAA4AAABkcnMvZTJvRG9jLnhtbK1TTY7TMBTeI3EH&#10;y3uatKi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9fT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XtCZFRQCAAATBAAADgAAAAAAAAAB&#10;ACAAAAAfAQAAZHJzL2Uyb0RvYy54bWxQSwUGAAAAAAYABgBZAQAApQUAAAAA&#10;">
              <v:fill on="f" focussize="0,0"/>
              <v:stroke on="f" weight="0.5pt"/>
              <v:imagedata o:title=""/>
              <o:lock v:ext="edit" aspectratio="f"/>
              <v:textbox inset="0mm,0mm,0mm,0mm" style="mso-fit-shape-to-text:t;">
                <w:txbxContent>
                  <w:p>
                    <w:pPr>
                      <w:pStyle w:val="14"/>
                      <w:rPr>
                        <w:rFonts w:hint="eastAsia" w:eastAsia="宋体"/>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r>
                      <w:rPr>
                        <w:rFonts w:hint="eastAsia"/>
                        <w:lang w:eastAsia="zh-CN"/>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keepNext w:val="0"/>
      <w:keepLines w:val="0"/>
      <w:pageBreakBefore w:val="0"/>
      <w:widowControl w:val="0"/>
      <w:pBdr>
        <w:bottom w:val="single" w:color="auto" w:sz="4" w:space="0"/>
      </w:pBdr>
      <w:kinsoku/>
      <w:wordWrap/>
      <w:overflowPunct/>
      <w:topLinePunct w:val="0"/>
      <w:autoSpaceDE/>
      <w:autoSpaceDN/>
      <w:bidi w:val="0"/>
      <w:adjustRightInd w:val="0"/>
      <w:snapToGrid w:val="0"/>
      <w:spacing w:line="240" w:lineRule="auto"/>
      <w:ind w:firstLine="360"/>
      <w:textAlignment w:val="auto"/>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y5QQVAgAAFQQAAA4AAABkcnMvZTJvRG9jLnhtbK1Ty47TMBTdI/EP&#10;lvc0aYFRVT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QFfTOhRDOFHZ1+fD/9fDj9+kagA0Ct9TP4bSw8Q/fOdFj0oPdQxrm7&#10;yql4YyICO6A+XuAVXSA8Bk0n02kOE4dteCB/9hhunQ/vhVEkCgV12F+ClR3WPvSug0usps2qkTLt&#10;UGrSFvTq9ds8BVwsSC41asQh+majFLptd55sa8ojBnOm54a3fNWg+Jr5cM8cyICGQfBwh6OSBkXM&#10;WaKkNu7r3/TRHzuClZIW5CqoBvspkR80dhd5OAhuELaDoPfqxoCtY3wcy5OIABfkIFbOqC9g/TLW&#10;gIlpjkoFDYN4E3qC49dwsVwmp711za7uA8A8y8JabyyPZSKQ3i73AWAmjCNAPSpn3MC9tKXzP4nk&#10;fvpOXo+/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M/y5QQVAgAAFQQAAA4AAAAAAAAA&#10;AQAgAAAAHwEAAGRycy9lMm9Eb2MueG1sUEsFBgAAAAAGAAYAWQEAAKYFAAAAAA==&#10;">
              <v:fill on="f" focussize="0,0"/>
              <v:stroke on="f" weight="0.5pt"/>
              <v:imagedata o:title=""/>
              <o:lock v:ext="edit" aspectratio="f"/>
              <v:textbox inset="0mm,0mm,0mm,0mm" style="mso-fit-shape-to-text:t;">
                <w:txbxContent>
                  <w:p>
                    <w:pPr>
                      <w:pStyle w:val="1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南昌瀛宇金属制品有限公司环境风险评估报告</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nforcement="0"/>
  <w:defaultTabStop w:val="420"/>
  <w:drawingGridVerticalSpacing w:val="166"/>
  <w:displayHorizontalDrawingGridEvery w:val="1"/>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1D67694"/>
    <w:rsid w:val="00037B8A"/>
    <w:rsid w:val="000709C6"/>
    <w:rsid w:val="000B3D96"/>
    <w:rsid w:val="00106F0B"/>
    <w:rsid w:val="001261ED"/>
    <w:rsid w:val="00163B38"/>
    <w:rsid w:val="00181AEF"/>
    <w:rsid w:val="00193C41"/>
    <w:rsid w:val="001A4886"/>
    <w:rsid w:val="001B4A8A"/>
    <w:rsid w:val="001C5954"/>
    <w:rsid w:val="001D3CB5"/>
    <w:rsid w:val="002052AD"/>
    <w:rsid w:val="0020701A"/>
    <w:rsid w:val="002C43BC"/>
    <w:rsid w:val="002F5137"/>
    <w:rsid w:val="00302B08"/>
    <w:rsid w:val="003732F8"/>
    <w:rsid w:val="003D4E0F"/>
    <w:rsid w:val="0041345A"/>
    <w:rsid w:val="00473E71"/>
    <w:rsid w:val="004C6F80"/>
    <w:rsid w:val="00525F24"/>
    <w:rsid w:val="00534A6B"/>
    <w:rsid w:val="005500F1"/>
    <w:rsid w:val="00635B71"/>
    <w:rsid w:val="00687014"/>
    <w:rsid w:val="006E1A1A"/>
    <w:rsid w:val="00725023"/>
    <w:rsid w:val="00730F46"/>
    <w:rsid w:val="00731E94"/>
    <w:rsid w:val="00737A7B"/>
    <w:rsid w:val="00741FC2"/>
    <w:rsid w:val="007C099A"/>
    <w:rsid w:val="007D78D6"/>
    <w:rsid w:val="007E0F24"/>
    <w:rsid w:val="0084552A"/>
    <w:rsid w:val="00875AED"/>
    <w:rsid w:val="00880185"/>
    <w:rsid w:val="008A705B"/>
    <w:rsid w:val="008D60DE"/>
    <w:rsid w:val="008F12E5"/>
    <w:rsid w:val="00900185"/>
    <w:rsid w:val="009372F5"/>
    <w:rsid w:val="00947A25"/>
    <w:rsid w:val="00954673"/>
    <w:rsid w:val="009B53B0"/>
    <w:rsid w:val="00A832BE"/>
    <w:rsid w:val="00AF360F"/>
    <w:rsid w:val="00B4723F"/>
    <w:rsid w:val="00BD661C"/>
    <w:rsid w:val="00CF1845"/>
    <w:rsid w:val="00E424DC"/>
    <w:rsid w:val="00E52EB1"/>
    <w:rsid w:val="00EA3833"/>
    <w:rsid w:val="00EE5D13"/>
    <w:rsid w:val="00F10795"/>
    <w:rsid w:val="00F74CF0"/>
    <w:rsid w:val="028310F3"/>
    <w:rsid w:val="03041FA2"/>
    <w:rsid w:val="049C2BD4"/>
    <w:rsid w:val="049F5B38"/>
    <w:rsid w:val="052A53C8"/>
    <w:rsid w:val="054A65C7"/>
    <w:rsid w:val="06E250D0"/>
    <w:rsid w:val="0716215E"/>
    <w:rsid w:val="07F15EEA"/>
    <w:rsid w:val="08C43C5B"/>
    <w:rsid w:val="09073147"/>
    <w:rsid w:val="096C1C39"/>
    <w:rsid w:val="09A005F8"/>
    <w:rsid w:val="0A5E2263"/>
    <w:rsid w:val="0BC24083"/>
    <w:rsid w:val="0CD2433C"/>
    <w:rsid w:val="0CF945F1"/>
    <w:rsid w:val="0D8A4475"/>
    <w:rsid w:val="0FA1675E"/>
    <w:rsid w:val="0FC36945"/>
    <w:rsid w:val="118E2053"/>
    <w:rsid w:val="13325378"/>
    <w:rsid w:val="134A3AB2"/>
    <w:rsid w:val="1410549C"/>
    <w:rsid w:val="14117B8E"/>
    <w:rsid w:val="142250FD"/>
    <w:rsid w:val="154A57CA"/>
    <w:rsid w:val="16407943"/>
    <w:rsid w:val="16E43B5D"/>
    <w:rsid w:val="181F0C26"/>
    <w:rsid w:val="18BD3167"/>
    <w:rsid w:val="1C961201"/>
    <w:rsid w:val="1D7E7842"/>
    <w:rsid w:val="1E4F48F5"/>
    <w:rsid w:val="241B317E"/>
    <w:rsid w:val="25256017"/>
    <w:rsid w:val="25BB0A78"/>
    <w:rsid w:val="265D594A"/>
    <w:rsid w:val="287F7A8F"/>
    <w:rsid w:val="28B2727D"/>
    <w:rsid w:val="28CE2BA2"/>
    <w:rsid w:val="290625AD"/>
    <w:rsid w:val="2ADC6838"/>
    <w:rsid w:val="2B0B62EB"/>
    <w:rsid w:val="2B791A02"/>
    <w:rsid w:val="2BC77014"/>
    <w:rsid w:val="2C551F63"/>
    <w:rsid w:val="2C685059"/>
    <w:rsid w:val="2C7A2C56"/>
    <w:rsid w:val="2E18262D"/>
    <w:rsid w:val="2EF1481D"/>
    <w:rsid w:val="31A15566"/>
    <w:rsid w:val="31D67694"/>
    <w:rsid w:val="32C861D9"/>
    <w:rsid w:val="338D781B"/>
    <w:rsid w:val="33FF0FE1"/>
    <w:rsid w:val="35CE62AA"/>
    <w:rsid w:val="3647473B"/>
    <w:rsid w:val="37314B67"/>
    <w:rsid w:val="37416C67"/>
    <w:rsid w:val="37461294"/>
    <w:rsid w:val="386A5738"/>
    <w:rsid w:val="39530E23"/>
    <w:rsid w:val="3A4A07C4"/>
    <w:rsid w:val="3B6C2946"/>
    <w:rsid w:val="3C4C3788"/>
    <w:rsid w:val="3D5D2D44"/>
    <w:rsid w:val="3DA74A5D"/>
    <w:rsid w:val="3E6F1048"/>
    <w:rsid w:val="3F3F0FE5"/>
    <w:rsid w:val="3F734050"/>
    <w:rsid w:val="44AB772F"/>
    <w:rsid w:val="457E7EF9"/>
    <w:rsid w:val="47D56944"/>
    <w:rsid w:val="47F74973"/>
    <w:rsid w:val="487E149C"/>
    <w:rsid w:val="4AF4074B"/>
    <w:rsid w:val="4C5C166F"/>
    <w:rsid w:val="4D173D51"/>
    <w:rsid w:val="4DC77787"/>
    <w:rsid w:val="4E443929"/>
    <w:rsid w:val="4EAC4E70"/>
    <w:rsid w:val="4F556588"/>
    <w:rsid w:val="4FB47FDA"/>
    <w:rsid w:val="500C2A9B"/>
    <w:rsid w:val="509F4330"/>
    <w:rsid w:val="52620914"/>
    <w:rsid w:val="53DA5414"/>
    <w:rsid w:val="54B9517E"/>
    <w:rsid w:val="552049BC"/>
    <w:rsid w:val="55C11B37"/>
    <w:rsid w:val="571C0B1A"/>
    <w:rsid w:val="598326A3"/>
    <w:rsid w:val="59B14BFF"/>
    <w:rsid w:val="5C7602C0"/>
    <w:rsid w:val="5D957EF6"/>
    <w:rsid w:val="5F750C96"/>
    <w:rsid w:val="60DB2582"/>
    <w:rsid w:val="62A01F6B"/>
    <w:rsid w:val="62A97BFC"/>
    <w:rsid w:val="6368238F"/>
    <w:rsid w:val="64382DEA"/>
    <w:rsid w:val="66183D8C"/>
    <w:rsid w:val="66F25C25"/>
    <w:rsid w:val="68B518ED"/>
    <w:rsid w:val="69033E52"/>
    <w:rsid w:val="6A4108C7"/>
    <w:rsid w:val="6AE449B9"/>
    <w:rsid w:val="6AE70596"/>
    <w:rsid w:val="6C537219"/>
    <w:rsid w:val="6CFB7BA1"/>
    <w:rsid w:val="71206E41"/>
    <w:rsid w:val="7149379D"/>
    <w:rsid w:val="72B300C7"/>
    <w:rsid w:val="746F202C"/>
    <w:rsid w:val="74A64FA0"/>
    <w:rsid w:val="74A71FFA"/>
    <w:rsid w:val="756C68EA"/>
    <w:rsid w:val="756E07A4"/>
    <w:rsid w:val="76AD1245"/>
    <w:rsid w:val="78487D3E"/>
    <w:rsid w:val="78F06E39"/>
    <w:rsid w:val="79244778"/>
    <w:rsid w:val="793510CE"/>
    <w:rsid w:val="79C344EF"/>
    <w:rsid w:val="7A177776"/>
    <w:rsid w:val="7ACC33FC"/>
    <w:rsid w:val="7DB816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9" w:semiHidden="0" w:name="heading 2"/>
    <w:lsdException w:qFormat="1" w:unhideWhenUsed="0" w:uiPriority="99" w:semiHidden="0" w:name="heading 3"/>
    <w:lsdException w:qFormat="1" w:unhideWhenUsed="0" w:uiPriority="1" w:semiHidden="0" w:name="heading 4"/>
    <w:lsdException w:qFormat="1" w:unhideWhenUsed="0" w:uiPriority="1" w:semiHidden="0" w:name="heading 5"/>
    <w:lsdException w:qFormat="1" w:uiPriority="99" w:name="heading 6"/>
    <w:lsdException w:qFormat="1" w:uiPriority="99" w:name="heading 7"/>
    <w:lsdException w:qFormat="1" w:uiPriority="99" w:name="heading 8"/>
    <w:lsdException w:qFormat="1" w:uiPriority="99" w:name="heading 9"/>
    <w:lsdException w:unhideWhenUsed="0" w:uiPriority="99" w:semiHidden="0" w:name="index 1"/>
    <w:lsdException w:unhideWhenUsed="0" w:uiPriority="99" w:semiHidden="0" w:name="index 2"/>
    <w:lsdException w:unhideWhenUsed="0" w:uiPriority="99" w:semiHidden="0" w:name="index 3"/>
    <w:lsdException w:unhideWhenUsed="0" w:uiPriority="99" w:semiHidden="0" w:name="index 4"/>
    <w:lsdException w:unhideWhenUsed="0" w:uiPriority="99" w:semiHidden="0" w:name="index 5"/>
    <w:lsdException w:unhideWhenUsed="0" w:uiPriority="99" w:semiHidden="0" w:name="index 6"/>
    <w:lsdException w:unhideWhenUsed="0" w:uiPriority="99" w:semiHidden="0" w:name="index 7"/>
    <w:lsdException w:unhideWhenUsed="0" w:uiPriority="99" w:semiHidden="0" w:name="index 8"/>
    <w:lsdException w:unhideWhenUsed="0" w:uiPriority="99" w:semiHidden="0" w:name="index 9"/>
    <w:lsdException w:qFormat="1" w:unhideWhenUsed="0" w:uiPriority="39" w:semiHidden="0" w:name="toc 1"/>
    <w:lsdException w:qFormat="1" w:unhideWhenUsed="0" w:uiPriority="39" w:semiHidden="0" w:name="toc 2"/>
    <w:lsdException w:qFormat="1" w:uiPriority="39" w:semiHidden="0" w:name="toc 3"/>
    <w:lsdException w:unhideWhenUsed="0" w:uiPriority="99" w:semiHidden="0" w:name="toc 4"/>
    <w:lsdException w:unhideWhenUsed="0" w:uiPriority="99" w:semiHidden="0" w:name="toc 5"/>
    <w:lsdException w:unhideWhenUsed="0" w:uiPriority="99" w:semiHidden="0" w:name="toc 6"/>
    <w:lsdException w:unhideWhenUsed="0" w:uiPriority="99" w:semiHidden="0" w:name="toc 7"/>
    <w:lsdException w:unhideWhenUsed="0" w:uiPriority="99" w:semiHidden="0" w:name="toc 8"/>
    <w:lsdException w:unhideWhenUsed="0" w:uiPriority="99" w:semiHidden="0" w:name="toc 9"/>
    <w:lsdException w:unhideWhenUsed="0" w:uiPriority="0" w:semiHidden="0" w:name="Normal Indent"/>
    <w:lsdException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nhideWhenUsed="0" w:uiPriority="99" w:semiHidden="0" w:name="index heading"/>
    <w:lsdException w:qFormat="1" w:unhideWhenUsed="0" w:uiPriority="99" w:semiHidden="0" w:name="caption"/>
    <w:lsdException w:unhideWhenUsed="0" w:uiPriority="99" w:semiHidden="0" w:name="table of figures"/>
    <w:lsdException w:unhideWhenUsed="0" w:uiPriority="99" w:semiHidden="0" w:name="envelope address"/>
    <w:lsdException w:unhideWhenUsed="0" w:uiPriority="99" w:semiHidden="0" w:name="envelope return"/>
    <w:lsdException w:unhideWhenUsed="0" w:uiPriority="99" w:semiHidden="0" w:name="footnote reference"/>
    <w:lsdException w:qFormat="1" w:unhideWhenUsed="0" w:uiPriority="99" w:semiHidden="0" w:name="annotation reference"/>
    <w:lsdException w:unhideWhenUsed="0" w:uiPriority="99" w:semiHidden="0" w:name="line number"/>
    <w:lsdException w:unhideWhenUsed="0" w:uiPriority="99" w:semiHidden="0" w:name="page number"/>
    <w:lsdException w:unhideWhenUsed="0" w:uiPriority="99" w:semiHidden="0" w:name="endnote reference"/>
    <w:lsdException w:unhideWhenUsed="0" w:uiPriority="99" w:semiHidden="0" w:name="endnote text"/>
    <w:lsdException w:unhideWhenUsed="0" w:uiPriority="99" w:semiHidden="0" w:name="table of authorities"/>
    <w:lsdException w:unhideWhenUsed="0" w:uiPriority="99" w:semiHidden="0" w:name="macro"/>
    <w:lsdException w:unhideWhenUsed="0" w:uiPriority="99" w:semiHidden="0" w:name="toa heading"/>
    <w:lsdException w:unhideWhenUsed="0" w:uiPriority="99" w:semiHidden="0" w:name="List"/>
    <w:lsdException w:unhideWhenUsed="0" w:uiPriority="99" w:semiHidden="0" w:name="List Bullet"/>
    <w:lsdException w:unhideWhenUsed="0" w:uiPriority="99" w:semiHidden="0" w:name="List Number"/>
    <w:lsdException w:unhideWhenUsed="0" w:uiPriority="99" w:semiHidden="0" w:name="List 2"/>
    <w:lsdException w:unhideWhenUsed="0" w:uiPriority="99" w:semiHidden="0" w:name="List 3"/>
    <w:lsdException w:unhideWhenUsed="0" w:uiPriority="99" w:semiHidden="0" w:name="List 4"/>
    <w:lsdException w:unhideWhenUsed="0" w:uiPriority="99" w:semiHidden="0" w:name="List 5"/>
    <w:lsdException w:unhideWhenUsed="0" w:uiPriority="99" w:semiHidden="0" w:name="List Bullet 2"/>
    <w:lsdException w:unhideWhenUsed="0" w:uiPriority="99" w:semiHidden="0" w:name="List Bullet 3"/>
    <w:lsdException w:unhideWhenUsed="0" w:uiPriority="99" w:semiHidden="0" w:name="List Bullet 4"/>
    <w:lsdException w:unhideWhenUsed="0" w:uiPriority="99" w:semiHidden="0" w:name="List Bullet 5"/>
    <w:lsdException w:unhideWhenUsed="0" w:uiPriority="99" w:semiHidden="0" w:name="List Number 2"/>
    <w:lsdException w:unhideWhenUsed="0" w:uiPriority="99" w:semiHidden="0" w:name="List Number 3"/>
    <w:lsdException w:unhideWhenUsed="0" w:uiPriority="99" w:semiHidden="0" w:name="List Number 4"/>
    <w:lsdException w:unhideWhenUsed="0" w:uiPriority="99" w:semiHidden="0" w:name="List Number 5"/>
    <w:lsdException w:qFormat="1" w:unhideWhenUsed="0" w:uiPriority="0" w:semiHidden="0" w:name="Title"/>
    <w:lsdException w:unhideWhenUsed="0" w:uiPriority="99" w:semiHidden="0" w:name="Closing"/>
    <w:lsdException w:unhideWhenUsed="0" w:uiPriority="99" w:semiHidden="0" w:name="Signature"/>
    <w:lsdException w:qFormat="1" w:uiPriority="1" w:semiHidden="0" w:name="Default Paragraph Font"/>
    <w:lsdException w:qFormat="1" w:unhideWhenUsed="0" w:uiPriority="0" w:semiHidden="0" w:name="Body Text"/>
    <w:lsdException w:qFormat="1" w:uiPriority="99" w:semiHidden="0" w:name="Body Text Indent"/>
    <w:lsdException w:unhideWhenUsed="0" w:uiPriority="99" w:semiHidden="0" w:name="List Continue"/>
    <w:lsdException w:unhideWhenUsed="0" w:uiPriority="99" w:semiHidden="0" w:name="List Continue 2"/>
    <w:lsdException w:unhideWhenUsed="0" w:uiPriority="99" w:semiHidden="0" w:name="List Continue 3"/>
    <w:lsdException w:unhideWhenUsed="0" w:uiPriority="99" w:semiHidden="0" w:name="List Continue 4"/>
    <w:lsdException w:unhideWhenUsed="0" w:uiPriority="99" w:semiHidden="0" w:name="List Continue 5"/>
    <w:lsdException w:unhideWhenUsed="0" w:uiPriority="99" w:semiHidden="0" w:name="Message Header"/>
    <w:lsdException w:qFormat="1" w:unhideWhenUsed="0" w:uiPriority="99" w:semiHidden="0" w:name="Subtitle"/>
    <w:lsdException w:unhideWhenUsed="0" w:uiPriority="99" w:semiHidden="0" w:name="Salutation"/>
    <w:lsdException w:unhideWhenUsed="0" w:uiPriority="99"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99" w:semiHidden="0" w:name="Block Text"/>
    <w:lsdException w:qFormat="1" w:unhideWhenUsed="0" w:uiPriority="99" w:semiHidden="0" w:name="Hyperlink"/>
    <w:lsdException w:unhideWhenUsed="0" w:uiPriority="99" w:semiHidden="0" w:name="FollowedHyperlink"/>
    <w:lsdException w:qFormat="1" w:unhideWhenUsed="0" w:uiPriority="99" w:semiHidden="0" w:name="Strong"/>
    <w:lsdException w:qFormat="1" w:unhideWhenUsed="0" w:uiPriority="99" w:semiHidden="0" w:name="Emphasis"/>
    <w:lsdException w:unhideWhenUsed="0" w:uiPriority="99" w:semiHidden="0" w:name="Document Map"/>
    <w:lsdException w:qFormat="1" w:unhideWhenUsed="0" w:uiPriority="99" w:semiHidden="0" w:name="Plain Text"/>
    <w:lsdException w:unhideWhenUsed="0" w:uiPriority="99" w:semiHidden="0" w:name="E-mail Signature"/>
    <w:lsdException w:qFormat="1" w:unhideWhenUsed="0" w:uiPriority="99" w:semiHidden="0" w:name="Normal (Web)"/>
    <w:lsdException w:unhideWhenUsed="0" w:uiPriority="99" w:semiHidden="0" w:name="HTML Acronym"/>
    <w:lsdException w:unhideWhenUsed="0" w:uiPriority="99" w:semiHidden="0" w:name="HTML Address"/>
    <w:lsdException w:unhideWhenUsed="0" w:uiPriority="99" w:semiHidden="0" w:name="HTML Cite"/>
    <w:lsdException w:unhideWhenUsed="0" w:uiPriority="99" w:semiHidden="0" w:name="HTML Code"/>
    <w:lsdException w:unhideWhenUsed="0" w:uiPriority="99" w:semiHidden="0" w:name="HTML Definition"/>
    <w:lsdException w:unhideWhenUsed="0" w:uiPriority="99" w:semiHidden="0" w:name="HTML Keyboard"/>
    <w:lsdException w:unhideWhenUsed="0" w:uiPriority="99" w:semiHidden="0" w:name="HTML Preformatted"/>
    <w:lsdException w:unhideWhenUsed="0" w:uiPriority="99" w:semiHidden="0" w:name="HTML Sample"/>
    <w:lsdException w:unhideWhenUsed="0" w:uiPriority="99" w:semiHidden="0" w:name="HTML Typewriter"/>
    <w:lsdException w:unhideWhenUsed="0" w:uiPriority="99" w:semiHidden="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styleId="3">
    <w:name w:val="heading 1"/>
    <w:basedOn w:val="1"/>
    <w:next w:val="1"/>
    <w:qFormat/>
    <w:uiPriority w:val="9"/>
    <w:pPr>
      <w:keepNext/>
      <w:keepLines/>
      <w:numPr>
        <w:ilvl w:val="0"/>
        <w:numId w:val="0"/>
      </w:numPr>
      <w:adjustRightInd w:val="0"/>
      <w:spacing w:before="100" w:beforeLines="100"/>
      <w:ind w:left="0" w:firstLine="0" w:firstLineChars="0"/>
      <w:jc w:val="center"/>
      <w:outlineLvl w:val="0"/>
    </w:pPr>
    <w:rPr>
      <w:rFonts w:ascii="Times New Roman" w:hAnsi="Times New Roman" w:eastAsia="宋体"/>
      <w:b/>
      <w:bCs/>
      <w:kern w:val="44"/>
      <w:sz w:val="36"/>
      <w:szCs w:val="44"/>
    </w:rPr>
  </w:style>
  <w:style w:type="paragraph" w:styleId="4">
    <w:name w:val="heading 2"/>
    <w:basedOn w:val="1"/>
    <w:next w:val="1"/>
    <w:link w:val="31"/>
    <w:unhideWhenUsed/>
    <w:qFormat/>
    <w:uiPriority w:val="99"/>
    <w:pPr>
      <w:keepNext/>
      <w:keepLines/>
      <w:snapToGrid w:val="0"/>
      <w:spacing w:before="50" w:beforeLines="50" w:after="50" w:afterLines="50" w:line="360" w:lineRule="auto"/>
      <w:ind w:firstLine="0" w:firstLineChars="0"/>
      <w:outlineLvl w:val="1"/>
    </w:pPr>
    <w:rPr>
      <w:rFonts w:ascii="Times New Roman" w:hAnsi="Times New Roman" w:eastAsia="宋体"/>
      <w:b/>
      <w:sz w:val="32"/>
    </w:rPr>
  </w:style>
  <w:style w:type="paragraph" w:styleId="5">
    <w:name w:val="heading 3"/>
    <w:basedOn w:val="1"/>
    <w:next w:val="1"/>
    <w:qFormat/>
    <w:uiPriority w:val="99"/>
    <w:pPr>
      <w:keepNext/>
      <w:keepLines/>
      <w:numPr>
        <w:ilvl w:val="2"/>
        <w:numId w:val="0"/>
      </w:numPr>
      <w:snapToGrid w:val="0"/>
      <w:spacing w:before="50" w:beforeLines="50" w:after="50" w:afterLines="50"/>
      <w:ind w:left="0" w:firstLine="0" w:firstLineChars="0"/>
      <w:outlineLvl w:val="2"/>
    </w:pPr>
    <w:rPr>
      <w:rFonts w:ascii="Times New Roman" w:hAnsi="Times New Roman" w:eastAsia="宋体"/>
      <w:b/>
      <w:sz w:val="30"/>
      <w:szCs w:val="28"/>
      <w:lang w:val="zh-CN"/>
    </w:rPr>
  </w:style>
  <w:style w:type="paragraph" w:styleId="6">
    <w:name w:val="heading 4"/>
    <w:basedOn w:val="1"/>
    <w:next w:val="1"/>
    <w:qFormat/>
    <w:uiPriority w:val="1"/>
    <w:pPr>
      <w:keepNext/>
      <w:keepLines/>
      <w:snapToGrid w:val="0"/>
      <w:spacing w:before="50" w:beforeLines="50" w:beforeAutospacing="0" w:after="50" w:afterLines="50" w:afterAutospacing="0" w:line="240" w:lineRule="auto"/>
      <w:ind w:firstLine="0" w:firstLineChars="0"/>
      <w:outlineLvl w:val="3"/>
    </w:pPr>
    <w:rPr>
      <w:rFonts w:ascii="Times New Roman" w:hAnsi="Times New Roman" w:eastAsia="宋体"/>
      <w:b/>
      <w:sz w:val="28"/>
    </w:rPr>
  </w:style>
  <w:style w:type="character" w:default="1" w:styleId="24">
    <w:name w:val="Default Paragraph Font"/>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caption"/>
    <w:basedOn w:val="1"/>
    <w:next w:val="1"/>
    <w:qFormat/>
    <w:uiPriority w:val="99"/>
    <w:pPr>
      <w:keepNext/>
      <w:widowControl/>
      <w:adjustRightInd w:val="0"/>
      <w:snapToGrid w:val="0"/>
      <w:ind w:firstLine="0" w:firstLineChars="0"/>
      <w:jc w:val="center"/>
    </w:pPr>
    <w:rPr>
      <w:b/>
      <w:bCs/>
      <w:sz w:val="24"/>
    </w:rPr>
  </w:style>
  <w:style w:type="paragraph" w:styleId="8">
    <w:name w:val="annotation text"/>
    <w:basedOn w:val="1"/>
    <w:link w:val="67"/>
    <w:qFormat/>
    <w:uiPriority w:val="99"/>
    <w:pPr>
      <w:jc w:val="left"/>
    </w:pPr>
  </w:style>
  <w:style w:type="paragraph" w:styleId="9">
    <w:name w:val="Body Text"/>
    <w:basedOn w:val="1"/>
    <w:link w:val="71"/>
    <w:qFormat/>
    <w:uiPriority w:val="0"/>
    <w:pPr>
      <w:spacing w:after="120"/>
    </w:pPr>
    <w:rPr>
      <w:rFonts w:ascii="Calibri" w:hAnsi="Calibri" w:cs="Arial"/>
      <w:sz w:val="21"/>
      <w:szCs w:val="22"/>
    </w:rPr>
  </w:style>
  <w:style w:type="paragraph" w:styleId="10">
    <w:name w:val="Body Text Indent"/>
    <w:basedOn w:val="1"/>
    <w:link w:val="72"/>
    <w:unhideWhenUsed/>
    <w:qFormat/>
    <w:uiPriority w:val="99"/>
    <w:pPr>
      <w:spacing w:after="120"/>
      <w:ind w:left="420" w:leftChars="200"/>
    </w:pPr>
  </w:style>
  <w:style w:type="paragraph" w:styleId="11">
    <w:name w:val="toc 3"/>
    <w:basedOn w:val="1"/>
    <w:next w:val="1"/>
    <w:unhideWhenUsed/>
    <w:qFormat/>
    <w:uiPriority w:val="39"/>
    <w:pPr>
      <w:widowControl/>
      <w:spacing w:after="100"/>
      <w:ind w:left="442" w:firstLine="0" w:firstLineChars="0"/>
      <w:jc w:val="left"/>
    </w:pPr>
    <w:rPr>
      <w:rFonts w:ascii="Calibri" w:hAnsi="Calibri"/>
      <w:b/>
      <w:kern w:val="0"/>
      <w:sz w:val="21"/>
    </w:rPr>
  </w:style>
  <w:style w:type="paragraph" w:styleId="12">
    <w:name w:val="Plain Text"/>
    <w:basedOn w:val="1"/>
    <w:qFormat/>
    <w:uiPriority w:val="99"/>
  </w:style>
  <w:style w:type="paragraph" w:styleId="13">
    <w:name w:val="Balloon Text"/>
    <w:basedOn w:val="1"/>
    <w:link w:val="69"/>
    <w:qFormat/>
    <w:uiPriority w:val="99"/>
    <w:pPr>
      <w:spacing w:line="240" w:lineRule="auto"/>
    </w:pPr>
    <w:rPr>
      <w:sz w:val="18"/>
      <w:szCs w:val="18"/>
    </w:rPr>
  </w:style>
  <w:style w:type="paragraph" w:styleId="14">
    <w:name w:val="footer"/>
    <w:basedOn w:val="1"/>
    <w:link w:val="83"/>
    <w:qFormat/>
    <w:uiPriority w:val="99"/>
    <w:pPr>
      <w:tabs>
        <w:tab w:val="center" w:pos="4153"/>
        <w:tab w:val="right" w:pos="8306"/>
      </w:tabs>
      <w:snapToGrid w:val="0"/>
      <w:jc w:val="left"/>
    </w:pPr>
    <w:rPr>
      <w:rFonts w:ascii="Calibri" w:hAnsi="Calibri" w:cs="Arial"/>
      <w:sz w:val="18"/>
      <w:szCs w:val="18"/>
    </w:rPr>
  </w:style>
  <w:style w:type="paragraph" w:styleId="15">
    <w:name w:val="header"/>
    <w:basedOn w:val="1"/>
    <w:link w:val="81"/>
    <w:qFormat/>
    <w:uiPriority w:val="99"/>
    <w:pPr>
      <w:tabs>
        <w:tab w:val="center" w:pos="4153"/>
        <w:tab w:val="right" w:pos="8306"/>
      </w:tabs>
      <w:snapToGrid w:val="0"/>
      <w:jc w:val="center"/>
    </w:pPr>
    <w:rPr>
      <w:rFonts w:ascii="Calibri" w:hAnsi="Calibri" w:cs="Arial"/>
      <w:sz w:val="18"/>
      <w:szCs w:val="18"/>
    </w:rPr>
  </w:style>
  <w:style w:type="paragraph" w:styleId="16">
    <w:name w:val="toc 1"/>
    <w:basedOn w:val="1"/>
    <w:next w:val="1"/>
    <w:qFormat/>
    <w:uiPriority w:val="39"/>
    <w:pPr>
      <w:widowControl/>
      <w:ind w:firstLine="0" w:firstLineChars="0"/>
      <w:jc w:val="left"/>
    </w:pPr>
    <w:rPr>
      <w:rFonts w:ascii="Times New Roman" w:hAnsi="Times New Roman"/>
      <w:b/>
      <w:kern w:val="0"/>
      <w:sz w:val="32"/>
    </w:rPr>
  </w:style>
  <w:style w:type="paragraph" w:styleId="17">
    <w:name w:val="Body Text Indent 3"/>
    <w:basedOn w:val="1"/>
    <w:qFormat/>
    <w:uiPriority w:val="0"/>
    <w:pPr>
      <w:adjustRightInd w:val="0"/>
      <w:spacing w:after="120"/>
      <w:ind w:left="420" w:leftChars="200"/>
      <w:jc w:val="left"/>
      <w:textAlignment w:val="baseline"/>
    </w:pPr>
    <w:rPr>
      <w:kern w:val="0"/>
      <w:sz w:val="16"/>
      <w:szCs w:val="16"/>
    </w:rPr>
  </w:style>
  <w:style w:type="paragraph" w:styleId="18">
    <w:name w:val="toc 2"/>
    <w:basedOn w:val="1"/>
    <w:next w:val="1"/>
    <w:qFormat/>
    <w:uiPriority w:val="39"/>
    <w:pPr>
      <w:widowControl/>
      <w:ind w:left="0" w:firstLine="280" w:firstLineChars="100"/>
      <w:jc w:val="left"/>
    </w:pPr>
    <w:rPr>
      <w:rFonts w:ascii="Calibri" w:hAnsi="Calibri"/>
      <w:b/>
      <w:kern w:val="0"/>
      <w:sz w:val="28"/>
    </w:rPr>
  </w:style>
  <w:style w:type="paragraph" w:styleId="19">
    <w:name w:val="Normal (Web)"/>
    <w:basedOn w:val="1"/>
    <w:qFormat/>
    <w:uiPriority w:val="99"/>
    <w:pPr>
      <w:widowControl/>
      <w:spacing w:before="100" w:beforeAutospacing="1" w:after="100" w:afterAutospacing="1"/>
      <w:jc w:val="left"/>
    </w:pPr>
    <w:rPr>
      <w:rFonts w:ascii="宋体" w:hAnsi="宋体" w:cs="宋体"/>
      <w:sz w:val="24"/>
    </w:rPr>
  </w:style>
  <w:style w:type="paragraph" w:styleId="20">
    <w:name w:val="Title"/>
    <w:basedOn w:val="1"/>
    <w:next w:val="1"/>
    <w:link w:val="73"/>
    <w:qFormat/>
    <w:uiPriority w:val="0"/>
    <w:pPr>
      <w:ind w:firstLine="0" w:firstLineChars="0"/>
      <w:jc w:val="center"/>
      <w:outlineLvl w:val="0"/>
    </w:pPr>
    <w:rPr>
      <w:rFonts w:ascii="Times New Roman" w:hAnsi="Times New Roman" w:cstheme="majorBidi"/>
      <w:b/>
      <w:bCs/>
      <w:sz w:val="36"/>
      <w:szCs w:val="32"/>
    </w:rPr>
  </w:style>
  <w:style w:type="paragraph" w:styleId="21">
    <w:name w:val="annotation subject"/>
    <w:basedOn w:val="8"/>
    <w:next w:val="8"/>
    <w:link w:val="68"/>
    <w:qFormat/>
    <w:uiPriority w:val="99"/>
    <w:rPr>
      <w:b/>
      <w:bCs/>
    </w:rPr>
  </w:style>
  <w:style w:type="table" w:styleId="23">
    <w:name w:val="Table Grid"/>
    <w:basedOn w:val="2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5">
    <w:name w:val="Strong"/>
    <w:basedOn w:val="24"/>
    <w:qFormat/>
    <w:uiPriority w:val="99"/>
    <w:rPr>
      <w:b/>
      <w:bCs/>
    </w:rPr>
  </w:style>
  <w:style w:type="character" w:styleId="26">
    <w:name w:val="Hyperlink"/>
    <w:basedOn w:val="24"/>
    <w:qFormat/>
    <w:uiPriority w:val="99"/>
    <w:rPr>
      <w:color w:val="0000FF"/>
      <w:u w:val="single"/>
    </w:rPr>
  </w:style>
  <w:style w:type="character" w:styleId="27">
    <w:name w:val="annotation reference"/>
    <w:basedOn w:val="24"/>
    <w:qFormat/>
    <w:uiPriority w:val="99"/>
    <w:rPr>
      <w:sz w:val="21"/>
      <w:szCs w:val="21"/>
    </w:rPr>
  </w:style>
  <w:style w:type="paragraph" w:customStyle="1" w:styleId="28">
    <w:name w:val="表头"/>
    <w:basedOn w:val="29"/>
    <w:link w:val="30"/>
    <w:qFormat/>
    <w:uiPriority w:val="0"/>
    <w:pPr>
      <w:adjustRightInd w:val="0"/>
      <w:snapToGrid w:val="0"/>
      <w:spacing w:after="30" w:afterLines="30"/>
    </w:pPr>
    <w:rPr>
      <w:rFonts w:ascii="Times New Roman" w:hAnsi="Times New Roman" w:eastAsia="宋体" w:cs="Times New Roman"/>
    </w:rPr>
  </w:style>
  <w:style w:type="paragraph" w:customStyle="1" w:styleId="29">
    <w:name w:val="表头y"/>
    <w:next w:val="1"/>
    <w:qFormat/>
    <w:uiPriority w:val="0"/>
    <w:pPr>
      <w:spacing w:before="50" w:beforeLines="50"/>
      <w:jc w:val="center"/>
    </w:pPr>
    <w:rPr>
      <w:rFonts w:ascii="Times New Roman" w:hAnsi="Times New Roman" w:eastAsia="宋体" w:cs="Arial"/>
      <w:b/>
      <w:kern w:val="2"/>
      <w:sz w:val="24"/>
      <w:szCs w:val="24"/>
      <w:lang w:val="en-US" w:eastAsia="zh-CN" w:bidi="ar-SA"/>
    </w:rPr>
  </w:style>
  <w:style w:type="character" w:customStyle="1" w:styleId="30">
    <w:name w:val="表头 Char"/>
    <w:link w:val="28"/>
    <w:qFormat/>
    <w:uiPriority w:val="0"/>
    <w:rPr>
      <w:rFonts w:ascii="Times New Roman" w:hAnsi="Times New Roman" w:eastAsia="宋体" w:cs="Times New Roman"/>
    </w:rPr>
  </w:style>
  <w:style w:type="character" w:customStyle="1" w:styleId="31">
    <w:name w:val="标题 2 Char"/>
    <w:link w:val="4"/>
    <w:qFormat/>
    <w:uiPriority w:val="99"/>
    <w:rPr>
      <w:rFonts w:ascii="Times New Roman" w:hAnsi="Times New Roman" w:eastAsia="宋体"/>
      <w:b/>
      <w:sz w:val="32"/>
    </w:rPr>
  </w:style>
  <w:style w:type="paragraph" w:customStyle="1" w:styleId="32">
    <w:name w:val="Default"/>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3">
    <w:name w:val="WPSOffice手动目录 1"/>
    <w:qFormat/>
    <w:uiPriority w:val="99"/>
    <w:rPr>
      <w:rFonts w:ascii="Calibri" w:hAnsi="Calibri" w:eastAsia="宋体" w:cs="Times New Roman"/>
      <w:sz w:val="24"/>
      <w:lang w:val="en-US" w:eastAsia="zh-CN" w:bidi="ar-SA"/>
    </w:rPr>
  </w:style>
  <w:style w:type="paragraph" w:customStyle="1" w:styleId="34">
    <w:name w:val="样式 标题 2"/>
    <w:basedOn w:val="4"/>
    <w:qFormat/>
    <w:uiPriority w:val="99"/>
    <w:pPr>
      <w:spacing w:before="120" w:after="120" w:line="240" w:lineRule="auto"/>
    </w:pPr>
    <w:rPr>
      <w:rFonts w:eastAsia="宋体" w:cs="宋体"/>
      <w:color w:val="000000"/>
    </w:rPr>
  </w:style>
  <w:style w:type="paragraph" w:customStyle="1" w:styleId="35">
    <w:name w:val="标题1y"/>
    <w:next w:val="1"/>
    <w:qFormat/>
    <w:uiPriority w:val="0"/>
    <w:pPr>
      <w:spacing w:before="50" w:beforeLines="50" w:after="50" w:afterLines="50" w:line="360" w:lineRule="auto"/>
      <w:outlineLvl w:val="0"/>
    </w:pPr>
    <w:rPr>
      <w:rFonts w:ascii="Times New Roman" w:hAnsi="Times New Roman" w:eastAsia="宋体" w:cs="Times New Roman"/>
      <w:b/>
      <w:kern w:val="2"/>
      <w:sz w:val="32"/>
      <w:szCs w:val="24"/>
      <w:lang w:val="en-US" w:eastAsia="zh-CN" w:bidi="ar-SA"/>
    </w:rPr>
  </w:style>
  <w:style w:type="paragraph" w:customStyle="1" w:styleId="36">
    <w:name w:val="标题2y"/>
    <w:next w:val="1"/>
    <w:qFormat/>
    <w:uiPriority w:val="0"/>
    <w:pPr>
      <w:adjustRightInd w:val="0"/>
      <w:snapToGrid w:val="0"/>
      <w:spacing w:line="360" w:lineRule="auto"/>
      <w:outlineLvl w:val="1"/>
    </w:pPr>
    <w:rPr>
      <w:rFonts w:ascii="Times New Roman" w:hAnsi="Times New Roman" w:eastAsia="宋体" w:cs="Times New Roman"/>
      <w:b/>
      <w:kern w:val="2"/>
      <w:sz w:val="30"/>
      <w:szCs w:val="24"/>
      <w:lang w:val="en-US" w:eastAsia="zh-CN" w:bidi="ar-SA"/>
    </w:rPr>
  </w:style>
  <w:style w:type="paragraph" w:customStyle="1" w:styleId="37">
    <w:name w:val="标题3y"/>
    <w:next w:val="1"/>
    <w:qFormat/>
    <w:uiPriority w:val="0"/>
    <w:pPr>
      <w:snapToGrid w:val="0"/>
      <w:spacing w:line="360" w:lineRule="auto"/>
      <w:jc w:val="both"/>
      <w:outlineLvl w:val="2"/>
    </w:pPr>
    <w:rPr>
      <w:rFonts w:ascii="Times New Roman" w:hAnsi="Times New Roman" w:eastAsia="宋体" w:cs="Times New Roman"/>
      <w:b/>
      <w:kern w:val="2"/>
      <w:sz w:val="28"/>
      <w:szCs w:val="24"/>
      <w:lang w:val="en-US" w:eastAsia="zh-CN" w:bidi="ar-SA"/>
    </w:rPr>
  </w:style>
  <w:style w:type="paragraph" w:customStyle="1" w:styleId="38">
    <w:name w:val="列出段落1"/>
    <w:basedOn w:val="1"/>
    <w:qFormat/>
    <w:uiPriority w:val="99"/>
    <w:pPr>
      <w:ind w:firstLine="0" w:firstLineChars="0"/>
    </w:pPr>
    <w:rPr>
      <w:rFonts w:cs="Arial"/>
      <w:smallCaps/>
    </w:rPr>
  </w:style>
  <w:style w:type="paragraph" w:customStyle="1" w:styleId="39">
    <w:name w:val="表中字"/>
    <w:qFormat/>
    <w:uiPriority w:val="99"/>
    <w:pPr>
      <w:adjustRightInd w:val="0"/>
      <w:snapToGrid w:val="0"/>
      <w:jc w:val="center"/>
    </w:pPr>
    <w:rPr>
      <w:rFonts w:ascii="Times New Roman" w:hAnsi="Times New Roman" w:eastAsia="宋体" w:cs="Times New Roman"/>
      <w:kern w:val="2"/>
      <w:sz w:val="21"/>
      <w:szCs w:val="24"/>
      <w:lang w:val="en-US" w:eastAsia="zh-CN" w:bidi="ar-SA"/>
    </w:rPr>
  </w:style>
  <w:style w:type="paragraph" w:customStyle="1" w:styleId="40">
    <w:name w:val="Date1"/>
    <w:basedOn w:val="1"/>
    <w:next w:val="1"/>
    <w:qFormat/>
    <w:uiPriority w:val="99"/>
    <w:pPr>
      <w:adjustRightInd w:val="0"/>
      <w:textAlignment w:val="baseline"/>
    </w:pPr>
    <w:rPr>
      <w:szCs w:val="20"/>
    </w:rPr>
  </w:style>
  <w:style w:type="paragraph" w:customStyle="1" w:styleId="41">
    <w:name w:val="样式1"/>
    <w:basedOn w:val="1"/>
    <w:qFormat/>
    <w:uiPriority w:val="99"/>
    <w:pPr>
      <w:tabs>
        <w:tab w:val="left" w:pos="360"/>
        <w:tab w:val="left" w:pos="1021"/>
      </w:tabs>
      <w:snapToGrid w:val="0"/>
      <w:spacing w:line="560" w:lineRule="atLeast"/>
      <w:ind w:firstLine="567"/>
    </w:pPr>
    <w:rPr>
      <w:rFonts w:ascii="仿宋_GB2312" w:eastAsia="仿宋_GB2312"/>
      <w:szCs w:val="20"/>
    </w:rPr>
  </w:style>
  <w:style w:type="paragraph" w:customStyle="1" w:styleId="42">
    <w:name w:val="标题4y"/>
    <w:next w:val="1"/>
    <w:qFormat/>
    <w:uiPriority w:val="0"/>
    <w:pPr>
      <w:spacing w:line="360" w:lineRule="auto"/>
      <w:jc w:val="both"/>
      <w:outlineLvl w:val="3"/>
    </w:pPr>
    <w:rPr>
      <w:rFonts w:ascii="Times New Roman" w:hAnsi="Times New Roman" w:eastAsia="宋体" w:cs="Times New Roman"/>
      <w:b/>
      <w:kern w:val="2"/>
      <w:sz w:val="24"/>
      <w:szCs w:val="24"/>
      <w:lang w:val="en-US" w:eastAsia="zh-CN" w:bidi="ar-SA"/>
    </w:rPr>
  </w:style>
  <w:style w:type="character" w:customStyle="1" w:styleId="43">
    <w:name w:val="font51"/>
    <w:basedOn w:val="24"/>
    <w:qFormat/>
    <w:uiPriority w:val="99"/>
    <w:rPr>
      <w:rFonts w:hint="default" w:ascii="Times New Roman" w:hAnsi="Times New Roman" w:cs="Times New Roman"/>
      <w:color w:val="000000"/>
      <w:sz w:val="21"/>
      <w:szCs w:val="21"/>
      <w:u w:val="none"/>
    </w:rPr>
  </w:style>
  <w:style w:type="character" w:customStyle="1" w:styleId="44">
    <w:name w:val="font31"/>
    <w:basedOn w:val="24"/>
    <w:qFormat/>
    <w:uiPriority w:val="99"/>
    <w:rPr>
      <w:rFonts w:hint="default" w:ascii="Times New Roman" w:hAnsi="Times New Roman" w:cs="Times New Roman"/>
      <w:color w:val="000000"/>
      <w:sz w:val="21"/>
      <w:szCs w:val="21"/>
      <w:u w:val="none"/>
      <w:vertAlign w:val="superscript"/>
    </w:rPr>
  </w:style>
  <w:style w:type="character" w:customStyle="1" w:styleId="45">
    <w:name w:val="font41"/>
    <w:basedOn w:val="24"/>
    <w:qFormat/>
    <w:uiPriority w:val="99"/>
    <w:rPr>
      <w:rFonts w:hint="eastAsia" w:ascii="宋体" w:hAnsi="宋体" w:eastAsia="宋体" w:cs="宋体"/>
      <w:color w:val="000000"/>
      <w:sz w:val="21"/>
      <w:szCs w:val="21"/>
      <w:u w:val="none"/>
    </w:rPr>
  </w:style>
  <w:style w:type="character" w:customStyle="1" w:styleId="46">
    <w:name w:val="font11"/>
    <w:basedOn w:val="24"/>
    <w:qFormat/>
    <w:uiPriority w:val="99"/>
    <w:rPr>
      <w:rFonts w:hint="default" w:ascii="Times New Roman" w:hAnsi="Times New Roman" w:cs="Times New Roman"/>
      <w:color w:val="000000"/>
      <w:sz w:val="21"/>
      <w:szCs w:val="21"/>
      <w:u w:val="none"/>
      <w:vertAlign w:val="subscript"/>
    </w:rPr>
  </w:style>
  <w:style w:type="paragraph" w:customStyle="1" w:styleId="47">
    <w:name w:val="Table Paragraph"/>
    <w:basedOn w:val="1"/>
    <w:qFormat/>
    <w:uiPriority w:val="1"/>
  </w:style>
  <w:style w:type="paragraph" w:customStyle="1" w:styleId="48">
    <w:name w:val="列出段落2"/>
    <w:basedOn w:val="1"/>
    <w:qFormat/>
    <w:uiPriority w:val="99"/>
    <w:pPr>
      <w:ind w:firstLine="0" w:firstLineChars="0"/>
    </w:pPr>
    <w:rPr>
      <w:rFonts w:cs="Arial"/>
      <w:smallCaps/>
    </w:rPr>
  </w:style>
  <w:style w:type="paragraph" w:customStyle="1" w:styleId="49">
    <w:name w:val="一级条标题"/>
    <w:basedOn w:val="50"/>
    <w:next w:val="1"/>
    <w:qFormat/>
    <w:uiPriority w:val="99"/>
    <w:pPr>
      <w:tabs>
        <w:tab w:val="left" w:pos="720"/>
        <w:tab w:val="left" w:pos="903"/>
      </w:tabs>
      <w:spacing w:before="0" w:after="0"/>
      <w:ind w:left="720" w:hanging="720"/>
      <w:outlineLvl w:val="2"/>
    </w:pPr>
  </w:style>
  <w:style w:type="paragraph" w:customStyle="1" w:styleId="50">
    <w:name w:val="章标题"/>
    <w:next w:val="1"/>
    <w:link w:val="76"/>
    <w:qFormat/>
    <w:uiPriority w:val="99"/>
    <w:pPr>
      <w:tabs>
        <w:tab w:val="left" w:pos="903"/>
      </w:tabs>
      <w:spacing w:before="50" w:after="50"/>
      <w:ind w:left="903" w:hanging="315"/>
      <w:jc w:val="both"/>
      <w:outlineLvl w:val="1"/>
    </w:pPr>
    <w:rPr>
      <w:rFonts w:ascii="黑体" w:hAnsi="Times New Roman" w:eastAsia="黑体" w:cs="Times New Roman"/>
      <w:sz w:val="21"/>
      <w:lang w:val="en-US" w:eastAsia="zh-CN" w:bidi="ar-SA"/>
    </w:rPr>
  </w:style>
  <w:style w:type="paragraph" w:customStyle="1" w:styleId="51">
    <w:name w:val="报告书表格"/>
    <w:basedOn w:val="1"/>
    <w:qFormat/>
    <w:uiPriority w:val="99"/>
    <w:pPr>
      <w:adjustRightInd w:val="0"/>
      <w:spacing w:line="400" w:lineRule="exact"/>
      <w:jc w:val="left"/>
      <w:textAlignment w:val="baseline"/>
    </w:pPr>
    <w:rPr>
      <w:rFonts w:hAnsi="宋体"/>
      <w:sz w:val="21"/>
    </w:rPr>
  </w:style>
  <w:style w:type="paragraph" w:customStyle="1" w:styleId="52">
    <w:name w:val="表格居中"/>
    <w:basedOn w:val="1"/>
    <w:qFormat/>
    <w:uiPriority w:val="99"/>
    <w:pPr>
      <w:jc w:val="center"/>
    </w:pPr>
    <w:rPr>
      <w:rFonts w:ascii="宋体" w:hAnsi="宋体"/>
      <w:snapToGrid w:val="0"/>
      <w:spacing w:val="-4"/>
      <w:w w:val="90"/>
      <w:kern w:val="0"/>
      <w:sz w:val="24"/>
    </w:rPr>
  </w:style>
  <w:style w:type="paragraph" w:customStyle="1" w:styleId="53">
    <w:name w:val="敏敏敏环评正文"/>
    <w:basedOn w:val="1"/>
    <w:qFormat/>
    <w:uiPriority w:val="99"/>
    <w:rPr>
      <w:sz w:val="24"/>
    </w:rPr>
  </w:style>
  <w:style w:type="paragraph" w:customStyle="1" w:styleId="54">
    <w:name w:val="报告表  段"/>
    <w:basedOn w:val="1"/>
    <w:qFormat/>
    <w:uiPriority w:val="99"/>
    <w:pPr>
      <w:adjustRightInd w:val="0"/>
      <w:ind w:firstLine="505"/>
      <w:textAlignment w:val="baseline"/>
    </w:pPr>
    <w:rPr>
      <w:rFonts w:ascii="宋体"/>
      <w:kern w:val="0"/>
      <w:sz w:val="24"/>
      <w:szCs w:val="20"/>
    </w:rPr>
  </w:style>
  <w:style w:type="paragraph" w:customStyle="1" w:styleId="55">
    <w:name w:val="表格内正文"/>
    <w:basedOn w:val="1"/>
    <w:qFormat/>
    <w:uiPriority w:val="99"/>
    <w:pPr>
      <w:ind w:firstLine="493"/>
    </w:pPr>
    <w:rPr>
      <w:rFonts w:ascii="宋体" w:hAnsi="宋体"/>
      <w:spacing w:val="4"/>
      <w:kern w:val="18"/>
      <w:sz w:val="24"/>
    </w:rPr>
  </w:style>
  <w:style w:type="paragraph" w:customStyle="1" w:styleId="56">
    <w:name w:val="正文1 Char"/>
    <w:basedOn w:val="1"/>
    <w:qFormat/>
    <w:uiPriority w:val="0"/>
    <w:pPr>
      <w:adjustRightInd w:val="0"/>
      <w:ind w:firstLine="480"/>
      <w:textAlignment w:val="baseline"/>
    </w:pPr>
    <w:rPr>
      <w:rFonts w:ascii="宋体" w:hAnsi="宋体"/>
      <w:kern w:val="21"/>
      <w:sz w:val="24"/>
      <w:szCs w:val="20"/>
    </w:rPr>
  </w:style>
  <w:style w:type="paragraph" w:customStyle="1" w:styleId="57">
    <w:name w:val="1正文"/>
    <w:qFormat/>
    <w:uiPriority w:val="99"/>
    <w:pPr>
      <w:snapToGri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customStyle="1" w:styleId="58">
    <w:name w:val="表格文字"/>
    <w:basedOn w:val="1"/>
    <w:qFormat/>
    <w:uiPriority w:val="99"/>
    <w:pPr>
      <w:adjustRightInd w:val="0"/>
      <w:snapToGrid w:val="0"/>
      <w:spacing w:line="240" w:lineRule="auto"/>
      <w:ind w:firstLine="0" w:firstLineChars="0"/>
      <w:jc w:val="center"/>
    </w:pPr>
    <w:rPr>
      <w:sz w:val="21"/>
      <w:szCs w:val="21"/>
    </w:rPr>
  </w:style>
  <w:style w:type="paragraph" w:customStyle="1" w:styleId="59">
    <w:name w:val="+正文"/>
    <w:basedOn w:val="1"/>
    <w:qFormat/>
    <w:uiPriority w:val="99"/>
    <w:rPr>
      <w:szCs w:val="28"/>
    </w:rPr>
  </w:style>
  <w:style w:type="paragraph" w:customStyle="1" w:styleId="60">
    <w:name w:val="表"/>
    <w:basedOn w:val="1"/>
    <w:qFormat/>
    <w:uiPriority w:val="99"/>
    <w:pPr>
      <w:snapToGrid w:val="0"/>
      <w:spacing w:line="240" w:lineRule="auto"/>
      <w:ind w:firstLine="0" w:firstLineChars="0"/>
      <w:jc w:val="center"/>
    </w:pPr>
    <w:rPr>
      <w:spacing w:val="2"/>
      <w:kern w:val="0"/>
      <w:sz w:val="21"/>
    </w:rPr>
  </w:style>
  <w:style w:type="paragraph" w:customStyle="1" w:styleId="61">
    <w:name w:val="表格标题新"/>
    <w:basedOn w:val="1"/>
    <w:qFormat/>
    <w:uiPriority w:val="1"/>
    <w:pPr>
      <w:tabs>
        <w:tab w:val="left" w:pos="0"/>
      </w:tabs>
      <w:snapToGrid w:val="0"/>
      <w:spacing w:before="156" w:beforeLines="50" w:line="240" w:lineRule="auto"/>
      <w:ind w:firstLine="0" w:firstLineChars="0"/>
      <w:jc w:val="center"/>
    </w:pPr>
    <w:rPr>
      <w:rFonts w:ascii="黑体" w:eastAsia="黑体"/>
      <w:snapToGrid w:val="0"/>
      <w:spacing w:val="4"/>
      <w:sz w:val="24"/>
    </w:rPr>
  </w:style>
  <w:style w:type="paragraph" w:customStyle="1" w:styleId="62">
    <w:name w:val="表文y"/>
    <w:basedOn w:val="1"/>
    <w:qFormat/>
    <w:uiPriority w:val="0"/>
    <w:pPr>
      <w:snapToGrid w:val="0"/>
      <w:spacing w:line="240" w:lineRule="auto"/>
      <w:ind w:firstLine="0" w:firstLineChars="0"/>
      <w:jc w:val="center"/>
    </w:pPr>
    <w:rPr>
      <w:kern w:val="18"/>
      <w:sz w:val="21"/>
      <w:szCs w:val="21"/>
    </w:rPr>
  </w:style>
  <w:style w:type="paragraph" w:customStyle="1" w:styleId="63">
    <w:name w:val="D表内"/>
    <w:basedOn w:val="1"/>
    <w:qFormat/>
    <w:uiPriority w:val="99"/>
    <w:pPr>
      <w:spacing w:line="240" w:lineRule="auto"/>
      <w:ind w:firstLine="0" w:firstLineChars="0"/>
      <w:jc w:val="center"/>
    </w:pPr>
    <w:rPr>
      <w:sz w:val="21"/>
      <w:szCs w:val="21"/>
    </w:rPr>
  </w:style>
  <w:style w:type="paragraph" w:customStyle="1" w:styleId="64">
    <w:name w:val="正本文字y"/>
    <w:basedOn w:val="1"/>
    <w:qFormat/>
    <w:uiPriority w:val="0"/>
    <w:pPr>
      <w:snapToGrid w:val="0"/>
    </w:pPr>
    <w:rPr>
      <w:rFonts w:cs="宋体"/>
      <w:kern w:val="18"/>
      <w:sz w:val="24"/>
    </w:rPr>
  </w:style>
  <w:style w:type="paragraph" w:customStyle="1" w:styleId="65">
    <w:name w:val="样式 10 磅"/>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66">
    <w:name w:val="图表文字"/>
    <w:basedOn w:val="1"/>
    <w:qFormat/>
    <w:uiPriority w:val="99"/>
    <w:pPr>
      <w:spacing w:line="240" w:lineRule="auto"/>
      <w:ind w:firstLine="0" w:firstLineChars="0"/>
      <w:jc w:val="center"/>
    </w:pPr>
    <w:rPr>
      <w:color w:val="000000"/>
      <w:kern w:val="0"/>
      <w:sz w:val="21"/>
      <w:szCs w:val="21"/>
    </w:rPr>
  </w:style>
  <w:style w:type="character" w:customStyle="1" w:styleId="67">
    <w:name w:val="批注文字 Char"/>
    <w:basedOn w:val="24"/>
    <w:link w:val="8"/>
    <w:qFormat/>
    <w:uiPriority w:val="99"/>
    <w:rPr>
      <w:kern w:val="2"/>
      <w:sz w:val="28"/>
      <w:szCs w:val="24"/>
    </w:rPr>
  </w:style>
  <w:style w:type="character" w:customStyle="1" w:styleId="68">
    <w:name w:val="批注主题 Char"/>
    <w:basedOn w:val="67"/>
    <w:link w:val="21"/>
    <w:qFormat/>
    <w:uiPriority w:val="99"/>
    <w:rPr>
      <w:b/>
      <w:bCs/>
      <w:kern w:val="2"/>
      <w:sz w:val="28"/>
      <w:szCs w:val="24"/>
    </w:rPr>
  </w:style>
  <w:style w:type="character" w:customStyle="1" w:styleId="69">
    <w:name w:val="批注框文本 Char"/>
    <w:basedOn w:val="24"/>
    <w:link w:val="13"/>
    <w:qFormat/>
    <w:uiPriority w:val="99"/>
    <w:rPr>
      <w:kern w:val="2"/>
      <w:sz w:val="18"/>
      <w:szCs w:val="18"/>
    </w:rPr>
  </w:style>
  <w:style w:type="paragraph" w:customStyle="1" w:styleId="70">
    <w:name w:val="TOC Heading"/>
    <w:basedOn w:val="3"/>
    <w:next w:val="1"/>
    <w:unhideWhenUsed/>
    <w:qFormat/>
    <w:uiPriority w:val="39"/>
    <w:pPr>
      <w:widowControl/>
      <w:numPr>
        <w:numId w:val="0"/>
      </w:numPr>
      <w:adjustRightInd/>
      <w:spacing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71">
    <w:name w:val="正文文本 Char"/>
    <w:basedOn w:val="24"/>
    <w:link w:val="9"/>
    <w:qFormat/>
    <w:uiPriority w:val="0"/>
    <w:rPr>
      <w:rFonts w:ascii="Calibri" w:hAnsi="Calibri" w:cs="Arial"/>
      <w:kern w:val="2"/>
      <w:sz w:val="21"/>
      <w:szCs w:val="22"/>
    </w:rPr>
  </w:style>
  <w:style w:type="character" w:customStyle="1" w:styleId="72">
    <w:name w:val="正文文本缩进 Char"/>
    <w:basedOn w:val="24"/>
    <w:link w:val="10"/>
    <w:qFormat/>
    <w:uiPriority w:val="99"/>
    <w:rPr>
      <w:kern w:val="2"/>
      <w:sz w:val="28"/>
      <w:szCs w:val="24"/>
    </w:rPr>
  </w:style>
  <w:style w:type="character" w:customStyle="1" w:styleId="73">
    <w:name w:val="标题 Char"/>
    <w:basedOn w:val="24"/>
    <w:link w:val="20"/>
    <w:qFormat/>
    <w:uiPriority w:val="0"/>
    <w:rPr>
      <w:rFonts w:ascii="Times New Roman" w:hAnsi="Times New Roman" w:eastAsia="宋体" w:cstheme="majorBidi"/>
      <w:b/>
      <w:bCs/>
      <w:kern w:val="2"/>
      <w:sz w:val="36"/>
      <w:szCs w:val="32"/>
    </w:rPr>
  </w:style>
  <w:style w:type="paragraph" w:customStyle="1" w:styleId="74">
    <w:name w:val="结构图文y"/>
    <w:basedOn w:val="50"/>
    <w:link w:val="77"/>
    <w:qFormat/>
    <w:uiPriority w:val="0"/>
    <w:pPr>
      <w:jc w:val="center"/>
    </w:pPr>
    <w:rPr>
      <w:sz w:val="24"/>
    </w:rPr>
  </w:style>
  <w:style w:type="paragraph" w:customStyle="1" w:styleId="75">
    <w:name w:val="结构图"/>
    <w:basedOn w:val="74"/>
    <w:qFormat/>
    <w:uiPriority w:val="0"/>
  </w:style>
  <w:style w:type="character" w:customStyle="1" w:styleId="76">
    <w:name w:val="章标题 Char"/>
    <w:basedOn w:val="24"/>
    <w:link w:val="50"/>
    <w:qFormat/>
    <w:uiPriority w:val="99"/>
    <w:rPr>
      <w:rFonts w:ascii="黑体" w:eastAsia="黑体"/>
      <w:sz w:val="21"/>
    </w:rPr>
  </w:style>
  <w:style w:type="character" w:customStyle="1" w:styleId="77">
    <w:name w:val="结构图文y Char"/>
    <w:basedOn w:val="76"/>
    <w:link w:val="74"/>
    <w:qFormat/>
    <w:uiPriority w:val="0"/>
    <w:rPr>
      <w:rFonts w:ascii="黑体" w:eastAsia="黑体"/>
      <w:sz w:val="24"/>
    </w:rPr>
  </w:style>
  <w:style w:type="paragraph" w:customStyle="1" w:styleId="78">
    <w:name w:val="序号y"/>
    <w:basedOn w:val="50"/>
    <w:link w:val="80"/>
    <w:qFormat/>
    <w:uiPriority w:val="0"/>
    <w:pPr>
      <w:spacing w:line="360" w:lineRule="auto"/>
      <w:ind w:left="908" w:hanging="318"/>
    </w:pPr>
    <w:rPr>
      <w:rFonts w:eastAsia="宋体"/>
      <w:b/>
      <w:sz w:val="24"/>
    </w:rPr>
  </w:style>
  <w:style w:type="paragraph" w:customStyle="1" w:styleId="79">
    <w:name w:val="附图y"/>
    <w:basedOn w:val="74"/>
    <w:link w:val="82"/>
    <w:qFormat/>
    <w:uiPriority w:val="0"/>
    <w:pPr>
      <w:spacing w:line="360" w:lineRule="auto"/>
      <w:ind w:left="908" w:hanging="318"/>
      <w:jc w:val="left"/>
    </w:pPr>
    <w:rPr>
      <w:b/>
    </w:rPr>
  </w:style>
  <w:style w:type="character" w:customStyle="1" w:styleId="80">
    <w:name w:val="序号y Char"/>
    <w:basedOn w:val="76"/>
    <w:link w:val="78"/>
    <w:qFormat/>
    <w:uiPriority w:val="0"/>
    <w:rPr>
      <w:rFonts w:ascii="黑体" w:eastAsia="黑体"/>
      <w:b/>
      <w:sz w:val="24"/>
    </w:rPr>
  </w:style>
  <w:style w:type="character" w:customStyle="1" w:styleId="81">
    <w:name w:val="页眉 Char"/>
    <w:basedOn w:val="24"/>
    <w:link w:val="15"/>
    <w:qFormat/>
    <w:uiPriority w:val="99"/>
    <w:rPr>
      <w:rFonts w:ascii="Calibri" w:hAnsi="Calibri" w:cs="Arial"/>
      <w:kern w:val="2"/>
      <w:sz w:val="18"/>
      <w:szCs w:val="18"/>
    </w:rPr>
  </w:style>
  <w:style w:type="character" w:customStyle="1" w:styleId="82">
    <w:name w:val="附图y Char"/>
    <w:basedOn w:val="77"/>
    <w:link w:val="79"/>
    <w:qFormat/>
    <w:uiPriority w:val="0"/>
    <w:rPr>
      <w:rFonts w:ascii="黑体" w:eastAsia="黑体"/>
      <w:b/>
      <w:sz w:val="24"/>
    </w:rPr>
  </w:style>
  <w:style w:type="character" w:customStyle="1" w:styleId="83">
    <w:name w:val="页脚 Char"/>
    <w:basedOn w:val="24"/>
    <w:link w:val="14"/>
    <w:qFormat/>
    <w:uiPriority w:val="99"/>
    <w:rPr>
      <w:rFonts w:ascii="Calibri" w:hAnsi="Calibri" w:cs="Arial"/>
      <w:kern w:val="2"/>
      <w:sz w:val="18"/>
      <w:szCs w:val="18"/>
    </w:rPr>
  </w:style>
  <w:style w:type="paragraph" w:customStyle="1" w:styleId="84">
    <w:name w:val="附图附件l"/>
    <w:basedOn w:val="1"/>
    <w:qFormat/>
    <w:uiPriority w:val="0"/>
    <w:rPr>
      <w:b/>
      <w:sz w:val="28"/>
    </w:rPr>
  </w:style>
  <w:style w:type="character" w:customStyle="1" w:styleId="85">
    <w:name w:val="font01"/>
    <w:basedOn w:val="24"/>
    <w:qFormat/>
    <w:uiPriority w:val="0"/>
    <w:rPr>
      <w:rFonts w:hint="eastAsia" w:ascii="宋体" w:hAnsi="宋体" w:eastAsia="宋体" w:cs="宋体"/>
      <w:color w:val="000000"/>
      <w:sz w:val="21"/>
      <w:szCs w:val="21"/>
      <w:u w:val="none"/>
    </w:rPr>
  </w:style>
  <w:style w:type="character" w:customStyle="1" w:styleId="86">
    <w:name w:val="font21"/>
    <w:basedOn w:val="24"/>
    <w:qFormat/>
    <w:uiPriority w:val="0"/>
    <w:rPr>
      <w:rFonts w:hint="default" w:ascii="Times New Roman" w:hAnsi="Times New Roman" w:cs="Times New Roman"/>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wmf"/><Relationship Id="rId12" Type="http://schemas.openxmlformats.org/officeDocument/2006/relationships/oleObject" Target="embeddings/oleObject1.bin"/><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1AE697B-A59C-473D-8ED6-B98B0DC1C7AB}">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47</Pages>
  <Words>24798</Words>
  <Characters>26922</Characters>
  <Lines>251</Lines>
  <Paragraphs>70</Paragraphs>
  <TotalTime>21</TotalTime>
  <ScaleCrop>false</ScaleCrop>
  <LinksUpToDate>false</LinksUpToDate>
  <CharactersWithSpaces>28049</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2019-06-10T09:07:00Z</dcterms:created>
  <dc:creator>动如脱兔</dc:creator>
  <cp:lastModifiedBy>权</cp:lastModifiedBy>
  <dcterms:modified xsi:type="dcterms:W3CDTF">2020-04-26T11:21:50Z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