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0" w:line="720" w:lineRule="auto"/>
        <w:ind w:firstLine="31680"/>
        <w:jc w:val="center"/>
        <w:rPr>
          <w:rFonts w:hint="eastAsia" w:eastAsia="宋体"/>
          <w:sz w:val="44"/>
          <w:szCs w:val="44"/>
          <w:lang w:eastAsia="zh-CN"/>
        </w:rPr>
      </w:pPr>
      <w:r>
        <w:rPr>
          <w:rFonts w:hint="eastAsia" w:cs="宋体"/>
          <w:sz w:val="44"/>
          <w:szCs w:val="44"/>
          <w:lang w:val="en-US" w:eastAsia="zh-CN"/>
        </w:rPr>
        <w:t>南昌瀛宇金属制品有限公司</w:t>
      </w:r>
    </w:p>
    <w:p>
      <w:pPr>
        <w:ind w:firstLine="31680"/>
        <w:jc w:val="center"/>
        <w:rPr>
          <w:rFonts w:eastAsia="仿宋_GB2312"/>
          <w:sz w:val="44"/>
          <w:szCs w:val="44"/>
        </w:rPr>
      </w:pPr>
      <w:r>
        <w:rPr>
          <w:rFonts w:hint="eastAsia" w:cs="宋体"/>
          <w:sz w:val="44"/>
          <w:szCs w:val="44"/>
        </w:rPr>
        <w:t>突发环境事件应急预案</w:t>
      </w:r>
    </w:p>
    <w:p>
      <w:pPr>
        <w:ind w:firstLine="31680"/>
        <w:rPr>
          <w:rFonts w:eastAsia="仿宋_GB2312"/>
          <w:sz w:val="32"/>
          <w:szCs w:val="32"/>
        </w:rPr>
      </w:pPr>
    </w:p>
    <w:p>
      <w:pPr>
        <w:ind w:firstLine="31680"/>
        <w:rPr>
          <w:rFonts w:eastAsia="仿宋_GB2312"/>
          <w:sz w:val="32"/>
          <w:szCs w:val="32"/>
        </w:rPr>
      </w:pPr>
    </w:p>
    <w:p>
      <w:pPr>
        <w:pStyle w:val="4"/>
        <w:keepNext w:val="0"/>
        <w:keepLines w:val="0"/>
        <w:pageBreakBefore w:val="0"/>
        <w:widowControl w:val="0"/>
        <w:tabs>
          <w:tab w:val="right" w:leader="dot" w:pos="9525"/>
        </w:tabs>
        <w:kinsoku/>
        <w:wordWrap/>
        <w:overflowPunct/>
        <w:topLinePunct w:val="0"/>
        <w:autoSpaceDE/>
        <w:autoSpaceDN/>
        <w:bidi w:val="0"/>
        <w:adjustRightInd/>
        <w:snapToGrid/>
        <w:ind w:left="0" w:leftChars="0" w:firstLine="560" w:firstLineChars="200"/>
        <w:textAlignment w:val="auto"/>
        <w:outlineLvl w:val="9"/>
        <w:rPr>
          <w:rFonts w:hint="eastAsia" w:eastAsia="宋体"/>
          <w:sz w:val="28"/>
          <w:szCs w:val="28"/>
          <w:lang w:eastAsia="zh-CN"/>
        </w:rPr>
      </w:pPr>
      <w:r>
        <w:rPr>
          <w:rFonts w:hint="eastAsia"/>
          <w:sz w:val="28"/>
          <w:szCs w:val="28"/>
        </w:rPr>
        <w:t>组长：</w:t>
      </w:r>
      <w:r>
        <w:rPr>
          <w:rFonts w:hint="eastAsia" w:eastAsia="宋体"/>
          <w:sz w:val="28"/>
          <w:szCs w:val="28"/>
        </w:rPr>
        <w:t>秦俭</w:t>
      </w:r>
    </w:p>
    <w:p>
      <w:pPr>
        <w:keepNext w:val="0"/>
        <w:keepLines w:val="0"/>
        <w:pageBreakBefore w:val="0"/>
        <w:widowControl w:val="0"/>
        <w:kinsoku/>
        <w:wordWrap/>
        <w:overflowPunct/>
        <w:topLinePunct w:val="0"/>
        <w:autoSpaceDE/>
        <w:autoSpaceDN/>
        <w:bidi w:val="0"/>
        <w:adjustRightInd/>
        <w:snapToGrid/>
        <w:ind w:left="0" w:leftChars="0" w:firstLine="480" w:firstLineChars="200"/>
        <w:textAlignment w:val="auto"/>
        <w:outlineLvl w:val="9"/>
        <w:rPr>
          <w:rFonts w:hint="eastAsia"/>
        </w:rPr>
      </w:pPr>
    </w:p>
    <w:p>
      <w:pPr>
        <w:pStyle w:val="4"/>
        <w:keepNext w:val="0"/>
        <w:keepLines w:val="0"/>
        <w:pageBreakBefore w:val="0"/>
        <w:widowControl w:val="0"/>
        <w:tabs>
          <w:tab w:val="right" w:leader="dot" w:pos="9525"/>
        </w:tabs>
        <w:kinsoku/>
        <w:wordWrap/>
        <w:overflowPunct/>
        <w:topLinePunct w:val="0"/>
        <w:autoSpaceDE/>
        <w:autoSpaceDN/>
        <w:bidi w:val="0"/>
        <w:adjustRightInd/>
        <w:snapToGrid/>
        <w:ind w:left="0" w:leftChars="0" w:firstLine="560" w:firstLineChars="200"/>
        <w:textAlignment w:val="auto"/>
        <w:outlineLvl w:val="9"/>
        <w:rPr>
          <w:rFonts w:hint="eastAsia" w:eastAsia="宋体"/>
          <w:sz w:val="28"/>
          <w:szCs w:val="28"/>
          <w:lang w:eastAsia="zh-CN"/>
        </w:rPr>
      </w:pPr>
      <w:r>
        <w:rPr>
          <w:rFonts w:hint="eastAsia"/>
          <w:sz w:val="28"/>
          <w:szCs w:val="28"/>
        </w:rPr>
        <w:t>副组长：</w:t>
      </w:r>
      <w:r>
        <w:rPr>
          <w:rFonts w:hint="eastAsia" w:eastAsia="宋体"/>
          <w:sz w:val="28"/>
          <w:szCs w:val="28"/>
        </w:rPr>
        <w:t>王永平</w:t>
      </w:r>
    </w:p>
    <w:p>
      <w:pPr>
        <w:pStyle w:val="4"/>
        <w:keepNext w:val="0"/>
        <w:keepLines w:val="0"/>
        <w:pageBreakBefore w:val="0"/>
        <w:widowControl w:val="0"/>
        <w:tabs>
          <w:tab w:val="right" w:leader="dot" w:pos="9525"/>
        </w:tabs>
        <w:kinsoku/>
        <w:wordWrap/>
        <w:overflowPunct/>
        <w:topLinePunct w:val="0"/>
        <w:autoSpaceDE/>
        <w:autoSpaceDN/>
        <w:bidi w:val="0"/>
        <w:adjustRightInd/>
        <w:snapToGrid/>
        <w:ind w:left="0" w:leftChars="0" w:firstLine="560" w:firstLineChars="200"/>
        <w:textAlignment w:val="auto"/>
        <w:outlineLvl w:val="9"/>
        <w:rPr>
          <w:rFonts w:hint="eastAsia"/>
          <w:sz w:val="28"/>
          <w:szCs w:val="28"/>
        </w:rPr>
      </w:pPr>
      <w:r>
        <w:rPr>
          <w:rFonts w:hint="eastAsia"/>
          <w:sz w:val="28"/>
          <w:szCs w:val="28"/>
        </w:rPr>
        <w:t>组员：</w:t>
      </w:r>
      <w:r>
        <w:rPr>
          <w:rFonts w:hint="eastAsia" w:eastAsia="宋体"/>
          <w:sz w:val="28"/>
          <w:szCs w:val="28"/>
        </w:rPr>
        <w:t>孟凡伦</w:t>
      </w:r>
      <w:r>
        <w:rPr>
          <w:rFonts w:hint="eastAsia" w:eastAsia="宋体"/>
          <w:sz w:val="28"/>
          <w:szCs w:val="28"/>
          <w:lang w:val="en-US" w:eastAsia="zh-CN"/>
        </w:rPr>
        <w:t xml:space="preserve"> </w:t>
      </w:r>
      <w:r>
        <w:rPr>
          <w:rFonts w:hint="default" w:eastAsia="宋体"/>
          <w:sz w:val="28"/>
          <w:szCs w:val="28"/>
        </w:rPr>
        <w:t>丰绿云</w:t>
      </w:r>
      <w:r>
        <w:rPr>
          <w:rFonts w:hint="eastAsia" w:eastAsia="宋体"/>
          <w:sz w:val="28"/>
          <w:szCs w:val="28"/>
          <w:lang w:val="en-US" w:eastAsia="zh-CN"/>
        </w:rPr>
        <w:t xml:space="preserve"> </w:t>
      </w:r>
      <w:r>
        <w:rPr>
          <w:rFonts w:hint="default" w:eastAsia="宋体"/>
          <w:sz w:val="28"/>
          <w:szCs w:val="28"/>
        </w:rPr>
        <w:t>李志新</w:t>
      </w:r>
      <w:r>
        <w:rPr>
          <w:rFonts w:hint="eastAsia" w:eastAsia="宋体"/>
          <w:sz w:val="28"/>
          <w:szCs w:val="28"/>
          <w:lang w:val="en-US" w:eastAsia="zh-CN"/>
        </w:rPr>
        <w:t xml:space="preserve"> </w:t>
      </w:r>
      <w:r>
        <w:rPr>
          <w:rFonts w:hint="default" w:eastAsia="宋体"/>
          <w:sz w:val="28"/>
          <w:szCs w:val="28"/>
        </w:rPr>
        <w:t>崔永泉</w:t>
      </w:r>
      <w:r>
        <w:rPr>
          <w:rFonts w:hint="eastAsia" w:eastAsia="宋体"/>
          <w:sz w:val="28"/>
          <w:szCs w:val="28"/>
          <w:lang w:val="en-US" w:eastAsia="zh-CN"/>
        </w:rPr>
        <w:t xml:space="preserve"> </w:t>
      </w:r>
      <w:r>
        <w:rPr>
          <w:rFonts w:hint="default" w:eastAsia="宋体"/>
          <w:sz w:val="28"/>
          <w:szCs w:val="28"/>
        </w:rPr>
        <w:t>李亚杰</w:t>
      </w:r>
    </w:p>
    <w:p>
      <w:pPr>
        <w:pStyle w:val="4"/>
        <w:keepNext w:val="0"/>
        <w:keepLines w:val="0"/>
        <w:pageBreakBefore w:val="0"/>
        <w:widowControl w:val="0"/>
        <w:tabs>
          <w:tab w:val="right" w:leader="dot" w:pos="9525"/>
        </w:tabs>
        <w:kinsoku/>
        <w:wordWrap/>
        <w:overflowPunct/>
        <w:topLinePunct w:val="0"/>
        <w:autoSpaceDE/>
        <w:autoSpaceDN/>
        <w:bidi w:val="0"/>
        <w:adjustRightInd/>
        <w:snapToGrid/>
        <w:ind w:left="0" w:leftChars="0" w:firstLine="560" w:firstLineChars="200"/>
        <w:textAlignment w:val="auto"/>
        <w:outlineLvl w:val="9"/>
        <w:rPr>
          <w:rFonts w:hint="eastAsia" w:eastAsia="宋体"/>
          <w:sz w:val="28"/>
          <w:szCs w:val="28"/>
          <w:lang w:eastAsia="zh-CN"/>
        </w:rPr>
      </w:pPr>
      <w:r>
        <w:rPr>
          <w:rFonts w:hint="eastAsia"/>
          <w:sz w:val="28"/>
          <w:szCs w:val="28"/>
        </w:rPr>
        <w:t>编制：</w:t>
      </w:r>
      <w:r>
        <w:rPr>
          <w:rFonts w:hint="eastAsia" w:eastAsia="宋体"/>
          <w:sz w:val="28"/>
          <w:szCs w:val="28"/>
        </w:rPr>
        <w:t>孟凡伦</w:t>
      </w:r>
    </w:p>
    <w:p>
      <w:pPr>
        <w:pStyle w:val="4"/>
        <w:keepNext w:val="0"/>
        <w:keepLines w:val="0"/>
        <w:pageBreakBefore w:val="0"/>
        <w:widowControl w:val="0"/>
        <w:tabs>
          <w:tab w:val="right" w:leader="dot" w:pos="9525"/>
        </w:tabs>
        <w:kinsoku/>
        <w:wordWrap/>
        <w:overflowPunct/>
        <w:topLinePunct w:val="0"/>
        <w:autoSpaceDE/>
        <w:autoSpaceDN/>
        <w:bidi w:val="0"/>
        <w:adjustRightInd/>
        <w:snapToGrid/>
        <w:ind w:left="0" w:leftChars="0" w:firstLine="560" w:firstLineChars="200"/>
        <w:textAlignment w:val="auto"/>
        <w:outlineLvl w:val="9"/>
        <w:rPr>
          <w:rFonts w:hint="eastAsia" w:eastAsia="宋体"/>
          <w:sz w:val="28"/>
          <w:szCs w:val="28"/>
          <w:lang w:eastAsia="zh-CN"/>
        </w:rPr>
      </w:pPr>
      <w:r>
        <w:rPr>
          <w:rFonts w:hint="eastAsia"/>
          <w:sz w:val="28"/>
          <w:szCs w:val="28"/>
        </w:rPr>
        <w:t>审核：</w:t>
      </w:r>
      <w:r>
        <w:rPr>
          <w:rFonts w:hint="eastAsia" w:eastAsia="宋体"/>
          <w:sz w:val="28"/>
          <w:szCs w:val="28"/>
        </w:rPr>
        <w:t>王永平</w:t>
      </w:r>
    </w:p>
    <w:p>
      <w:pPr>
        <w:ind w:firstLine="0" w:firstLineChars="0"/>
      </w:pPr>
    </w:p>
    <w:p>
      <w:pPr>
        <w:ind w:firstLine="0" w:firstLineChars="0"/>
      </w:pPr>
    </w:p>
    <w:p>
      <w:pPr>
        <w:ind w:firstLine="0" w:firstLineChars="0"/>
      </w:pPr>
    </w:p>
    <w:p>
      <w:pPr>
        <w:ind w:firstLine="31680"/>
        <w:jc w:val="center"/>
        <w:rPr>
          <w:sz w:val="30"/>
          <w:szCs w:val="30"/>
        </w:rPr>
      </w:pPr>
    </w:p>
    <w:p>
      <w:pPr>
        <w:ind w:firstLine="31680"/>
        <w:jc w:val="center"/>
        <w:rPr>
          <w:sz w:val="30"/>
          <w:szCs w:val="30"/>
        </w:rPr>
      </w:pPr>
    </w:p>
    <w:p>
      <w:pPr>
        <w:ind w:firstLine="31680"/>
        <w:jc w:val="center"/>
        <w:rPr>
          <w:sz w:val="30"/>
          <w:szCs w:val="30"/>
        </w:rPr>
      </w:pPr>
    </w:p>
    <w:p>
      <w:pPr>
        <w:ind w:firstLine="31680"/>
        <w:jc w:val="center"/>
        <w:rPr>
          <w:sz w:val="30"/>
          <w:szCs w:val="30"/>
        </w:rPr>
      </w:pPr>
    </w:p>
    <w:p>
      <w:pPr>
        <w:ind w:firstLine="31680"/>
        <w:jc w:val="center"/>
        <w:rPr>
          <w:sz w:val="30"/>
          <w:szCs w:val="30"/>
        </w:rPr>
      </w:pPr>
    </w:p>
    <w:p>
      <w:pPr>
        <w:ind w:firstLine="31680"/>
        <w:jc w:val="center"/>
        <w:rPr>
          <w:sz w:val="30"/>
          <w:szCs w:val="30"/>
        </w:rPr>
      </w:pPr>
    </w:p>
    <w:p>
      <w:pPr>
        <w:ind w:firstLine="31680"/>
        <w:jc w:val="center"/>
        <w:rPr>
          <w:sz w:val="30"/>
          <w:szCs w:val="30"/>
        </w:rPr>
      </w:pPr>
    </w:p>
    <w:p>
      <w:pPr>
        <w:spacing w:before="0" w:beforeLines="0" w:after="0" w:afterLines="0" w:line="240" w:lineRule="auto"/>
        <w:ind w:left="0" w:leftChars="0" w:right="0" w:rightChars="0" w:firstLine="0" w:firstLineChars="0"/>
        <w:jc w:val="center"/>
        <w:rPr>
          <w:b/>
          <w:bCs/>
          <w:sz w:val="28"/>
          <w:szCs w:val="28"/>
        </w:rPr>
      </w:pPr>
      <w:bookmarkStart w:id="0" w:name="_Toc236_WPSOffice_Type2"/>
      <w:r>
        <w:rPr>
          <w:rFonts w:ascii="宋体" w:hAnsi="宋体" w:eastAsia="宋体"/>
          <w:b/>
          <w:bCs/>
          <w:sz w:val="28"/>
          <w:szCs w:val="28"/>
        </w:rPr>
        <w:t>目录</w:t>
      </w:r>
    </w:p>
    <w:p>
      <w:pPr>
        <w:pStyle w:val="8"/>
        <w:tabs>
          <w:tab w:val="right" w:leader="dot" w:pos="9525"/>
        </w:tabs>
        <w:spacing w:line="360" w:lineRule="auto"/>
        <w:rPr>
          <w:sz w:val="24"/>
          <w:szCs w:val="24"/>
        </w:rPr>
      </w:pPr>
      <w:r>
        <w:rPr>
          <w:b/>
          <w:bCs/>
          <w:sz w:val="24"/>
          <w:szCs w:val="24"/>
        </w:rPr>
        <w:fldChar w:fldCharType="begin"/>
      </w:r>
      <w:r>
        <w:rPr>
          <w:sz w:val="24"/>
          <w:szCs w:val="24"/>
        </w:rPr>
        <w:instrText xml:space="preserve"> HYPERLINK \l _Toc26963_WPSOffice_Level1 </w:instrText>
      </w:r>
      <w:r>
        <w:rPr>
          <w:b/>
          <w:bCs/>
          <w:sz w:val="24"/>
          <w:szCs w:val="24"/>
        </w:rPr>
        <w:fldChar w:fldCharType="separate"/>
      </w:r>
      <w:r>
        <w:rPr>
          <w:rFonts w:hint="eastAsia" w:ascii="Times New Roman" w:hAnsi="Times New Roman" w:eastAsia="宋体" w:cs="宋体"/>
          <w:b/>
          <w:bCs/>
          <w:sz w:val="24"/>
          <w:szCs w:val="24"/>
        </w:rPr>
        <w:t>编制说明</w:t>
      </w:r>
      <w:r>
        <w:rPr>
          <w:b/>
          <w:bCs/>
          <w:sz w:val="24"/>
          <w:szCs w:val="24"/>
        </w:rPr>
        <w:tab/>
      </w:r>
      <w:bookmarkStart w:id="1" w:name="_Toc26963_WPSOffice_Level1Page"/>
      <w:r>
        <w:rPr>
          <w:b/>
          <w:bCs/>
          <w:sz w:val="24"/>
          <w:szCs w:val="24"/>
        </w:rPr>
        <w:t>1</w:t>
      </w:r>
      <w:bookmarkEnd w:id="1"/>
      <w:r>
        <w:rPr>
          <w:b/>
          <w:bCs/>
          <w:sz w:val="24"/>
          <w:szCs w:val="24"/>
        </w:rPr>
        <w:fldChar w:fldCharType="end"/>
      </w:r>
    </w:p>
    <w:p>
      <w:pPr>
        <w:pStyle w:val="8"/>
        <w:tabs>
          <w:tab w:val="right" w:leader="dot" w:pos="9525"/>
        </w:tabs>
        <w:spacing w:line="360" w:lineRule="auto"/>
        <w:rPr>
          <w:sz w:val="24"/>
          <w:szCs w:val="24"/>
        </w:rPr>
      </w:pPr>
      <w:r>
        <w:rPr>
          <w:b/>
          <w:bCs/>
          <w:sz w:val="24"/>
          <w:szCs w:val="24"/>
        </w:rPr>
        <w:fldChar w:fldCharType="begin"/>
      </w:r>
      <w:r>
        <w:rPr>
          <w:sz w:val="24"/>
          <w:szCs w:val="24"/>
        </w:rPr>
        <w:instrText xml:space="preserve"> HYPERLINK \l _Toc2991_WPSOffice_Level1 </w:instrText>
      </w:r>
      <w:r>
        <w:rPr>
          <w:b/>
          <w:bCs/>
          <w:sz w:val="24"/>
          <w:szCs w:val="24"/>
        </w:rPr>
        <w:fldChar w:fldCharType="separate"/>
      </w:r>
      <w:r>
        <w:rPr>
          <w:rFonts w:ascii="Times New Roman" w:hAnsi="Times New Roman" w:eastAsia="宋体" w:cs="Times New Roman"/>
          <w:b/>
          <w:bCs/>
          <w:sz w:val="24"/>
          <w:szCs w:val="24"/>
        </w:rPr>
        <w:t>1.</w:t>
      </w:r>
      <w:r>
        <w:rPr>
          <w:rFonts w:hint="eastAsia" w:ascii="Times New Roman" w:hAnsi="Times New Roman" w:eastAsia="宋体" w:cs="宋体"/>
          <w:b/>
          <w:bCs/>
          <w:sz w:val="24"/>
          <w:szCs w:val="24"/>
        </w:rPr>
        <w:t>编制过程概述</w:t>
      </w:r>
      <w:r>
        <w:rPr>
          <w:b/>
          <w:bCs/>
          <w:sz w:val="24"/>
          <w:szCs w:val="24"/>
        </w:rPr>
        <w:tab/>
      </w:r>
      <w:bookmarkStart w:id="2" w:name="_Toc2991_WPSOffice_Level1Page"/>
      <w:r>
        <w:rPr>
          <w:b/>
          <w:bCs/>
          <w:sz w:val="24"/>
          <w:szCs w:val="24"/>
        </w:rPr>
        <w:t>1</w:t>
      </w:r>
      <w:bookmarkEnd w:id="2"/>
      <w:r>
        <w:rPr>
          <w:b/>
          <w:bCs/>
          <w:sz w:val="24"/>
          <w:szCs w:val="24"/>
        </w:rPr>
        <w:fldChar w:fldCharType="end"/>
      </w:r>
    </w:p>
    <w:p>
      <w:pPr>
        <w:pStyle w:val="8"/>
        <w:tabs>
          <w:tab w:val="right" w:leader="dot" w:pos="9525"/>
        </w:tabs>
        <w:spacing w:line="360" w:lineRule="auto"/>
        <w:rPr>
          <w:sz w:val="24"/>
          <w:szCs w:val="24"/>
        </w:rPr>
      </w:pPr>
      <w:r>
        <w:rPr>
          <w:b/>
          <w:bCs/>
          <w:sz w:val="24"/>
          <w:szCs w:val="24"/>
        </w:rPr>
        <w:fldChar w:fldCharType="begin"/>
      </w:r>
      <w:r>
        <w:rPr>
          <w:sz w:val="24"/>
          <w:szCs w:val="24"/>
        </w:rPr>
        <w:instrText xml:space="preserve"> HYPERLINK \l _Toc16899_WPSOffice_Level1 </w:instrText>
      </w:r>
      <w:r>
        <w:rPr>
          <w:b/>
          <w:bCs/>
          <w:sz w:val="24"/>
          <w:szCs w:val="24"/>
        </w:rPr>
        <w:fldChar w:fldCharType="separate"/>
      </w:r>
      <w:r>
        <w:rPr>
          <w:rFonts w:ascii="Times New Roman" w:hAnsi="Times New Roman" w:eastAsia="宋体" w:cs="Times New Roman"/>
          <w:b/>
          <w:bCs/>
          <w:sz w:val="24"/>
          <w:szCs w:val="24"/>
        </w:rPr>
        <w:t>2.</w:t>
      </w:r>
      <w:r>
        <w:rPr>
          <w:rFonts w:hint="eastAsia" w:ascii="Times New Roman" w:hAnsi="Times New Roman" w:eastAsia="宋体" w:cs="宋体"/>
          <w:b/>
          <w:bCs/>
          <w:sz w:val="24"/>
          <w:szCs w:val="24"/>
        </w:rPr>
        <w:t>重点内容说明</w:t>
      </w:r>
      <w:r>
        <w:rPr>
          <w:b/>
          <w:bCs/>
          <w:sz w:val="24"/>
          <w:szCs w:val="24"/>
        </w:rPr>
        <w:tab/>
      </w:r>
      <w:bookmarkStart w:id="3" w:name="_Toc16899_WPSOffice_Level1Page"/>
      <w:r>
        <w:rPr>
          <w:b/>
          <w:bCs/>
          <w:sz w:val="24"/>
          <w:szCs w:val="24"/>
        </w:rPr>
        <w:t>1</w:t>
      </w:r>
      <w:bookmarkEnd w:id="3"/>
      <w:r>
        <w:rPr>
          <w:b/>
          <w:bCs/>
          <w:sz w:val="24"/>
          <w:szCs w:val="24"/>
        </w:rPr>
        <w:fldChar w:fldCharType="end"/>
      </w:r>
    </w:p>
    <w:p>
      <w:pPr>
        <w:pStyle w:val="9"/>
        <w:tabs>
          <w:tab w:val="right" w:leader="dot" w:pos="9525"/>
        </w:tabs>
        <w:spacing w:line="360" w:lineRule="auto"/>
        <w:rPr>
          <w:sz w:val="24"/>
          <w:szCs w:val="24"/>
        </w:rPr>
      </w:pPr>
      <w:r>
        <w:rPr>
          <w:sz w:val="24"/>
          <w:szCs w:val="24"/>
        </w:rPr>
        <w:fldChar w:fldCharType="begin"/>
      </w:r>
      <w:r>
        <w:rPr>
          <w:sz w:val="24"/>
          <w:szCs w:val="24"/>
        </w:rPr>
        <w:instrText xml:space="preserve"> HYPERLINK \l _Toc15614_WPSOffice_Level2 </w:instrText>
      </w:r>
      <w:r>
        <w:rPr>
          <w:sz w:val="24"/>
          <w:szCs w:val="24"/>
        </w:rPr>
        <w:fldChar w:fldCharType="separate"/>
      </w:r>
      <w:r>
        <w:rPr>
          <w:rFonts w:ascii="Times New Roman" w:hAnsi="Times New Roman" w:eastAsia="宋体" w:cs="Times New Roman"/>
          <w:sz w:val="24"/>
          <w:szCs w:val="24"/>
        </w:rPr>
        <w:t>2.1</w:t>
      </w:r>
      <w:r>
        <w:rPr>
          <w:rFonts w:hint="eastAsia" w:ascii="Times New Roman" w:hAnsi="Times New Roman" w:eastAsia="宋体" w:cs="宋体"/>
          <w:sz w:val="24"/>
          <w:szCs w:val="24"/>
        </w:rPr>
        <w:t>应急预案体系</w:t>
      </w:r>
      <w:r>
        <w:rPr>
          <w:sz w:val="24"/>
          <w:szCs w:val="24"/>
        </w:rPr>
        <w:tab/>
      </w:r>
      <w:bookmarkStart w:id="4" w:name="_Toc15614_WPSOffice_Level2Page"/>
      <w:r>
        <w:rPr>
          <w:sz w:val="24"/>
          <w:szCs w:val="24"/>
        </w:rPr>
        <w:t>1</w:t>
      </w:r>
      <w:bookmarkEnd w:id="4"/>
      <w:r>
        <w:rPr>
          <w:sz w:val="24"/>
          <w:szCs w:val="24"/>
        </w:rPr>
        <w:fldChar w:fldCharType="end"/>
      </w:r>
    </w:p>
    <w:p>
      <w:pPr>
        <w:pStyle w:val="9"/>
        <w:tabs>
          <w:tab w:val="right" w:leader="dot" w:pos="9525"/>
        </w:tabs>
        <w:spacing w:line="360" w:lineRule="auto"/>
        <w:rPr>
          <w:sz w:val="24"/>
          <w:szCs w:val="24"/>
        </w:rPr>
      </w:pPr>
      <w:r>
        <w:rPr>
          <w:sz w:val="24"/>
          <w:szCs w:val="24"/>
        </w:rPr>
        <w:fldChar w:fldCharType="begin"/>
      </w:r>
      <w:r>
        <w:rPr>
          <w:sz w:val="24"/>
          <w:szCs w:val="24"/>
        </w:rPr>
        <w:instrText xml:space="preserve"> HYPERLINK \l _Toc20372_WPSOffice_Level2 </w:instrText>
      </w:r>
      <w:r>
        <w:rPr>
          <w:sz w:val="24"/>
          <w:szCs w:val="24"/>
        </w:rPr>
        <w:fldChar w:fldCharType="separate"/>
      </w:r>
      <w:r>
        <w:rPr>
          <w:rFonts w:ascii="Times New Roman" w:hAnsi="Times New Roman" w:eastAsia="宋体" w:cs="Times New Roman"/>
          <w:sz w:val="24"/>
          <w:szCs w:val="24"/>
        </w:rPr>
        <w:t>2.2</w:t>
      </w:r>
      <w:r>
        <w:rPr>
          <w:rFonts w:hint="eastAsia" w:ascii="Times New Roman" w:hAnsi="Times New Roman" w:eastAsia="宋体" w:cs="宋体"/>
          <w:sz w:val="24"/>
          <w:szCs w:val="24"/>
        </w:rPr>
        <w:t>应急组织体系</w:t>
      </w:r>
      <w:r>
        <w:rPr>
          <w:sz w:val="24"/>
          <w:szCs w:val="24"/>
        </w:rPr>
        <w:tab/>
      </w:r>
      <w:bookmarkStart w:id="5" w:name="_Toc20372_WPSOffice_Level2Page"/>
      <w:r>
        <w:rPr>
          <w:sz w:val="24"/>
          <w:szCs w:val="24"/>
        </w:rPr>
        <w:t>2</w:t>
      </w:r>
      <w:bookmarkEnd w:id="5"/>
      <w:r>
        <w:rPr>
          <w:sz w:val="24"/>
          <w:szCs w:val="24"/>
        </w:rPr>
        <w:fldChar w:fldCharType="end"/>
      </w:r>
    </w:p>
    <w:p>
      <w:pPr>
        <w:pStyle w:val="9"/>
        <w:tabs>
          <w:tab w:val="right" w:leader="dot" w:pos="9525"/>
        </w:tabs>
        <w:spacing w:line="360" w:lineRule="auto"/>
        <w:rPr>
          <w:sz w:val="24"/>
          <w:szCs w:val="24"/>
        </w:rPr>
      </w:pPr>
      <w:r>
        <w:rPr>
          <w:sz w:val="24"/>
          <w:szCs w:val="24"/>
        </w:rPr>
        <w:fldChar w:fldCharType="begin"/>
      </w:r>
      <w:r>
        <w:rPr>
          <w:sz w:val="24"/>
          <w:szCs w:val="24"/>
        </w:rPr>
        <w:instrText xml:space="preserve"> HYPERLINK \l _Toc13553_WPSOffice_Level2 </w:instrText>
      </w:r>
      <w:r>
        <w:rPr>
          <w:sz w:val="24"/>
          <w:szCs w:val="24"/>
        </w:rPr>
        <w:fldChar w:fldCharType="separate"/>
      </w:r>
      <w:r>
        <w:rPr>
          <w:rFonts w:ascii="Times New Roman" w:hAnsi="Times New Roman" w:eastAsia="宋体" w:cs="Times New Roman"/>
          <w:sz w:val="24"/>
          <w:szCs w:val="24"/>
        </w:rPr>
        <w:t>2.3</w:t>
      </w:r>
      <w:r>
        <w:rPr>
          <w:rFonts w:hint="eastAsia" w:ascii="Times New Roman" w:hAnsi="Times New Roman" w:eastAsia="宋体" w:cs="宋体"/>
          <w:sz w:val="24"/>
          <w:szCs w:val="24"/>
        </w:rPr>
        <w:t>信息报告</w:t>
      </w:r>
      <w:r>
        <w:rPr>
          <w:sz w:val="24"/>
          <w:szCs w:val="24"/>
        </w:rPr>
        <w:tab/>
      </w:r>
      <w:bookmarkStart w:id="6" w:name="_Toc13553_WPSOffice_Level2Page"/>
      <w:r>
        <w:rPr>
          <w:sz w:val="24"/>
          <w:szCs w:val="24"/>
        </w:rPr>
        <w:t>2</w:t>
      </w:r>
      <w:bookmarkEnd w:id="6"/>
      <w:r>
        <w:rPr>
          <w:sz w:val="24"/>
          <w:szCs w:val="24"/>
        </w:rPr>
        <w:fldChar w:fldCharType="end"/>
      </w:r>
    </w:p>
    <w:p>
      <w:pPr>
        <w:pStyle w:val="9"/>
        <w:tabs>
          <w:tab w:val="right" w:leader="dot" w:pos="9525"/>
        </w:tabs>
        <w:spacing w:line="360" w:lineRule="auto"/>
        <w:rPr>
          <w:sz w:val="24"/>
          <w:szCs w:val="24"/>
        </w:rPr>
      </w:pPr>
      <w:r>
        <w:rPr>
          <w:sz w:val="24"/>
          <w:szCs w:val="24"/>
        </w:rPr>
        <w:fldChar w:fldCharType="begin"/>
      </w:r>
      <w:r>
        <w:rPr>
          <w:sz w:val="24"/>
          <w:szCs w:val="24"/>
        </w:rPr>
        <w:instrText xml:space="preserve"> HYPERLINK \l _Toc30320_WPSOffice_Level2 </w:instrText>
      </w:r>
      <w:r>
        <w:rPr>
          <w:sz w:val="24"/>
          <w:szCs w:val="24"/>
        </w:rPr>
        <w:fldChar w:fldCharType="separate"/>
      </w:r>
      <w:r>
        <w:rPr>
          <w:rFonts w:ascii="Times New Roman" w:hAnsi="Times New Roman" w:eastAsia="宋体" w:cs="Times New Roman"/>
          <w:sz w:val="24"/>
          <w:szCs w:val="24"/>
        </w:rPr>
        <w:t>2.4</w:t>
      </w:r>
      <w:r>
        <w:rPr>
          <w:rFonts w:hint="eastAsia" w:ascii="Times New Roman" w:hAnsi="Times New Roman" w:eastAsia="宋体" w:cs="宋体"/>
          <w:sz w:val="24"/>
          <w:szCs w:val="24"/>
        </w:rPr>
        <w:t>预警分级</w:t>
      </w:r>
      <w:r>
        <w:rPr>
          <w:sz w:val="24"/>
          <w:szCs w:val="24"/>
        </w:rPr>
        <w:tab/>
      </w:r>
      <w:bookmarkStart w:id="7" w:name="_Toc30320_WPSOffice_Level2Page"/>
      <w:r>
        <w:rPr>
          <w:sz w:val="24"/>
          <w:szCs w:val="24"/>
        </w:rPr>
        <w:t>2</w:t>
      </w:r>
      <w:bookmarkEnd w:id="7"/>
      <w:r>
        <w:rPr>
          <w:sz w:val="24"/>
          <w:szCs w:val="24"/>
        </w:rPr>
        <w:fldChar w:fldCharType="end"/>
      </w:r>
    </w:p>
    <w:p>
      <w:pPr>
        <w:pStyle w:val="9"/>
        <w:tabs>
          <w:tab w:val="right" w:leader="dot" w:pos="9525"/>
        </w:tabs>
        <w:spacing w:line="360" w:lineRule="auto"/>
        <w:rPr>
          <w:sz w:val="24"/>
          <w:szCs w:val="24"/>
        </w:rPr>
      </w:pPr>
      <w:r>
        <w:rPr>
          <w:sz w:val="24"/>
          <w:szCs w:val="24"/>
        </w:rPr>
        <w:fldChar w:fldCharType="begin"/>
      </w:r>
      <w:r>
        <w:rPr>
          <w:sz w:val="24"/>
          <w:szCs w:val="24"/>
        </w:rPr>
        <w:instrText xml:space="preserve"> HYPERLINK \l _Toc16989_WPSOffice_Level2 </w:instrText>
      </w:r>
      <w:r>
        <w:rPr>
          <w:sz w:val="24"/>
          <w:szCs w:val="24"/>
        </w:rPr>
        <w:fldChar w:fldCharType="separate"/>
      </w:r>
      <w:r>
        <w:rPr>
          <w:rFonts w:ascii="Times New Roman" w:hAnsi="Times New Roman" w:eastAsia="宋体" w:cs="Times New Roman"/>
          <w:sz w:val="24"/>
          <w:szCs w:val="24"/>
        </w:rPr>
        <w:t>2.5</w:t>
      </w:r>
      <w:r>
        <w:rPr>
          <w:rFonts w:hint="eastAsia" w:ascii="Times New Roman" w:hAnsi="Times New Roman" w:eastAsia="宋体" w:cs="宋体"/>
          <w:sz w:val="24"/>
          <w:szCs w:val="24"/>
        </w:rPr>
        <w:t>环境风险等级</w:t>
      </w:r>
      <w:r>
        <w:rPr>
          <w:sz w:val="24"/>
          <w:szCs w:val="24"/>
        </w:rPr>
        <w:tab/>
      </w:r>
      <w:bookmarkStart w:id="8" w:name="_Toc16989_WPSOffice_Level2Page"/>
      <w:r>
        <w:rPr>
          <w:sz w:val="24"/>
          <w:szCs w:val="24"/>
        </w:rPr>
        <w:t>2</w:t>
      </w:r>
      <w:bookmarkEnd w:id="8"/>
      <w:r>
        <w:rPr>
          <w:sz w:val="24"/>
          <w:szCs w:val="24"/>
        </w:rPr>
        <w:fldChar w:fldCharType="end"/>
      </w:r>
    </w:p>
    <w:p>
      <w:pPr>
        <w:pStyle w:val="9"/>
        <w:tabs>
          <w:tab w:val="right" w:leader="dot" w:pos="9525"/>
        </w:tabs>
        <w:spacing w:line="360" w:lineRule="auto"/>
        <w:rPr>
          <w:sz w:val="24"/>
          <w:szCs w:val="24"/>
        </w:rPr>
      </w:pPr>
      <w:r>
        <w:rPr>
          <w:sz w:val="24"/>
          <w:szCs w:val="24"/>
        </w:rPr>
        <w:fldChar w:fldCharType="begin"/>
      </w:r>
      <w:r>
        <w:rPr>
          <w:sz w:val="24"/>
          <w:szCs w:val="24"/>
        </w:rPr>
        <w:instrText xml:space="preserve"> HYPERLINK \l _Toc15819_WPSOffice_Level2 </w:instrText>
      </w:r>
      <w:r>
        <w:rPr>
          <w:sz w:val="24"/>
          <w:szCs w:val="24"/>
        </w:rPr>
        <w:fldChar w:fldCharType="separate"/>
      </w:r>
      <w:r>
        <w:rPr>
          <w:rFonts w:ascii="Times New Roman" w:hAnsi="Times New Roman" w:eastAsia="宋体" w:cs="Times New Roman"/>
          <w:sz w:val="24"/>
          <w:szCs w:val="24"/>
        </w:rPr>
        <w:t>2.6</w:t>
      </w:r>
      <w:r>
        <w:rPr>
          <w:rFonts w:hint="eastAsia" w:ascii="Times New Roman" w:hAnsi="Times New Roman" w:eastAsia="宋体" w:cs="宋体"/>
          <w:sz w:val="24"/>
          <w:szCs w:val="24"/>
        </w:rPr>
        <w:t>征求意见及采纳情况说明</w:t>
      </w:r>
      <w:r>
        <w:rPr>
          <w:sz w:val="24"/>
          <w:szCs w:val="24"/>
        </w:rPr>
        <w:tab/>
      </w:r>
      <w:bookmarkStart w:id="9" w:name="_Toc15819_WPSOffice_Level2Page"/>
      <w:r>
        <w:rPr>
          <w:sz w:val="24"/>
          <w:szCs w:val="24"/>
        </w:rPr>
        <w:t>2</w:t>
      </w:r>
      <w:bookmarkEnd w:id="9"/>
      <w:r>
        <w:rPr>
          <w:sz w:val="24"/>
          <w:szCs w:val="24"/>
        </w:rPr>
        <w:fldChar w:fldCharType="end"/>
      </w:r>
    </w:p>
    <w:p>
      <w:pPr>
        <w:pStyle w:val="9"/>
        <w:tabs>
          <w:tab w:val="right" w:leader="dot" w:pos="9525"/>
        </w:tabs>
        <w:spacing w:line="360" w:lineRule="auto"/>
        <w:rPr>
          <w:sz w:val="24"/>
          <w:szCs w:val="24"/>
        </w:rPr>
      </w:pPr>
      <w:r>
        <w:rPr>
          <w:sz w:val="24"/>
          <w:szCs w:val="24"/>
        </w:rPr>
        <w:fldChar w:fldCharType="begin"/>
      </w:r>
      <w:r>
        <w:rPr>
          <w:sz w:val="24"/>
          <w:szCs w:val="24"/>
        </w:rPr>
        <w:instrText xml:space="preserve"> HYPERLINK \l _Toc15508_WPSOffice_Level2 </w:instrText>
      </w:r>
      <w:r>
        <w:rPr>
          <w:sz w:val="24"/>
          <w:szCs w:val="24"/>
        </w:rPr>
        <w:fldChar w:fldCharType="separate"/>
      </w:r>
      <w:r>
        <w:rPr>
          <w:rFonts w:ascii="Times New Roman" w:hAnsi="Times New Roman" w:eastAsia="宋体" w:cs="Times New Roman"/>
          <w:sz w:val="24"/>
          <w:szCs w:val="24"/>
        </w:rPr>
        <w:t>2.7</w:t>
      </w:r>
      <w:r>
        <w:rPr>
          <w:rFonts w:hint="eastAsia" w:ascii="Times New Roman" w:hAnsi="Times New Roman" w:eastAsia="宋体" w:cs="宋体"/>
          <w:sz w:val="24"/>
          <w:szCs w:val="24"/>
        </w:rPr>
        <w:t>评审情况说明</w:t>
      </w:r>
      <w:r>
        <w:rPr>
          <w:sz w:val="24"/>
          <w:szCs w:val="24"/>
        </w:rPr>
        <w:tab/>
      </w:r>
      <w:bookmarkStart w:id="10" w:name="_Toc15508_WPSOffice_Level2Page"/>
      <w:r>
        <w:rPr>
          <w:sz w:val="24"/>
          <w:szCs w:val="24"/>
        </w:rPr>
        <w:t>2</w:t>
      </w:r>
      <w:bookmarkEnd w:id="10"/>
      <w:r>
        <w:rPr>
          <w:sz w:val="24"/>
          <w:szCs w:val="24"/>
        </w:rPr>
        <w:fldChar w:fldCharType="end"/>
      </w:r>
      <w:bookmarkEnd w:id="0"/>
    </w:p>
    <w:p>
      <w:pPr>
        <w:spacing w:line="360" w:lineRule="auto"/>
        <w:ind w:firstLine="31680"/>
        <w:jc w:val="center"/>
        <w:rPr>
          <w:sz w:val="24"/>
          <w:szCs w:val="24"/>
        </w:rPr>
      </w:pPr>
    </w:p>
    <w:p>
      <w:pPr>
        <w:ind w:firstLine="31680"/>
        <w:jc w:val="center"/>
        <w:rPr>
          <w:sz w:val="30"/>
          <w:szCs w:val="30"/>
        </w:rPr>
      </w:pPr>
    </w:p>
    <w:p>
      <w:pPr>
        <w:ind w:firstLine="320" w:firstLineChars="100"/>
        <w:jc w:val="center"/>
        <w:rPr>
          <w:sz w:val="32"/>
          <w:szCs w:val="32"/>
        </w:rPr>
        <w:sectPr>
          <w:headerReference r:id="rId3" w:type="default"/>
          <w:pgSz w:w="11906" w:h="16838"/>
          <w:pgMar w:top="1134" w:right="1134" w:bottom="1134" w:left="1247" w:header="851" w:footer="992" w:gutter="0"/>
          <w:pgNumType w:fmt="decimal"/>
          <w:cols w:space="720" w:num="1"/>
          <w:docGrid w:type="lines" w:linePitch="326" w:charSpace="0"/>
        </w:sectPr>
      </w:pPr>
    </w:p>
    <w:p>
      <w:pPr>
        <w:ind w:firstLine="321" w:firstLineChars="100"/>
        <w:jc w:val="center"/>
        <w:outlineLvl w:val="0"/>
        <w:rPr>
          <w:b/>
          <w:bCs/>
          <w:sz w:val="32"/>
          <w:szCs w:val="32"/>
        </w:rPr>
      </w:pPr>
      <w:bookmarkStart w:id="11" w:name="_Toc26963_WPSOffice_Level1"/>
      <w:bookmarkStart w:id="12" w:name="_Toc465241655"/>
      <w:bookmarkStart w:id="13" w:name="_Toc459188528"/>
      <w:bookmarkStart w:id="14" w:name="_Toc776"/>
      <w:bookmarkStart w:id="15" w:name="_Toc462904194"/>
      <w:r>
        <w:rPr>
          <w:rFonts w:hint="eastAsia" w:cs="宋体"/>
          <w:b/>
          <w:bCs/>
          <w:sz w:val="32"/>
          <w:szCs w:val="32"/>
        </w:rPr>
        <w:t>编制说明</w:t>
      </w:r>
      <w:bookmarkEnd w:id="11"/>
      <w:bookmarkEnd w:id="12"/>
      <w:bookmarkEnd w:id="13"/>
      <w:bookmarkEnd w:id="14"/>
      <w:bookmarkEnd w:id="15"/>
    </w:p>
    <w:p>
      <w:pPr>
        <w:ind w:firstLine="31680"/>
        <w:jc w:val="left"/>
      </w:pPr>
      <w:r>
        <w:rPr>
          <w:rFonts w:hint="eastAsia" w:cs="宋体"/>
        </w:rPr>
        <w:t>为了进一步健全环境污染事件应急机制，有效预防、及时控制和消除突发环境污染事件的危害，提高环境保护方面人员的应急反应能力，确保迅速有效地处理突发环境污染和生态破坏等原因造成的局部或区域环境污染事件，指导和规范突发环境污染和生态破坏事件的应急处理工作，维护社会稳定，以最快的速度发挥最大的效能，将环境污染和生态破坏事件造成的损失降低到最小程度，最大限度地保障人民群众的身体健康和生命安全，特制定</w:t>
      </w:r>
      <w:r>
        <w:rPr>
          <w:rFonts w:hint="eastAsia" w:cs="宋体"/>
          <w:lang w:eastAsia="zh-CN"/>
        </w:rPr>
        <w:t>南昌瀛宇金属制品有限公司</w:t>
      </w:r>
      <w:r>
        <w:rPr>
          <w:rFonts w:hint="eastAsia" w:cs="宋体"/>
        </w:rPr>
        <w:t>突发环境应急预案（以下简称“本预案”）。</w:t>
      </w:r>
    </w:p>
    <w:p>
      <w:pPr>
        <w:pStyle w:val="10"/>
        <w:spacing w:beforeLines="0" w:afterLines="0"/>
        <w:jc w:val="left"/>
      </w:pPr>
      <w:bookmarkStart w:id="16" w:name="_Toc430095127"/>
      <w:bookmarkStart w:id="17" w:name="_Toc26413"/>
      <w:bookmarkStart w:id="18" w:name="_Toc2991_WPSOffice_Level1"/>
      <w:r>
        <w:t>1.</w:t>
      </w:r>
      <w:r>
        <w:rPr>
          <w:rFonts w:hint="eastAsia" w:cs="宋体"/>
        </w:rPr>
        <w:t>编制过程概述</w:t>
      </w:r>
      <w:bookmarkEnd w:id="16"/>
      <w:bookmarkEnd w:id="17"/>
      <w:bookmarkEnd w:id="18"/>
    </w:p>
    <w:p>
      <w:pPr>
        <w:keepNext w:val="0"/>
        <w:keepLines w:val="0"/>
        <w:pageBreakBefore w:val="0"/>
        <w:widowControl w:val="0"/>
        <w:kinsoku/>
        <w:wordWrap/>
        <w:overflowPunct/>
        <w:topLinePunct w:val="0"/>
        <w:autoSpaceDE/>
        <w:autoSpaceDN/>
        <w:bidi w:val="0"/>
        <w:adjustRightInd/>
        <w:snapToGrid/>
        <w:ind w:firstLine="480" w:firstLineChars="200"/>
        <w:textAlignment w:val="auto"/>
      </w:pPr>
      <w:r>
        <w:rPr>
          <w:rFonts w:hint="eastAsia" w:cs="宋体"/>
        </w:rPr>
        <w:t>公司成立了应急预案编制小组，主</w:t>
      </w:r>
      <w:r>
        <w:rPr>
          <w:rFonts w:hint="eastAsia" w:cs="宋体"/>
          <w:color w:val="auto"/>
        </w:rPr>
        <w:t>要成员有</w:t>
      </w:r>
      <w:r>
        <w:rPr>
          <w:rFonts w:hint="eastAsia" w:ascii="Times New Roman" w:hAnsi="Times New Roman" w:cs="宋体"/>
          <w:color w:val="auto"/>
        </w:rPr>
        <w:t>：秦俭</w:t>
      </w:r>
      <w:r>
        <w:rPr>
          <w:rFonts w:hint="eastAsia" w:ascii="Times New Roman" w:hAnsi="Times New Roman" w:cs="宋体"/>
          <w:color w:val="auto"/>
          <w:lang w:eastAsia="zh-CN"/>
        </w:rPr>
        <w:t>、</w:t>
      </w:r>
      <w:r>
        <w:rPr>
          <w:rFonts w:hint="eastAsia" w:ascii="Times New Roman" w:hAnsi="Times New Roman" w:cs="宋体"/>
          <w:color w:val="auto"/>
        </w:rPr>
        <w:t>王永平</w:t>
      </w:r>
      <w:r>
        <w:rPr>
          <w:rFonts w:hint="eastAsia" w:ascii="Times New Roman" w:hAnsi="Times New Roman" w:cs="宋体"/>
          <w:color w:val="auto"/>
          <w:lang w:eastAsia="zh-CN"/>
        </w:rPr>
        <w:t>、</w:t>
      </w:r>
      <w:r>
        <w:rPr>
          <w:rFonts w:hint="eastAsia" w:ascii="Times New Roman" w:hAnsi="Times New Roman" w:cs="宋体"/>
          <w:color w:val="auto"/>
        </w:rPr>
        <w:t>孟凡伦</w:t>
      </w:r>
      <w:r>
        <w:rPr>
          <w:rFonts w:hint="eastAsia" w:ascii="Times New Roman" w:hAnsi="Times New Roman" w:cs="宋体"/>
          <w:color w:val="auto"/>
          <w:lang w:val="en-US" w:eastAsia="zh-CN"/>
        </w:rPr>
        <w:t xml:space="preserve"> </w:t>
      </w:r>
      <w:r>
        <w:rPr>
          <w:rFonts w:hint="default" w:ascii="Times New Roman" w:hAnsi="Times New Roman" w:cs="宋体"/>
          <w:color w:val="auto"/>
        </w:rPr>
        <w:t>丰绿云</w:t>
      </w:r>
      <w:r>
        <w:rPr>
          <w:rFonts w:hint="eastAsia" w:ascii="Times New Roman" w:hAnsi="Times New Roman" w:cs="宋体"/>
          <w:color w:val="auto"/>
          <w:lang w:val="en-US" w:eastAsia="zh-CN"/>
        </w:rPr>
        <w:t xml:space="preserve"> </w:t>
      </w:r>
      <w:r>
        <w:rPr>
          <w:rFonts w:hint="default" w:ascii="Times New Roman" w:hAnsi="Times New Roman" w:cs="宋体"/>
          <w:color w:val="auto"/>
        </w:rPr>
        <w:t>李志新</w:t>
      </w:r>
      <w:r>
        <w:rPr>
          <w:rFonts w:hint="eastAsia" w:ascii="Times New Roman" w:hAnsi="Times New Roman" w:cs="宋体"/>
          <w:color w:val="auto"/>
          <w:lang w:val="en-US" w:eastAsia="zh-CN"/>
        </w:rPr>
        <w:t xml:space="preserve"> </w:t>
      </w:r>
      <w:r>
        <w:rPr>
          <w:rFonts w:hint="default" w:ascii="Times New Roman" w:hAnsi="Times New Roman" w:cs="宋体"/>
          <w:color w:val="auto"/>
        </w:rPr>
        <w:t>崔永泉</w:t>
      </w:r>
      <w:r>
        <w:rPr>
          <w:rFonts w:hint="eastAsia" w:ascii="Times New Roman" w:hAnsi="Times New Roman" w:cs="宋体"/>
          <w:color w:val="auto"/>
          <w:lang w:val="en-US" w:eastAsia="zh-CN"/>
        </w:rPr>
        <w:t xml:space="preserve"> </w:t>
      </w:r>
      <w:r>
        <w:rPr>
          <w:rFonts w:hint="default" w:ascii="Times New Roman" w:hAnsi="Times New Roman" w:cs="宋体"/>
          <w:color w:val="auto"/>
        </w:rPr>
        <w:t>李亚杰</w:t>
      </w:r>
      <w:r>
        <w:rPr>
          <w:rFonts w:hint="eastAsia" w:ascii="Times New Roman" w:hAnsi="Times New Roman" w:cs="宋体"/>
          <w:color w:val="auto"/>
          <w:lang w:eastAsia="zh-CN"/>
        </w:rPr>
        <w:t>，</w:t>
      </w:r>
      <w:r>
        <w:rPr>
          <w:rFonts w:hint="eastAsia" w:ascii="Times New Roman" w:hAnsi="Times New Roman" w:cs="宋体"/>
          <w:color w:val="auto"/>
        </w:rPr>
        <w:t>主</w:t>
      </w:r>
      <w:r>
        <w:rPr>
          <w:rFonts w:hint="eastAsia" w:cs="宋体"/>
          <w:color w:val="auto"/>
        </w:rPr>
        <w:t>要工作任务为负责本公司突发环境事件应急预案编制工作。要求重点突出，针对性强；程序简单，步骤明确，保证发生事故时，</w:t>
      </w:r>
      <w:r>
        <w:rPr>
          <w:rFonts w:hint="eastAsia" w:cs="宋体"/>
        </w:rPr>
        <w:t>能及时启动，有序实施；要统一指挥、责任明确。</w:t>
      </w:r>
    </w:p>
    <w:p>
      <w:pPr>
        <w:ind w:firstLine="31680"/>
      </w:pPr>
      <w:r>
        <w:rPr>
          <w:rFonts w:hint="eastAsia" w:cs="宋体"/>
        </w:rPr>
        <w:t>各编制人员按照分工完成应急预案编制工作，在进行内部审核，组织专家评审会，根据专家意见，进一步完善应急预案。修订编制后的预案经公司领导签字后，将签字后的纸质版发布。</w:t>
      </w:r>
    </w:p>
    <w:p>
      <w:pPr>
        <w:ind w:firstLine="31680"/>
      </w:pPr>
      <w:r>
        <w:rPr>
          <w:rFonts w:hint="eastAsia" w:cs="宋体"/>
        </w:rPr>
        <w:t>成立编制小组后，首先开展环境风险评估和应急资源调查。在完成环境风险评估报告和应急资源调查报告后，开始编制突发环境事件应急预案。编制过程中，发放调查表，征求员工及周边居民、单位代表的意见。经调查，周边公司对本公司印象良好，公司内部</w:t>
      </w:r>
      <w:r>
        <w:rPr>
          <w:rFonts w:hint="eastAsia" w:cs="宋体"/>
          <w:lang w:eastAsia="zh-CN"/>
        </w:rPr>
        <w:t>布置合理</w:t>
      </w:r>
      <w:r>
        <w:rPr>
          <w:rFonts w:hint="eastAsia" w:cs="宋体"/>
        </w:rPr>
        <w:t>，工作规范。</w:t>
      </w:r>
    </w:p>
    <w:p>
      <w:pPr>
        <w:pStyle w:val="10"/>
        <w:spacing w:beforeLines="0" w:afterLines="0"/>
        <w:jc w:val="left"/>
      </w:pPr>
      <w:bookmarkStart w:id="19" w:name="_Toc430095128"/>
      <w:bookmarkStart w:id="20" w:name="_Toc6980"/>
      <w:bookmarkStart w:id="21" w:name="_Toc16899_WPSOffice_Level1"/>
      <w:r>
        <w:t>2.</w:t>
      </w:r>
      <w:r>
        <w:rPr>
          <w:rFonts w:hint="eastAsia" w:cs="宋体"/>
        </w:rPr>
        <w:t>重点内容说明</w:t>
      </w:r>
      <w:bookmarkEnd w:id="19"/>
      <w:bookmarkEnd w:id="20"/>
      <w:bookmarkEnd w:id="21"/>
    </w:p>
    <w:p>
      <w:pPr>
        <w:pStyle w:val="11"/>
        <w:spacing w:beforeLines="0" w:afterLines="0"/>
      </w:pPr>
      <w:bookmarkStart w:id="22" w:name="_Toc430095129"/>
      <w:bookmarkStart w:id="23" w:name="_Toc15614_WPSOffice_Level2"/>
      <w:bookmarkStart w:id="24" w:name="_Toc32091"/>
      <w:r>
        <w:t>2.1</w:t>
      </w:r>
      <w:r>
        <w:rPr>
          <w:rFonts w:hint="eastAsia" w:cs="宋体"/>
        </w:rPr>
        <w:t>应急预案体系</w:t>
      </w:r>
      <w:bookmarkEnd w:id="22"/>
      <w:bookmarkEnd w:id="23"/>
      <w:bookmarkEnd w:id="24"/>
    </w:p>
    <w:p>
      <w:pPr>
        <w:ind w:firstLine="31680"/>
      </w:pPr>
      <w:r>
        <w:rPr>
          <w:rFonts w:hint="eastAsia" w:cs="宋体"/>
        </w:rPr>
        <w:t>明确应急预案与内部企业应急预案和外部其他应急预案的关系，并辅相应的关系图，表述预案之间的横向关联及上下衔接关系。</w:t>
      </w:r>
    </w:p>
    <w:p>
      <w:pPr>
        <w:ind w:firstLine="31680"/>
        <w:rPr>
          <w:rFonts w:ascii="宋体"/>
          <w:kern w:val="0"/>
        </w:rPr>
      </w:pPr>
      <w:r>
        <w:rPr>
          <w:rFonts w:hint="eastAsia" w:cs="宋体"/>
        </w:rPr>
        <w:t>公司的突发环境应急预案体系是由公司突发环境事件综合应急预案、现场处置方案组成。</w:t>
      </w:r>
    </w:p>
    <w:p>
      <w:pPr>
        <w:ind w:left="0" w:leftChars="0" w:firstLine="0" w:firstLineChars="0"/>
      </w:pPr>
    </w:p>
    <w:p>
      <w:pPr>
        <w:ind w:left="0" w:leftChars="0" w:firstLine="0" w:firstLineChars="0"/>
      </w:pPr>
    </w:p>
    <w:p>
      <w:pPr>
        <w:pStyle w:val="11"/>
        <w:spacing w:beforeLines="0" w:afterLines="0"/>
      </w:pPr>
      <w:bookmarkStart w:id="25" w:name="_Toc20372_WPSOffice_Level2"/>
      <w:bookmarkStart w:id="26" w:name="_Toc15414"/>
      <w:bookmarkStart w:id="27" w:name="_Toc430095130"/>
      <w:r>
        <w:t>2.2</w:t>
      </w:r>
      <w:r>
        <w:rPr>
          <w:rFonts w:hint="eastAsia" w:cs="宋体"/>
        </w:rPr>
        <w:t>应急组织体系</w:t>
      </w:r>
      <w:bookmarkEnd w:id="25"/>
      <w:bookmarkEnd w:id="26"/>
      <w:bookmarkEnd w:id="27"/>
    </w:p>
    <w:p>
      <w:pPr>
        <w:ind w:firstLine="31680"/>
      </w:pPr>
      <w:r>
        <w:rPr>
          <w:rFonts w:hint="eastAsia" w:cs="宋体"/>
        </w:rPr>
        <w:t>公司成立事故应急救援指挥领导队伍，</w:t>
      </w:r>
      <w:r>
        <w:rPr>
          <w:rFonts w:hint="eastAsia" w:cs="宋体"/>
          <w:snapToGrid w:val="0"/>
        </w:rPr>
        <w:t>在</w:t>
      </w:r>
      <w:r>
        <w:rPr>
          <w:rFonts w:hint="eastAsia" w:cs="宋体"/>
        </w:rPr>
        <w:t>应急救援总指挥统一领导下，编为应急抢险组、通讯联络组共</w:t>
      </w:r>
      <w:r>
        <w:t>2</w:t>
      </w:r>
      <w:r>
        <w:rPr>
          <w:rFonts w:hint="eastAsia" w:cs="宋体"/>
        </w:rPr>
        <w:t>个行动小组，组织机构如图</w:t>
      </w:r>
      <w:r>
        <w:t>2.2-1</w:t>
      </w:r>
      <w:r>
        <w:rPr>
          <w:rFonts w:hint="eastAsia" w:cs="宋体"/>
        </w:rPr>
        <w:t>所示。</w:t>
      </w:r>
    </w:p>
    <w:p>
      <w:pPr>
        <w:widowControl/>
        <w:spacing w:line="240" w:lineRule="auto"/>
        <w:ind w:firstLine="0" w:firstLineChars="0"/>
        <w:jc w:val="center"/>
      </w:pPr>
      <w:r>
        <w:drawing>
          <wp:inline distT="0" distB="0" distL="114300" distR="114300">
            <wp:extent cx="1628775" cy="21240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628775" cy="2124075"/>
                    </a:xfrm>
                    <a:prstGeom prst="rect">
                      <a:avLst/>
                    </a:prstGeom>
                    <a:noFill/>
                    <a:ln>
                      <a:noFill/>
                    </a:ln>
                  </pic:spPr>
                </pic:pic>
              </a:graphicData>
            </a:graphic>
          </wp:inline>
        </w:drawing>
      </w:r>
    </w:p>
    <w:p>
      <w:pPr>
        <w:pStyle w:val="7"/>
        <w:spacing w:beforeLines="0"/>
      </w:pPr>
      <w:r>
        <w:rPr>
          <w:rFonts w:hint="eastAsia" w:cs="宋体"/>
        </w:rPr>
        <w:t>图</w:t>
      </w:r>
      <w:r>
        <w:t xml:space="preserve">2.2-1 </w:t>
      </w:r>
      <w:r>
        <w:rPr>
          <w:rFonts w:hint="eastAsia" w:cs="宋体"/>
        </w:rPr>
        <w:t>应急组织机构图</w:t>
      </w:r>
    </w:p>
    <w:p>
      <w:pPr>
        <w:pStyle w:val="11"/>
        <w:spacing w:beforeLines="0" w:afterLines="0"/>
      </w:pPr>
      <w:bookmarkStart w:id="28" w:name="_Toc13553_WPSOffice_Level2"/>
      <w:bookmarkStart w:id="29" w:name="_Toc430095131"/>
      <w:bookmarkStart w:id="30" w:name="_Toc28593"/>
      <w:r>
        <w:t>2.3</w:t>
      </w:r>
      <w:r>
        <w:rPr>
          <w:rFonts w:hint="eastAsia" w:cs="宋体"/>
        </w:rPr>
        <w:t>信息报告</w:t>
      </w:r>
      <w:bookmarkEnd w:id="28"/>
      <w:bookmarkEnd w:id="29"/>
      <w:bookmarkEnd w:id="30"/>
    </w:p>
    <w:p>
      <w:pPr>
        <w:ind w:firstLine="31680"/>
      </w:pPr>
      <w:r>
        <w:rPr>
          <w:rFonts w:hint="eastAsia" w:cs="宋体"/>
        </w:rPr>
        <w:t>信息报告分为内部事故信息报警和通知、向外部应急</w:t>
      </w:r>
      <w:r>
        <w:t>/</w:t>
      </w:r>
      <w:r>
        <w:rPr>
          <w:rFonts w:hint="eastAsia" w:cs="宋体"/>
        </w:rPr>
        <w:t>救援力量报警和通知、向邻近单位及人员报警和通知。</w:t>
      </w:r>
    </w:p>
    <w:p>
      <w:pPr>
        <w:pStyle w:val="11"/>
        <w:spacing w:beforeLines="0" w:afterLines="0"/>
      </w:pPr>
      <w:bookmarkStart w:id="31" w:name="_Toc30320_WPSOffice_Level2"/>
      <w:bookmarkStart w:id="32" w:name="_Toc26315"/>
      <w:bookmarkStart w:id="33" w:name="_Toc430095132"/>
      <w:r>
        <w:t>2.4</w:t>
      </w:r>
      <w:r>
        <w:rPr>
          <w:rFonts w:hint="eastAsia" w:cs="宋体"/>
        </w:rPr>
        <w:t>预警分级</w:t>
      </w:r>
      <w:bookmarkEnd w:id="31"/>
      <w:bookmarkEnd w:id="32"/>
      <w:bookmarkEnd w:id="33"/>
    </w:p>
    <w:p>
      <w:pPr>
        <w:ind w:firstLine="31680"/>
      </w:pPr>
      <w:r>
        <w:rPr>
          <w:rFonts w:hint="eastAsia" w:cs="宋体"/>
        </w:rPr>
        <w:t>按照事故灾难可控性、后果的严重性、影响范围和紧急程度，公司事故预警级别为三级预警，即车间级预警（三级），公司级预警（二级），公司外部预警主要是当地政府相关部门及社会救援力量预警（一级）。</w:t>
      </w:r>
    </w:p>
    <w:p>
      <w:pPr>
        <w:widowControl/>
        <w:ind w:firstLine="0" w:firstLineChars="0"/>
        <w:jc w:val="left"/>
        <w:outlineLvl w:val="1"/>
        <w:rPr>
          <w:b/>
          <w:bCs/>
          <w:color w:val="auto"/>
          <w:sz w:val="30"/>
          <w:szCs w:val="30"/>
        </w:rPr>
      </w:pPr>
      <w:bookmarkStart w:id="34" w:name="_Toc26574"/>
      <w:bookmarkStart w:id="35" w:name="_Toc462904201"/>
      <w:bookmarkStart w:id="36" w:name="_Toc459188535"/>
      <w:bookmarkStart w:id="37" w:name="_Toc465241662"/>
      <w:bookmarkStart w:id="38" w:name="_Toc16989_WPSOffice_Level2"/>
      <w:r>
        <w:rPr>
          <w:b/>
          <w:bCs/>
          <w:sz w:val="30"/>
          <w:szCs w:val="30"/>
        </w:rPr>
        <w:t>2.5</w:t>
      </w:r>
      <w:r>
        <w:rPr>
          <w:rFonts w:hint="eastAsia" w:cs="宋体"/>
          <w:b/>
          <w:bCs/>
          <w:sz w:val="30"/>
          <w:szCs w:val="30"/>
        </w:rPr>
        <w:t>环</w:t>
      </w:r>
      <w:r>
        <w:rPr>
          <w:rFonts w:hint="eastAsia" w:cs="宋体"/>
          <w:b/>
          <w:bCs/>
          <w:color w:val="auto"/>
          <w:sz w:val="30"/>
          <w:szCs w:val="30"/>
        </w:rPr>
        <w:t>境风险等级</w:t>
      </w:r>
      <w:bookmarkEnd w:id="34"/>
      <w:bookmarkEnd w:id="35"/>
      <w:bookmarkEnd w:id="36"/>
      <w:bookmarkEnd w:id="37"/>
      <w:bookmarkEnd w:id="38"/>
    </w:p>
    <w:p>
      <w:pPr>
        <w:ind w:firstLine="31680"/>
        <w:rPr>
          <w:color w:val="auto"/>
        </w:rPr>
      </w:pPr>
      <w:r>
        <w:rPr>
          <w:rFonts w:hint="eastAsia" w:cs="宋体"/>
          <w:color w:val="auto"/>
        </w:rPr>
        <w:t>由《</w:t>
      </w:r>
      <w:r>
        <w:rPr>
          <w:rFonts w:hint="eastAsia" w:cs="宋体"/>
          <w:color w:val="auto"/>
          <w:lang w:eastAsia="zh-CN"/>
        </w:rPr>
        <w:t>南昌瀛宇金属制品有限公司</w:t>
      </w:r>
      <w:r>
        <w:rPr>
          <w:rFonts w:hint="eastAsia" w:cs="宋体"/>
          <w:color w:val="auto"/>
        </w:rPr>
        <w:t>环境风险评估报告》可知，企业同时涉及突发大气和水环境事件风险的企业，风险等级表示为</w:t>
      </w:r>
      <w:r>
        <w:rPr>
          <w:rFonts w:hint="default" w:ascii="Times New Roman" w:hAnsi="Times New Roman" w:cs="Times New Roman"/>
          <w:color w:val="auto"/>
          <w:sz w:val="24"/>
          <w:lang w:val="en-US" w:eastAsia="zh-CN"/>
        </w:rPr>
        <w:t>“</w:t>
      </w:r>
      <w:r>
        <w:rPr>
          <w:rFonts w:hint="default" w:ascii="Times New Roman" w:hAnsi="Times New Roman" w:cs="Times New Roman"/>
          <w:color w:val="auto"/>
          <w:sz w:val="24"/>
          <w:lang w:eastAsia="zh-CN"/>
        </w:rPr>
        <w:t>一般</w:t>
      </w:r>
      <w:r>
        <w:rPr>
          <w:rFonts w:hint="default" w:ascii="Times New Roman" w:hAnsi="Times New Roman" w:cs="Times New Roman"/>
          <w:color w:val="auto"/>
          <w:sz w:val="24"/>
          <w:lang w:val="en-US" w:eastAsia="zh-CN"/>
        </w:rPr>
        <w:t>-大气（Q0）+一般-水（Q0）”</w:t>
      </w:r>
      <w:r>
        <w:rPr>
          <w:rFonts w:hint="eastAsia" w:cs="宋体"/>
          <w:color w:val="auto"/>
          <w:lang w:eastAsia="zh-CN"/>
        </w:rPr>
        <w:t>，</w:t>
      </w:r>
      <w:r>
        <w:rPr>
          <w:rFonts w:hint="eastAsia" w:cs="宋体"/>
          <w:color w:val="auto"/>
        </w:rPr>
        <w:t>故公司的环境风险等级为</w:t>
      </w:r>
      <w:r>
        <w:rPr>
          <w:rFonts w:hint="eastAsia" w:cs="宋体"/>
          <w:color w:val="auto"/>
          <w:lang w:eastAsia="zh-CN"/>
        </w:rPr>
        <w:t>一般</w:t>
      </w:r>
      <w:r>
        <w:rPr>
          <w:rFonts w:hint="eastAsia" w:cs="宋体"/>
          <w:color w:val="auto"/>
        </w:rPr>
        <w:t>环境风险。</w:t>
      </w:r>
    </w:p>
    <w:p>
      <w:pPr>
        <w:widowControl/>
        <w:ind w:firstLine="0" w:firstLineChars="0"/>
        <w:jc w:val="left"/>
        <w:outlineLvl w:val="1"/>
        <w:rPr>
          <w:b/>
          <w:bCs/>
          <w:color w:val="auto"/>
          <w:sz w:val="30"/>
          <w:szCs w:val="30"/>
        </w:rPr>
      </w:pPr>
      <w:bookmarkStart w:id="39" w:name="_Toc8448"/>
      <w:bookmarkStart w:id="40" w:name="_Toc15819_WPSOffice_Level2"/>
      <w:r>
        <w:rPr>
          <w:b/>
          <w:bCs/>
          <w:color w:val="auto"/>
          <w:sz w:val="30"/>
          <w:szCs w:val="30"/>
        </w:rPr>
        <w:t>2.6</w:t>
      </w:r>
      <w:r>
        <w:rPr>
          <w:rFonts w:hint="eastAsia" w:cs="宋体"/>
          <w:b/>
          <w:bCs/>
          <w:color w:val="auto"/>
          <w:sz w:val="30"/>
          <w:szCs w:val="30"/>
        </w:rPr>
        <w:t>征求意见及采纳情况说明</w:t>
      </w:r>
      <w:bookmarkEnd w:id="39"/>
      <w:bookmarkEnd w:id="40"/>
    </w:p>
    <w:p>
      <w:pPr>
        <w:ind w:firstLine="31680"/>
        <w:jc w:val="left"/>
        <w:rPr>
          <w:color w:val="auto"/>
        </w:rPr>
      </w:pPr>
      <w:r>
        <w:rPr>
          <w:rFonts w:hint="eastAsia" w:cs="宋体"/>
          <w:color w:val="auto"/>
        </w:rPr>
        <w:t>编制过程中</w:t>
      </w:r>
      <w:r>
        <w:rPr>
          <w:rFonts w:hint="eastAsia" w:cs="宋体"/>
          <w:color w:val="auto"/>
          <w:lang w:eastAsia="zh-CN"/>
        </w:rPr>
        <w:t>，</w:t>
      </w:r>
      <w:r>
        <w:rPr>
          <w:rFonts w:hint="eastAsia" w:cs="宋体"/>
          <w:color w:val="auto"/>
        </w:rPr>
        <w:t>征求员工及周边居民、单位代表的意见。经调查，周边公司对本公司印象良好，公司内部</w:t>
      </w:r>
      <w:r>
        <w:rPr>
          <w:rFonts w:hint="eastAsia" w:cs="宋体"/>
          <w:color w:val="auto"/>
          <w:lang w:eastAsia="zh-CN"/>
        </w:rPr>
        <w:t>布置合理</w:t>
      </w:r>
      <w:r>
        <w:rPr>
          <w:rFonts w:hint="eastAsia" w:cs="宋体"/>
          <w:color w:val="auto"/>
        </w:rPr>
        <w:t>，工作规范。</w:t>
      </w:r>
    </w:p>
    <w:p>
      <w:pPr>
        <w:widowControl/>
        <w:ind w:firstLine="0" w:firstLineChars="0"/>
        <w:jc w:val="left"/>
        <w:outlineLvl w:val="1"/>
        <w:rPr>
          <w:b/>
          <w:bCs/>
          <w:color w:val="auto"/>
          <w:sz w:val="30"/>
          <w:szCs w:val="30"/>
        </w:rPr>
      </w:pPr>
      <w:bookmarkStart w:id="41" w:name="_Toc13101"/>
      <w:bookmarkStart w:id="42" w:name="_Toc15508_WPSOffice_Level2"/>
      <w:r>
        <w:rPr>
          <w:b/>
          <w:bCs/>
          <w:color w:val="auto"/>
          <w:sz w:val="30"/>
          <w:szCs w:val="30"/>
        </w:rPr>
        <w:t>2.7</w:t>
      </w:r>
      <w:r>
        <w:rPr>
          <w:rFonts w:hint="eastAsia" w:cs="宋体"/>
          <w:b/>
          <w:bCs/>
          <w:color w:val="auto"/>
          <w:sz w:val="30"/>
          <w:szCs w:val="30"/>
        </w:rPr>
        <w:t>评审情况说明</w:t>
      </w:r>
      <w:bookmarkEnd w:id="41"/>
      <w:bookmarkEnd w:id="42"/>
    </w:p>
    <w:p>
      <w:pPr>
        <w:ind w:firstLine="31680"/>
        <w:jc w:val="left"/>
        <w:rPr>
          <w:color w:val="auto"/>
        </w:rPr>
      </w:pPr>
      <w:r>
        <w:rPr>
          <w:rFonts w:hint="eastAsia" w:cs="宋体"/>
          <w:color w:val="auto"/>
          <w:lang w:eastAsia="zh-CN"/>
        </w:rPr>
        <w:t>本</w:t>
      </w:r>
      <w:r>
        <w:rPr>
          <w:rFonts w:hint="eastAsia" w:cs="宋体"/>
          <w:color w:val="auto"/>
        </w:rPr>
        <w:t>应急预案于</w:t>
      </w:r>
      <w:r>
        <w:rPr>
          <w:color w:val="auto"/>
        </w:rPr>
        <w:t>20</w:t>
      </w:r>
      <w:r>
        <w:rPr>
          <w:rFonts w:hint="eastAsia"/>
          <w:color w:val="auto"/>
          <w:lang w:val="en-US" w:eastAsia="zh-CN"/>
        </w:rPr>
        <w:t>20</w:t>
      </w:r>
      <w:r>
        <w:rPr>
          <w:rFonts w:hint="eastAsia" w:cs="宋体"/>
          <w:color w:val="auto"/>
        </w:rPr>
        <w:t>年</w:t>
      </w:r>
      <w:r>
        <w:rPr>
          <w:rFonts w:hint="eastAsia"/>
          <w:color w:val="auto"/>
          <w:lang w:val="en-US" w:eastAsia="zh-CN"/>
        </w:rPr>
        <w:t>4</w:t>
      </w:r>
      <w:r>
        <w:rPr>
          <w:rFonts w:hint="eastAsia" w:cs="宋体"/>
          <w:color w:val="auto"/>
        </w:rPr>
        <w:t>月组织专家</w:t>
      </w:r>
      <w:r>
        <w:rPr>
          <w:rFonts w:hint="eastAsia" w:cs="宋体"/>
          <w:color w:val="auto"/>
          <w:lang w:eastAsia="zh-CN"/>
        </w:rPr>
        <w:t>函审</w:t>
      </w:r>
      <w:r>
        <w:rPr>
          <w:rFonts w:hint="eastAsia" w:cs="宋体"/>
          <w:color w:val="auto"/>
        </w:rPr>
        <w:t>，我单位根据各位代表意见进行了认真修改、完善，并完成了《</w:t>
      </w:r>
      <w:r>
        <w:rPr>
          <w:rFonts w:hint="eastAsia" w:cs="宋体"/>
          <w:color w:val="auto"/>
          <w:lang w:eastAsia="zh-CN"/>
        </w:rPr>
        <w:t>南昌瀛宇金属制品有限公司</w:t>
      </w:r>
      <w:r>
        <w:rPr>
          <w:rFonts w:hint="eastAsia" w:cs="宋体"/>
          <w:color w:val="auto"/>
        </w:rPr>
        <w:t>突发环境事件应急预案（</w:t>
      </w:r>
      <w:r>
        <w:rPr>
          <w:color w:val="auto"/>
        </w:rPr>
        <w:t>20</w:t>
      </w:r>
      <w:r>
        <w:rPr>
          <w:rFonts w:hint="eastAsia"/>
          <w:color w:val="auto"/>
          <w:lang w:val="en-US" w:eastAsia="zh-CN"/>
        </w:rPr>
        <w:t>20</w:t>
      </w:r>
      <w:r>
        <w:rPr>
          <w:rFonts w:hint="eastAsia" w:cs="宋体"/>
          <w:color w:val="auto"/>
        </w:rPr>
        <w:t>年第一版）》最</w:t>
      </w:r>
      <w:bookmarkStart w:id="43" w:name="_GoBack"/>
      <w:bookmarkEnd w:id="43"/>
      <w:r>
        <w:rPr>
          <w:rFonts w:hint="eastAsia" w:cs="宋体"/>
          <w:color w:val="auto"/>
        </w:rPr>
        <w:t>终稿</w:t>
      </w:r>
      <w:r>
        <w:rPr>
          <w:rFonts w:hint="eastAsia" w:cs="宋体"/>
          <w:color w:val="auto"/>
          <w:lang w:eastAsia="zh-CN"/>
        </w:rPr>
        <w:t>。</w:t>
      </w:r>
    </w:p>
    <w:sectPr>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ind w:firstLine="31680"/>
      <w:rPr>
        <w:rFonts w:cs="Times New Roman"/>
        <w:sz w:val="21"/>
        <w:szCs w:val="21"/>
      </w:rPr>
    </w:pPr>
    <w:r>
      <w:rPr>
        <w:rFonts w:hint="eastAsia" w:cs="宋体"/>
        <w:sz w:val="21"/>
        <w:szCs w:val="21"/>
        <w:lang w:val="en-US" w:eastAsia="zh-CN"/>
      </w:rPr>
      <w:t>南昌瀛宇金属有限公司</w:t>
    </w:r>
    <w:r>
      <w:rPr>
        <w:rFonts w:hint="eastAsia" w:cs="宋体"/>
        <w:sz w:val="21"/>
        <w:szCs w:val="21"/>
      </w:rPr>
      <w:t>突发环境事件应急预案（</w:t>
    </w:r>
    <w:r>
      <w:rPr>
        <w:rFonts w:hint="default" w:ascii="Times New Roman" w:hAnsi="Times New Roman" w:cs="Times New Roman"/>
        <w:sz w:val="21"/>
        <w:szCs w:val="21"/>
      </w:rPr>
      <w:t>20</w:t>
    </w:r>
    <w:r>
      <w:rPr>
        <w:rFonts w:hint="eastAsia" w:ascii="Times New Roman" w:hAnsi="Times New Roman" w:cs="Times New Roman"/>
        <w:sz w:val="21"/>
        <w:szCs w:val="21"/>
        <w:lang w:val="en-US" w:eastAsia="zh-CN"/>
      </w:rPr>
      <w:t>20</w:t>
    </w:r>
    <w:r>
      <w:rPr>
        <w:rFonts w:hint="eastAsia" w:cs="宋体"/>
        <w:sz w:val="21"/>
        <w:szCs w:val="21"/>
      </w:rPr>
      <w:t>年第一版）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4353D4"/>
    <w:rsid w:val="01BD7F8E"/>
    <w:rsid w:val="0716215E"/>
    <w:rsid w:val="09486791"/>
    <w:rsid w:val="124353D4"/>
    <w:rsid w:val="286B321D"/>
    <w:rsid w:val="3077375C"/>
    <w:rsid w:val="481D5AAA"/>
    <w:rsid w:val="6E737B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4">
    <w:name w:val="toc 2"/>
    <w:basedOn w:val="1"/>
    <w:next w:val="1"/>
    <w:semiHidden/>
    <w:qFormat/>
    <w:uiPriority w:val="99"/>
    <w:pPr>
      <w:ind w:left="240"/>
      <w:jc w:val="left"/>
    </w:pPr>
    <w:rPr>
      <w:rFonts w:ascii="Calibri" w:hAnsi="Calibri" w:cs="Calibri"/>
      <w:smallCaps/>
      <w:sz w:val="20"/>
      <w:szCs w:val="20"/>
    </w:rPr>
  </w:style>
  <w:style w:type="paragraph" w:customStyle="1" w:styleId="7">
    <w:name w:val="表头"/>
    <w:next w:val="1"/>
    <w:qFormat/>
    <w:uiPriority w:val="99"/>
    <w:pPr>
      <w:spacing w:beforeLines="50"/>
      <w:jc w:val="center"/>
    </w:pPr>
    <w:rPr>
      <w:rFonts w:ascii="Times New Roman" w:hAnsi="Times New Roman" w:eastAsia="宋体" w:cs="Times New Roman"/>
      <w:b/>
      <w:bCs/>
      <w:kern w:val="2"/>
      <w:sz w:val="24"/>
      <w:szCs w:val="24"/>
      <w:lang w:val="en-US" w:eastAsia="zh-CN" w:bidi="ar-SA"/>
    </w:rPr>
  </w:style>
  <w:style w:type="paragraph" w:customStyle="1" w:styleId="8">
    <w:name w:val="WPSOffice手动目录 1"/>
    <w:qFormat/>
    <w:uiPriority w:val="0"/>
    <w:pPr>
      <w:ind w:leftChars="0"/>
    </w:pPr>
    <w:rPr>
      <w:rFonts w:ascii="Calibri" w:hAnsi="Calibri" w:eastAsia="宋体" w:cs="Times New Roman"/>
      <w:sz w:val="24"/>
      <w:szCs w:val="20"/>
    </w:rPr>
  </w:style>
  <w:style w:type="paragraph" w:customStyle="1" w:styleId="9">
    <w:name w:val="WPSOffice手动目录 2"/>
    <w:qFormat/>
    <w:uiPriority w:val="0"/>
    <w:pPr>
      <w:ind w:leftChars="200"/>
    </w:pPr>
    <w:rPr>
      <w:rFonts w:ascii="Times New Roman" w:hAnsi="Times New Roman" w:eastAsia="宋体" w:cs="Times New Roman"/>
      <w:sz w:val="20"/>
      <w:szCs w:val="20"/>
    </w:rPr>
  </w:style>
  <w:style w:type="paragraph" w:customStyle="1" w:styleId="10">
    <w:name w:val="标题1"/>
    <w:next w:val="1"/>
    <w:qFormat/>
    <w:uiPriority w:val="99"/>
    <w:pPr>
      <w:spacing w:beforeLines="50" w:afterLines="50" w:line="360" w:lineRule="auto"/>
      <w:jc w:val="center"/>
      <w:outlineLvl w:val="0"/>
    </w:pPr>
    <w:rPr>
      <w:rFonts w:ascii="Times New Roman" w:hAnsi="Times New Roman" w:eastAsia="宋体" w:cs="Times New Roman"/>
      <w:b/>
      <w:bCs/>
      <w:kern w:val="2"/>
      <w:sz w:val="32"/>
      <w:szCs w:val="32"/>
      <w:lang w:val="en-US" w:eastAsia="zh-CN" w:bidi="ar-SA"/>
    </w:rPr>
  </w:style>
  <w:style w:type="paragraph" w:customStyle="1" w:styleId="11">
    <w:name w:val="标题2"/>
    <w:next w:val="1"/>
    <w:qFormat/>
    <w:uiPriority w:val="99"/>
    <w:pPr>
      <w:spacing w:beforeLines="50" w:afterLines="50" w:line="360" w:lineRule="auto"/>
      <w:outlineLvl w:val="1"/>
    </w:pPr>
    <w:rPr>
      <w:rFonts w:ascii="Times New Roman" w:hAnsi="Times New Roman" w:eastAsia="宋体" w:cs="Times New Roman"/>
      <w:b/>
      <w:bCs/>
      <w:kern w:val="2"/>
      <w:sz w:val="30"/>
      <w:szCs w:val="3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2019-06-10T08:00:00Z</dcterms:created>
  <dc:creator>动如脱兔</dc:creator>
  <cp:lastModifiedBy>权</cp:lastModifiedBy>
  <dcterms:modified xsi:type="dcterms:W3CDTF">2020-04-26T12:40:18Z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