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  <w:lang w:eastAsia="zh-CN"/>
        </w:rPr>
        <w:t>发布令</w:t>
      </w:r>
    </w:p>
    <w:p>
      <w:pPr>
        <w:ind w:firstLine="31680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cs="宋体"/>
          <w:sz w:val="28"/>
          <w:szCs w:val="28"/>
        </w:rPr>
      </w:pPr>
      <w:r>
        <w:rPr>
          <w:rFonts w:ascii="宋体" w:cs="宋体"/>
          <w:sz w:val="28"/>
          <w:szCs w:val="28"/>
        </w:rPr>
        <w:t>为贯彻落实《中华人民共和国安全生产法》</w:t>
      </w:r>
      <w:r>
        <w:rPr>
          <w:rFonts w:hint="eastAsia" w:ascii="宋体" w:cs="宋体"/>
          <w:sz w:val="28"/>
          <w:szCs w:val="28"/>
        </w:rPr>
        <w:t>、</w:t>
      </w:r>
      <w:r>
        <w:rPr>
          <w:rFonts w:ascii="宋体" w:cs="宋体"/>
          <w:sz w:val="28"/>
          <w:szCs w:val="28"/>
        </w:rPr>
        <w:t>《中华人民共和国环境保护法》、《危险化学品安全管理条例》</w:t>
      </w:r>
      <w:r>
        <w:rPr>
          <w:rFonts w:hint="eastAsia" w:ascii="宋体" w:cs="宋体"/>
          <w:sz w:val="28"/>
          <w:szCs w:val="28"/>
        </w:rPr>
        <w:t>、《中华人民共和国固体废物污染环境防治法》</w:t>
      </w:r>
      <w:r>
        <w:rPr>
          <w:rFonts w:hint="eastAsia" w:ascii="宋体" w:cs="宋体"/>
          <w:sz w:val="28"/>
          <w:szCs w:val="28"/>
          <w:lang w:eastAsia="zh-CN"/>
        </w:rPr>
        <w:t>和</w:t>
      </w:r>
      <w:r>
        <w:rPr>
          <w:rFonts w:hint="eastAsia" w:ascii="宋体" w:cs="宋体"/>
          <w:sz w:val="28"/>
          <w:szCs w:val="28"/>
        </w:rPr>
        <w:t>《突发环境事件应急管理办法》</w:t>
      </w:r>
      <w:r>
        <w:rPr>
          <w:rFonts w:ascii="宋体" w:cs="宋体"/>
          <w:sz w:val="28"/>
          <w:szCs w:val="28"/>
        </w:rPr>
        <w:t>等法律、法规的</w:t>
      </w:r>
      <w:r>
        <w:rPr>
          <w:rFonts w:hint="eastAsia" w:ascii="宋体" w:cs="宋体"/>
          <w:sz w:val="28"/>
          <w:szCs w:val="28"/>
          <w:lang w:eastAsia="zh-CN"/>
        </w:rPr>
        <w:t>有关规定</w:t>
      </w:r>
      <w:r>
        <w:rPr>
          <w:rFonts w:ascii="宋体" w:cs="宋体"/>
          <w:sz w:val="28"/>
          <w:szCs w:val="28"/>
        </w:rPr>
        <w:t>，</w:t>
      </w:r>
      <w:r>
        <w:rPr>
          <w:rFonts w:hint="eastAsia" w:ascii="宋体" w:cs="宋体"/>
          <w:sz w:val="28"/>
          <w:szCs w:val="28"/>
        </w:rPr>
        <w:t>建立健全的</w:t>
      </w:r>
      <w:r>
        <w:rPr>
          <w:rFonts w:hint="eastAsia" w:ascii="宋体" w:cs="宋体"/>
          <w:sz w:val="28"/>
          <w:szCs w:val="28"/>
          <w:lang w:val="en-US" w:eastAsia="zh-CN"/>
        </w:rPr>
        <w:t>南昌瀛宇金属制品有限公司</w:t>
      </w:r>
      <w:r>
        <w:rPr>
          <w:rFonts w:hint="eastAsia" w:ascii="宋体" w:cs="宋体"/>
          <w:sz w:val="28"/>
          <w:szCs w:val="28"/>
        </w:rPr>
        <w:t>突发环境事件应急预案体系</w:t>
      </w:r>
      <w:r>
        <w:rPr>
          <w:rFonts w:hint="eastAsia" w:ascii="宋体" w:cs="宋体"/>
          <w:sz w:val="28"/>
          <w:szCs w:val="28"/>
          <w:lang w:eastAsia="zh-CN"/>
        </w:rPr>
        <w:t>，</w:t>
      </w:r>
      <w:r>
        <w:rPr>
          <w:rFonts w:ascii="宋体" w:cs="宋体"/>
          <w:sz w:val="28"/>
          <w:szCs w:val="28"/>
        </w:rPr>
        <w:t>提高企业安全、环保管理水平，</w:t>
      </w:r>
      <w:r>
        <w:rPr>
          <w:rFonts w:hint="eastAsia" w:ascii="宋体" w:cs="宋体"/>
          <w:sz w:val="28"/>
          <w:szCs w:val="28"/>
        </w:rPr>
        <w:t>确保公司在发生突发环境事件时，能够快速、高效、有序地启动各项应急工作，避免和最大限度地减轻突发环境事件对环境造成的损失和危害</w:t>
      </w:r>
      <w:r>
        <w:rPr>
          <w:rFonts w:ascii="宋体" w:cs="宋体"/>
          <w:sz w:val="28"/>
          <w:szCs w:val="28"/>
        </w:rPr>
        <w:t>，结合本公司实际情况，</w:t>
      </w:r>
      <w:r>
        <w:rPr>
          <w:rFonts w:hint="eastAsia" w:ascii="宋体" w:cs="宋体"/>
          <w:sz w:val="28"/>
          <w:szCs w:val="28"/>
          <w:lang w:eastAsia="zh-CN"/>
        </w:rPr>
        <w:t>特编制《</w:t>
      </w:r>
      <w:r>
        <w:rPr>
          <w:rFonts w:hint="eastAsia" w:ascii="宋体" w:cs="宋体"/>
          <w:sz w:val="28"/>
          <w:szCs w:val="28"/>
          <w:lang w:val="en-US" w:eastAsia="zh-CN"/>
        </w:rPr>
        <w:t>南昌瀛宇金属制品有限公司</w:t>
      </w:r>
      <w:r>
        <w:rPr>
          <w:rFonts w:hint="eastAsia" w:ascii="宋体" w:cs="宋体"/>
          <w:sz w:val="28"/>
          <w:szCs w:val="28"/>
          <w:lang w:eastAsia="zh-CN"/>
        </w:rPr>
        <w:t>突发环境风险应急预案》</w:t>
      </w:r>
      <w:r>
        <w:rPr>
          <w:rFonts w:ascii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/>
          <w:sz w:val="28"/>
          <w:szCs w:val="28"/>
        </w:rPr>
      </w:pPr>
      <w:r>
        <w:rPr>
          <w:rFonts w:hint="eastAsia" w:ascii="宋体" w:cs="宋体"/>
          <w:sz w:val="28"/>
          <w:szCs w:val="28"/>
          <w:lang w:eastAsia="zh-CN"/>
        </w:rPr>
        <w:t>经</w:t>
      </w:r>
      <w:r>
        <w:rPr>
          <w:rFonts w:hint="eastAsia" w:ascii="宋体" w:cs="宋体"/>
          <w:sz w:val="28"/>
          <w:szCs w:val="28"/>
        </w:rPr>
        <w:t>研究决定批准发布《</w:t>
      </w:r>
      <w:r>
        <w:rPr>
          <w:rFonts w:hint="eastAsia" w:ascii="宋体" w:cs="宋体"/>
          <w:sz w:val="28"/>
          <w:szCs w:val="28"/>
          <w:lang w:val="en-US" w:eastAsia="zh-CN"/>
        </w:rPr>
        <w:t>南昌瀛宇金属制品有限公司</w:t>
      </w:r>
      <w:r>
        <w:rPr>
          <w:rFonts w:hint="eastAsia" w:ascii="宋体" w:cs="宋体"/>
          <w:sz w:val="28"/>
          <w:szCs w:val="28"/>
          <w:lang w:eastAsia="zh-CN"/>
        </w:rPr>
        <w:t>突发环境风险应急预案</w:t>
      </w:r>
      <w:r>
        <w:rPr>
          <w:rFonts w:hint="eastAsia" w:ascii="宋体" w:cs="宋体"/>
          <w:sz w:val="28"/>
          <w:szCs w:val="28"/>
        </w:rPr>
        <w:t>》，该应急预案自发布之日起</w:t>
      </w:r>
      <w:bookmarkStart w:id="0" w:name="_GoBack"/>
      <w:bookmarkEnd w:id="0"/>
      <w:r>
        <w:rPr>
          <w:rFonts w:hint="eastAsia" w:ascii="宋体" w:cs="宋体"/>
          <w:sz w:val="28"/>
          <w:szCs w:val="28"/>
        </w:rPr>
        <w:t>生效。</w:t>
      </w:r>
    </w:p>
    <w:p>
      <w:pPr>
        <w:ind w:firstLine="5102" w:firstLineChars="2126"/>
        <w:jc w:val="left"/>
      </w:pPr>
    </w:p>
    <w:p>
      <w:pPr>
        <w:ind w:firstLine="5102" w:firstLineChars="2126"/>
        <w:jc w:val="left"/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napToGrid w:val="0"/>
          <w:color w:val="1C1B10"/>
          <w:kern w:val="0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napToGrid w:val="0"/>
          <w:color w:val="1C1B10"/>
          <w:kern w:val="0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napToGrid w:val="0"/>
          <w:color w:val="1C1B10"/>
          <w:kern w:val="0"/>
          <w:sz w:val="24"/>
        </w:rPr>
      </w:pPr>
    </w:p>
    <w:p>
      <w:pPr>
        <w:wordWrap w:val="0"/>
        <w:adjustRightInd w:val="0"/>
        <w:snapToGrid w:val="0"/>
        <w:spacing w:line="360" w:lineRule="auto"/>
        <w:ind w:right="140" w:firstLine="562" w:firstLineChars="200"/>
        <w:jc w:val="center"/>
        <w:rPr>
          <w:rFonts w:hint="eastAsia" w:ascii="宋体" w:hAnsi="宋体"/>
          <w:bCs/>
          <w:snapToGrid w:val="0"/>
          <w:color w:val="1C1B10"/>
          <w:kern w:val="0"/>
          <w:sz w:val="28"/>
          <w:szCs w:val="30"/>
          <w:u w:val="single"/>
        </w:rPr>
      </w:pP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  <w:lang w:val="en-US" w:eastAsia="zh-CN"/>
        </w:rPr>
        <w:t xml:space="preserve">                     </w:t>
      </w: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</w:rPr>
        <w:t>批准签发（签名）：</w:t>
      </w:r>
      <w:r>
        <w:rPr>
          <w:rFonts w:hint="eastAsia" w:ascii="宋体" w:hAnsi="宋体"/>
          <w:bCs/>
          <w:snapToGrid w:val="0"/>
          <w:color w:val="1C1B10"/>
          <w:kern w:val="0"/>
          <w:sz w:val="28"/>
          <w:szCs w:val="30"/>
          <w:u w:val="single"/>
        </w:rPr>
        <w:t xml:space="preserve">                </w:t>
      </w:r>
    </w:p>
    <w:p>
      <w:pPr>
        <w:wordWrap w:val="0"/>
        <w:adjustRightInd w:val="0"/>
        <w:snapToGrid w:val="0"/>
        <w:spacing w:line="360" w:lineRule="auto"/>
        <w:ind w:right="140" w:firstLine="562" w:firstLineChars="200"/>
        <w:jc w:val="center"/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</w:rPr>
      </w:pP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  <w:lang w:val="en-US" w:eastAsia="zh-CN"/>
        </w:rPr>
        <w:t xml:space="preserve">                     </w:t>
      </w: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</w:rPr>
        <w:t>发布日期：</w:t>
      </w: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</w:rPr>
        <w:t xml:space="preserve">年 </w:t>
      </w: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</w:rPr>
        <w:t xml:space="preserve">月   </w:t>
      </w: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napToGrid w:val="0"/>
          <w:color w:val="1C1B10"/>
          <w:kern w:val="0"/>
          <w:sz w:val="28"/>
          <w:szCs w:val="30"/>
        </w:rPr>
        <w:t>日</w:t>
      </w:r>
    </w:p>
    <w:p>
      <w:pPr>
        <w:rPr>
          <w:rFonts w:ascii="宋体" w:hAnsi="宋体"/>
          <w:color w:val="1C1B10"/>
        </w:rPr>
      </w:pPr>
    </w:p>
    <w:p>
      <w:pPr>
        <w:jc w:val="center"/>
        <w:rPr>
          <w:rFonts w:ascii="宋体" w:hAnsi="宋体"/>
          <w:b/>
          <w:color w:val="1C1B10"/>
          <w:sz w:val="28"/>
          <w:szCs w:val="28"/>
        </w:rPr>
      </w:pP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25CF3"/>
    <w:rsid w:val="0716215E"/>
    <w:rsid w:val="397E1546"/>
    <w:rsid w:val="3FC25CF3"/>
    <w:rsid w:val="40BB3423"/>
    <w:rsid w:val="7F1D14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Office手动目录 1"/>
    <w:qFormat/>
    <w:uiPriority w:val="0"/>
    <w:pPr>
      <w:ind w:leftChars="0"/>
    </w:pPr>
    <w:rPr>
      <w:rFonts w:ascii="Calibri" w:hAnsi="Calibri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2019-10-14T11:27:00Z</dcterms:created>
  <dc:creator>动如脱兔</dc:creator>
  <cp:lastModifiedBy>权</cp:lastModifiedBy>
  <dcterms:modified xsi:type="dcterms:W3CDTF">2020-04-27T02:38:38Z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