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jc w:val="left"/>
        <w:rPr>
          <w:rFonts w:eastAsia="宋体"/>
          <w:b/>
          <w:sz w:val="24"/>
          <w:szCs w:val="24"/>
          <w:lang w:val="zh-CN"/>
        </w:rPr>
      </w:pPr>
      <w:r>
        <w:rPr>
          <w:rFonts w:eastAsia="宋体"/>
          <w:b/>
          <w:sz w:val="24"/>
          <w:szCs w:val="24"/>
          <w:lang w:val="zh-CN"/>
        </w:rPr>
        <w:t>预案编号：</w:t>
      </w:r>
    </w:p>
    <w:p>
      <w:pPr>
        <w:spacing w:line="440" w:lineRule="exact"/>
        <w:jc w:val="left"/>
        <w:rPr>
          <w:rFonts w:eastAsia="宋体"/>
          <w:sz w:val="24"/>
          <w:szCs w:val="24"/>
        </w:rPr>
      </w:pPr>
      <w:r>
        <w:rPr>
          <w:rFonts w:eastAsia="宋体"/>
          <w:b/>
          <w:sz w:val="24"/>
          <w:szCs w:val="24"/>
          <w:lang w:val="zh-CN"/>
        </w:rPr>
        <w:t>版</w:t>
      </w:r>
      <w:r>
        <w:rPr>
          <w:rFonts w:eastAsia="宋体"/>
          <w:b/>
          <w:sz w:val="24"/>
          <w:szCs w:val="24"/>
        </w:rPr>
        <w:t xml:space="preserve"> </w:t>
      </w:r>
      <w:r>
        <w:rPr>
          <w:rFonts w:eastAsia="宋体"/>
          <w:b/>
          <w:sz w:val="24"/>
          <w:szCs w:val="24"/>
          <w:lang w:val="zh-CN"/>
        </w:rPr>
        <w:t>本</w:t>
      </w:r>
      <w:r>
        <w:rPr>
          <w:rFonts w:eastAsia="宋体"/>
          <w:b/>
          <w:sz w:val="24"/>
          <w:szCs w:val="24"/>
        </w:rPr>
        <w:t xml:space="preserve"> </w:t>
      </w:r>
      <w:r>
        <w:rPr>
          <w:rFonts w:eastAsia="宋体"/>
          <w:b/>
          <w:sz w:val="24"/>
          <w:szCs w:val="24"/>
          <w:lang w:val="zh-CN"/>
        </w:rPr>
        <w:t>号：</w:t>
      </w:r>
      <w:r>
        <w:rPr>
          <w:rFonts w:ascii="Times New Roman" w:hAnsi="Times New Roman" w:eastAsia="宋体" w:cs="Times New Roman"/>
          <w:b/>
          <w:sz w:val="24"/>
          <w:szCs w:val="24"/>
        </w:rPr>
        <w:t>2019年第一版</w:t>
      </w:r>
    </w:p>
    <w:p>
      <w:pPr>
        <w:snapToGrid w:val="0"/>
        <w:spacing w:line="480" w:lineRule="auto"/>
        <w:jc w:val="center"/>
        <w:rPr>
          <w:rFonts w:eastAsia="宋体"/>
          <w:b/>
          <w:bCs/>
          <w:sz w:val="24"/>
          <w:szCs w:val="24"/>
        </w:rPr>
      </w:pPr>
    </w:p>
    <w:p>
      <w:pPr>
        <w:pStyle w:val="2"/>
        <w:ind w:firstLine="496"/>
        <w:rPr>
          <w:rFonts w:ascii="Verdana" w:hAnsi="Verdana" w:eastAsia="仿宋_GB2312" w:cs="Verdana"/>
          <w:kern w:val="0"/>
        </w:rPr>
      </w:pPr>
    </w:p>
    <w:p>
      <w:pPr>
        <w:pStyle w:val="2"/>
        <w:ind w:firstLine="496"/>
        <w:rPr>
          <w:rFonts w:ascii="Verdana" w:hAnsi="Verdana" w:eastAsia="仿宋_GB2312" w:cs="Verdana"/>
          <w:kern w:val="0"/>
        </w:rPr>
      </w:pPr>
    </w:p>
    <w:p>
      <w:pPr>
        <w:snapToGrid w:val="0"/>
        <w:spacing w:line="480" w:lineRule="auto"/>
        <w:jc w:val="center"/>
        <w:rPr>
          <w:rFonts w:eastAsia="宋体"/>
          <w:b/>
          <w:sz w:val="44"/>
          <w:szCs w:val="44"/>
        </w:rPr>
      </w:pPr>
      <w:r>
        <w:rPr>
          <w:rFonts w:hint="eastAsia" w:eastAsia="宋体"/>
          <w:b/>
          <w:sz w:val="44"/>
          <w:szCs w:val="44"/>
        </w:rPr>
        <w:t>中国石油天然气股份有限公司江西南昌启航加油站</w:t>
      </w:r>
    </w:p>
    <w:p>
      <w:pPr>
        <w:snapToGrid w:val="0"/>
        <w:spacing w:line="480" w:lineRule="auto"/>
        <w:jc w:val="center"/>
        <w:rPr>
          <w:rFonts w:eastAsia="宋体"/>
          <w:b/>
          <w:bCs/>
          <w:sz w:val="32"/>
          <w:szCs w:val="32"/>
        </w:rPr>
      </w:pPr>
      <w:r>
        <w:rPr>
          <w:rFonts w:eastAsia="宋体"/>
          <w:b/>
          <w:bCs/>
          <w:sz w:val="32"/>
          <w:szCs w:val="32"/>
        </w:rPr>
        <w:t>突发环境事件应急预案</w:t>
      </w:r>
    </w:p>
    <w:p>
      <w:pPr>
        <w:pStyle w:val="2"/>
        <w:ind w:firstLine="496"/>
        <w:rPr>
          <w:rFonts w:ascii="Times New Roman" w:hAnsi="Times New Roman" w:eastAsia="宋体"/>
          <w:szCs w:val="24"/>
          <w:lang w:val="zh-CN"/>
        </w:rPr>
      </w:pPr>
    </w:p>
    <w:p>
      <w:pPr>
        <w:pStyle w:val="2"/>
        <w:ind w:firstLine="496"/>
        <w:rPr>
          <w:rFonts w:ascii="Times New Roman" w:hAnsi="Times New Roman" w:eastAsia="宋体"/>
          <w:szCs w:val="24"/>
          <w:lang w:val="zh-CN"/>
        </w:rPr>
      </w:pPr>
    </w:p>
    <w:p>
      <w:pPr>
        <w:pStyle w:val="2"/>
        <w:ind w:firstLine="496"/>
        <w:rPr>
          <w:rFonts w:ascii="Times New Roman" w:hAnsi="Times New Roman" w:eastAsia="宋体"/>
          <w:szCs w:val="24"/>
          <w:lang w:val="zh-CN"/>
        </w:rPr>
      </w:pPr>
    </w:p>
    <w:p>
      <w:pPr>
        <w:pStyle w:val="2"/>
        <w:ind w:firstLine="0" w:firstLineChars="0"/>
        <w:rPr>
          <w:rFonts w:ascii="Times New Roman" w:hAnsi="Times New Roman" w:eastAsia="宋体"/>
          <w:szCs w:val="24"/>
          <w:lang w:val="zh-CN"/>
        </w:rPr>
      </w:pPr>
    </w:p>
    <w:p>
      <w:pPr>
        <w:rPr>
          <w:rFonts w:ascii="Verdana" w:hAnsi="Verdana" w:eastAsia="仿宋_GB2312" w:cs="Verdana"/>
          <w:kern w:val="0"/>
          <w:sz w:val="24"/>
          <w:lang w:val="zh-CN"/>
        </w:rPr>
      </w:pPr>
    </w:p>
    <w:p>
      <w:pPr>
        <w:pStyle w:val="2"/>
        <w:ind w:firstLine="496"/>
        <w:rPr>
          <w:rFonts w:ascii="Verdana" w:hAnsi="Verdana" w:eastAsia="仿宋_GB2312" w:cs="Verdana"/>
          <w:kern w:val="0"/>
          <w:lang w:val="zh-CN"/>
        </w:rPr>
      </w:pPr>
    </w:p>
    <w:p>
      <w:pPr>
        <w:rPr>
          <w:rFonts w:ascii="Verdana" w:hAnsi="Verdana" w:eastAsia="仿宋_GB2312" w:cs="Verdana"/>
          <w:kern w:val="0"/>
          <w:sz w:val="24"/>
          <w:lang w:val="zh-CN"/>
        </w:rPr>
      </w:pPr>
    </w:p>
    <w:p>
      <w:pPr>
        <w:pStyle w:val="2"/>
        <w:ind w:firstLine="496"/>
        <w:rPr>
          <w:rFonts w:ascii="Verdana" w:hAnsi="Verdana" w:eastAsia="仿宋_GB2312" w:cs="Verdana"/>
          <w:kern w:val="0"/>
          <w:lang w:val="zh-CN"/>
        </w:rPr>
      </w:pPr>
    </w:p>
    <w:p>
      <w:pPr>
        <w:rPr>
          <w:rFonts w:ascii="Verdana" w:hAnsi="Verdana" w:eastAsia="仿宋_GB2312" w:cs="Verdana"/>
          <w:kern w:val="0"/>
          <w:sz w:val="24"/>
          <w:lang w:val="zh-CN"/>
        </w:rPr>
      </w:pPr>
    </w:p>
    <w:p>
      <w:pPr>
        <w:pStyle w:val="2"/>
        <w:ind w:firstLine="0" w:firstLineChars="0"/>
        <w:rPr>
          <w:rFonts w:ascii="Verdana" w:hAnsi="Verdana" w:eastAsia="仿宋_GB2312" w:cs="Verdana"/>
          <w:kern w:val="0"/>
          <w:lang w:val="zh-CN"/>
        </w:rPr>
      </w:pPr>
    </w:p>
    <w:p>
      <w:pPr>
        <w:ind w:firstLine="420"/>
        <w:rPr>
          <w:rFonts w:eastAsia="宋体"/>
          <w:b/>
          <w:sz w:val="32"/>
          <w:szCs w:val="32"/>
          <w:lang w:val="zh-CN"/>
        </w:rPr>
      </w:pPr>
      <w:r>
        <w:rPr>
          <w:rFonts w:hint="eastAsia" w:eastAsia="宋体"/>
          <w:b/>
          <w:sz w:val="32"/>
          <w:szCs w:val="32"/>
          <w:lang w:val="zh-CN"/>
        </w:rPr>
        <w:t>建设</w:t>
      </w:r>
      <w:r>
        <w:rPr>
          <w:rFonts w:eastAsia="宋体"/>
          <w:b/>
          <w:sz w:val="32"/>
          <w:szCs w:val="32"/>
          <w:lang w:val="zh-CN"/>
        </w:rPr>
        <w:t>单位：</w:t>
      </w:r>
      <w:r>
        <w:rPr>
          <w:rFonts w:hint="eastAsia" w:eastAsia="宋体"/>
          <w:b/>
          <w:sz w:val="32"/>
          <w:szCs w:val="32"/>
          <w:lang w:val="zh-CN"/>
        </w:rPr>
        <w:t>中国石油天然气股份有限公司</w:t>
      </w:r>
    </w:p>
    <w:p>
      <w:pPr>
        <w:ind w:firstLine="2570" w:firstLineChars="800"/>
        <w:rPr>
          <w:rFonts w:eastAsia="宋体"/>
          <w:b/>
          <w:sz w:val="32"/>
          <w:szCs w:val="32"/>
          <w:lang w:val="zh-CN"/>
        </w:rPr>
      </w:pPr>
      <w:r>
        <w:rPr>
          <w:rFonts w:hint="eastAsia" w:eastAsia="宋体"/>
          <w:b/>
          <w:sz w:val="32"/>
          <w:szCs w:val="32"/>
          <w:lang w:val="zh-CN"/>
        </w:rPr>
        <w:t>江西南昌启航加油站</w:t>
      </w:r>
    </w:p>
    <w:p>
      <w:pPr>
        <w:rPr>
          <w:rFonts w:eastAsia="宋体"/>
          <w:b/>
          <w:sz w:val="24"/>
          <w:szCs w:val="24"/>
        </w:rPr>
      </w:pPr>
    </w:p>
    <w:p>
      <w:pPr>
        <w:jc w:val="center"/>
        <w:rPr>
          <w:rFonts w:ascii="Times New Roman" w:hAnsi="Times New Roman" w:eastAsia="宋体" w:cs="Times New Roman"/>
          <w:b/>
          <w:bCs/>
          <w:sz w:val="32"/>
          <w:szCs w:val="32"/>
        </w:rPr>
        <w:sectPr>
          <w:headerReference r:id="rId3" w:type="default"/>
          <w:pgSz w:w="11906" w:h="16838"/>
          <w:pgMar w:top="1440" w:right="1800" w:bottom="1440" w:left="1800" w:header="851" w:footer="992" w:gutter="0"/>
          <w:cols w:space="720" w:num="1"/>
          <w:docGrid w:type="lines" w:linePitch="312" w:charSpace="0"/>
        </w:sectPr>
      </w:pPr>
      <w:r>
        <w:rPr>
          <w:rFonts w:ascii="Times New Roman" w:hAnsi="Times New Roman" w:eastAsia="宋体" w:cs="Times New Roman"/>
          <w:b/>
          <w:bCs/>
          <w:sz w:val="32"/>
          <w:szCs w:val="32"/>
        </w:rPr>
        <w:t>编制日期：2019年10月</w:t>
      </w:r>
    </w:p>
    <w:p>
      <w:pPr>
        <w:spacing w:line="500" w:lineRule="exact"/>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《中国石油天然气股份有限公司江西南昌启航加油站</w:t>
      </w:r>
    </w:p>
    <w:p>
      <w:pPr>
        <w:spacing w:line="500" w:lineRule="exact"/>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突发环境事件应急预案》编制说明</w:t>
      </w:r>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一、加油站简介</w:t>
      </w:r>
    </w:p>
    <w:p>
      <w:pPr>
        <w:autoSpaceDN w:val="0"/>
        <w:spacing w:line="500" w:lineRule="exact"/>
        <w:ind w:firstLine="480" w:firstLineChars="200"/>
        <w:jc w:val="lef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中国石油天然气股份有限公司江西南昌启航加油站位于江西省南昌市紫阳东大道500号，目前项目已获得由南昌市市场和质量监督管理局下发的“营业执照”（统一社会信用代码为913601065840028852），江西省商务厅下发的“成品油零售经营批准证书”（油零售证书第赣A11-42217号），南昌市安全生产监督管理局下发的“危险化学品经营许可证”（赣</w:t>
      </w:r>
      <w:r>
        <w:rPr>
          <w:rFonts w:hint="eastAsia" w:ascii="Times New Roman" w:hAnsi="Times New Roman" w:cs="Times New Roman"/>
          <w:color w:val="000000" w:themeColor="text1"/>
          <w:sz w:val="24"/>
          <w:szCs w:val="24"/>
          <w14:textFill>
            <w14:solidFill>
              <w14:schemeClr w14:val="tx1"/>
            </w14:solidFill>
          </w14:textFill>
        </w:rPr>
        <w:t>洪高新安经（甲）字[2017]000004</w:t>
      </w:r>
      <w:r>
        <w:rPr>
          <w:rFonts w:ascii="Times New Roman" w:hAnsi="Times New Roman" w:cs="Times New Roman"/>
          <w:color w:val="000000" w:themeColor="text1"/>
          <w:sz w:val="24"/>
          <w:szCs w:val="24"/>
          <w14:textFill>
            <w14:solidFill>
              <w14:schemeClr w14:val="tx1"/>
            </w14:solidFill>
          </w14:textFill>
        </w:rPr>
        <w:t>号）。加油站总占地面积约为7316m</w:t>
      </w:r>
      <w:r>
        <w:rPr>
          <w:rFonts w:ascii="Times New Roman" w:hAnsi="Times New Roman" w:cs="Times New Roman"/>
          <w:color w:val="000000" w:themeColor="text1"/>
          <w:sz w:val="24"/>
          <w:szCs w:val="24"/>
          <w:vertAlign w:val="superscript"/>
          <w14:textFill>
            <w14:solidFill>
              <w14:schemeClr w14:val="tx1"/>
            </w14:solidFill>
          </w14:textFill>
        </w:rPr>
        <w:t>2</w:t>
      </w:r>
      <w:r>
        <w:rPr>
          <w:rFonts w:ascii="Times New Roman" w:hAnsi="Times New Roman" w:cs="Times New Roman"/>
          <w:color w:val="000000" w:themeColor="text1"/>
          <w:sz w:val="24"/>
          <w:szCs w:val="24"/>
          <w14:textFill>
            <w14:solidFill>
              <w14:schemeClr w14:val="tx1"/>
            </w14:solidFill>
          </w14:textFill>
        </w:rPr>
        <w:t>，建筑面积约为1805.4m</w:t>
      </w:r>
      <w:r>
        <w:rPr>
          <w:rFonts w:ascii="Times New Roman" w:hAnsi="Times New Roman" w:cs="Times New Roman"/>
          <w:color w:val="000000" w:themeColor="text1"/>
          <w:sz w:val="24"/>
          <w:szCs w:val="24"/>
          <w:vertAlign w:val="superscript"/>
          <w14:textFill>
            <w14:solidFill>
              <w14:schemeClr w14:val="tx1"/>
            </w14:solidFill>
          </w14:textFill>
        </w:rPr>
        <w:t>2</w:t>
      </w:r>
      <w:r>
        <w:rPr>
          <w:rFonts w:ascii="Times New Roman" w:hAnsi="Times New Roman" w:cs="Times New Roman"/>
          <w:color w:val="000000" w:themeColor="text1"/>
          <w:sz w:val="24"/>
          <w:szCs w:val="24"/>
          <w14:textFill>
            <w14:solidFill>
              <w14:schemeClr w14:val="tx1"/>
            </w14:solidFill>
          </w14:textFill>
        </w:rPr>
        <w:t>。项目主要分为三个区，分别为</w:t>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油罐区</w:t>
      </w:r>
      <w:r>
        <w:rPr>
          <w:rFonts w:hint="eastAsia" w:ascii="宋体" w:hAnsi="宋体" w:eastAsia="宋体" w:cs="宋体"/>
          <w:color w:val="000000" w:themeColor="text1"/>
          <w:sz w:val="24"/>
          <w:szCs w:val="24"/>
          <w14:textFill>
            <w14:solidFill>
              <w14:schemeClr w14:val="tx1"/>
            </w14:solidFill>
          </w14:textFill>
        </w:rPr>
        <w:t>②</w:t>
      </w:r>
      <w:r>
        <w:rPr>
          <w:rFonts w:hint="eastAsia" w:ascii="Times New Roman" w:hAnsi="Times New Roman" w:cs="Times New Roman"/>
          <w:color w:val="000000" w:themeColor="text1"/>
          <w:sz w:val="24"/>
          <w:szCs w:val="24"/>
          <w14:textFill>
            <w14:solidFill>
              <w14:schemeClr w14:val="tx1"/>
            </w14:solidFill>
          </w14:textFill>
        </w:rPr>
        <w:t>营业区</w:t>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加油区。储油罐区包括储罐区、卸油区；营业区包括站房、便利店、辅助用房及卫生间等；加油区即为加油机所在区。</w:t>
      </w:r>
      <w:bookmarkStart w:id="0" w:name="_Hlk11352631"/>
      <w:r>
        <w:rPr>
          <w:rFonts w:ascii="Times New Roman" w:hAnsi="Times New Roman" w:cs="Times New Roman"/>
          <w:color w:val="000000" w:themeColor="text1"/>
          <w:sz w:val="24"/>
          <w:szCs w:val="24"/>
          <w14:textFill>
            <w14:solidFill>
              <w14:schemeClr w14:val="tx1"/>
            </w14:solidFill>
          </w14:textFill>
        </w:rPr>
        <w:t>项目储罐区建设有5个地埋卧式油罐，包括0#柴油油罐2台、93#汽油油罐2台、97#汽油油罐1台，总容积折合汽油罐容积为120m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，为二级加油站。配设6台</w:t>
      </w:r>
      <w:r>
        <w:rPr>
          <w:rFonts w:hint="eastAsia" w:ascii="Times New Roman" w:hAnsi="Times New Roman" w:cs="Times New Roman"/>
          <w:color w:val="000000" w:themeColor="text1"/>
          <w:sz w:val="24"/>
          <w:szCs w:val="24"/>
          <w14:textFill>
            <w14:solidFill>
              <w14:schemeClr w14:val="tx1"/>
            </w14:solidFill>
          </w14:textFill>
        </w:rPr>
        <w:t>四</w:t>
      </w:r>
      <w:r>
        <w:rPr>
          <w:rFonts w:ascii="Times New Roman" w:hAnsi="Times New Roman" w:cs="Times New Roman"/>
          <w:color w:val="000000" w:themeColor="text1"/>
          <w:sz w:val="24"/>
          <w:szCs w:val="24"/>
          <w14:textFill>
            <w14:solidFill>
              <w14:schemeClr w14:val="tx1"/>
            </w14:solidFill>
          </w14:textFill>
        </w:rPr>
        <w:t>枪加油机（其中3台0#柴油双枪加油机，2台93#双枪加油机，1台97#双枪加油机）。项目区设加油进出口2个。</w:t>
      </w:r>
      <w:bookmarkEnd w:id="0"/>
      <w:r>
        <w:rPr>
          <w:rFonts w:ascii="Times New Roman" w:hAnsi="Times New Roman" w:cs="Times New Roman"/>
          <w:color w:val="000000" w:themeColor="text1"/>
          <w:sz w:val="24"/>
          <w:szCs w:val="24"/>
          <w14:textFill>
            <w14:solidFill>
              <w14:schemeClr w14:val="tx1"/>
            </w14:solidFill>
          </w14:textFill>
        </w:rPr>
        <w:t>本项目营业范围包括：柴油、汽油。</w:t>
      </w:r>
    </w:p>
    <w:p>
      <w:pPr>
        <w:autoSpaceDN w:val="0"/>
        <w:spacing w:line="500" w:lineRule="exact"/>
        <w:ind w:firstLine="480" w:firstLineChars="200"/>
        <w:jc w:val="lef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加油站有职工14人，站内设卫生间、宿舍，员工餐饮外购或自带；项目</w:t>
      </w:r>
      <w:r>
        <w:rPr>
          <w:rFonts w:hint="eastAsia" w:ascii="Times New Roman" w:hAnsi="Times New Roman" w:cs="Times New Roman"/>
          <w:color w:val="000000" w:themeColor="text1"/>
          <w:sz w:val="24"/>
          <w:szCs w:val="24"/>
          <w14:textFill>
            <w14:solidFill>
              <w14:schemeClr w14:val="tx1"/>
            </w14:solidFill>
          </w14:textFill>
        </w:rPr>
        <w:t>不</w:t>
      </w:r>
      <w:r>
        <w:rPr>
          <w:rFonts w:ascii="Times New Roman" w:hAnsi="Times New Roman" w:cs="Times New Roman"/>
          <w:color w:val="000000" w:themeColor="text1"/>
          <w:sz w:val="24"/>
          <w:szCs w:val="24"/>
          <w14:textFill>
            <w14:solidFill>
              <w14:schemeClr w14:val="tx1"/>
            </w14:solidFill>
          </w14:textFill>
        </w:rPr>
        <w:t>经营洗车等内容。加油站年工作365d，每天四班，每班6小时，每班3-4人。</w:t>
      </w:r>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二、应急预案编制过程概述</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2019年6月中国石油天然气股份有限公司江西南昌启航加油站经内部调查及资料收集后，组织分公司相关人员并委托河南金环环境影响评价有限公司联合编制完成《中国石油天然气股份有限公司江西南昌启航加油站应急预案（初稿）》。2019年10月28日，中国石油天然气股份有限公司江西南昌启航加油站相关人员对初步编制完成的《中国石油天然气股份有限公司江西南昌启航加油站突发环境事件应急预案（初稿）》的适用性、可行性进行了内部评审，经分析、讨论并提出修改意见和建议，根据修改意见和建议对应急预案进行了修改、完善，形成《中国石油天然气股份有限公司江西南昌启航加油站突发环境事件应急预案》。</w:t>
      </w:r>
      <w:bookmarkStart w:id="1" w:name="_Toc472676815"/>
      <w:bookmarkStart w:id="2" w:name="_Toc472676682"/>
      <w:bookmarkStart w:id="3" w:name="_Toc472676201"/>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三、重点内容说明</w:t>
      </w:r>
      <w:bookmarkEnd w:id="1"/>
      <w:bookmarkEnd w:id="2"/>
      <w:bookmarkEnd w:id="3"/>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根据《突发环境事件应急预案管理办法》、《</w:t>
      </w:r>
      <w:r>
        <w:fldChar w:fldCharType="begin"/>
      </w:r>
      <w:r>
        <w:instrText xml:space="preserve"> HYPERLINK "http://www.mep.gov.cn/gkml/hbb/bwj/201501/t20150113_294131.htm" </w:instrText>
      </w:r>
      <w:r>
        <w:fldChar w:fldCharType="separate"/>
      </w:r>
      <w:r>
        <w:rPr>
          <w:rFonts w:ascii="Times New Roman" w:hAnsi="Times New Roman" w:cs="Times New Roman"/>
          <w:color w:val="000000" w:themeColor="text1"/>
          <w:sz w:val="24"/>
          <w:szCs w:val="24"/>
          <w14:textFill>
            <w14:solidFill>
              <w14:schemeClr w14:val="tx1"/>
            </w14:solidFill>
          </w14:textFill>
        </w:rPr>
        <w:t>企业事业单位突发环境事件应急预案备案管理办法</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（试行）》（环发〔2015〕4号）和《中国石油天然气股份有限公司江西南昌启航加油站突发环境事件应急预案》重点内容为：</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突发环境事件风险评估，其中以最大可信事故及环境风险等级的判定，突发环境事件风险管理尤为重要；</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环境应急资源调查，其中以加油站已有的应急体系、应急物资、外部可联动应急资源及其能力判断尤为重要；</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除以上两方面内容外，预防与预警、信息报告与通报、应急响应与措施均属于本应急预案重点内容。</w:t>
      </w:r>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bookmarkStart w:id="4" w:name="_Toc472676816"/>
      <w:bookmarkStart w:id="5" w:name="_Toc472676202"/>
      <w:bookmarkStart w:id="6" w:name="_Toc472676683"/>
      <w:r>
        <w:rPr>
          <w:rFonts w:ascii="Times New Roman" w:hAnsi="Times New Roman" w:cs="Times New Roman"/>
          <w:b/>
          <w:color w:val="000000" w:themeColor="text1"/>
          <w:sz w:val="24"/>
          <w:szCs w:val="24"/>
          <w14:textFill>
            <w14:solidFill>
              <w14:schemeClr w14:val="tx1"/>
            </w14:solidFill>
          </w14:textFill>
        </w:rPr>
        <w:t>四、征求意见及采纳情况说明</w:t>
      </w:r>
      <w:bookmarkEnd w:id="4"/>
      <w:bookmarkEnd w:id="5"/>
      <w:bookmarkEnd w:id="6"/>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2019年11月4日，中国石油天然气股份有限公司江西南昌启航加油站相关人员对《中国石油天然气股份有限公司江西南昌启航加油站突发环境事件应急预案》及相关文件进行内部评审。</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应急预案编制组根据内部评审会形成的意见和建议及其他意见，对应急预案进行了认真修改完善，形成《中国石油天然气股份有限公司江西南昌启航加油站突发环境事件应急预案》。</w:t>
      </w:r>
    </w:p>
    <w:p>
      <w:pPr>
        <w:spacing w:line="500" w:lineRule="exact"/>
        <w:ind w:firstLine="4080" w:firstLineChars="1700"/>
        <w:jc w:val="right"/>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中国石油天然气股份有限公司</w:t>
      </w:r>
    </w:p>
    <w:p>
      <w:pPr>
        <w:spacing w:line="500" w:lineRule="exact"/>
        <w:ind w:firstLine="4080" w:firstLineChars="1700"/>
        <w:jc w:val="right"/>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江西南昌启航加油站</w:t>
      </w:r>
    </w:p>
    <w:p>
      <w:pPr>
        <w:spacing w:line="500" w:lineRule="exact"/>
        <w:ind w:firstLine="4080" w:firstLineChars="1700"/>
        <w:jc w:val="righ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二〇一九年</w:t>
      </w:r>
      <w:r>
        <w:rPr>
          <w:rFonts w:hint="eastAsia" w:ascii="Times New Roman" w:hAnsi="Times New Roman" w:cs="Times New Roman"/>
          <w:color w:val="000000" w:themeColor="text1"/>
          <w:sz w:val="24"/>
          <w:szCs w:val="24"/>
          <w14:textFill>
            <w14:solidFill>
              <w14:schemeClr w14:val="tx1"/>
            </w14:solidFill>
          </w14:textFill>
        </w:rPr>
        <w:t>十一</w:t>
      </w:r>
      <w:r>
        <w:rPr>
          <w:rFonts w:ascii="Times New Roman" w:hAnsi="Times New Roman" w:cs="Times New Roman"/>
          <w:color w:val="000000" w:themeColor="text1"/>
          <w:sz w:val="24"/>
          <w:szCs w:val="24"/>
          <w14:textFill>
            <w14:solidFill>
              <w14:schemeClr w14:val="tx1"/>
            </w14:solidFill>
          </w14:textFill>
        </w:rPr>
        <w:t>月</w:t>
      </w:r>
      <w:r>
        <w:rPr>
          <w:rFonts w:hint="eastAsia" w:ascii="Times New Roman" w:hAnsi="Times New Roman" w:cs="Times New Roman"/>
          <w:color w:val="000000" w:themeColor="text1"/>
          <w:sz w:val="24"/>
          <w:szCs w:val="24"/>
          <w14:textFill>
            <w14:solidFill>
              <w14:schemeClr w14:val="tx1"/>
            </w14:solidFill>
          </w14:textFill>
        </w:rPr>
        <w:t>四</w:t>
      </w:r>
      <w:r>
        <w:rPr>
          <w:rFonts w:ascii="Times New Roman" w:hAnsi="Times New Roman" w:cs="Times New Roman"/>
          <w:color w:val="000000" w:themeColor="text1"/>
          <w:sz w:val="24"/>
          <w:szCs w:val="24"/>
          <w14:textFill>
            <w14:solidFill>
              <w14:schemeClr w14:val="tx1"/>
            </w14:solidFill>
          </w14:textFill>
        </w:rPr>
        <w:t>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p>
    <w:p>
      <w:pPr>
        <w:widowControl/>
        <w:jc w:val="left"/>
        <w:rPr>
          <w:rFonts w:ascii="Times New Roman" w:hAnsi="Times New Roman" w:cs="Times New Roman"/>
          <w:color w:val="000000" w:themeColor="text1"/>
          <w:sz w:val="24"/>
          <w:szCs w:val="24"/>
          <w14:textFill>
            <w14:solidFill>
              <w14:schemeClr w14:val="tx1"/>
            </w14:solidFill>
          </w14:textFill>
        </w:rPr>
        <w:sectPr>
          <w:headerReference r:id="rId4" w:type="default"/>
          <w:pgSz w:w="11920" w:h="16840"/>
          <w:pgMar w:top="1100" w:right="1200" w:bottom="280" w:left="1580" w:header="878" w:footer="1081" w:gutter="0"/>
          <w:pgNumType w:fmt="upperRoman"/>
          <w:cols w:space="720" w:num="1"/>
        </w:sectPr>
      </w:pPr>
      <w:r>
        <w:rPr>
          <w:rFonts w:ascii="Times New Roman" w:hAnsi="Times New Roman" w:cs="Times New Roman"/>
          <w:color w:val="000000" w:themeColor="text1"/>
          <w14:textFill>
            <w14:solidFill>
              <w14:schemeClr w14:val="tx1"/>
            </w14:solidFill>
          </w14:textFill>
        </w:rPr>
        <w:br w:type="page"/>
      </w:r>
    </w:p>
    <w:p>
      <w:pPr>
        <w:pStyle w:val="12"/>
        <w:tabs>
          <w:tab w:val="right" w:leader="dot" w:pos="8306"/>
        </w:tabs>
        <w:jc w:val="center"/>
        <w:rPr>
          <w:rFonts w:ascii="Times New Roman" w:hAnsi="Times New Roman" w:eastAsia="宋体" w:cs="Times New Roman"/>
          <w:bCs/>
          <w:color w:val="000000" w:themeColor="text1"/>
          <w:sz w:val="24"/>
          <w:szCs w:val="24"/>
          <w14:textFill>
            <w14:solidFill>
              <w14:schemeClr w14:val="tx1"/>
            </w14:solidFill>
          </w14:textFill>
        </w:rPr>
      </w:pPr>
      <w:bookmarkStart w:id="7" w:name="_Toc3157_WPSOffice_Level1"/>
      <w:bookmarkStart w:id="8" w:name="_Toc532816998"/>
      <w:bookmarkStart w:id="9" w:name="_Toc21399_WPSOffice_Level1"/>
      <w:bookmarkStart w:id="10" w:name="_Toc6589"/>
      <w:r>
        <w:rPr>
          <w:rFonts w:ascii="Times New Roman" w:hAnsi="Times New Roman" w:eastAsia="宋体" w:cs="Times New Roman"/>
          <w:bCs/>
          <w:color w:val="000000" w:themeColor="text1"/>
          <w:sz w:val="24"/>
          <w:szCs w:val="24"/>
          <w14:textFill>
            <w14:solidFill>
              <w14:schemeClr w14:val="tx1"/>
            </w14:solidFill>
          </w14:textFill>
        </w:rPr>
        <w:t>目  录</w:t>
      </w:r>
    </w:p>
    <w:p>
      <w:pPr>
        <w:pStyle w:val="12"/>
        <w:tabs>
          <w:tab w:val="right" w:leader="dot" w:pos="9136"/>
        </w:tabs>
        <w:rPr>
          <w:rFonts w:ascii="Times New Roman" w:hAnsi="Times New Roman"/>
          <w:sz w:val="24"/>
        </w:rPr>
      </w:pPr>
      <w:r>
        <w:rPr>
          <w:rFonts w:ascii="Times New Roman" w:hAnsi="Times New Roman" w:eastAsia="宋体" w:cs="Times New Roman"/>
          <w:color w:val="000000" w:themeColor="text1"/>
          <w:kern w:val="44"/>
          <w:sz w:val="24"/>
          <w:szCs w:val="24"/>
          <w14:textFill>
            <w14:solidFill>
              <w14:schemeClr w14:val="tx1"/>
            </w14:solidFill>
          </w14:textFill>
        </w:rPr>
        <w:fldChar w:fldCharType="begin"/>
      </w:r>
      <w:r>
        <w:rPr>
          <w:rFonts w:ascii="Times New Roman" w:hAnsi="Times New Roman" w:eastAsia="宋体" w:cs="Times New Roman"/>
          <w:color w:val="000000" w:themeColor="text1"/>
          <w:kern w:val="44"/>
          <w:sz w:val="24"/>
          <w:szCs w:val="24"/>
          <w14:textFill>
            <w14:solidFill>
              <w14:schemeClr w14:val="tx1"/>
            </w14:solidFill>
          </w14:textFill>
        </w:rPr>
        <w:instrText xml:space="preserve">TOC \o "1-3" \f \u </w:instrText>
      </w:r>
      <w:r>
        <w:rPr>
          <w:rFonts w:ascii="Times New Roman" w:hAnsi="Times New Roman" w:eastAsia="宋体" w:cs="Times New Roman"/>
          <w:color w:val="000000" w:themeColor="text1"/>
          <w:kern w:val="44"/>
          <w:sz w:val="24"/>
          <w:szCs w:val="24"/>
          <w14:textFill>
            <w14:solidFill>
              <w14:schemeClr w14:val="tx1"/>
            </w14:solidFill>
          </w14:textFill>
        </w:rPr>
        <w:fldChar w:fldCharType="separate"/>
      </w:r>
      <w:bookmarkStart w:id="1391" w:name="_GoBack"/>
      <w:r>
        <w:rPr>
          <w:rFonts w:ascii="Times New Roman" w:hAnsi="Times New Roman" w:cs="Times New Roman"/>
          <w:bCs/>
          <w:color w:val="000000" w:themeColor="text1"/>
          <w:kern w:val="44"/>
          <w:sz w:val="24"/>
          <w:szCs w:val="30"/>
          <w14:textFill>
            <w14:solidFill>
              <w14:schemeClr w14:val="tx1"/>
            </w14:solidFill>
          </w14:textFill>
        </w:rPr>
        <w:t>1.总 则</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_Toc26301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1.1编制目的</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_Toc4987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1.2 编制依据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_Toc23808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1.2.1法律、法规、部门规章</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_Toc15720 </w:instrText>
      </w:r>
      <w:r>
        <w:rPr>
          <w:rFonts w:ascii="Times New Roman" w:hAnsi="Times New Roman"/>
          <w:sz w:val="24"/>
        </w:rPr>
        <w:fldChar w:fldCharType="separate"/>
      </w:r>
      <w:r>
        <w:rPr>
          <w:rFonts w:ascii="Times New Roman" w:hAnsi="Times New Roman"/>
          <w:sz w:val="24"/>
        </w:rPr>
        <w:t>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1.2.2标准、规范</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_Toc8375 </w:instrText>
      </w:r>
      <w:r>
        <w:rPr>
          <w:rFonts w:ascii="Times New Roman" w:hAnsi="Times New Roman"/>
          <w:sz w:val="24"/>
        </w:rPr>
        <w:fldChar w:fldCharType="separate"/>
      </w:r>
      <w:r>
        <w:rPr>
          <w:rFonts w:ascii="Times New Roman" w:hAnsi="Times New Roman"/>
          <w:sz w:val="24"/>
        </w:rPr>
        <w:t>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1.2.3其它文件资料</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_Toc30435 </w:instrText>
      </w:r>
      <w:r>
        <w:rPr>
          <w:rFonts w:ascii="Times New Roman" w:hAnsi="Times New Roman"/>
          <w:sz w:val="24"/>
        </w:rPr>
        <w:fldChar w:fldCharType="separate"/>
      </w:r>
      <w:r>
        <w:rPr>
          <w:rFonts w:ascii="Times New Roman" w:hAnsi="Times New Roman"/>
          <w:sz w:val="24"/>
        </w:rPr>
        <w:t>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1.3适用范围</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_Toc2819 </w:instrText>
      </w:r>
      <w:r>
        <w:rPr>
          <w:rFonts w:ascii="Times New Roman" w:hAnsi="Times New Roman"/>
          <w:sz w:val="24"/>
        </w:rPr>
        <w:fldChar w:fldCharType="separate"/>
      </w:r>
      <w:r>
        <w:rPr>
          <w:rFonts w:ascii="Times New Roman" w:hAnsi="Times New Roman"/>
          <w:sz w:val="24"/>
        </w:rPr>
        <w:t>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1.4应急预案体系</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_Toc1509 </w:instrText>
      </w:r>
      <w:r>
        <w:rPr>
          <w:rFonts w:ascii="Times New Roman" w:hAnsi="Times New Roman"/>
          <w:sz w:val="24"/>
        </w:rPr>
        <w:fldChar w:fldCharType="separate"/>
      </w:r>
      <w:r>
        <w:rPr>
          <w:rFonts w:ascii="Times New Roman" w:hAnsi="Times New Roman"/>
          <w:sz w:val="24"/>
        </w:rPr>
        <w:t>10</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1.5 事故分级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_Toc15853 </w:instrText>
      </w:r>
      <w:r>
        <w:rPr>
          <w:rFonts w:ascii="Times New Roman" w:hAnsi="Times New Roman"/>
          <w:sz w:val="24"/>
        </w:rPr>
        <w:fldChar w:fldCharType="separate"/>
      </w:r>
      <w:r>
        <w:rPr>
          <w:rFonts w:ascii="Times New Roman" w:hAnsi="Times New Roman"/>
          <w:sz w:val="24"/>
        </w:rPr>
        <w:t>11</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1.5.1 国家应急预案分级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_Toc28795 </w:instrText>
      </w:r>
      <w:r>
        <w:rPr>
          <w:rFonts w:ascii="Times New Roman" w:hAnsi="Times New Roman"/>
          <w:sz w:val="24"/>
        </w:rPr>
        <w:fldChar w:fldCharType="separate"/>
      </w:r>
      <w:r>
        <w:rPr>
          <w:rFonts w:ascii="Times New Roman" w:hAnsi="Times New Roman"/>
          <w:sz w:val="24"/>
        </w:rPr>
        <w:t>11</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1.5.2 企业应急预案分级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_Toc2763 </w:instrText>
      </w:r>
      <w:r>
        <w:rPr>
          <w:rFonts w:ascii="Times New Roman" w:hAnsi="Times New Roman"/>
          <w:sz w:val="24"/>
        </w:rPr>
        <w:fldChar w:fldCharType="separate"/>
      </w:r>
      <w:r>
        <w:rPr>
          <w:rFonts w:ascii="Times New Roman" w:hAnsi="Times New Roman"/>
          <w:sz w:val="24"/>
        </w:rPr>
        <w:t>12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1.6工作原则</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_Toc8225 </w:instrText>
      </w:r>
      <w:r>
        <w:rPr>
          <w:rFonts w:ascii="Times New Roman" w:hAnsi="Times New Roman"/>
          <w:sz w:val="24"/>
        </w:rPr>
        <w:fldChar w:fldCharType="separate"/>
      </w:r>
      <w:r>
        <w:rPr>
          <w:rFonts w:ascii="Times New Roman" w:hAnsi="Times New Roman"/>
          <w:sz w:val="24"/>
        </w:rPr>
        <w:t>12</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2.加油站基本情况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_Toc1213 </w:instrText>
      </w:r>
      <w:r>
        <w:rPr>
          <w:rFonts w:ascii="Times New Roman" w:hAnsi="Times New Roman"/>
          <w:sz w:val="24"/>
        </w:rPr>
        <w:fldChar w:fldCharType="separate"/>
      </w:r>
      <w:r>
        <w:rPr>
          <w:rFonts w:ascii="Times New Roman" w:hAnsi="Times New Roman"/>
          <w:sz w:val="24"/>
        </w:rPr>
        <w:t>14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2.1加油站概况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_Toc13500 </w:instrText>
      </w:r>
      <w:r>
        <w:rPr>
          <w:rFonts w:ascii="Times New Roman" w:hAnsi="Times New Roman"/>
          <w:sz w:val="24"/>
        </w:rPr>
        <w:fldChar w:fldCharType="separate"/>
      </w:r>
      <w:r>
        <w:rPr>
          <w:rFonts w:ascii="Times New Roman" w:hAnsi="Times New Roman"/>
          <w:sz w:val="24"/>
        </w:rPr>
        <w:t>14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2.2自然环境概况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_Toc26681 </w:instrText>
      </w:r>
      <w:r>
        <w:rPr>
          <w:rFonts w:ascii="Times New Roman" w:hAnsi="Times New Roman"/>
          <w:sz w:val="24"/>
        </w:rPr>
        <w:fldChar w:fldCharType="separate"/>
      </w:r>
      <w:r>
        <w:rPr>
          <w:rFonts w:ascii="Times New Roman" w:hAnsi="Times New Roman"/>
          <w:sz w:val="24"/>
        </w:rPr>
        <w:t>14</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2.2.1地理位置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_Toc11400 </w:instrText>
      </w:r>
      <w:r>
        <w:rPr>
          <w:rFonts w:ascii="Times New Roman" w:hAnsi="Times New Roman"/>
          <w:sz w:val="24"/>
        </w:rPr>
        <w:fldChar w:fldCharType="separate"/>
      </w:r>
      <w:r>
        <w:rPr>
          <w:rFonts w:ascii="Times New Roman" w:hAnsi="Times New Roman"/>
          <w:sz w:val="24"/>
        </w:rPr>
        <w:t>14</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2.2.2自然条件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_Toc1974 </w:instrText>
      </w:r>
      <w:r>
        <w:rPr>
          <w:rFonts w:ascii="Times New Roman" w:hAnsi="Times New Roman"/>
          <w:sz w:val="24"/>
        </w:rPr>
        <w:fldChar w:fldCharType="separate"/>
      </w:r>
      <w:r>
        <w:rPr>
          <w:rFonts w:ascii="Times New Roman" w:hAnsi="Times New Roman"/>
          <w:sz w:val="24"/>
        </w:rPr>
        <w:t>15</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2.3 周边环境敏感点</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_Toc28806 </w:instrText>
      </w:r>
      <w:r>
        <w:rPr>
          <w:rFonts w:ascii="Times New Roman" w:hAnsi="Times New Roman"/>
          <w:sz w:val="24"/>
        </w:rPr>
        <w:fldChar w:fldCharType="separate"/>
      </w:r>
      <w:r>
        <w:rPr>
          <w:rFonts w:ascii="Times New Roman" w:hAnsi="Times New Roman"/>
          <w:sz w:val="24"/>
        </w:rPr>
        <w:t>16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2.4 加油站平面布置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_Toc12028 </w:instrText>
      </w:r>
      <w:r>
        <w:rPr>
          <w:rFonts w:ascii="Times New Roman" w:hAnsi="Times New Roman"/>
          <w:sz w:val="24"/>
        </w:rPr>
        <w:fldChar w:fldCharType="separate"/>
      </w:r>
      <w:r>
        <w:rPr>
          <w:rFonts w:ascii="Times New Roman" w:hAnsi="Times New Roman"/>
          <w:sz w:val="24"/>
        </w:rPr>
        <w:t>17</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2.5加油站工艺流程基本情况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_Toc4381 </w:instrText>
      </w:r>
      <w:r>
        <w:rPr>
          <w:rFonts w:ascii="Times New Roman" w:hAnsi="Times New Roman"/>
          <w:sz w:val="24"/>
        </w:rPr>
        <w:fldChar w:fldCharType="separate"/>
      </w:r>
      <w:r>
        <w:rPr>
          <w:rFonts w:ascii="Times New Roman" w:hAnsi="Times New Roman"/>
          <w:sz w:val="24"/>
        </w:rPr>
        <w:t>18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2.5.1油品消耗</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_Toc14752 </w:instrText>
      </w:r>
      <w:r>
        <w:rPr>
          <w:rFonts w:ascii="Times New Roman" w:hAnsi="Times New Roman"/>
          <w:sz w:val="24"/>
        </w:rPr>
        <w:fldChar w:fldCharType="separate"/>
      </w:r>
      <w:r>
        <w:rPr>
          <w:rFonts w:ascii="Times New Roman" w:hAnsi="Times New Roman"/>
          <w:sz w:val="24"/>
        </w:rPr>
        <w:t>18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2.5.2生产工艺流程及产污节点</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_Toc7444 </w:instrText>
      </w:r>
      <w:r>
        <w:rPr>
          <w:rFonts w:ascii="Times New Roman" w:hAnsi="Times New Roman"/>
          <w:sz w:val="24"/>
        </w:rPr>
        <w:fldChar w:fldCharType="separate"/>
      </w:r>
      <w:r>
        <w:rPr>
          <w:rFonts w:ascii="Times New Roman" w:hAnsi="Times New Roman"/>
          <w:sz w:val="24"/>
        </w:rPr>
        <w:t>18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2.5.3 公辅工程及主要设备设施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_Toc16052 </w:instrText>
      </w:r>
      <w:r>
        <w:rPr>
          <w:rFonts w:ascii="Times New Roman" w:hAnsi="Times New Roman"/>
          <w:sz w:val="24"/>
        </w:rPr>
        <w:fldChar w:fldCharType="separate"/>
      </w:r>
      <w:r>
        <w:rPr>
          <w:rFonts w:ascii="Times New Roman" w:hAnsi="Times New Roman"/>
          <w:sz w:val="24"/>
        </w:rPr>
        <w:t>21</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2.5.4污染物产生及处置情况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_Toc3342 </w:instrText>
      </w:r>
      <w:r>
        <w:rPr>
          <w:rFonts w:ascii="Times New Roman" w:hAnsi="Times New Roman"/>
          <w:sz w:val="24"/>
        </w:rPr>
        <w:fldChar w:fldCharType="separate"/>
      </w:r>
      <w:r>
        <w:rPr>
          <w:rFonts w:ascii="Times New Roman" w:hAnsi="Times New Roman"/>
          <w:sz w:val="24"/>
        </w:rPr>
        <w:t>21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 xml:space="preserve">2.6 </w:t>
      </w:r>
      <w:r>
        <w:rPr>
          <w:rFonts w:hint="eastAsia" w:ascii="Times New Roman" w:hAnsi="Times New Roman" w:cs="Times New Roman"/>
          <w:bCs/>
          <w:color w:val="000000" w:themeColor="text1"/>
          <w:kern w:val="44"/>
          <w:sz w:val="24"/>
          <w:szCs w:val="24"/>
          <w14:textFill>
            <w14:solidFill>
              <w14:schemeClr w14:val="tx1"/>
            </w14:solidFill>
          </w14:textFill>
        </w:rPr>
        <w:t>项目水平衡</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_Toc700 </w:instrText>
      </w:r>
      <w:r>
        <w:rPr>
          <w:rFonts w:ascii="Times New Roman" w:hAnsi="Times New Roman"/>
          <w:sz w:val="24"/>
        </w:rPr>
        <w:fldChar w:fldCharType="separate"/>
      </w:r>
      <w:r>
        <w:rPr>
          <w:rFonts w:ascii="Times New Roman" w:hAnsi="Times New Roman"/>
          <w:sz w:val="24"/>
        </w:rPr>
        <w:t>22</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2.7 环境管理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_Toc20526 </w:instrText>
      </w:r>
      <w:r>
        <w:rPr>
          <w:rFonts w:ascii="Times New Roman" w:hAnsi="Times New Roman"/>
          <w:sz w:val="24"/>
        </w:rPr>
        <w:fldChar w:fldCharType="separate"/>
      </w:r>
      <w:r>
        <w:rPr>
          <w:rFonts w:ascii="Times New Roman" w:hAnsi="Times New Roman"/>
          <w:sz w:val="24"/>
        </w:rPr>
        <w:t>22</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3.环境风险源及环境风险评价</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_Toc10839 </w:instrText>
      </w:r>
      <w:r>
        <w:rPr>
          <w:rFonts w:ascii="Times New Roman" w:hAnsi="Times New Roman"/>
          <w:sz w:val="24"/>
        </w:rPr>
        <w:fldChar w:fldCharType="separate"/>
      </w:r>
      <w:r>
        <w:rPr>
          <w:rFonts w:ascii="Times New Roman" w:hAnsi="Times New Roman"/>
          <w:sz w:val="24"/>
        </w:rPr>
        <w:t>24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3.1环境风险源识别</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_Toc10892 </w:instrText>
      </w:r>
      <w:r>
        <w:rPr>
          <w:rFonts w:ascii="Times New Roman" w:hAnsi="Times New Roman"/>
          <w:sz w:val="24"/>
        </w:rPr>
        <w:fldChar w:fldCharType="separate"/>
      </w:r>
      <w:r>
        <w:rPr>
          <w:rFonts w:ascii="Times New Roman" w:hAnsi="Times New Roman"/>
          <w:sz w:val="24"/>
        </w:rPr>
        <w:t>24</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3.1.1环境风险定义</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_Toc15181 </w:instrText>
      </w:r>
      <w:r>
        <w:rPr>
          <w:rFonts w:ascii="Times New Roman" w:hAnsi="Times New Roman"/>
          <w:sz w:val="24"/>
        </w:rPr>
        <w:fldChar w:fldCharType="separate"/>
      </w:r>
      <w:r>
        <w:rPr>
          <w:rFonts w:ascii="Times New Roman" w:hAnsi="Times New Roman"/>
          <w:sz w:val="24"/>
        </w:rPr>
        <w:t>24</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3.1.2环境风险物质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_Toc23712 </w:instrText>
      </w:r>
      <w:r>
        <w:rPr>
          <w:rFonts w:ascii="Times New Roman" w:hAnsi="Times New Roman"/>
          <w:sz w:val="24"/>
        </w:rPr>
        <w:fldChar w:fldCharType="separate"/>
      </w:r>
      <w:r>
        <w:rPr>
          <w:rFonts w:ascii="Times New Roman" w:hAnsi="Times New Roman"/>
          <w:sz w:val="24"/>
        </w:rPr>
        <w:t>24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 环境风险分析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_Toc9940 </w:instrText>
      </w:r>
      <w:r>
        <w:rPr>
          <w:rFonts w:ascii="Times New Roman" w:hAnsi="Times New Roman"/>
          <w:sz w:val="24"/>
        </w:rPr>
        <w:fldChar w:fldCharType="separate"/>
      </w:r>
      <w:r>
        <w:rPr>
          <w:rFonts w:ascii="Times New Roman" w:hAnsi="Times New Roman"/>
          <w:sz w:val="24"/>
        </w:rPr>
        <w:t>27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3.2.1 火灾、爆炸</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_Toc729 </w:instrText>
      </w:r>
      <w:r>
        <w:rPr>
          <w:rFonts w:ascii="Times New Roman" w:hAnsi="Times New Roman"/>
          <w:sz w:val="24"/>
        </w:rPr>
        <w:fldChar w:fldCharType="separate"/>
      </w:r>
      <w:r>
        <w:rPr>
          <w:rFonts w:ascii="Times New Roman" w:hAnsi="Times New Roman"/>
          <w:sz w:val="24"/>
        </w:rPr>
        <w:t>27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3.2.2 静电</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_Toc12118 </w:instrText>
      </w:r>
      <w:r>
        <w:rPr>
          <w:rFonts w:ascii="Times New Roman" w:hAnsi="Times New Roman"/>
          <w:sz w:val="24"/>
        </w:rPr>
        <w:fldChar w:fldCharType="separate"/>
      </w:r>
      <w:r>
        <w:rPr>
          <w:rFonts w:ascii="Times New Roman" w:hAnsi="Times New Roman"/>
          <w:sz w:val="24"/>
        </w:rPr>
        <w:t>27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3.2.3 中毒</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_Toc22252 </w:instrText>
      </w:r>
      <w:r>
        <w:rPr>
          <w:rFonts w:ascii="Times New Roman" w:hAnsi="Times New Roman"/>
          <w:sz w:val="24"/>
        </w:rPr>
        <w:fldChar w:fldCharType="separate"/>
      </w:r>
      <w:r>
        <w:rPr>
          <w:rFonts w:ascii="Times New Roman" w:hAnsi="Times New Roman"/>
          <w:sz w:val="24"/>
        </w:rPr>
        <w:t>28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3.2.4 加油站作业风险分析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_Toc19703 </w:instrText>
      </w:r>
      <w:r>
        <w:rPr>
          <w:rFonts w:ascii="Times New Roman" w:hAnsi="Times New Roman"/>
          <w:sz w:val="24"/>
        </w:rPr>
        <w:fldChar w:fldCharType="separate"/>
      </w:r>
      <w:r>
        <w:rPr>
          <w:rFonts w:ascii="Times New Roman" w:hAnsi="Times New Roman"/>
          <w:sz w:val="24"/>
        </w:rPr>
        <w:t>28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3.2.5 非作业事故分析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_Toc2211 </w:instrText>
      </w:r>
      <w:r>
        <w:rPr>
          <w:rFonts w:ascii="Times New Roman" w:hAnsi="Times New Roman"/>
          <w:sz w:val="24"/>
        </w:rPr>
        <w:fldChar w:fldCharType="separate"/>
      </w:r>
      <w:r>
        <w:rPr>
          <w:rFonts w:ascii="Times New Roman" w:hAnsi="Times New Roman"/>
          <w:sz w:val="24"/>
        </w:rPr>
        <w:t>29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3.3风险事故环境影响评价</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_Toc4006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3.3.1油品泄漏引起的环境污染事故</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_Toc21052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3.3.2 火灾、爆炸事故环境影响</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_Toc12941 </w:instrText>
      </w:r>
      <w:r>
        <w:rPr>
          <w:rFonts w:ascii="Times New Roman" w:hAnsi="Times New Roman"/>
          <w:sz w:val="24"/>
        </w:rPr>
        <w:fldChar w:fldCharType="separate"/>
      </w:r>
      <w:r>
        <w:rPr>
          <w:rFonts w:ascii="Times New Roman" w:hAnsi="Times New Roman"/>
          <w:sz w:val="24"/>
        </w:rPr>
        <w:t>30</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3.3.3小结</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_Toc19600 </w:instrText>
      </w:r>
      <w:r>
        <w:rPr>
          <w:rFonts w:ascii="Times New Roman" w:hAnsi="Times New Roman"/>
          <w:sz w:val="24"/>
        </w:rPr>
        <w:fldChar w:fldCharType="separate"/>
      </w:r>
      <w:r>
        <w:rPr>
          <w:rFonts w:ascii="Times New Roman" w:hAnsi="Times New Roman"/>
          <w:sz w:val="24"/>
        </w:rPr>
        <w:t>31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3.4风险事故管理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_Toc29714 </w:instrText>
      </w:r>
      <w:r>
        <w:rPr>
          <w:rFonts w:ascii="Times New Roman" w:hAnsi="Times New Roman"/>
          <w:sz w:val="24"/>
        </w:rPr>
        <w:fldChar w:fldCharType="separate"/>
      </w:r>
      <w:r>
        <w:rPr>
          <w:rFonts w:ascii="Times New Roman" w:hAnsi="Times New Roman"/>
          <w:sz w:val="24"/>
        </w:rPr>
        <w:t>31</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3.4.1环境事故预防措施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_Toc27034 </w:instrText>
      </w:r>
      <w:r>
        <w:rPr>
          <w:rFonts w:ascii="Times New Roman" w:hAnsi="Times New Roman"/>
          <w:sz w:val="24"/>
        </w:rPr>
        <w:fldChar w:fldCharType="separate"/>
      </w:r>
      <w:r>
        <w:rPr>
          <w:rFonts w:ascii="Times New Roman" w:hAnsi="Times New Roman"/>
          <w:sz w:val="24"/>
        </w:rPr>
        <w:t>32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3.4.2环境事故发生后措施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_Toc7880 </w:instrText>
      </w:r>
      <w:r>
        <w:rPr>
          <w:rFonts w:ascii="Times New Roman" w:hAnsi="Times New Roman"/>
          <w:sz w:val="24"/>
        </w:rPr>
        <w:fldChar w:fldCharType="separate"/>
      </w:r>
      <w:r>
        <w:rPr>
          <w:rFonts w:ascii="Times New Roman" w:hAnsi="Times New Roman"/>
          <w:sz w:val="24"/>
        </w:rPr>
        <w:t>33</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eastAsiaTheme="minorEastAsia"/>
          <w:color w:val="000000" w:themeColor="text1"/>
          <w:sz w:val="24"/>
          <w:szCs w:val="30"/>
          <w14:textFill>
            <w14:solidFill>
              <w14:schemeClr w14:val="tx1"/>
            </w14:solidFill>
          </w14:textFill>
        </w:rPr>
        <w:t>4、组织机构和职责</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_Toc28698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eastAsiaTheme="minorEastAsia"/>
          <w:color w:val="000000" w:themeColor="text1"/>
          <w:sz w:val="24"/>
          <w:szCs w:val="24"/>
          <w14:textFill>
            <w14:solidFill>
              <w14:schemeClr w14:val="tx1"/>
            </w14:solidFill>
          </w14:textFill>
        </w:rPr>
        <w:t>4.1应急组织机构体系</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_Toc21250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4.2指挥机构及职责</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_Toc26979 </w:instrText>
      </w:r>
      <w:r>
        <w:rPr>
          <w:rFonts w:ascii="Times New Roman" w:hAnsi="Times New Roman"/>
          <w:sz w:val="24"/>
        </w:rPr>
        <w:fldChar w:fldCharType="separate"/>
      </w:r>
      <w:r>
        <w:rPr>
          <w:rFonts w:ascii="Times New Roman" w:hAnsi="Times New Roman"/>
          <w:sz w:val="24"/>
        </w:rPr>
        <w:t>36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4.3应急指挥运行机制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_Toc24037 </w:instrText>
      </w:r>
      <w:r>
        <w:rPr>
          <w:rFonts w:ascii="Times New Roman" w:hAnsi="Times New Roman"/>
          <w:sz w:val="24"/>
        </w:rPr>
        <w:fldChar w:fldCharType="separate"/>
      </w:r>
      <w:r>
        <w:rPr>
          <w:rFonts w:ascii="Times New Roman" w:hAnsi="Times New Roman"/>
          <w:sz w:val="24"/>
        </w:rPr>
        <w:t>39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4.4加油站现场应急处理分级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_Toc15005 </w:instrText>
      </w:r>
      <w:r>
        <w:rPr>
          <w:rFonts w:ascii="Times New Roman" w:hAnsi="Times New Roman"/>
          <w:sz w:val="24"/>
        </w:rPr>
        <w:fldChar w:fldCharType="separate"/>
      </w:r>
      <w:r>
        <w:rPr>
          <w:rFonts w:ascii="Times New Roman" w:hAnsi="Times New Roman"/>
          <w:sz w:val="24"/>
        </w:rPr>
        <w:t>39</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5.预防和预警</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_Toc4655 </w:instrText>
      </w:r>
      <w:r>
        <w:rPr>
          <w:rFonts w:ascii="Times New Roman" w:hAnsi="Times New Roman"/>
          <w:sz w:val="24"/>
        </w:rPr>
        <w:fldChar w:fldCharType="separate"/>
      </w:r>
      <w:r>
        <w:rPr>
          <w:rFonts w:ascii="Times New Roman" w:hAnsi="Times New Roman"/>
          <w:sz w:val="24"/>
        </w:rPr>
        <w:t>41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5.1预防</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_Toc11513 </w:instrText>
      </w:r>
      <w:r>
        <w:rPr>
          <w:rFonts w:ascii="Times New Roman" w:hAnsi="Times New Roman"/>
          <w:sz w:val="24"/>
        </w:rPr>
        <w:fldChar w:fldCharType="separate"/>
      </w:r>
      <w:r>
        <w:rPr>
          <w:rFonts w:ascii="Times New Roman" w:hAnsi="Times New Roman"/>
          <w:sz w:val="24"/>
        </w:rPr>
        <w:t>41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5.2环境风险源监控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_Toc30731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5.2.1主要危险源及监控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_Toc1198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5.2.2危险目标周围可利用的安全、消防、个体防护的设备、器材</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_Toc5290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5.3应急能力评估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_Toc1209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5.3.1应急队伍、装备、物资</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_Toc20343 </w:instrText>
      </w:r>
      <w:r>
        <w:rPr>
          <w:rFonts w:ascii="Times New Roman" w:hAnsi="Times New Roman"/>
          <w:sz w:val="24"/>
        </w:rPr>
        <w:fldChar w:fldCharType="separate"/>
      </w:r>
      <w:r>
        <w:rPr>
          <w:rFonts w:ascii="Times New Roman" w:hAnsi="Times New Roman"/>
          <w:sz w:val="24"/>
        </w:rPr>
        <w:t>42</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5.3.2评估结论</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_Toc28079 </w:instrText>
      </w:r>
      <w:r>
        <w:rPr>
          <w:rFonts w:ascii="Times New Roman" w:hAnsi="Times New Roman"/>
          <w:sz w:val="24"/>
        </w:rPr>
        <w:fldChar w:fldCharType="separate"/>
      </w:r>
      <w:r>
        <w:rPr>
          <w:rFonts w:ascii="Times New Roman" w:hAnsi="Times New Roman"/>
          <w:sz w:val="24"/>
        </w:rPr>
        <w:t>43</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kern w:val="44"/>
          <w:sz w:val="24"/>
          <w:szCs w:val="24"/>
          <w14:textFill>
            <w14:solidFill>
              <w14:schemeClr w14:val="tx1"/>
            </w14:solidFill>
          </w14:textFill>
        </w:rPr>
        <w:t>5.4预警行动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_Toc27169 </w:instrText>
      </w:r>
      <w:r>
        <w:rPr>
          <w:rFonts w:ascii="Times New Roman" w:hAnsi="Times New Roman"/>
          <w:sz w:val="24"/>
        </w:rPr>
        <w:fldChar w:fldCharType="separate"/>
      </w:r>
      <w:r>
        <w:rPr>
          <w:rFonts w:ascii="Times New Roman" w:hAnsi="Times New Roman"/>
          <w:sz w:val="24"/>
        </w:rPr>
        <w:t>44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5.5报警、通讯联络方式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_Toc14381 </w:instrText>
      </w:r>
      <w:r>
        <w:rPr>
          <w:rFonts w:ascii="Times New Roman" w:hAnsi="Times New Roman"/>
          <w:sz w:val="24"/>
        </w:rPr>
        <w:fldChar w:fldCharType="separate"/>
      </w:r>
      <w:r>
        <w:rPr>
          <w:rFonts w:ascii="Times New Roman" w:hAnsi="Times New Roman"/>
          <w:sz w:val="24"/>
        </w:rPr>
        <w:t>46</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5.5.1事故报警与救援程序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_Toc27094 </w:instrText>
      </w:r>
      <w:r>
        <w:rPr>
          <w:rFonts w:ascii="Times New Roman" w:hAnsi="Times New Roman"/>
          <w:sz w:val="24"/>
        </w:rPr>
        <w:fldChar w:fldCharType="separate"/>
      </w:r>
      <w:r>
        <w:rPr>
          <w:rFonts w:ascii="Times New Roman" w:hAnsi="Times New Roman"/>
          <w:sz w:val="24"/>
        </w:rPr>
        <w:t>46</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5.5.1 报警联络方式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_Toc4000 </w:instrText>
      </w:r>
      <w:r>
        <w:rPr>
          <w:rFonts w:ascii="Times New Roman" w:hAnsi="Times New Roman"/>
          <w:sz w:val="24"/>
        </w:rPr>
        <w:fldChar w:fldCharType="separate"/>
      </w:r>
      <w:r>
        <w:rPr>
          <w:rFonts w:ascii="Times New Roman" w:hAnsi="Times New Roman"/>
          <w:sz w:val="24"/>
        </w:rPr>
        <w:t>47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5.5.2 内部通讯方式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_Toc862 </w:instrText>
      </w:r>
      <w:r>
        <w:rPr>
          <w:rFonts w:ascii="Times New Roman" w:hAnsi="Times New Roman"/>
          <w:sz w:val="24"/>
        </w:rPr>
        <w:fldChar w:fldCharType="separate"/>
      </w:r>
      <w:r>
        <w:rPr>
          <w:rFonts w:ascii="Times New Roman" w:hAnsi="Times New Roman"/>
          <w:sz w:val="24"/>
        </w:rPr>
        <w:t>47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5.5.3 外部通讯方式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_Toc30850 </w:instrText>
      </w:r>
      <w:r>
        <w:rPr>
          <w:rFonts w:ascii="Times New Roman" w:hAnsi="Times New Roman"/>
          <w:sz w:val="24"/>
        </w:rPr>
        <w:fldChar w:fldCharType="separate"/>
      </w:r>
      <w:r>
        <w:rPr>
          <w:rFonts w:ascii="Times New Roman" w:hAnsi="Times New Roman"/>
          <w:sz w:val="24"/>
        </w:rPr>
        <w:t>47</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6、信息报告与通报</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_Toc26866 </w:instrText>
      </w:r>
      <w:r>
        <w:rPr>
          <w:rFonts w:ascii="Times New Roman" w:hAnsi="Times New Roman"/>
          <w:sz w:val="24"/>
        </w:rPr>
        <w:fldChar w:fldCharType="separate"/>
      </w:r>
      <w:r>
        <w:rPr>
          <w:rFonts w:ascii="Times New Roman" w:hAnsi="Times New Roman"/>
          <w:sz w:val="24"/>
        </w:rPr>
        <w:t>49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6.1信息报告</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_Toc9528 </w:instrText>
      </w:r>
      <w:r>
        <w:rPr>
          <w:rFonts w:ascii="Times New Roman" w:hAnsi="Times New Roman"/>
          <w:sz w:val="24"/>
        </w:rPr>
        <w:fldChar w:fldCharType="separate"/>
      </w:r>
      <w:r>
        <w:rPr>
          <w:rFonts w:ascii="Times New Roman" w:hAnsi="Times New Roman"/>
          <w:sz w:val="24"/>
        </w:rPr>
        <w:t>49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6.1.1信息报告程序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_Toc4112 </w:instrText>
      </w:r>
      <w:r>
        <w:rPr>
          <w:rFonts w:ascii="Times New Roman" w:hAnsi="Times New Roman"/>
          <w:sz w:val="24"/>
        </w:rPr>
        <w:fldChar w:fldCharType="separate"/>
      </w:r>
      <w:r>
        <w:rPr>
          <w:rFonts w:ascii="Times New Roman" w:hAnsi="Times New Roman"/>
          <w:sz w:val="24"/>
        </w:rPr>
        <w:t>49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6.1.2事故报告内容</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_Toc22332 </w:instrText>
      </w:r>
      <w:r>
        <w:rPr>
          <w:rFonts w:ascii="Times New Roman" w:hAnsi="Times New Roman"/>
          <w:sz w:val="24"/>
        </w:rPr>
        <w:fldChar w:fldCharType="separate"/>
      </w:r>
      <w:r>
        <w:rPr>
          <w:rFonts w:ascii="Times New Roman" w:hAnsi="Times New Roman"/>
          <w:sz w:val="24"/>
        </w:rPr>
        <w:t>49</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6.2信息上报</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_Toc30353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6.3信息传递</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_Toc22069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6.4 信息发布</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_Toc27086 </w:instrText>
      </w:r>
      <w:r>
        <w:rPr>
          <w:rFonts w:ascii="Times New Roman" w:hAnsi="Times New Roman"/>
          <w:sz w:val="24"/>
        </w:rPr>
        <w:fldChar w:fldCharType="separate"/>
      </w:r>
      <w:r>
        <w:rPr>
          <w:rFonts w:ascii="Times New Roman" w:hAnsi="Times New Roman"/>
          <w:sz w:val="24"/>
        </w:rPr>
        <w:t>50</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7、应急响应与措施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_Toc5416 </w:instrText>
      </w:r>
      <w:r>
        <w:rPr>
          <w:rFonts w:ascii="Times New Roman" w:hAnsi="Times New Roman"/>
          <w:sz w:val="24"/>
        </w:rPr>
        <w:fldChar w:fldCharType="separate"/>
      </w:r>
      <w:r>
        <w:rPr>
          <w:rFonts w:ascii="Times New Roman" w:hAnsi="Times New Roman"/>
          <w:sz w:val="24"/>
        </w:rPr>
        <w:t>51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7.1分级响应机制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_Toc10138 </w:instrText>
      </w:r>
      <w:r>
        <w:rPr>
          <w:rFonts w:ascii="Times New Roman" w:hAnsi="Times New Roman"/>
          <w:sz w:val="24"/>
        </w:rPr>
        <w:fldChar w:fldCharType="separate"/>
      </w:r>
      <w:r>
        <w:rPr>
          <w:rFonts w:ascii="Times New Roman" w:hAnsi="Times New Roman"/>
          <w:sz w:val="24"/>
        </w:rPr>
        <w:t>51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7.2响应程序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_Toc7664 </w:instrText>
      </w:r>
      <w:r>
        <w:rPr>
          <w:rFonts w:ascii="Times New Roman" w:hAnsi="Times New Roman"/>
          <w:sz w:val="24"/>
        </w:rPr>
        <w:fldChar w:fldCharType="separate"/>
      </w:r>
      <w:r>
        <w:rPr>
          <w:rFonts w:ascii="Times New Roman" w:hAnsi="Times New Roman"/>
          <w:sz w:val="24"/>
        </w:rPr>
        <w:t>52</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7.3应急措施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_Toc23954 </w:instrText>
      </w:r>
      <w:r>
        <w:rPr>
          <w:rFonts w:ascii="Times New Roman" w:hAnsi="Times New Roman"/>
          <w:sz w:val="24"/>
        </w:rPr>
        <w:fldChar w:fldCharType="separate"/>
      </w:r>
      <w:r>
        <w:rPr>
          <w:rFonts w:ascii="Times New Roman" w:hAnsi="Times New Roman"/>
          <w:sz w:val="24"/>
        </w:rPr>
        <w:t>52</w:t>
      </w:r>
      <w:r>
        <w:rPr>
          <w:rFonts w:ascii="Times New Roman" w:hAnsi="Times New Roman"/>
          <w:sz w:val="24"/>
        </w:rPr>
        <w:fldChar w:fldCharType="end"/>
      </w:r>
    </w:p>
    <w:p>
      <w:pPr>
        <w:pStyle w:val="8"/>
        <w:tabs>
          <w:tab w:val="right" w:leader="dot" w:pos="9136"/>
        </w:tabs>
        <w:rPr>
          <w:rFonts w:ascii="Times New Roman" w:hAnsi="Times New Roman"/>
          <w:sz w:val="24"/>
        </w:rPr>
      </w:pPr>
      <w:r>
        <w:rPr>
          <w:rFonts w:hint="eastAsia" w:ascii="Times New Roman" w:hAnsi="Times New Roman" w:cs="Times New Roman"/>
          <w:color w:val="000000" w:themeColor="text1"/>
          <w:sz w:val="24"/>
          <w:szCs w:val="24"/>
          <w14:textFill>
            <w14:solidFill>
              <w14:schemeClr w14:val="tx1"/>
            </w14:solidFill>
          </w14:textFill>
        </w:rPr>
        <w:t>7.3.1 预案启动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_Toc6778 </w:instrText>
      </w:r>
      <w:r>
        <w:rPr>
          <w:rFonts w:ascii="Times New Roman" w:hAnsi="Times New Roman"/>
          <w:sz w:val="24"/>
        </w:rPr>
        <w:fldChar w:fldCharType="separate"/>
      </w:r>
      <w:r>
        <w:rPr>
          <w:rFonts w:ascii="Times New Roman" w:hAnsi="Times New Roman"/>
          <w:sz w:val="24"/>
        </w:rPr>
        <w:t>53</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7.3.2 作业现场、油罐区跑、冒、滴、漏应急处理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_Toc52 </w:instrText>
      </w:r>
      <w:r>
        <w:rPr>
          <w:rFonts w:ascii="Times New Roman" w:hAnsi="Times New Roman"/>
          <w:sz w:val="24"/>
        </w:rPr>
        <w:fldChar w:fldCharType="separate"/>
      </w:r>
      <w:r>
        <w:rPr>
          <w:rFonts w:ascii="Times New Roman" w:hAnsi="Times New Roman"/>
          <w:sz w:val="24"/>
        </w:rPr>
        <w:t>53</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7.3.3 加油、卸油现场火灾应急处理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_Toc31521 </w:instrText>
      </w:r>
      <w:r>
        <w:rPr>
          <w:rFonts w:ascii="Times New Roman" w:hAnsi="Times New Roman"/>
          <w:sz w:val="24"/>
        </w:rPr>
        <w:fldChar w:fldCharType="separate"/>
      </w:r>
      <w:r>
        <w:rPr>
          <w:rFonts w:ascii="Times New Roman" w:hAnsi="Times New Roman"/>
          <w:sz w:val="24"/>
        </w:rPr>
        <w:t>55</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7.3.4车辆火灾应急处理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_Toc16825 </w:instrText>
      </w:r>
      <w:r>
        <w:rPr>
          <w:rFonts w:ascii="Times New Roman" w:hAnsi="Times New Roman"/>
          <w:sz w:val="24"/>
        </w:rPr>
        <w:fldChar w:fldCharType="separate"/>
      </w:r>
      <w:r>
        <w:rPr>
          <w:rFonts w:ascii="Times New Roman" w:hAnsi="Times New Roman"/>
          <w:sz w:val="24"/>
        </w:rPr>
        <w:t>56</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7.3.5电器火灾应急处理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_Toc21702 </w:instrText>
      </w:r>
      <w:r>
        <w:rPr>
          <w:rFonts w:ascii="Times New Roman" w:hAnsi="Times New Roman"/>
          <w:sz w:val="24"/>
        </w:rPr>
        <w:fldChar w:fldCharType="separate"/>
      </w:r>
      <w:r>
        <w:rPr>
          <w:rFonts w:ascii="Times New Roman" w:hAnsi="Times New Roman"/>
          <w:sz w:val="24"/>
        </w:rPr>
        <w:t>57</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7.3.6人员中毒应急处理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_Toc80 </w:instrText>
      </w:r>
      <w:r>
        <w:rPr>
          <w:rFonts w:ascii="Times New Roman" w:hAnsi="Times New Roman"/>
          <w:sz w:val="24"/>
        </w:rPr>
        <w:fldChar w:fldCharType="separate"/>
      </w:r>
      <w:r>
        <w:rPr>
          <w:rFonts w:ascii="Times New Roman" w:hAnsi="Times New Roman"/>
          <w:sz w:val="24"/>
        </w:rPr>
        <w:t>58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7.3.7混油应急处理</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_Toc17419 </w:instrText>
      </w:r>
      <w:r>
        <w:rPr>
          <w:rFonts w:ascii="Times New Roman" w:hAnsi="Times New Roman"/>
          <w:sz w:val="24"/>
        </w:rPr>
        <w:fldChar w:fldCharType="separate"/>
      </w:r>
      <w:r>
        <w:rPr>
          <w:rFonts w:ascii="Times New Roman" w:hAnsi="Times New Roman"/>
          <w:sz w:val="24"/>
        </w:rPr>
        <w:t>59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7.3.8</w:t>
      </w:r>
      <w:r>
        <w:rPr>
          <w:rFonts w:ascii="Times New Roman" w:hAnsi="Times New Roman" w:cs="Times New Roman"/>
          <w:color w:val="000000" w:themeColor="text1"/>
          <w:sz w:val="24"/>
          <w:szCs w:val="24"/>
          <w:lang w:val="zh-CN"/>
          <w14:textFill>
            <w14:solidFill>
              <w14:schemeClr w14:val="tx1"/>
            </w14:solidFill>
          </w14:textFill>
        </w:rPr>
        <w:t>危险废物污染防范措施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_Toc2176 </w:instrText>
      </w:r>
      <w:r>
        <w:rPr>
          <w:rFonts w:ascii="Times New Roman" w:hAnsi="Times New Roman"/>
          <w:sz w:val="24"/>
        </w:rPr>
        <w:fldChar w:fldCharType="separate"/>
      </w:r>
      <w:r>
        <w:rPr>
          <w:rFonts w:ascii="Times New Roman" w:hAnsi="Times New Roman"/>
          <w:sz w:val="24"/>
        </w:rPr>
        <w:t>60</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7.4 应急监测</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_Toc9250 </w:instrText>
      </w:r>
      <w:r>
        <w:rPr>
          <w:rFonts w:ascii="Times New Roman" w:hAnsi="Times New Roman"/>
          <w:sz w:val="24"/>
        </w:rPr>
        <w:fldChar w:fldCharType="separate"/>
      </w:r>
      <w:r>
        <w:rPr>
          <w:rFonts w:ascii="Times New Roman" w:hAnsi="Times New Roman"/>
          <w:sz w:val="24"/>
        </w:rPr>
        <w:t>60</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7.5应急终止</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_Toc3691 </w:instrText>
      </w:r>
      <w:r>
        <w:rPr>
          <w:rFonts w:ascii="Times New Roman" w:hAnsi="Times New Roman"/>
          <w:sz w:val="24"/>
        </w:rPr>
        <w:fldChar w:fldCharType="separate"/>
      </w:r>
      <w:r>
        <w:rPr>
          <w:rFonts w:ascii="Times New Roman" w:hAnsi="Times New Roman"/>
          <w:sz w:val="24"/>
        </w:rPr>
        <w:t>64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7.6应急终止后的行动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_Toc28530 </w:instrText>
      </w:r>
      <w:r>
        <w:rPr>
          <w:rFonts w:ascii="Times New Roman" w:hAnsi="Times New Roman"/>
          <w:sz w:val="24"/>
        </w:rPr>
        <w:fldChar w:fldCharType="separate"/>
      </w:r>
      <w:r>
        <w:rPr>
          <w:rFonts w:ascii="Times New Roman" w:hAnsi="Times New Roman"/>
          <w:sz w:val="24"/>
        </w:rPr>
        <w:t>64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7.7应急安全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_Toc9830 </w:instrText>
      </w:r>
      <w:r>
        <w:rPr>
          <w:rFonts w:ascii="Times New Roman" w:hAnsi="Times New Roman"/>
          <w:sz w:val="24"/>
        </w:rPr>
        <w:fldChar w:fldCharType="separate"/>
      </w:r>
      <w:r>
        <w:rPr>
          <w:rFonts w:ascii="Times New Roman" w:hAnsi="Times New Roman"/>
          <w:sz w:val="24"/>
        </w:rPr>
        <w:t>65</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7.7.1应急人员的安全防护</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_Toc1633 </w:instrText>
      </w:r>
      <w:r>
        <w:rPr>
          <w:rFonts w:ascii="Times New Roman" w:hAnsi="Times New Roman"/>
          <w:sz w:val="24"/>
        </w:rPr>
        <w:fldChar w:fldCharType="separate"/>
      </w:r>
      <w:r>
        <w:rPr>
          <w:rFonts w:ascii="Times New Roman" w:hAnsi="Times New Roman"/>
          <w:sz w:val="24"/>
        </w:rPr>
        <w:t>65</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7.7.2受灾群众的安全防护</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_Toc24344 </w:instrText>
      </w:r>
      <w:r>
        <w:rPr>
          <w:rFonts w:ascii="Times New Roman" w:hAnsi="Times New Roman"/>
          <w:sz w:val="24"/>
        </w:rPr>
        <w:fldChar w:fldCharType="separate"/>
      </w:r>
      <w:r>
        <w:rPr>
          <w:rFonts w:ascii="Times New Roman" w:hAnsi="Times New Roman"/>
          <w:sz w:val="24"/>
        </w:rPr>
        <w:t>65</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8、保障措施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_Toc5484 </w:instrText>
      </w:r>
      <w:r>
        <w:rPr>
          <w:rFonts w:ascii="Times New Roman" w:hAnsi="Times New Roman"/>
          <w:sz w:val="24"/>
        </w:rPr>
        <w:fldChar w:fldCharType="separate"/>
      </w:r>
      <w:r>
        <w:rPr>
          <w:rFonts w:ascii="Times New Roman" w:hAnsi="Times New Roman"/>
          <w:sz w:val="24"/>
        </w:rPr>
        <w:t>66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8.1通信与信息保障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_Toc29112 </w:instrText>
      </w:r>
      <w:r>
        <w:rPr>
          <w:rFonts w:ascii="Times New Roman" w:hAnsi="Times New Roman"/>
          <w:sz w:val="24"/>
        </w:rPr>
        <w:fldChar w:fldCharType="separate"/>
      </w:r>
      <w:r>
        <w:rPr>
          <w:rFonts w:ascii="Times New Roman" w:hAnsi="Times New Roman"/>
          <w:sz w:val="24"/>
        </w:rPr>
        <w:t>66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8.2应急队伍保障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_Toc23790 </w:instrText>
      </w:r>
      <w:r>
        <w:rPr>
          <w:rFonts w:ascii="Times New Roman" w:hAnsi="Times New Roman"/>
          <w:sz w:val="24"/>
        </w:rPr>
        <w:fldChar w:fldCharType="separate"/>
      </w:r>
      <w:r>
        <w:rPr>
          <w:rFonts w:ascii="Times New Roman" w:hAnsi="Times New Roman"/>
          <w:sz w:val="24"/>
        </w:rPr>
        <w:t>66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8.3应急物资装备保障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_Toc24875 </w:instrText>
      </w:r>
      <w:r>
        <w:rPr>
          <w:rFonts w:ascii="Times New Roman" w:hAnsi="Times New Roman"/>
          <w:sz w:val="24"/>
        </w:rPr>
        <w:fldChar w:fldCharType="separate"/>
      </w:r>
      <w:r>
        <w:rPr>
          <w:rFonts w:ascii="Times New Roman" w:hAnsi="Times New Roman"/>
          <w:sz w:val="24"/>
        </w:rPr>
        <w:t>66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8.4经费保障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_Toc28750 </w:instrText>
      </w:r>
      <w:r>
        <w:rPr>
          <w:rFonts w:ascii="Times New Roman" w:hAnsi="Times New Roman"/>
          <w:sz w:val="24"/>
        </w:rPr>
        <w:fldChar w:fldCharType="separate"/>
      </w:r>
      <w:r>
        <w:rPr>
          <w:rFonts w:ascii="Times New Roman" w:hAnsi="Times New Roman"/>
          <w:sz w:val="24"/>
        </w:rPr>
        <w:t>66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8.5应急技术保障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_Toc26374 </w:instrText>
      </w:r>
      <w:r>
        <w:rPr>
          <w:rFonts w:ascii="Times New Roman" w:hAnsi="Times New Roman"/>
          <w:sz w:val="24"/>
        </w:rPr>
        <w:fldChar w:fldCharType="separate"/>
      </w:r>
      <w:r>
        <w:rPr>
          <w:rFonts w:ascii="Times New Roman" w:hAnsi="Times New Roman"/>
          <w:sz w:val="24"/>
        </w:rPr>
        <w:t>67</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8.6应急救援保障</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_Toc28522 </w:instrText>
      </w:r>
      <w:r>
        <w:rPr>
          <w:rFonts w:ascii="Times New Roman" w:hAnsi="Times New Roman"/>
          <w:sz w:val="24"/>
        </w:rPr>
        <w:fldChar w:fldCharType="separate"/>
      </w:r>
      <w:r>
        <w:rPr>
          <w:rFonts w:ascii="Times New Roman" w:hAnsi="Times New Roman"/>
          <w:sz w:val="24"/>
        </w:rPr>
        <w:t>67</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8.7次生灾害安全防护</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_Toc17866 </w:instrText>
      </w:r>
      <w:r>
        <w:rPr>
          <w:rFonts w:ascii="Times New Roman" w:hAnsi="Times New Roman"/>
          <w:sz w:val="24"/>
        </w:rPr>
        <w:fldChar w:fldCharType="separate"/>
      </w:r>
      <w:r>
        <w:rPr>
          <w:rFonts w:ascii="Times New Roman" w:hAnsi="Times New Roman"/>
          <w:sz w:val="24"/>
        </w:rPr>
        <w:t>68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8.7.1次生灾害类别</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_Toc5234 </w:instrText>
      </w:r>
      <w:r>
        <w:rPr>
          <w:rFonts w:ascii="Times New Roman" w:hAnsi="Times New Roman"/>
          <w:sz w:val="24"/>
        </w:rPr>
        <w:fldChar w:fldCharType="separate"/>
      </w:r>
      <w:r>
        <w:rPr>
          <w:rFonts w:ascii="Times New Roman" w:hAnsi="Times New Roman"/>
          <w:sz w:val="24"/>
        </w:rPr>
        <w:t>68</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8.7.2安全防护措施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_Toc4563 </w:instrText>
      </w:r>
      <w:r>
        <w:rPr>
          <w:rFonts w:ascii="Times New Roman" w:hAnsi="Times New Roman"/>
          <w:sz w:val="24"/>
        </w:rPr>
        <w:fldChar w:fldCharType="separate"/>
      </w:r>
      <w:r>
        <w:rPr>
          <w:rFonts w:ascii="Times New Roman" w:hAnsi="Times New Roman"/>
          <w:sz w:val="24"/>
        </w:rPr>
        <w:t>68</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8.8后期处置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_Toc406 </w:instrText>
      </w:r>
      <w:r>
        <w:rPr>
          <w:rFonts w:ascii="Times New Roman" w:hAnsi="Times New Roman"/>
          <w:sz w:val="24"/>
        </w:rPr>
        <w:fldChar w:fldCharType="separate"/>
      </w:r>
      <w:r>
        <w:rPr>
          <w:rFonts w:ascii="Times New Roman" w:hAnsi="Times New Roman"/>
          <w:sz w:val="24"/>
        </w:rPr>
        <w:t>69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8.8.1善后处置</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_Toc20167 </w:instrText>
      </w:r>
      <w:r>
        <w:rPr>
          <w:rFonts w:ascii="Times New Roman" w:hAnsi="Times New Roman"/>
          <w:sz w:val="24"/>
        </w:rPr>
        <w:fldChar w:fldCharType="separate"/>
      </w:r>
      <w:r>
        <w:rPr>
          <w:rFonts w:ascii="Times New Roman" w:hAnsi="Times New Roman"/>
          <w:sz w:val="24"/>
        </w:rPr>
        <w:t>69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8.8.2保险</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_Toc21815 </w:instrText>
      </w:r>
      <w:r>
        <w:rPr>
          <w:rFonts w:ascii="Times New Roman" w:hAnsi="Times New Roman"/>
          <w:sz w:val="24"/>
        </w:rPr>
        <w:fldChar w:fldCharType="separate"/>
      </w:r>
      <w:r>
        <w:rPr>
          <w:rFonts w:ascii="Times New Roman" w:hAnsi="Times New Roman"/>
          <w:sz w:val="24"/>
        </w:rPr>
        <w:t>69</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8.8.3工作总结与评价</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_Toc28048 </w:instrText>
      </w:r>
      <w:r>
        <w:rPr>
          <w:rFonts w:ascii="Times New Roman" w:hAnsi="Times New Roman"/>
          <w:sz w:val="24"/>
        </w:rPr>
        <w:fldChar w:fldCharType="separate"/>
      </w:r>
      <w:r>
        <w:rPr>
          <w:rFonts w:ascii="Times New Roman" w:hAnsi="Times New Roman"/>
          <w:sz w:val="24"/>
        </w:rPr>
        <w:t>69</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9、培训与演练</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_Toc116 </w:instrText>
      </w:r>
      <w:r>
        <w:rPr>
          <w:rFonts w:ascii="Times New Roman" w:hAnsi="Times New Roman"/>
          <w:sz w:val="24"/>
        </w:rPr>
        <w:fldChar w:fldCharType="separate"/>
      </w:r>
      <w:r>
        <w:rPr>
          <w:rFonts w:ascii="Times New Roman" w:hAnsi="Times New Roman"/>
          <w:sz w:val="24"/>
        </w:rPr>
        <w:t>71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9.1培训</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_Toc22317 </w:instrText>
      </w:r>
      <w:r>
        <w:rPr>
          <w:rFonts w:ascii="Times New Roman" w:hAnsi="Times New Roman"/>
          <w:sz w:val="24"/>
        </w:rPr>
        <w:fldChar w:fldCharType="separate"/>
      </w:r>
      <w:r>
        <w:rPr>
          <w:rFonts w:ascii="Times New Roman" w:hAnsi="Times New Roman"/>
          <w:sz w:val="24"/>
        </w:rPr>
        <w:t>71</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9.2演练</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_Toc31562 </w:instrText>
      </w:r>
      <w:r>
        <w:rPr>
          <w:rFonts w:ascii="Times New Roman" w:hAnsi="Times New Roman"/>
          <w:sz w:val="24"/>
        </w:rPr>
        <w:fldChar w:fldCharType="separate"/>
      </w:r>
      <w:r>
        <w:rPr>
          <w:rFonts w:ascii="Times New Roman" w:hAnsi="Times New Roman"/>
          <w:sz w:val="24"/>
        </w:rPr>
        <w:t>72</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9.3记录与考核</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_Toc21196 </w:instrText>
      </w:r>
      <w:r>
        <w:rPr>
          <w:rFonts w:ascii="Times New Roman" w:hAnsi="Times New Roman"/>
          <w:sz w:val="24"/>
        </w:rPr>
        <w:fldChar w:fldCharType="separate"/>
      </w:r>
      <w:r>
        <w:rPr>
          <w:rFonts w:ascii="Times New Roman" w:hAnsi="Times New Roman"/>
          <w:sz w:val="24"/>
        </w:rPr>
        <w:t>73</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10、奖惩</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_Toc2729 </w:instrText>
      </w:r>
      <w:r>
        <w:rPr>
          <w:rFonts w:ascii="Times New Roman" w:hAnsi="Times New Roman"/>
          <w:sz w:val="24"/>
        </w:rPr>
        <w:fldChar w:fldCharType="separate"/>
      </w:r>
      <w:r>
        <w:rPr>
          <w:rFonts w:ascii="Times New Roman" w:hAnsi="Times New Roman"/>
          <w:sz w:val="24"/>
        </w:rPr>
        <w:t>74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10.1事故应急救援工作实行奖励制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_Toc18968 </w:instrText>
      </w:r>
      <w:r>
        <w:rPr>
          <w:rFonts w:ascii="Times New Roman" w:hAnsi="Times New Roman"/>
          <w:sz w:val="24"/>
        </w:rPr>
        <w:fldChar w:fldCharType="separate"/>
      </w:r>
      <w:r>
        <w:rPr>
          <w:rFonts w:ascii="Times New Roman" w:hAnsi="Times New Roman"/>
          <w:sz w:val="24"/>
        </w:rPr>
        <w:t>74</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10.2事故应急救援工作实行责任追究制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_Toc12324 </w:instrText>
      </w:r>
      <w:r>
        <w:rPr>
          <w:rFonts w:ascii="Times New Roman" w:hAnsi="Times New Roman"/>
          <w:sz w:val="24"/>
        </w:rPr>
        <w:fldChar w:fldCharType="separate"/>
      </w:r>
      <w:r>
        <w:rPr>
          <w:rFonts w:ascii="Times New Roman" w:hAnsi="Times New Roman"/>
          <w:sz w:val="24"/>
        </w:rPr>
        <w:t>74</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11、预案的评审、备案、发布和更新</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_Toc17573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11.1预案评审</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_Toc22566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11.2预案备案</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_Toc31690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11.3预案发布与发放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_Toc17108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11.4应急预案的修订</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_Toc12930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11.4.1应急预案在下列情况下，应对应急预案及时修订</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_Toc17671 </w:instrText>
      </w:r>
      <w:r>
        <w:rPr>
          <w:rFonts w:ascii="Times New Roman" w:hAnsi="Times New Roman"/>
          <w:sz w:val="24"/>
        </w:rPr>
        <w:fldChar w:fldCharType="separate"/>
      </w:r>
      <w:r>
        <w:rPr>
          <w:rFonts w:ascii="Times New Roman" w:hAnsi="Times New Roman"/>
          <w:sz w:val="24"/>
        </w:rPr>
        <w:t>75</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11.4.2应急预案更改、修订程序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_Toc6396 </w:instrText>
      </w:r>
      <w:r>
        <w:rPr>
          <w:rFonts w:ascii="Times New Roman" w:hAnsi="Times New Roman"/>
          <w:sz w:val="24"/>
        </w:rPr>
        <w:fldChar w:fldCharType="separate"/>
      </w:r>
      <w:r>
        <w:rPr>
          <w:rFonts w:ascii="Times New Roman" w:hAnsi="Times New Roman"/>
          <w:sz w:val="24"/>
        </w:rPr>
        <w:t>76</w:t>
      </w:r>
      <w:r>
        <w:rPr>
          <w:rFonts w:ascii="Times New Roman" w:hAnsi="Times New Roman"/>
          <w:sz w:val="24"/>
        </w:rPr>
        <w:fldChar w:fldCharType="end"/>
      </w:r>
    </w:p>
    <w:p>
      <w:pPr>
        <w:pStyle w:val="8"/>
        <w:tabs>
          <w:tab w:val="right" w:leader="dot" w:pos="9136"/>
        </w:tabs>
        <w:rPr>
          <w:rFonts w:ascii="Times New Roman" w:hAnsi="Times New Roman"/>
          <w:sz w:val="24"/>
        </w:rPr>
      </w:pPr>
      <w:r>
        <w:rPr>
          <w:rFonts w:ascii="Times New Roman" w:hAnsi="Times New Roman" w:cs="Times New Roman"/>
          <w:color w:val="000000" w:themeColor="text1"/>
          <w:sz w:val="24"/>
          <w:szCs w:val="24"/>
          <w14:textFill>
            <w14:solidFill>
              <w14:schemeClr w14:val="tx1"/>
            </w14:solidFill>
          </w14:textFill>
        </w:rPr>
        <w:t>11.5 预案签署和解释</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_Toc10751 </w:instrText>
      </w:r>
      <w:r>
        <w:rPr>
          <w:rFonts w:ascii="Times New Roman" w:hAnsi="Times New Roman"/>
          <w:sz w:val="24"/>
        </w:rPr>
        <w:fldChar w:fldCharType="separate"/>
      </w:r>
      <w:r>
        <w:rPr>
          <w:rFonts w:ascii="Times New Roman" w:hAnsi="Times New Roman"/>
          <w:sz w:val="24"/>
        </w:rPr>
        <w:t>76</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11.6预案的实施</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_Toc516 </w:instrText>
      </w:r>
      <w:r>
        <w:rPr>
          <w:rFonts w:ascii="Times New Roman" w:hAnsi="Times New Roman"/>
          <w:sz w:val="24"/>
        </w:rPr>
        <w:fldChar w:fldCharType="separate"/>
      </w:r>
      <w:r>
        <w:rPr>
          <w:rFonts w:ascii="Times New Roman" w:hAnsi="Times New Roman"/>
          <w:sz w:val="24"/>
        </w:rPr>
        <w:t>76</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12、附 则-名词术语、定义</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_Toc955 </w:instrText>
      </w:r>
      <w:r>
        <w:rPr>
          <w:rFonts w:ascii="Times New Roman" w:hAnsi="Times New Roman"/>
          <w:sz w:val="24"/>
        </w:rPr>
        <w:fldChar w:fldCharType="separate"/>
      </w:r>
      <w:r>
        <w:rPr>
          <w:rFonts w:ascii="Times New Roman" w:hAnsi="Times New Roman"/>
          <w:sz w:val="24"/>
        </w:rPr>
        <w:t>77</w:t>
      </w:r>
      <w:r>
        <w:rPr>
          <w:rFonts w:ascii="Times New Roman" w:hAnsi="Times New Roman"/>
          <w:sz w:val="24"/>
        </w:rPr>
        <w:fldChar w:fldCharType="end"/>
      </w:r>
    </w:p>
    <w:p>
      <w:pPr>
        <w:pStyle w:val="12"/>
        <w:tabs>
          <w:tab w:val="right" w:leader="dot" w:pos="9136"/>
        </w:tabs>
        <w:rPr>
          <w:rFonts w:ascii="Times New Roman" w:hAnsi="Times New Roman"/>
          <w:sz w:val="24"/>
        </w:rPr>
      </w:pPr>
      <w:r>
        <w:rPr>
          <w:rFonts w:ascii="Times New Roman" w:hAnsi="Times New Roman" w:cs="Times New Roman"/>
          <w:bCs/>
          <w:color w:val="000000" w:themeColor="text1"/>
          <w:kern w:val="44"/>
          <w:sz w:val="24"/>
          <w:szCs w:val="30"/>
          <w14:textFill>
            <w14:solidFill>
              <w14:schemeClr w14:val="tx1"/>
            </w14:solidFill>
          </w14:textFill>
        </w:rPr>
        <w:t>附件</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_Toc8306 </w:instrText>
      </w:r>
      <w:r>
        <w:rPr>
          <w:rFonts w:ascii="Times New Roman" w:hAnsi="Times New Roman"/>
          <w:sz w:val="24"/>
        </w:rPr>
        <w:fldChar w:fldCharType="separate"/>
      </w:r>
      <w:r>
        <w:rPr>
          <w:rFonts w:ascii="Times New Roman" w:hAnsi="Times New Roman"/>
          <w:sz w:val="24"/>
        </w:rPr>
        <w:t>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附件一：中国石油天然气股份有限公司江西南昌启航加油站地理位置图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_Toc26405 </w:instrText>
      </w:r>
      <w:r>
        <w:rPr>
          <w:rFonts w:ascii="Times New Roman" w:hAnsi="Times New Roman"/>
          <w:sz w:val="24"/>
        </w:rPr>
        <w:fldChar w:fldCharType="separate"/>
      </w:r>
      <w:r>
        <w:rPr>
          <w:rFonts w:ascii="Times New Roman" w:hAnsi="Times New Roman"/>
          <w:sz w:val="24"/>
        </w:rPr>
        <w:t>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附件二：加油站平面布置图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_Toc30009 </w:instrText>
      </w:r>
      <w:r>
        <w:rPr>
          <w:rFonts w:ascii="Times New Roman" w:hAnsi="Times New Roman"/>
          <w:sz w:val="24"/>
        </w:rPr>
        <w:fldChar w:fldCharType="separate"/>
      </w:r>
      <w:r>
        <w:rPr>
          <w:rFonts w:ascii="Times New Roman" w:hAnsi="Times New Roman"/>
          <w:sz w:val="24"/>
        </w:rPr>
        <w:t>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附件三：加油站周边环境“环境敏感点”示意图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_Toc14950 </w:instrText>
      </w:r>
      <w:r>
        <w:rPr>
          <w:rFonts w:ascii="Times New Roman" w:hAnsi="Times New Roman"/>
          <w:sz w:val="24"/>
        </w:rPr>
        <w:fldChar w:fldCharType="separate"/>
      </w:r>
      <w:r>
        <w:rPr>
          <w:rFonts w:ascii="Times New Roman" w:hAnsi="Times New Roman"/>
          <w:sz w:val="24"/>
        </w:rPr>
        <w:t>III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lang w:val="zh-CN"/>
          <w14:textFill>
            <w14:solidFill>
              <w14:schemeClr w14:val="tx1"/>
            </w14:solidFill>
          </w14:textFill>
        </w:rPr>
        <w:t>附件四、加油站应急疏散线路图</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_Toc6866 </w:instrText>
      </w:r>
      <w:r>
        <w:rPr>
          <w:rFonts w:ascii="Times New Roman" w:hAnsi="Times New Roman"/>
          <w:sz w:val="24"/>
        </w:rPr>
        <w:fldChar w:fldCharType="separate"/>
      </w:r>
      <w:r>
        <w:rPr>
          <w:rFonts w:ascii="Times New Roman" w:hAnsi="Times New Roman"/>
          <w:sz w:val="24"/>
        </w:rPr>
        <w:t>IV</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附件五: 突发环境事件应急领导小组成员及联系方式</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_Toc12069 </w:instrText>
      </w:r>
      <w:r>
        <w:rPr>
          <w:rFonts w:ascii="Times New Roman" w:hAnsi="Times New Roman"/>
          <w:sz w:val="24"/>
        </w:rPr>
        <w:fldChar w:fldCharType="separate"/>
      </w:r>
      <w:r>
        <w:rPr>
          <w:rFonts w:ascii="Times New Roman" w:hAnsi="Times New Roman"/>
          <w:sz w:val="24"/>
        </w:rPr>
        <w:t>V</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附件六: 加油站配备消防器材及应急装备物资</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_Toc16659 </w:instrText>
      </w:r>
      <w:r>
        <w:rPr>
          <w:rFonts w:ascii="Times New Roman" w:hAnsi="Times New Roman"/>
          <w:sz w:val="24"/>
        </w:rPr>
        <w:fldChar w:fldCharType="separate"/>
      </w:r>
      <w:r>
        <w:rPr>
          <w:rFonts w:ascii="Times New Roman" w:hAnsi="Times New Roman"/>
          <w:sz w:val="24"/>
        </w:rPr>
        <w:t>VI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附件七：</w:t>
      </w:r>
      <w:r>
        <w:rPr>
          <w:rFonts w:hint="eastAsia" w:ascii="Times New Roman" w:hAnsi="Times New Roman" w:cs="Times New Roman"/>
          <w:bCs/>
          <w:color w:val="000000" w:themeColor="text1"/>
          <w:sz w:val="24"/>
          <w:szCs w:val="24"/>
          <w14:textFill>
            <w14:solidFill>
              <w14:schemeClr w14:val="tx1"/>
            </w14:solidFill>
          </w14:textFill>
        </w:rPr>
        <w:t>固体废物处置合同</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_Toc3971 </w:instrText>
      </w:r>
      <w:r>
        <w:rPr>
          <w:rFonts w:ascii="Times New Roman" w:hAnsi="Times New Roman"/>
          <w:sz w:val="24"/>
        </w:rPr>
        <w:fldChar w:fldCharType="separate"/>
      </w:r>
      <w:r>
        <w:rPr>
          <w:rFonts w:ascii="Times New Roman" w:hAnsi="Times New Roman"/>
          <w:sz w:val="24"/>
        </w:rPr>
        <w:t>VII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附件八：《中国石油天然气股份有限公司江西南昌启航加油站关于成立突发环境预案资料编制领导小组的通知》</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_Toc1206 </w:instrText>
      </w:r>
      <w:r>
        <w:rPr>
          <w:rFonts w:ascii="Times New Roman" w:hAnsi="Times New Roman"/>
          <w:sz w:val="24"/>
        </w:rPr>
        <w:fldChar w:fldCharType="separate"/>
      </w:r>
      <w:r>
        <w:rPr>
          <w:rFonts w:ascii="Times New Roman" w:hAnsi="Times New Roman"/>
          <w:sz w:val="24"/>
        </w:rPr>
        <w:t>XXVII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附件九：环保应急处置卡</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_Toc31748 </w:instrText>
      </w:r>
      <w:r>
        <w:rPr>
          <w:rFonts w:ascii="Times New Roman" w:hAnsi="Times New Roman"/>
          <w:sz w:val="24"/>
        </w:rPr>
        <w:fldChar w:fldCharType="separate"/>
      </w:r>
      <w:r>
        <w:rPr>
          <w:rFonts w:ascii="Times New Roman" w:hAnsi="Times New Roman"/>
          <w:sz w:val="24"/>
        </w:rPr>
        <w:t>XXVIII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附件十：突发环境事件报告表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_Toc26649 </w:instrText>
      </w:r>
      <w:r>
        <w:rPr>
          <w:rFonts w:ascii="Times New Roman" w:hAnsi="Times New Roman"/>
          <w:sz w:val="24"/>
        </w:rPr>
        <w:fldChar w:fldCharType="separate"/>
      </w:r>
      <w:r>
        <w:rPr>
          <w:rFonts w:ascii="Times New Roman" w:hAnsi="Times New Roman"/>
          <w:sz w:val="24"/>
        </w:rPr>
        <w:t>XXIX</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附件十一：营业执照</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_Toc7936 </w:instrText>
      </w:r>
      <w:r>
        <w:rPr>
          <w:rFonts w:ascii="Times New Roman" w:hAnsi="Times New Roman"/>
          <w:sz w:val="24"/>
        </w:rPr>
        <w:fldChar w:fldCharType="separate"/>
      </w:r>
      <w:r>
        <w:rPr>
          <w:rFonts w:ascii="Times New Roman" w:hAnsi="Times New Roman"/>
          <w:sz w:val="24"/>
        </w:rPr>
        <w:t>XXXII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附件十二：危险化学品经营许可证</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_Toc27626 </w:instrText>
      </w:r>
      <w:r>
        <w:rPr>
          <w:rFonts w:ascii="Times New Roman" w:hAnsi="Times New Roman"/>
          <w:sz w:val="24"/>
        </w:rPr>
        <w:fldChar w:fldCharType="separate"/>
      </w:r>
      <w:r>
        <w:rPr>
          <w:rFonts w:ascii="Times New Roman" w:hAnsi="Times New Roman"/>
          <w:sz w:val="24"/>
        </w:rPr>
        <w:t>XXXIII</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附件十三：成品油零售经营批准证书</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_Toc11613 </w:instrText>
      </w:r>
      <w:r>
        <w:rPr>
          <w:rFonts w:ascii="Times New Roman" w:hAnsi="Times New Roman"/>
          <w:sz w:val="24"/>
        </w:rPr>
        <w:fldChar w:fldCharType="separate"/>
      </w:r>
      <w:r>
        <w:rPr>
          <w:rFonts w:ascii="Times New Roman" w:hAnsi="Times New Roman"/>
          <w:sz w:val="24"/>
        </w:rPr>
        <w:t>XXXIV</w:t>
      </w:r>
      <w:r>
        <w:rPr>
          <w:rFonts w:ascii="Times New Roman" w:hAnsi="Times New Roman"/>
          <w:sz w:val="24"/>
        </w:rPr>
        <w:fldChar w:fldCharType="end"/>
      </w:r>
    </w:p>
    <w:p>
      <w:pPr>
        <w:pStyle w:val="13"/>
        <w:tabs>
          <w:tab w:val="right" w:leader="dot" w:pos="9136"/>
        </w:tabs>
        <w:rPr>
          <w:rFonts w:ascii="Times New Roman" w:hAnsi="Times New Roman"/>
          <w:sz w:val="24"/>
        </w:rPr>
      </w:pPr>
      <w:r>
        <w:rPr>
          <w:rFonts w:ascii="Times New Roman" w:hAnsi="Times New Roman" w:cs="Times New Roman"/>
          <w:bCs/>
          <w:color w:val="000000" w:themeColor="text1"/>
          <w:sz w:val="24"/>
          <w:szCs w:val="24"/>
          <w14:textFill>
            <w14:solidFill>
              <w14:schemeClr w14:val="tx1"/>
            </w14:solidFill>
          </w14:textFill>
        </w:rPr>
        <w:t>附件十</w:t>
      </w:r>
      <w:r>
        <w:rPr>
          <w:rFonts w:hint="eastAsia" w:ascii="Times New Roman" w:hAnsi="Times New Roman" w:cs="Times New Roman"/>
          <w:bCs/>
          <w:color w:val="000000" w:themeColor="text1"/>
          <w:sz w:val="24"/>
          <w:szCs w:val="24"/>
          <w14:textFill>
            <w14:solidFill>
              <w14:schemeClr w14:val="tx1"/>
            </w14:solidFill>
          </w14:textFill>
        </w:rPr>
        <w:t>四</w:t>
      </w:r>
      <w:r>
        <w:rPr>
          <w:rFonts w:ascii="Times New Roman" w:hAnsi="Times New Roman" w:cs="Times New Roman"/>
          <w:bCs/>
          <w:color w:val="000000" w:themeColor="text1"/>
          <w:sz w:val="24"/>
          <w:szCs w:val="24"/>
          <w14:textFill>
            <w14:solidFill>
              <w14:schemeClr w14:val="tx1"/>
            </w14:solidFill>
          </w14:textFill>
        </w:rPr>
        <w:t>：</w:t>
      </w:r>
      <w:r>
        <w:rPr>
          <w:rFonts w:hint="eastAsia" w:ascii="Times New Roman" w:hAnsi="Times New Roman" w:cs="Times New Roman"/>
          <w:bCs/>
          <w:color w:val="000000" w:themeColor="text1"/>
          <w:sz w:val="24"/>
          <w:szCs w:val="24"/>
          <w14:textFill>
            <w14:solidFill>
              <w14:schemeClr w14:val="tx1"/>
            </w14:solidFill>
          </w14:textFill>
        </w:rPr>
        <w:t>环评批复</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_Toc26465 </w:instrText>
      </w:r>
      <w:r>
        <w:rPr>
          <w:rFonts w:ascii="Times New Roman" w:hAnsi="Times New Roman"/>
          <w:sz w:val="24"/>
        </w:rPr>
        <w:fldChar w:fldCharType="separate"/>
      </w:r>
      <w:r>
        <w:rPr>
          <w:rFonts w:ascii="Times New Roman" w:hAnsi="Times New Roman"/>
          <w:sz w:val="24"/>
        </w:rPr>
        <w:t>XXXV</w:t>
      </w:r>
      <w:r>
        <w:rPr>
          <w:rFonts w:ascii="Times New Roman" w:hAnsi="Times New Roman"/>
          <w:sz w:val="24"/>
        </w:rPr>
        <w:fldChar w:fldCharType="end"/>
      </w:r>
    </w:p>
    <w:p>
      <w:pPr>
        <w:pStyle w:val="13"/>
        <w:tabs>
          <w:tab w:val="right" w:leader="dot" w:pos="9136"/>
        </w:tabs>
      </w:pPr>
      <w:r>
        <w:rPr>
          <w:rFonts w:ascii="Times New Roman" w:hAnsi="Times New Roman" w:cs="Times New Roman"/>
          <w:bCs/>
          <w:color w:val="000000" w:themeColor="text1"/>
          <w:sz w:val="24"/>
          <w:szCs w:val="24"/>
          <w14:textFill>
            <w14:solidFill>
              <w14:schemeClr w14:val="tx1"/>
            </w14:solidFill>
          </w14:textFill>
        </w:rPr>
        <w:t>附件十</w:t>
      </w:r>
      <w:r>
        <w:rPr>
          <w:rFonts w:hint="eastAsia" w:ascii="Times New Roman" w:hAnsi="Times New Roman" w:cs="Times New Roman"/>
          <w:bCs/>
          <w:color w:val="000000" w:themeColor="text1"/>
          <w:sz w:val="24"/>
          <w:szCs w:val="24"/>
          <w:lang w:val="en-US" w:eastAsia="zh-CN"/>
          <w14:textFill>
            <w14:solidFill>
              <w14:schemeClr w14:val="tx1"/>
            </w14:solidFill>
          </w14:textFill>
        </w:rPr>
        <w:t>五</w:t>
      </w:r>
      <w:r>
        <w:rPr>
          <w:rFonts w:ascii="Times New Roman" w:hAnsi="Times New Roman" w:cs="Times New Roman"/>
          <w:bCs/>
          <w:color w:val="000000" w:themeColor="text1"/>
          <w:sz w:val="24"/>
          <w:szCs w:val="24"/>
          <w14:textFill>
            <w14:solidFill>
              <w14:schemeClr w14:val="tx1"/>
            </w14:solidFill>
          </w14:textFill>
        </w:rPr>
        <w:t>：</w:t>
      </w:r>
      <w:r>
        <w:rPr>
          <w:rFonts w:hint="eastAsia" w:ascii="Times New Roman" w:hAnsi="Times New Roman" w:cs="Times New Roman"/>
          <w:bCs/>
          <w:color w:val="000000" w:themeColor="text1"/>
          <w:sz w:val="24"/>
          <w:szCs w:val="24"/>
          <w14:textFill>
            <w14:solidFill>
              <w14:schemeClr w14:val="tx1"/>
            </w14:solidFill>
          </w14:textFill>
        </w:rPr>
        <w:t>危险废物处置单位处置资质</w:t>
      </w:r>
      <w:r>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PAGEREF _Toc4461 </w:instrText>
      </w:r>
      <w:r>
        <w:rPr>
          <w:rFonts w:ascii="Times New Roman" w:hAnsi="Times New Roman"/>
          <w:sz w:val="24"/>
        </w:rPr>
        <w:fldChar w:fldCharType="separate"/>
      </w:r>
      <w:r>
        <w:rPr>
          <w:rFonts w:ascii="Times New Roman" w:hAnsi="Times New Roman"/>
          <w:sz w:val="24"/>
        </w:rPr>
        <w:t>XLI</w:t>
      </w:r>
      <w:r>
        <w:rPr>
          <w:rFonts w:ascii="Times New Roman" w:hAnsi="Times New Roman"/>
          <w:sz w:val="24"/>
        </w:rPr>
        <w:fldChar w:fldCharType="end"/>
      </w:r>
      <w:bookmarkEnd w:id="1391"/>
    </w:p>
    <w:p>
      <w:pPr>
        <w:pStyle w:val="33"/>
        <w:tabs>
          <w:tab w:val="right" w:leader="dot" w:pos="9140"/>
        </w:tabs>
        <w:rPr>
          <w:rFonts w:eastAsiaTheme="minorEastAsia"/>
          <w:b/>
          <w:bCs/>
          <w:color w:val="000000" w:themeColor="text1"/>
          <w:kern w:val="44"/>
          <w:sz w:val="30"/>
          <w:szCs w:val="30"/>
          <w14:textFill>
            <w14:solidFill>
              <w14:schemeClr w14:val="tx1"/>
            </w14:solidFill>
          </w14:textFill>
        </w:rPr>
        <w:sectPr>
          <w:headerReference r:id="rId5" w:type="default"/>
          <w:pgSz w:w="11920" w:h="16840"/>
          <w:pgMar w:top="1100" w:right="1202" w:bottom="1100" w:left="1582" w:header="879" w:footer="1083" w:gutter="0"/>
          <w:pgNumType w:fmt="upperRoman"/>
          <w:cols w:space="720" w:num="1"/>
        </w:sectPr>
      </w:pPr>
      <w:r>
        <w:rPr>
          <w:color w:val="000000" w:themeColor="text1"/>
          <w:kern w:val="44"/>
          <w:szCs w:val="24"/>
          <w14:textFill>
            <w14:solidFill>
              <w14:schemeClr w14:val="tx1"/>
            </w14:solidFill>
          </w14:textFill>
        </w:rPr>
        <w:fldChar w:fldCharType="end"/>
      </w:r>
    </w:p>
    <w:p>
      <w:pPr>
        <w:keepNext/>
        <w:keepLines/>
        <w:spacing w:before="240" w:beforeLines="100" w:after="240" w:afterLines="100" w:line="500" w:lineRule="exact"/>
        <w:jc w:val="center"/>
        <w:outlineLvl w:val="0"/>
        <w:rPr>
          <w:rFonts w:ascii="Times New Roman" w:hAnsi="Times New Roman" w:cs="Times New Roman"/>
          <w:b/>
          <w:color w:val="000000" w:themeColor="text1"/>
          <w:kern w:val="44"/>
          <w:sz w:val="30"/>
          <w:szCs w:val="30"/>
          <w14:textFill>
            <w14:solidFill>
              <w14:schemeClr w14:val="tx1"/>
            </w14:solidFill>
          </w14:textFill>
        </w:rPr>
      </w:pPr>
      <w:bookmarkStart w:id="11" w:name="_Toc23940_WPSOffice_Level1"/>
      <w:bookmarkStart w:id="12" w:name="_Toc29892_WPSOffice_Level1"/>
      <w:bookmarkStart w:id="13" w:name="_Toc16131_WPSOffice_Level1"/>
      <w:bookmarkStart w:id="14" w:name="_Toc26301"/>
      <w:r>
        <w:rPr>
          <w:rFonts w:ascii="Times New Roman" w:hAnsi="Times New Roman" w:cs="Times New Roman"/>
          <w:b/>
          <w:bCs/>
          <w:color w:val="000000" w:themeColor="text1"/>
          <w:kern w:val="44"/>
          <w:sz w:val="30"/>
          <w:szCs w:val="30"/>
          <w14:textFill>
            <w14:solidFill>
              <w14:schemeClr w14:val="tx1"/>
            </w14:solidFill>
          </w14:textFill>
        </w:rPr>
        <w:t>1.总 则</w:t>
      </w:r>
      <w:bookmarkEnd w:id="7"/>
      <w:bookmarkEnd w:id="8"/>
      <w:bookmarkEnd w:id="9"/>
      <w:bookmarkEnd w:id="10"/>
      <w:bookmarkEnd w:id="11"/>
      <w:bookmarkEnd w:id="12"/>
      <w:bookmarkEnd w:id="13"/>
      <w:bookmarkEnd w:id="14"/>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5" w:name="_Toc10781"/>
      <w:bookmarkStart w:id="16" w:name="_Toc532816999"/>
      <w:bookmarkStart w:id="17" w:name="_Toc6001_WPSOffice_Level2"/>
      <w:bookmarkStart w:id="18" w:name="_Toc2236_WPSOffice_Level2"/>
      <w:bookmarkStart w:id="19" w:name="_Toc30645"/>
      <w:bookmarkStart w:id="20" w:name="_Toc2634_WPSOffice_Level2"/>
      <w:bookmarkStart w:id="21" w:name="_Toc982_WPSOffice_Level2"/>
      <w:bookmarkStart w:id="22" w:name="_Toc17962_WPSOffice_Level2"/>
      <w:bookmarkStart w:id="23" w:name="_Toc4987"/>
      <w:r>
        <w:rPr>
          <w:rFonts w:ascii="Times New Roman" w:hAnsi="Times New Roman" w:cs="Times New Roman"/>
          <w:b/>
          <w:bCs/>
          <w:color w:val="000000" w:themeColor="text1"/>
          <w:kern w:val="44"/>
          <w:sz w:val="24"/>
          <w:szCs w:val="24"/>
          <w14:textFill>
            <w14:solidFill>
              <w14:schemeClr w14:val="tx1"/>
            </w14:solidFill>
          </w14:textFill>
        </w:rPr>
        <w:t>1.1编制目的</w:t>
      </w:r>
      <w:bookmarkEnd w:id="15"/>
      <w:bookmarkEnd w:id="16"/>
      <w:bookmarkEnd w:id="17"/>
      <w:bookmarkEnd w:id="18"/>
      <w:bookmarkEnd w:id="19"/>
      <w:bookmarkEnd w:id="20"/>
      <w:bookmarkEnd w:id="21"/>
      <w:bookmarkEnd w:id="22"/>
      <w:bookmarkEnd w:id="23"/>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为积极应对公司加油站在经营过程中突发的环境事件，建立健全突发环境事件的应急机制，有序、高效地组织指挥环境事件抢险救援工作，防止突发事件对环境造成的污染，公司根据国家相关法律、法规及省环保厅有关突发环境事件应急处理的要求，结合公司环境保护工作的实际情况，特制定本预案。通过预案实施防止因组织不力或现场处置工作混乱而延误事故应急，最大限度地保护员工的健康和安全，防止环境污染、减少财产损失。</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24" w:name="_Toc532817000"/>
      <w:bookmarkStart w:id="25" w:name="_Toc30980_WPSOffice_Level2"/>
      <w:bookmarkStart w:id="26" w:name="_Toc19347_WPSOffice_Level2"/>
      <w:bookmarkStart w:id="27" w:name="_Toc4725"/>
      <w:bookmarkStart w:id="28" w:name="_Toc15669_WPSOffice_Level2"/>
      <w:bookmarkStart w:id="29" w:name="_Toc7504_WPSOffice_Level2"/>
      <w:bookmarkStart w:id="30" w:name="_Toc31062"/>
      <w:bookmarkStart w:id="31" w:name="_Toc7910_WPSOffice_Level2"/>
      <w:bookmarkStart w:id="32" w:name="_Toc24214"/>
      <w:bookmarkStart w:id="33" w:name="_Toc23808"/>
      <w:r>
        <w:rPr>
          <w:rFonts w:ascii="Times New Roman" w:hAnsi="Times New Roman" w:cs="Times New Roman"/>
          <w:b/>
          <w:bCs/>
          <w:color w:val="000000" w:themeColor="text1"/>
          <w:kern w:val="44"/>
          <w:sz w:val="24"/>
          <w:szCs w:val="24"/>
          <w14:textFill>
            <w14:solidFill>
              <w14:schemeClr w14:val="tx1"/>
            </w14:solidFill>
          </w14:textFill>
        </w:rPr>
        <w:t>1.2 编制依据</w:t>
      </w:r>
      <w:bookmarkEnd w:id="24"/>
      <w:bookmarkEnd w:id="25"/>
      <w:bookmarkEnd w:id="26"/>
      <w:bookmarkEnd w:id="27"/>
      <w:bookmarkEnd w:id="28"/>
      <w:bookmarkEnd w:id="29"/>
      <w:bookmarkEnd w:id="30"/>
      <w:bookmarkEnd w:id="31"/>
      <w:bookmarkEnd w:id="32"/>
      <w:bookmarkEnd w:id="33"/>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4" w:name="_Toc12113"/>
      <w:bookmarkStart w:id="35" w:name="_Toc17962_WPSOffice_Level3"/>
      <w:bookmarkStart w:id="36" w:name="_Toc982_WPSOffice_Level3"/>
      <w:bookmarkStart w:id="37" w:name="_Toc2634_WPSOffice_Level3"/>
      <w:bookmarkStart w:id="38" w:name="_Toc32697"/>
      <w:bookmarkStart w:id="39" w:name="_Toc2880"/>
      <w:bookmarkStart w:id="40" w:name="_Toc10883"/>
      <w:bookmarkStart w:id="41" w:name="_Toc2236_WPSOffice_Level3"/>
      <w:bookmarkStart w:id="42" w:name="_Toc532817001"/>
      <w:bookmarkStart w:id="43" w:name="_Toc6001_WPSOffice_Level3"/>
      <w:bookmarkStart w:id="44" w:name="_Toc15720"/>
      <w:r>
        <w:rPr>
          <w:rFonts w:ascii="Times New Roman" w:hAnsi="Times New Roman" w:cs="Times New Roman"/>
          <w:b/>
          <w:bCs/>
          <w:color w:val="000000" w:themeColor="text1"/>
          <w:kern w:val="44"/>
          <w:sz w:val="24"/>
          <w:szCs w:val="24"/>
          <w14:textFill>
            <w14:solidFill>
              <w14:schemeClr w14:val="tx1"/>
            </w14:solidFill>
          </w14:textFill>
        </w:rPr>
        <w:t>1.2.1法律、法规、部门规章</w:t>
      </w:r>
      <w:bookmarkEnd w:id="34"/>
      <w:bookmarkEnd w:id="35"/>
      <w:bookmarkEnd w:id="36"/>
      <w:bookmarkEnd w:id="37"/>
      <w:bookmarkEnd w:id="38"/>
      <w:bookmarkEnd w:id="39"/>
      <w:bookmarkEnd w:id="40"/>
      <w:bookmarkEnd w:id="41"/>
      <w:bookmarkEnd w:id="42"/>
      <w:bookmarkEnd w:id="43"/>
      <w:bookmarkEnd w:id="44"/>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bookmarkStart w:id="45" w:name="_Toc532817003"/>
      <w:bookmarkStart w:id="46" w:name="_Toc14034_WPSOffice_Level3"/>
      <w:bookmarkStart w:id="47" w:name="_Toc24551_WPSOffice_Level3"/>
      <w:bookmarkStart w:id="48" w:name="_Toc28481"/>
      <w:bookmarkStart w:id="49" w:name="_Toc29261_WPSOffice_Level3"/>
      <w:bookmarkStart w:id="50" w:name="_Toc9215"/>
      <w:bookmarkStart w:id="51" w:name="_Toc5530_WPSOffice_Level3"/>
      <w:bookmarkStart w:id="52" w:name="_Toc3604_WPSOffice_Level3"/>
      <w:r>
        <w:rPr>
          <w:rFonts w:ascii="Times New Roman" w:hAnsi="Times New Roman" w:cs="Times New Roman"/>
          <w:color w:val="000000" w:themeColor="text1"/>
          <w:sz w:val="24"/>
          <w:szCs w:val="24"/>
          <w14:textFill>
            <w14:solidFill>
              <w14:schemeClr w14:val="tx1"/>
            </w14:solidFill>
          </w14:textFill>
        </w:rPr>
        <w:t>（1）《中华人民共和国环境保护法》（中华人民共和国主席令第九号）；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w:t>
      </w:r>
      <w:r>
        <w:fldChar w:fldCharType="begin"/>
      </w:r>
      <w:r>
        <w:instrText xml:space="preserve"> HYPERLINK "http://baike.sogou.com/lemma/ShowInnerLink.htm?lemmaId=6022556&amp;ss_c=ssc.citiao.link" \t "http://baike.sogou.com/_blank" </w:instrText>
      </w:r>
      <w:r>
        <w:fldChar w:fldCharType="separate"/>
      </w:r>
      <w:r>
        <w:rPr>
          <w:rFonts w:ascii="Times New Roman" w:hAnsi="Times New Roman" w:cs="Times New Roman"/>
          <w:color w:val="000000" w:themeColor="text1"/>
          <w:sz w:val="24"/>
          <w:szCs w:val="24"/>
          <w14:textFill>
            <w14:solidFill>
              <w14:schemeClr w14:val="tx1"/>
            </w14:solidFill>
          </w14:textFill>
        </w:rPr>
        <w:t>《中华人民共和国放射性污染防治法》</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（中华人民共和国主席令第六号）；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（3）《中华人民共和国安全生产法》（中华人民共和国主席令第十三号）；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（4）《中华人民共和国水污染防治法》（2008年6月1日）；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（5）《中华人民共和国大气污染防治法》（2018</w:t>
      </w:r>
      <w:r>
        <w:rPr>
          <w:rFonts w:hint="eastAsia" w:ascii="Times New Roman" w:hAnsi="Times New Roman" w:cs="Times New Roman"/>
          <w:color w:val="000000" w:themeColor="text1"/>
          <w:sz w:val="24"/>
          <w:szCs w:val="24"/>
          <w14:textFill>
            <w14:solidFill>
              <w14:schemeClr w14:val="tx1"/>
            </w14:solidFill>
          </w14:textFill>
        </w:rPr>
        <w:t>年修订</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（6）《中华人民共和国固体废物污染环境防治法》（2016</w:t>
      </w:r>
      <w:r>
        <w:rPr>
          <w:rFonts w:hint="eastAsia" w:ascii="Times New Roman" w:hAnsi="Times New Roman" w:cs="Times New Roman"/>
          <w:color w:val="000000" w:themeColor="text1"/>
          <w:sz w:val="24"/>
          <w:szCs w:val="24"/>
          <w14:textFill>
            <w14:solidFill>
              <w14:schemeClr w14:val="tx1"/>
            </w14:solidFill>
          </w14:textFill>
        </w:rPr>
        <w:t>年修订</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（7）《中华人民共和国水污染防治法实施细则》（2000年3月24日）；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（8）《中华人民共和国突发事件应对法》（2007年8月30日）；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（9）《中华人民共和国职业病防治法》（2002年5月日）；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（10）《中华人民共和国消防法》（2009年5月1日）；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（11）《危险化学品安全管理条例》（2011年12月1日）；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（12）《国家突发公共事件总体应急预案》（2006年1月8日）；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（13）《国家突发环境事件应急预案》（国办函〔2014〕119号）；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（14）《建设项目环境保护管理条例》（2017</w:t>
      </w:r>
      <w:r>
        <w:rPr>
          <w:rFonts w:hint="eastAsia" w:ascii="Times New Roman" w:hAnsi="Times New Roman" w:cs="Times New Roman"/>
          <w:color w:val="000000" w:themeColor="text1"/>
          <w:sz w:val="24"/>
          <w:szCs w:val="24"/>
          <w14:textFill>
            <w14:solidFill>
              <w14:schemeClr w14:val="tx1"/>
            </w14:solidFill>
          </w14:textFill>
        </w:rPr>
        <w:t>年7月1</w:t>
      </w:r>
      <w:r>
        <w:rPr>
          <w:rFonts w:ascii="Times New Roman" w:hAnsi="Times New Roman" w:cs="Times New Roman"/>
          <w:color w:val="000000" w:themeColor="text1"/>
          <w:sz w:val="24"/>
          <w:szCs w:val="24"/>
          <w14:textFill>
            <w14:solidFill>
              <w14:schemeClr w14:val="tx1"/>
            </w14:solidFill>
          </w14:textFill>
        </w:rPr>
        <w:t>6</w:t>
      </w:r>
      <w:r>
        <w:rPr>
          <w:rFonts w:hint="eastAsia" w:ascii="Times New Roman" w:hAnsi="Times New Roman" w:cs="Times New Roman"/>
          <w:color w:val="000000" w:themeColor="text1"/>
          <w:sz w:val="24"/>
          <w:szCs w:val="24"/>
          <w14:textFill>
            <w14:solidFill>
              <w14:schemeClr w14:val="tx1"/>
            </w14:solidFill>
          </w14:textFill>
        </w:rPr>
        <w:t>日修订</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（15）《企业事业单位突发环境事件应急预案备案管理办法（试行）》（环发〔2015〕4号）；</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（16）《突发环境事件信息报告办法》（环境保护部令第17号）；</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（17）《企业突发环境事件风险评估指南（试行）》（环办〔2014〕34号）；</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（18）《突发环境事件应急管理办法》（环境保护部令第34号）；</w:t>
      </w:r>
    </w:p>
    <w:p>
      <w:pPr>
        <w:overflowPunct w:val="0"/>
        <w:topLinePunct/>
        <w:spacing w:line="360" w:lineRule="auto"/>
        <w:ind w:firstLine="496" w:firstLineChars="200"/>
        <w:rPr>
          <w:rFonts w:ascii="Times New Roman" w:hAnsi="Times New Roman" w:cs="Times New Roman"/>
          <w:color w:val="000000" w:themeColor="text1"/>
          <w:spacing w:val="4"/>
          <w:sz w:val="24"/>
          <w:szCs w:val="24"/>
          <w14:textFill>
            <w14:solidFill>
              <w14:schemeClr w14:val="tx1"/>
            </w14:solidFill>
          </w14:textFill>
        </w:rPr>
      </w:pPr>
      <w:r>
        <w:rPr>
          <w:rFonts w:ascii="Times New Roman" w:hAnsi="Times New Roman" w:cs="Times New Roman"/>
          <w:color w:val="000000" w:themeColor="text1"/>
          <w:spacing w:val="4"/>
          <w:sz w:val="24"/>
          <w:szCs w:val="24"/>
          <w14:textFill>
            <w14:solidFill>
              <w14:schemeClr w14:val="tx1"/>
            </w14:solidFill>
          </w14:textFill>
        </w:rPr>
        <w:t>（19）《关于印发〈企业事业单位突发环境事件应急预案评审工作指南（试行）〉的通知》（环办应急〔2018〕8号）；</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（20）《企业突发环境事件隐患排查和治理工作指南（试行）》（环境保护部公告2016年第74号）；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（21）《江西省突发公共事件总体应急预案》；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（22）《危险物质名录》（国家安全生产监督管理局公告2003第1号）；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（23）《剧毒化学品名录》（国家安全生产监督管理局等8部门公告2003第2号）；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（24）《易制爆化学品名录》（2011版）；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（25）《国家危险废物名录》（2016年8月1日）；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（26）《建设项目环境影响评价分类管理名录》（2018</w:t>
      </w:r>
      <w:r>
        <w:rPr>
          <w:rFonts w:hint="eastAsia" w:ascii="Times New Roman" w:hAnsi="Times New Roman" w:cs="Times New Roman"/>
          <w:color w:val="000000" w:themeColor="text1"/>
          <w:sz w:val="24"/>
          <w:szCs w:val="24"/>
          <w14:textFill>
            <w14:solidFill>
              <w14:schemeClr w14:val="tx1"/>
            </w14:solidFill>
          </w14:textFill>
        </w:rPr>
        <w:t>年版</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（27）《关于加强环境应急管理工作的意见》（环发〔2009〕130号）；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（28）关于印发《江西省应急预案的通知》的通知（赣府厅字〔2016〕14号）；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（29）关于贯彻实施《突发环境事件应急预案管理办法》的通知（环办函〔2011〕379号）；</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（30）《江西省突发事件预警信息发布管理办法(试行)》；</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（31）《江西省储油库、加油站和油罐车油气回收综合治理工作方案》（赣环发〔2013〕17号）。</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53" w:name="_Toc19347_WPSOffice_Level3"/>
      <w:bookmarkStart w:id="54" w:name="_Toc12143568"/>
      <w:bookmarkStart w:id="55" w:name="_Toc532817002"/>
      <w:bookmarkStart w:id="56" w:name="_Toc30980_WPSOffice_Level3"/>
      <w:bookmarkStart w:id="57" w:name="_Toc7504_WPSOffice_Level3"/>
      <w:bookmarkStart w:id="58" w:name="_Toc29793"/>
      <w:bookmarkStart w:id="59" w:name="_Toc5323"/>
      <w:bookmarkStart w:id="60" w:name="_Toc23314"/>
      <w:bookmarkStart w:id="61" w:name="_Toc7910_WPSOffice_Level3"/>
      <w:bookmarkStart w:id="62" w:name="_Toc25918"/>
      <w:bookmarkStart w:id="63" w:name="_Toc15669_WPSOffice_Level3"/>
      <w:bookmarkStart w:id="64" w:name="_Toc8375"/>
      <w:r>
        <w:rPr>
          <w:rFonts w:ascii="Times New Roman" w:hAnsi="Times New Roman" w:cs="Times New Roman"/>
          <w:b/>
          <w:bCs/>
          <w:color w:val="000000" w:themeColor="text1"/>
          <w:kern w:val="44"/>
          <w:sz w:val="24"/>
          <w:szCs w:val="24"/>
          <w14:textFill>
            <w14:solidFill>
              <w14:schemeClr w14:val="tx1"/>
            </w14:solidFill>
          </w14:textFill>
        </w:rPr>
        <w:t>1.2.2标准、规范</w:t>
      </w:r>
      <w:bookmarkEnd w:id="53"/>
      <w:bookmarkEnd w:id="54"/>
      <w:bookmarkEnd w:id="55"/>
      <w:bookmarkEnd w:id="56"/>
      <w:bookmarkEnd w:id="57"/>
      <w:bookmarkEnd w:id="58"/>
      <w:bookmarkEnd w:id="59"/>
      <w:bookmarkEnd w:id="60"/>
      <w:bookmarkEnd w:id="61"/>
      <w:bookmarkEnd w:id="62"/>
      <w:bookmarkEnd w:id="63"/>
      <w:bookmarkEnd w:id="64"/>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（1）《常用化学危险品储存通则》（GB15603-1995）</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（2）《危险化学品重大危险源辨识》（GB18218-2018）；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（3）《建设项目环境风险评价技术导则》（HJ/T169-2018）；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（4）《地表水环境质量标准》（GB3838-2002）；</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（5）《地下水质量标准》（GB/T14848-2017）；</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（6）《环境空气质量标准》（GB3095-2012）；</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（7）《大气污染物综合排放标准》（GB16297-1996）；</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（8）《污水综合排放标准》（GB8978）；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（9）《恶臭污染物排放标准》（GB14554）；</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（10）《声环境质量标准》（GB3096-2008）；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（11）《工业企业厂界环境噪声排放标准》（GB12348-2008）；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（12）《工业企业设计卫生标准》（GBZ1）；</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（13）《工作场所有害因素职业接触限值》（GBZ2）；</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（14）《危险废物鉴别标准腐蚀性鉴别》(GB5085.1)；</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（15）《危险废物鉴别标准急性毒性初筛》(GB5085.2)；</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（16）《危险废物鉴别标准浸出毒性鉴别》(GB5085.3)；</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（17）《危险废物鉴别标准易燃性鉴别》(GB5085.4)；</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（18）《危险废物鉴别标准反应性鉴别》(GB5085.5)；</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（19）《危险废物鉴别标准毒性物质含量鉴别》(GB5085.6)；</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（20）《危险废物鉴别标准通则》(GB5085.7)；</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（21）</w:t>
      </w:r>
      <w:r>
        <w:rPr>
          <w:rFonts w:ascii="Times New Roman" w:hAnsi="Times New Roman" w:cs="Times New Roman"/>
          <w:color w:val="000000" w:themeColor="text1"/>
          <w:sz w:val="24"/>
          <w:szCs w:val="24"/>
          <w:lang w:val="zh-CN"/>
          <w14:textFill>
            <w14:solidFill>
              <w14:schemeClr w14:val="tx1"/>
            </w14:solidFill>
          </w14:textFill>
        </w:rPr>
        <w:t>《企业突发环境事件风险分级方法》（HJ 941-2018）；</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22</w:t>
      </w:r>
      <w:r>
        <w:rPr>
          <w:rFonts w:ascii="Times New Roman" w:hAnsi="Times New Roman" w:cs="Times New Roman"/>
          <w:color w:val="000000" w:themeColor="text1"/>
          <w:sz w:val="24"/>
          <w:szCs w:val="24"/>
          <w:lang w:val="zh-CN"/>
          <w14:textFill>
            <w14:solidFill>
              <w14:schemeClr w14:val="tx1"/>
            </w14:solidFill>
          </w14:textFill>
        </w:rPr>
        <w:t>）《突发环境事件应急监测技术规范》（HJ589－2010）；</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（23）《汽车加油加气站设计施工规范》（GB50156-2012）；</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24</w:t>
      </w:r>
      <w:r>
        <w:rPr>
          <w:rFonts w:ascii="Times New Roman" w:hAnsi="Times New Roman" w:cs="Times New Roman"/>
          <w:color w:val="000000" w:themeColor="text1"/>
          <w:sz w:val="24"/>
          <w:szCs w:val="24"/>
          <w:lang w:val="zh-CN"/>
          <w14:textFill>
            <w14:solidFill>
              <w14:schemeClr w14:val="tx1"/>
            </w14:solidFill>
          </w14:textFill>
        </w:rPr>
        <w:t>）《一般工业固体废物贮存、处置场污染控制标准》（GB18599-2001）；</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25</w:t>
      </w: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《危险废物鉴别技术规范》(HI/T298)；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（26）《企业事业单位单位突发环境事件应急预案编制指南》；</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（27）《石油化工企业环境应急预案编制指南》（环办[2010]10号）。</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65" w:name="_Toc30435"/>
      <w:r>
        <w:rPr>
          <w:rFonts w:ascii="Times New Roman" w:hAnsi="Times New Roman" w:cs="Times New Roman"/>
          <w:b/>
          <w:bCs/>
          <w:color w:val="000000" w:themeColor="text1"/>
          <w:kern w:val="44"/>
          <w:sz w:val="24"/>
          <w:szCs w:val="24"/>
          <w14:textFill>
            <w14:solidFill>
              <w14:schemeClr w14:val="tx1"/>
            </w14:solidFill>
          </w14:textFill>
        </w:rPr>
        <w:t>1.2.3其它文件资料</w:t>
      </w:r>
      <w:bookmarkEnd w:id="45"/>
      <w:bookmarkEnd w:id="46"/>
      <w:bookmarkEnd w:id="47"/>
      <w:bookmarkEnd w:id="48"/>
      <w:bookmarkEnd w:id="49"/>
      <w:bookmarkEnd w:id="50"/>
      <w:bookmarkEnd w:id="51"/>
      <w:bookmarkEnd w:id="52"/>
      <w:bookmarkEnd w:id="65"/>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（1）《南昌市突发环境事件应急预案》；</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（2）其他相关的法律、法规、规章和标准。</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以上凡不注明日期的引用文件，其有效版本适用于本预案。</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66" w:name="_Toc29261_WPSOffice_Level2"/>
      <w:bookmarkStart w:id="67" w:name="_Toc14034_WPSOffice_Level2"/>
      <w:bookmarkStart w:id="68" w:name="_Toc7116"/>
      <w:bookmarkStart w:id="69" w:name="_Toc5530_WPSOffice_Level2"/>
      <w:bookmarkStart w:id="70" w:name="_Toc3604_WPSOffice_Level2"/>
      <w:bookmarkStart w:id="71" w:name="_Toc24551_WPSOffice_Level2"/>
      <w:bookmarkStart w:id="72" w:name="_Toc532817004"/>
      <w:bookmarkStart w:id="73" w:name="_Toc2819"/>
      <w:r>
        <w:rPr>
          <w:rFonts w:ascii="Times New Roman" w:hAnsi="Times New Roman" w:cs="Times New Roman"/>
          <w:b/>
          <w:bCs/>
          <w:color w:val="000000" w:themeColor="text1"/>
          <w:kern w:val="44"/>
          <w:sz w:val="24"/>
          <w:szCs w:val="24"/>
          <w14:textFill>
            <w14:solidFill>
              <w14:schemeClr w14:val="tx1"/>
            </w14:solidFill>
          </w14:textFill>
        </w:rPr>
        <w:t>1.3适用范围</w:t>
      </w:r>
      <w:bookmarkEnd w:id="66"/>
      <w:bookmarkEnd w:id="67"/>
      <w:bookmarkEnd w:id="68"/>
      <w:bookmarkEnd w:id="69"/>
      <w:bookmarkEnd w:id="70"/>
      <w:bookmarkEnd w:id="71"/>
      <w:bookmarkEnd w:id="72"/>
      <w:bookmarkEnd w:id="73"/>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预案适用于在本加油站范围内人为或不可抗力造成的废气、废水、固废（包括危险废物-废手套、废抹布、油泥、废油渣、废油污及废弃消防沙等）等环境污染、破坏事件；加油站经营范围内卸油区、储罐区、加油区、营业室等的火灾、油品泄露事故；因自然灾害造成的危及人体健康的环境污染事故；影响周围地下水、地表水水质的其它严重污染事故、周围土壤污染事故等。</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74" w:name="_Toc9844_WPSOffice_Level2"/>
      <w:bookmarkStart w:id="75" w:name="_Toc2112_WPSOffice_Level2"/>
      <w:bookmarkStart w:id="76" w:name="_Toc16087"/>
      <w:bookmarkStart w:id="77" w:name="_Toc1515"/>
      <w:bookmarkStart w:id="78" w:name="_Toc7664_WPSOffice_Level2"/>
      <w:bookmarkStart w:id="79" w:name="_Toc532817005"/>
      <w:bookmarkStart w:id="80" w:name="_Toc3671_WPSOffice_Level2"/>
      <w:bookmarkStart w:id="81" w:name="_Toc16272_WPSOffice_Level2"/>
      <w:bookmarkStart w:id="82" w:name="_Toc1509"/>
      <w:r>
        <w:rPr>
          <w:rFonts w:ascii="Times New Roman" w:hAnsi="Times New Roman" w:cs="Times New Roman"/>
          <w:b/>
          <w:bCs/>
          <w:color w:val="000000" w:themeColor="text1"/>
          <w:kern w:val="44"/>
          <w:sz w:val="24"/>
          <w:szCs w:val="24"/>
          <w14:textFill>
            <w14:solidFill>
              <w14:schemeClr w14:val="tx1"/>
            </w14:solidFill>
          </w14:textFill>
        </w:rPr>
        <w:t>1.4应急预案体系</w:t>
      </w:r>
      <w:bookmarkEnd w:id="74"/>
      <w:bookmarkEnd w:id="75"/>
      <w:bookmarkEnd w:id="76"/>
      <w:bookmarkEnd w:id="77"/>
      <w:bookmarkEnd w:id="78"/>
      <w:bookmarkEnd w:id="79"/>
      <w:bookmarkEnd w:id="80"/>
      <w:bookmarkEnd w:id="81"/>
      <w:bookmarkEnd w:id="82"/>
    </w:p>
    <w:p>
      <w:pPr>
        <w:spacing w:line="500" w:lineRule="exact"/>
        <w:ind w:right="170" w:firstLine="42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14:textFill>
            <w14:solidFill>
              <w14:schemeClr w14:val="tx1"/>
            </w14:solidFill>
          </w14:textFill>
        </w:rPr>
        <mc:AlternateContent>
          <mc:Choice Requires="wpc">
            <w:drawing>
              <wp:anchor distT="0" distB="0" distL="114300" distR="114300" simplePos="0" relativeHeight="251622400" behindDoc="0" locked="0" layoutInCell="1" allowOverlap="1">
                <wp:simplePos x="0" y="0"/>
                <wp:positionH relativeFrom="column">
                  <wp:posOffset>-150495</wp:posOffset>
                </wp:positionH>
                <wp:positionV relativeFrom="paragraph">
                  <wp:posOffset>1464945</wp:posOffset>
                </wp:positionV>
                <wp:extent cx="5384800" cy="2106930"/>
                <wp:effectExtent l="0" t="0" r="0" b="26670"/>
                <wp:wrapNone/>
                <wp:docPr id="16" name="画布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 name="矩形 417"/>
                        <wps:cNvSpPr>
                          <a:spLocks noChangeArrowheads="1"/>
                        </wps:cNvSpPr>
                        <wps:spPr bwMode="auto">
                          <a:xfrm>
                            <a:off x="1203325" y="0"/>
                            <a:ext cx="3016250" cy="346710"/>
                          </a:xfrm>
                          <a:prstGeom prst="rect">
                            <a:avLst/>
                          </a:prstGeom>
                          <a:solidFill>
                            <a:srgbClr val="C0C0C0">
                              <a:alpha val="48000"/>
                            </a:srgbClr>
                          </a:solidFill>
                          <a:ln w="12700">
                            <a:solidFill>
                              <a:srgbClr val="000000"/>
                            </a:solidFill>
                            <a:miter lim="800000"/>
                          </a:ln>
                          <a:effectLst/>
                        </wps:spPr>
                        <wps:txbx>
                          <w:txbxContent>
                            <w:p>
                              <w:pPr>
                                <w:jc w:val="center"/>
                                <w:rPr>
                                  <w:sz w:val="24"/>
                                  <w:szCs w:val="24"/>
                                </w:rPr>
                              </w:pPr>
                              <w:r>
                                <w:rPr>
                                  <w:rFonts w:hint="eastAsia" w:hAnsi="宋体"/>
                                  <w:color w:val="000000" w:themeColor="text1"/>
                                  <w:sz w:val="24"/>
                                  <w:szCs w:val="24"/>
                                  <w14:textFill>
                                    <w14:solidFill>
                                      <w14:schemeClr w14:val="tx1"/>
                                    </w14:solidFill>
                                  </w14:textFill>
                                </w:rPr>
                                <w:t>南昌市突发环境事</w:t>
                              </w:r>
                              <w:r>
                                <w:rPr>
                                  <w:rFonts w:hint="eastAsia" w:hAnsi="宋体"/>
                                  <w:sz w:val="24"/>
                                  <w:szCs w:val="24"/>
                                </w:rPr>
                                <w:t>件应急预案</w:t>
                              </w:r>
                            </w:p>
                          </w:txbxContent>
                        </wps:txbx>
                        <wps:bodyPr rot="0" vert="horz" wrap="square" lIns="91440" tIns="45720" rIns="91440" bIns="45720" anchor="t" anchorCtr="0" upright="1">
                          <a:noAutofit/>
                        </wps:bodyPr>
                      </wps:wsp>
                      <wps:wsp>
                        <wps:cNvPr id="12" name="矩形 421"/>
                        <wps:cNvSpPr>
                          <a:spLocks noChangeArrowheads="1"/>
                        </wps:cNvSpPr>
                        <wps:spPr bwMode="auto">
                          <a:xfrm>
                            <a:off x="652145" y="1518920"/>
                            <a:ext cx="1847850" cy="582930"/>
                          </a:xfrm>
                          <a:prstGeom prst="rect">
                            <a:avLst/>
                          </a:prstGeom>
                          <a:solidFill>
                            <a:srgbClr val="C0C0C0">
                              <a:alpha val="48000"/>
                            </a:srgbClr>
                          </a:solidFill>
                          <a:ln w="12700">
                            <a:solidFill>
                              <a:srgbClr val="000000"/>
                            </a:solidFill>
                            <a:miter lim="800000"/>
                          </a:ln>
                          <a:effectLst/>
                        </wps:spPr>
                        <wps:txbx>
                          <w:txbxContent>
                            <w:p>
                              <w:pPr>
                                <w:jc w:val="center"/>
                                <w:rPr>
                                  <w:sz w:val="24"/>
                                  <w:szCs w:val="24"/>
                                </w:rPr>
                              </w:pPr>
                              <w:r>
                                <w:rPr>
                                  <w:rFonts w:hint="eastAsia" w:hAnsi="宋体"/>
                                  <w:sz w:val="24"/>
                                  <w:szCs w:val="24"/>
                                </w:rPr>
                                <w:t>公司突发环境事件应急预案</w:t>
                              </w:r>
                            </w:p>
                          </w:txbxContent>
                        </wps:txbx>
                        <wps:bodyPr rot="0" vert="horz" wrap="square" lIns="91440" tIns="45720" rIns="91440" bIns="45720" anchor="t" anchorCtr="0" upright="1">
                          <a:noAutofit/>
                        </wps:bodyPr>
                      </wps:wsp>
                      <wps:wsp>
                        <wps:cNvPr id="13" name="矩形 425"/>
                        <wps:cNvSpPr>
                          <a:spLocks noChangeArrowheads="1"/>
                        </wps:cNvSpPr>
                        <wps:spPr bwMode="auto">
                          <a:xfrm>
                            <a:off x="3220085" y="1555750"/>
                            <a:ext cx="1320800" cy="551180"/>
                          </a:xfrm>
                          <a:prstGeom prst="rect">
                            <a:avLst/>
                          </a:prstGeom>
                          <a:solidFill>
                            <a:srgbClr val="C0C0C0">
                              <a:alpha val="48000"/>
                            </a:srgbClr>
                          </a:solidFill>
                          <a:ln w="12700">
                            <a:solidFill>
                              <a:srgbClr val="000000"/>
                            </a:solidFill>
                            <a:miter lim="800000"/>
                          </a:ln>
                          <a:effectLst/>
                        </wps:spPr>
                        <wps:txbx>
                          <w:txbxContent>
                            <w:p>
                              <w:pPr>
                                <w:jc w:val="center"/>
                                <w:rPr>
                                  <w:sz w:val="24"/>
                                  <w:szCs w:val="24"/>
                                </w:rPr>
                              </w:pPr>
                              <w:r>
                                <w:rPr>
                                  <w:rFonts w:hint="eastAsia" w:hAnsi="宋体"/>
                                  <w:sz w:val="24"/>
                                  <w:szCs w:val="24"/>
                                </w:rPr>
                                <w:t>公司安全事故应急预案</w:t>
                              </w:r>
                            </w:p>
                          </w:txbxContent>
                        </wps:txbx>
                        <wps:bodyPr rot="0" vert="horz" wrap="square" lIns="91440" tIns="45720" rIns="91440" bIns="45720" anchor="t" anchorCtr="0" upright="1">
                          <a:noAutofit/>
                        </wps:bodyPr>
                      </wps:wsp>
                      <wps:wsp>
                        <wps:cNvPr id="14" name="自选图形 185"/>
                        <wps:cNvCnPr>
                          <a:cxnSpLocks noChangeShapeType="1"/>
                          <a:endCxn id="9" idx="2"/>
                        </wps:cNvCnPr>
                        <wps:spPr bwMode="auto">
                          <a:xfrm rot="5400000" flipH="1" flipV="1">
                            <a:off x="1557655" y="362586"/>
                            <a:ext cx="1169671" cy="1137920"/>
                          </a:xfrm>
                          <a:prstGeom prst="bentConnector3">
                            <a:avLst>
                              <a:gd name="adj1" fmla="val 48552"/>
                            </a:avLst>
                          </a:prstGeom>
                          <a:noFill/>
                          <a:ln w="9525">
                            <a:solidFill>
                              <a:srgbClr val="000000"/>
                            </a:solidFill>
                            <a:miter lim="800000"/>
                            <a:tailEnd type="triangle" w="med" len="med"/>
                          </a:ln>
                        </wps:spPr>
                        <wps:bodyPr/>
                      </wps:wsp>
                      <wps:wsp>
                        <wps:cNvPr id="15" name="自选图形 186"/>
                        <wps:cNvCnPr>
                          <a:cxnSpLocks noChangeShapeType="1"/>
                          <a:endCxn id="9" idx="2"/>
                        </wps:cNvCnPr>
                        <wps:spPr bwMode="auto">
                          <a:xfrm rot="16200000" flipV="1">
                            <a:off x="2691131" y="367030"/>
                            <a:ext cx="1207453" cy="1166813"/>
                          </a:xfrm>
                          <a:prstGeom prst="bentConnector3">
                            <a:avLst>
                              <a:gd name="adj1" fmla="val 50000"/>
                            </a:avLst>
                          </a:prstGeom>
                          <a:noFill/>
                          <a:ln w="9525">
                            <a:solidFill>
                              <a:srgbClr val="000000"/>
                            </a:solidFill>
                            <a:miter lim="800000"/>
                            <a:tailEnd type="triangle" w="sm" len="med"/>
                          </a:ln>
                          <a:effectLst/>
                        </wps:spPr>
                        <wps:bodyPr/>
                      </wps:wsp>
                    </wpc:wpc>
                  </a:graphicData>
                </a:graphic>
              </wp:anchor>
            </w:drawing>
          </mc:Choice>
          <mc:Fallback>
            <w:pict>
              <v:group id="_x0000_s1026" o:spid="_x0000_s1026" o:spt="203" style="position:absolute;left:0pt;margin-left:-11.85pt;margin-top:115.35pt;height:165.9pt;width:424pt;z-index:251622400;mso-width-relative:page;mso-height-relative:page;" coordsize="5384800,2106930" editas="canvas" o:gfxdata="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">
                <o:lock v:ext="edit" aspectratio="f"/>
                <v:shape id="_x0000_s1026" o:spid="_x0000_s1026" style="position:absolute;left:0;top:0;height:2106930;width:5384800;" filled="f" stroked="f" coordsize="21600,21600" o:gfxdata="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">
                  <v:fill on="f" focussize="0,0"/>
                  <v:stroke on="f"/>
                  <v:imagedata o:title=""/>
                  <o:lock v:ext="edit" aspectratio="t"/>
                </v:shape>
                <v:rect id="矩形 417" o:spid="_x0000_s1026" o:spt="1" style="position:absolute;left:1203325;top:0;height:346710;width:301625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7ZAIQ9sAAAALAQAADwAAAAAAAAABACAAAAAiAAAAZHJzL2Rv&#10;d25yZXYueG1sUEsBAhQAFAAAAAgAh07iQEU6z103AgAAZAQAAA4AAAAAAAAAAQAgAAAAKgEAAGRy&#10;cy9lMm9Eb2MueG1sUEsFBgAAAAAGAAYAWQEAANMFAAAAAA==&#10;">
                  <v:fill on="t" opacity="31457f" focussize="0,0"/>
                  <v:stroke weight="1pt" color="#000000" miterlimit="8" joinstyle="miter"/>
                  <v:imagedata o:title=""/>
                  <o:lock v:ext="edit" aspectratio="f"/>
                  <v:textbox>
                    <w:txbxContent>
                      <w:p>
                        <w:pPr>
                          <w:jc w:val="center"/>
                          <w:rPr>
                            <w:sz w:val="24"/>
                            <w:szCs w:val="24"/>
                          </w:rPr>
                        </w:pPr>
                        <w:r>
                          <w:rPr>
                            <w:rFonts w:hint="eastAsia" w:hAnsi="宋体"/>
                            <w:color w:val="000000" w:themeColor="text1"/>
                            <w:sz w:val="24"/>
                            <w:szCs w:val="24"/>
                            <w14:textFill>
                              <w14:solidFill>
                                <w14:schemeClr w14:val="tx1"/>
                              </w14:solidFill>
                            </w14:textFill>
                          </w:rPr>
                          <w:t>南昌市突发环境事</w:t>
                        </w:r>
                        <w:r>
                          <w:rPr>
                            <w:rFonts w:hint="eastAsia" w:hAnsi="宋体"/>
                            <w:sz w:val="24"/>
                            <w:szCs w:val="24"/>
                          </w:rPr>
                          <w:t>件应急预案</w:t>
                        </w:r>
                      </w:p>
                    </w:txbxContent>
                  </v:textbox>
                </v:rect>
                <v:rect id="矩形 421" o:spid="_x0000_s1026" o:spt="1" style="position:absolute;left:652145;top:1518920;height:582930;width:184785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tkAhD2wAAAAsBAAAPAAAAAAAAAAEAIAAAACIAAABk&#10;cnMvZG93bnJldi54bWxQSwECFAAUAAAACACHTuJAAIdFdTwCAABqBAAADgAAAAAAAAABACAAAAAq&#10;AQAAZHJzL2Uyb0RvYy54bWxQSwUGAAAAAAYABgBZAQAA2AUAAAAA&#10;">
                  <v:fill on="t" opacity="31457f" focussize="0,0"/>
                  <v:stroke weight="1pt" color="#000000" miterlimit="8" joinstyle="miter"/>
                  <v:imagedata o:title=""/>
                  <o:lock v:ext="edit" aspectratio="f"/>
                  <v:textbox>
                    <w:txbxContent>
                      <w:p>
                        <w:pPr>
                          <w:jc w:val="center"/>
                          <w:rPr>
                            <w:sz w:val="24"/>
                            <w:szCs w:val="24"/>
                          </w:rPr>
                        </w:pPr>
                        <w:r>
                          <w:rPr>
                            <w:rFonts w:hint="eastAsia" w:hAnsi="宋体"/>
                            <w:sz w:val="24"/>
                            <w:szCs w:val="24"/>
                          </w:rPr>
                          <w:t>公司突发环境事件应急预案</w:t>
                        </w:r>
                      </w:p>
                    </w:txbxContent>
                  </v:textbox>
                </v:rect>
                <v:rect id="矩形 425" o:spid="_x0000_s1026" o:spt="1" style="position:absolute;left:3220085;top:1555750;height:551180;width:132080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&#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2QCEPbAAAACwEAAA8AAAAAAAAAAQAgAAAAIgAAAGRy&#10;cy9kb3ducmV2LnhtbFBLAQIUABQAAAAIAIdO4kCZOEykOwIAAGsEAAAOAAAAAAAAAAEAIAAAACoB&#10;AABkcnMvZTJvRG9jLnhtbFBLBQYAAAAABgAGAFkBAADXBQAAAAA=&#10;">
                  <v:fill on="t" opacity="31457f" focussize="0,0"/>
                  <v:stroke weight="1pt" color="#000000" miterlimit="8" joinstyle="miter"/>
                  <v:imagedata o:title=""/>
                  <o:lock v:ext="edit" aspectratio="f"/>
                  <v:textbox>
                    <w:txbxContent>
                      <w:p>
                        <w:pPr>
                          <w:jc w:val="center"/>
                          <w:rPr>
                            <w:sz w:val="24"/>
                            <w:szCs w:val="24"/>
                          </w:rPr>
                        </w:pPr>
                        <w:r>
                          <w:rPr>
                            <w:rFonts w:hint="eastAsia" w:hAnsi="宋体"/>
                            <w:sz w:val="24"/>
                            <w:szCs w:val="24"/>
                          </w:rPr>
                          <w:t>公司安全事故应急预案</w:t>
                        </w:r>
                      </w:p>
                    </w:txbxContent>
                  </v:textbox>
                </v:rect>
                <v:shape id="自选图形 185" o:spid="_x0000_s1026" o:spt="34" type="#_x0000_t34" style="position:absolute;left:1557655;top:362586;flip:x y;height:1137920;width:1169671;rotation:5898240f;" filled="f" stroked="t" coordsize="21600,21600" o:gfxdata="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&#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vweDfaAAAACwEAAA8AAAAAAAAAAQAgAAAAIgAAAGRy&#10;cy9kb3ducmV2LnhtbFBLAQIUABQAAAAIAIdO4kCGtcKHPAIAABsEAAAOAAAAAAAAAAEAIAAAACkB&#10;AABkcnMvZTJvRG9jLnhtbFBLBQYAAAAABgAGAFkBAADXBQAAAAA=&#10;" adj="10487">
                  <v:fill on="f" focussize="0,0"/>
                  <v:stroke color="#000000" miterlimit="8" joinstyle="miter" endarrow="block"/>
                  <v:imagedata o:title=""/>
                  <o:lock v:ext="edit" aspectratio="f"/>
                </v:shape>
                <v:shape id="自选图形 186" o:spid="_x0000_s1026" o:spt="34" type="#_x0000_t34" style="position:absolute;left:2691131;top:367030;flip:y;height:1166813;width:1207453;rotation:5898240f;" filled="f" stroked="t" coordsize="21600,21600" o:gfxdata="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&#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Gi+2H3AAAAAsBAAAPAAAAAAAAAAEAIAAAACIAAABk&#10;cnMvZG93bnJldi54bWxQSwECFAAUAAAACACHTuJAETWXIjsCAAAfBAAADgAAAAAAAAABACAAAAAr&#10;AQAAZHJzL2Uyb0RvYy54bWxQSwUGAAAAAAYABgBZAQAA2AUAAAAA&#10;" adj="10800">
                  <v:fill on="f" focussize="0,0"/>
                  <v:stroke color="#000000" miterlimit="8" joinstyle="miter" endarrow="block" endarrowwidth="narrow"/>
                  <v:imagedata o:title=""/>
                  <o:lock v:ext="edit" aspectratio="f"/>
                </v:shape>
              </v:group>
            </w:pict>
          </mc:Fallback>
        </mc:AlternateContent>
      </w:r>
      <w:r>
        <w:rPr>
          <w:rFonts w:ascii="Times New Roman" w:hAnsi="Times New Roman" w:cs="Times New Roman"/>
          <w:color w:val="000000" w:themeColor="text1"/>
          <w:sz w:val="24"/>
          <w:szCs w:val="24"/>
          <w14:textFill>
            <w14:solidFill>
              <w14:schemeClr w14:val="tx1"/>
            </w14:solidFill>
          </w14:textFill>
        </w:rPr>
        <w:t>按照《企业事业单位突发环境事件应急预案备案管理办法（试行）》（环发[2015]4号）的相关规定，应急预案体系应由总体应急预案（综合）、专项应急急预案、部门应急预案、地方应急预案、企事业单位应急预案、重大活动应急预案等六大类构成。根据本项目实际情况，本项目应急预案体系见图1.4-1。</w:t>
      </w: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500" w:lineRule="exact"/>
        <w:ind w:right="170" w:firstLine="480" w:firstLineChars="200"/>
        <w:rPr>
          <w:rFonts w:ascii="Times New Roman" w:hAnsi="Times New Roman" w:cs="Times New Roman"/>
          <w:color w:val="000000" w:themeColor="text1"/>
          <w:sz w:val="24"/>
          <w:szCs w:val="24"/>
          <w14:textFill>
            <w14:solidFill>
              <w14:schemeClr w14:val="tx1"/>
            </w14:solidFill>
          </w14:textFill>
        </w:rPr>
      </w:pPr>
    </w:p>
    <w:p>
      <w:pPr>
        <w:spacing w:line="360" w:lineRule="auto"/>
        <w:jc w:val="center"/>
        <w:rPr>
          <w:rFonts w:ascii="Times New Roman" w:hAnsi="Times New Roman" w:cs="Times New Roman"/>
          <w:b/>
          <w:bCs/>
          <w:color w:val="000000" w:themeColor="text1"/>
          <w:sz w:val="24"/>
          <w:szCs w:val="24"/>
          <w14:textFill>
            <w14:solidFill>
              <w14:schemeClr w14:val="tx1"/>
            </w14:solidFill>
          </w14:textFill>
        </w:rPr>
      </w:pPr>
      <w:bookmarkStart w:id="83" w:name="_Toc2112_WPSOffice_Level3"/>
      <w:bookmarkStart w:id="84" w:name="_Toc9844_WPSOffice_Level3"/>
      <w:bookmarkStart w:id="85" w:name="_Toc16272_WPSOffice_Level3"/>
      <w:bookmarkStart w:id="86" w:name="_Toc3671_WPSOffice_Level3"/>
      <w:bookmarkStart w:id="87" w:name="_Toc7664_WPSOffice_Level3"/>
      <w:r>
        <w:rPr>
          <w:rFonts w:ascii="Times New Roman" w:hAnsi="Times New Roman" w:cs="Times New Roman"/>
          <w:b/>
          <w:bCs/>
          <w:color w:val="000000" w:themeColor="text1"/>
          <w:sz w:val="24"/>
          <w:szCs w:val="24"/>
          <w14:textFill>
            <w14:solidFill>
              <w14:schemeClr w14:val="tx1"/>
            </w14:solidFill>
          </w14:textFill>
        </w:rPr>
        <w:t>图 1.4-1 突发环境事件应急预案体系</w:t>
      </w:r>
      <w:bookmarkEnd w:id="83"/>
      <w:bookmarkEnd w:id="84"/>
      <w:bookmarkEnd w:id="85"/>
      <w:bookmarkEnd w:id="86"/>
      <w:bookmarkEnd w:id="87"/>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根据企业实际情况，本次仅编制中国石油天然气股份有限公司江西南昌启航加油站突发环境事件综合应急预案。同时根据实际需要和情势变化，适时修订应急预案。本应急预案的制定、修订程序根据环境保护主管部门的规定执行。项目突发环境事件应急预案为企业内部预案，企业发生</w:t>
      </w:r>
      <w:r>
        <w:rPr>
          <w:rFonts w:hint="eastAsia" w:ascii="宋体" w:hAnsi="宋体" w:eastAsia="宋体" w:cs="宋体"/>
          <w:color w:val="000000" w:themeColor="text1"/>
          <w:sz w:val="24"/>
          <w:szCs w:val="24"/>
          <w14:textFill>
            <w14:solidFill>
              <w14:schemeClr w14:val="tx1"/>
            </w14:solidFill>
          </w14:textFill>
        </w:rPr>
        <w:t>Ⅱ</w:t>
      </w:r>
      <w:r>
        <w:rPr>
          <w:rFonts w:ascii="Times New Roman" w:hAnsi="Times New Roman" w:cs="Times New Roman"/>
          <w:color w:val="000000" w:themeColor="text1"/>
          <w:sz w:val="24"/>
          <w:szCs w:val="24"/>
          <w14:textFill>
            <w14:solidFill>
              <w14:schemeClr w14:val="tx1"/>
            </w14:solidFill>
          </w14:textFill>
        </w:rPr>
        <w:t>级突发环境事件时，启动本应急预案，当突发环境事件为</w:t>
      </w:r>
      <w:r>
        <w:rPr>
          <w:rFonts w:hint="eastAsia" w:ascii="宋体" w:hAnsi="宋体" w:eastAsia="宋体" w:cs="宋体"/>
          <w:color w:val="000000" w:themeColor="text1"/>
          <w:sz w:val="24"/>
          <w:szCs w:val="24"/>
          <w14:textFill>
            <w14:solidFill>
              <w14:schemeClr w14:val="tx1"/>
            </w14:solidFill>
          </w14:textFill>
        </w:rPr>
        <w:t>Ⅰ</w:t>
      </w:r>
      <w:r>
        <w:rPr>
          <w:rFonts w:ascii="Times New Roman" w:hAnsi="Times New Roman" w:cs="Times New Roman"/>
          <w:color w:val="000000" w:themeColor="text1"/>
          <w:sz w:val="24"/>
          <w:szCs w:val="24"/>
          <w14:textFill>
            <w14:solidFill>
              <w14:schemeClr w14:val="tx1"/>
            </w14:solidFill>
          </w14:textFill>
        </w:rPr>
        <w:t>级突发环境事件时，企业总指挥应及时与南昌市人民政府、南昌市环境保护局以及相关职能管理部门的应急指挥机构联系，突发环境事件为</w:t>
      </w:r>
      <w:r>
        <w:rPr>
          <w:rFonts w:hint="eastAsia" w:ascii="宋体" w:hAnsi="宋体" w:eastAsia="宋体" w:cs="宋体"/>
          <w:color w:val="000000" w:themeColor="text1"/>
          <w:sz w:val="24"/>
          <w:szCs w:val="24"/>
          <w14:textFill>
            <w14:solidFill>
              <w14:schemeClr w14:val="tx1"/>
            </w14:solidFill>
          </w14:textFill>
        </w:rPr>
        <w:t>Ⅰ</w:t>
      </w:r>
      <w:r>
        <w:rPr>
          <w:rFonts w:ascii="Times New Roman" w:hAnsi="Times New Roman" w:cs="Times New Roman"/>
          <w:color w:val="000000" w:themeColor="text1"/>
          <w:sz w:val="24"/>
          <w:szCs w:val="24"/>
          <w14:textFill>
            <w14:solidFill>
              <w14:schemeClr w14:val="tx1"/>
            </w14:solidFill>
          </w14:textFill>
        </w:rPr>
        <w:t>级时，应启动项目所在地即《南昌市突发环境事件应急预案》</w:t>
      </w:r>
      <w:r>
        <w:rPr>
          <w:rFonts w:hint="eastAsia"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突发环境事件应急预案与生产安全事故应急预案相辅相成，互为补充；突发事件应急预案具有独立性，各司其职。当突发环境事件时，应立即启动突发环境事件应急预案，由突发环境事件衍生其他突发事件时，启动其他突发事件应急预案。</w:t>
      </w:r>
    </w:p>
    <w:p>
      <w:pPr>
        <w:keepNext/>
        <w:keepLines/>
        <w:spacing w:before="240" w:beforeLines="100" w:after="240" w:afterLines="100" w:line="360" w:lineRule="auto"/>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88" w:name="_Toc532817006"/>
      <w:bookmarkStart w:id="89" w:name="_Toc31711_WPSOffice_Level2"/>
      <w:bookmarkStart w:id="90" w:name="_Toc10055_WPSOffice_Level2"/>
      <w:bookmarkStart w:id="91" w:name="_Toc26023_WPSOffice_Level2"/>
      <w:bookmarkStart w:id="92" w:name="_Toc1636"/>
      <w:bookmarkStart w:id="93" w:name="_Toc23590_WPSOffice_Level2"/>
      <w:bookmarkStart w:id="94" w:name="_Toc10876_WPSOffice_Level2"/>
      <w:bookmarkStart w:id="95" w:name="_Toc15853"/>
      <w:r>
        <w:rPr>
          <w:rFonts w:ascii="Times New Roman" w:hAnsi="Times New Roman" w:cs="Times New Roman"/>
          <w:b/>
          <w:bCs/>
          <w:color w:val="000000" w:themeColor="text1"/>
          <w:kern w:val="44"/>
          <w:sz w:val="24"/>
          <w:szCs w:val="24"/>
          <w14:textFill>
            <w14:solidFill>
              <w14:schemeClr w14:val="tx1"/>
            </w14:solidFill>
          </w14:textFill>
        </w:rPr>
        <w:t>1.5 事故分级</w:t>
      </w:r>
      <w:bookmarkEnd w:id="88"/>
      <w:bookmarkEnd w:id="89"/>
      <w:bookmarkEnd w:id="90"/>
      <w:bookmarkEnd w:id="91"/>
      <w:bookmarkEnd w:id="92"/>
      <w:bookmarkEnd w:id="93"/>
      <w:bookmarkEnd w:id="94"/>
      <w:bookmarkEnd w:id="95"/>
    </w:p>
    <w:p>
      <w:pPr>
        <w:keepNext/>
        <w:keepLines/>
        <w:spacing w:before="120" w:beforeLines="50" w:after="120" w:afterLines="50" w:line="360" w:lineRule="auto"/>
        <w:jc w:val="left"/>
        <w:outlineLvl w:val="2"/>
        <w:rPr>
          <w:rFonts w:ascii="Times New Roman" w:hAnsi="Times New Roman" w:cs="Times New Roman"/>
          <w:b/>
          <w:bCs/>
          <w:color w:val="000000" w:themeColor="text1"/>
          <w:sz w:val="24"/>
          <w:szCs w:val="24"/>
          <w14:textFill>
            <w14:solidFill>
              <w14:schemeClr w14:val="tx1"/>
            </w14:solidFill>
          </w14:textFill>
        </w:rPr>
      </w:pPr>
      <w:bookmarkStart w:id="96" w:name="_Toc23590_WPSOffice_Level3"/>
      <w:bookmarkStart w:id="97" w:name="_Toc26023_WPSOffice_Level3"/>
      <w:bookmarkStart w:id="98" w:name="_Toc23968"/>
      <w:bookmarkStart w:id="99" w:name="_Toc532817007"/>
      <w:bookmarkStart w:id="100" w:name="_Toc10876_WPSOffice_Level3"/>
      <w:bookmarkStart w:id="101" w:name="_Toc31711_WPSOffice_Level3"/>
      <w:bookmarkStart w:id="102" w:name="_Toc10055_WPSOffice_Level3"/>
      <w:bookmarkStart w:id="103" w:name="_Toc28795"/>
      <w:r>
        <w:rPr>
          <w:rFonts w:ascii="Times New Roman" w:hAnsi="Times New Roman" w:cs="Times New Roman"/>
          <w:b/>
          <w:bCs/>
          <w:color w:val="000000" w:themeColor="text1"/>
          <w:sz w:val="24"/>
          <w:szCs w:val="24"/>
          <w14:textFill>
            <w14:solidFill>
              <w14:schemeClr w14:val="tx1"/>
            </w14:solidFill>
          </w14:textFill>
        </w:rPr>
        <w:t>1.5.1 国家应急预案分级</w:t>
      </w:r>
      <w:bookmarkEnd w:id="96"/>
      <w:bookmarkEnd w:id="97"/>
      <w:bookmarkEnd w:id="98"/>
      <w:bookmarkEnd w:id="99"/>
      <w:bookmarkEnd w:id="100"/>
      <w:bookmarkEnd w:id="101"/>
      <w:bookmarkEnd w:id="102"/>
      <w:bookmarkEnd w:id="103"/>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按照突发事件严重性和紧急程度，根据《突发环境事件信息报告办法》（环境保护部第 17 号部令），突发环境事件级别分为特别重大（</w:t>
      </w:r>
      <w:r>
        <w:rPr>
          <w:rFonts w:hint="eastAsia" w:ascii="宋体" w:hAnsi="宋体" w:eastAsia="宋体" w:cs="宋体"/>
          <w:color w:val="000000" w:themeColor="text1"/>
          <w:sz w:val="24"/>
          <w:szCs w:val="24"/>
          <w14:textFill>
            <w14:solidFill>
              <w14:schemeClr w14:val="tx1"/>
            </w14:solidFill>
          </w14:textFill>
        </w:rPr>
        <w:t>Ⅰ</w:t>
      </w:r>
      <w:r>
        <w:rPr>
          <w:rFonts w:ascii="Times New Roman" w:hAnsi="Times New Roman" w:cs="Times New Roman"/>
          <w:color w:val="000000" w:themeColor="text1"/>
          <w:sz w:val="24"/>
          <w:szCs w:val="24"/>
          <w14:textFill>
            <w14:solidFill>
              <w14:schemeClr w14:val="tx1"/>
            </w14:solidFill>
          </w14:textFill>
        </w:rPr>
        <w:t>级）、重大（</w:t>
      </w:r>
      <w:r>
        <w:rPr>
          <w:rFonts w:hint="eastAsia" w:ascii="宋体" w:hAnsi="宋体" w:eastAsia="宋体" w:cs="宋体"/>
          <w:color w:val="000000" w:themeColor="text1"/>
          <w:sz w:val="24"/>
          <w:szCs w:val="24"/>
          <w14:textFill>
            <w14:solidFill>
              <w14:schemeClr w14:val="tx1"/>
            </w14:solidFill>
          </w14:textFill>
        </w:rPr>
        <w:t>Ⅱ</w:t>
      </w:r>
      <w:r>
        <w:rPr>
          <w:rFonts w:ascii="Times New Roman" w:hAnsi="Times New Roman" w:cs="Times New Roman"/>
          <w:color w:val="000000" w:themeColor="text1"/>
          <w:sz w:val="24"/>
          <w:szCs w:val="24"/>
          <w14:textFill>
            <w14:solidFill>
              <w14:schemeClr w14:val="tx1"/>
            </w14:solidFill>
          </w14:textFill>
        </w:rPr>
        <w:t>级）、较大（</w:t>
      </w:r>
      <w:r>
        <w:rPr>
          <w:rFonts w:hint="eastAsia" w:ascii="宋体" w:hAnsi="宋体" w:eastAsia="宋体" w:cs="宋体"/>
          <w:color w:val="000000" w:themeColor="text1"/>
          <w:sz w:val="24"/>
          <w:szCs w:val="24"/>
          <w14:textFill>
            <w14:solidFill>
              <w14:schemeClr w14:val="tx1"/>
            </w14:solidFill>
          </w14:textFill>
        </w:rPr>
        <w:t>Ⅲ</w:t>
      </w:r>
      <w:r>
        <w:rPr>
          <w:rFonts w:ascii="Times New Roman" w:hAnsi="Times New Roman" w:cs="Times New Roman"/>
          <w:color w:val="000000" w:themeColor="text1"/>
          <w:sz w:val="24"/>
          <w:szCs w:val="24"/>
          <w14:textFill>
            <w14:solidFill>
              <w14:schemeClr w14:val="tx1"/>
            </w14:solidFill>
          </w14:textFill>
        </w:rPr>
        <w:t>级）和一般（</w:t>
      </w:r>
      <w:r>
        <w:rPr>
          <w:rFonts w:hint="eastAsia" w:ascii="宋体" w:hAnsi="宋体" w:eastAsia="宋体" w:cs="宋体"/>
          <w:color w:val="000000" w:themeColor="text1"/>
          <w:sz w:val="24"/>
          <w:szCs w:val="24"/>
          <w14:textFill>
            <w14:solidFill>
              <w14:schemeClr w14:val="tx1"/>
            </w14:solidFill>
          </w14:textFill>
        </w:rPr>
        <w:t>Ⅳ</w:t>
      </w:r>
      <w:r>
        <w:rPr>
          <w:rFonts w:ascii="Times New Roman" w:hAnsi="Times New Roman" w:cs="Times New Roman"/>
          <w:color w:val="000000" w:themeColor="text1"/>
          <w:sz w:val="24"/>
          <w:szCs w:val="24"/>
          <w14:textFill>
            <w14:solidFill>
              <w14:schemeClr w14:val="tx1"/>
            </w14:solidFill>
          </w14:textFill>
        </w:rPr>
        <w:t>级）四级。</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1、特别重大（</w:t>
      </w:r>
      <w:r>
        <w:rPr>
          <w:rFonts w:hint="eastAsia" w:ascii="宋体" w:hAnsi="宋体" w:eastAsia="宋体" w:cs="宋体"/>
          <w:color w:val="000000" w:themeColor="text1"/>
          <w:sz w:val="24"/>
          <w:szCs w:val="24"/>
          <w14:textFill>
            <w14:solidFill>
              <w14:schemeClr w14:val="tx1"/>
            </w14:solidFill>
          </w14:textFill>
        </w:rPr>
        <w:t>Ⅰ</w:t>
      </w:r>
      <w:r>
        <w:rPr>
          <w:rFonts w:ascii="Times New Roman" w:hAnsi="Times New Roman" w:cs="Times New Roman"/>
          <w:color w:val="000000" w:themeColor="text1"/>
          <w:sz w:val="24"/>
          <w:szCs w:val="24"/>
          <w14:textFill>
            <w14:solidFill>
              <w14:schemeClr w14:val="tx1"/>
            </w14:solidFill>
          </w14:textFill>
        </w:rPr>
        <w:t>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凡符合下列情形之一的，为特别重大突发环境事件：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（1）因环境污染直接导致 10 人以上死亡或 100 人以上中毒的；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（2）因环境污染需疏散、转移群众 5 万人以上的；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（3）因环境污染造成直接经济损失 1 亿元以上的；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（4）因环境污染造成区域生态功能丧失或国家重点保护物种灭绝的；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（5）因环境污染造成地市级以上城市集中式饮用水水源地取水中断的；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2、重大（</w:t>
      </w:r>
      <w:r>
        <w:rPr>
          <w:rFonts w:hint="eastAsia" w:ascii="宋体" w:hAnsi="宋体" w:eastAsia="宋体" w:cs="宋体"/>
          <w:color w:val="000000" w:themeColor="text1"/>
          <w:sz w:val="24"/>
          <w:szCs w:val="24"/>
          <w14:textFill>
            <w14:solidFill>
              <w14:schemeClr w14:val="tx1"/>
            </w14:solidFill>
          </w14:textFill>
        </w:rPr>
        <w:t>Ⅱ</w:t>
      </w:r>
      <w:r>
        <w:rPr>
          <w:rFonts w:ascii="Times New Roman" w:hAnsi="Times New Roman" w:cs="Times New Roman"/>
          <w:color w:val="000000" w:themeColor="text1"/>
          <w:sz w:val="24"/>
          <w:szCs w:val="24"/>
          <w14:textFill>
            <w14:solidFill>
              <w14:schemeClr w14:val="tx1"/>
            </w14:solidFill>
          </w14:textFill>
        </w:rPr>
        <w:t>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凡符合下列情形之一的，为重大突发环境事件：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（1）因环境污染直接导致 3 人以上 10 人以下死亡或 50 人以上 100 人以下中毒的；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（2）因环境污染需疏散、转移群众 1 万人以上 5 万人以下的；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（3）因环境污染造成直接经济损失 2000 万元以上 1 亿元以下的；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（4）因环境污染造成区域生态功能部分丧失或国家重点保护野生动植物种群大批死亡的；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（5）因环境污染造成县级城市集中式饮用水水源地取水中断的；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3、较大（</w:t>
      </w:r>
      <w:r>
        <w:rPr>
          <w:rFonts w:hint="eastAsia" w:ascii="宋体" w:hAnsi="宋体" w:eastAsia="宋体" w:cs="宋体"/>
          <w:color w:val="000000" w:themeColor="text1"/>
          <w:sz w:val="24"/>
          <w:szCs w:val="24"/>
          <w14:textFill>
            <w14:solidFill>
              <w14:schemeClr w14:val="tx1"/>
            </w14:solidFill>
          </w14:textFill>
        </w:rPr>
        <w:t>Ⅲ</w:t>
      </w:r>
      <w:r>
        <w:rPr>
          <w:rFonts w:ascii="Times New Roman" w:hAnsi="Times New Roman" w:cs="Times New Roman"/>
          <w:color w:val="000000" w:themeColor="text1"/>
          <w:sz w:val="24"/>
          <w:szCs w:val="24"/>
          <w14:textFill>
            <w14:solidFill>
              <w14:schemeClr w14:val="tx1"/>
            </w14:solidFill>
          </w14:textFill>
        </w:rPr>
        <w:t>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凡符合下列情形之一的，为较大突发环境事件：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（1）因环境污染直接导致 3 人以下死亡或 10 人以上 50 人以下中毒的；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（2）因环境污染需疏散、转移群众 5000 人以上 1 万人以下的；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（3）因环境污染造成直接经济损失 500 万元以上 2000 万元以下的；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（4）因环境污染造成国家重点保护的动植物物种受到破坏的；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（5）因环境污染造成乡镇集中式饮用水水源地取水中断的；</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4、一般（</w:t>
      </w:r>
      <w:r>
        <w:rPr>
          <w:rFonts w:hint="eastAsia" w:ascii="宋体" w:hAnsi="宋体" w:eastAsia="宋体" w:cs="宋体"/>
          <w:color w:val="000000" w:themeColor="text1"/>
          <w:sz w:val="24"/>
          <w:szCs w:val="24"/>
          <w14:textFill>
            <w14:solidFill>
              <w14:schemeClr w14:val="tx1"/>
            </w14:solidFill>
          </w14:textFill>
        </w:rPr>
        <w:t>Ⅳ</w:t>
      </w:r>
      <w:r>
        <w:rPr>
          <w:rFonts w:ascii="Times New Roman" w:hAnsi="Times New Roman" w:cs="Times New Roman"/>
          <w:color w:val="000000" w:themeColor="text1"/>
          <w:sz w:val="24"/>
          <w:szCs w:val="24"/>
          <w14:textFill>
            <w14:solidFill>
              <w14:schemeClr w14:val="tx1"/>
            </w14:solidFill>
          </w14:textFill>
        </w:rPr>
        <w:t>级）突发环境事件。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除特别重大突发环境事件、重大突发环境事件、较大突发环境事件以外的突发环境事件。</w:t>
      </w:r>
    </w:p>
    <w:p>
      <w:pPr>
        <w:keepNext/>
        <w:keepLines/>
        <w:spacing w:before="120" w:beforeLines="50" w:after="120" w:afterLines="50" w:line="360" w:lineRule="auto"/>
        <w:jc w:val="left"/>
        <w:outlineLvl w:val="2"/>
        <w:rPr>
          <w:rFonts w:ascii="Times New Roman" w:hAnsi="Times New Roman" w:cs="Times New Roman"/>
          <w:b/>
          <w:bCs/>
          <w:color w:val="000000" w:themeColor="text1"/>
          <w:sz w:val="24"/>
          <w:szCs w:val="24"/>
          <w14:textFill>
            <w14:solidFill>
              <w14:schemeClr w14:val="tx1"/>
            </w14:solidFill>
          </w14:textFill>
        </w:rPr>
      </w:pPr>
      <w:bookmarkStart w:id="104" w:name="_Toc21536_WPSOffice_Level3"/>
      <w:bookmarkStart w:id="105" w:name="_Toc28459_WPSOffice_Level3"/>
      <w:bookmarkStart w:id="106" w:name="_Toc12984_WPSOffice_Level3"/>
      <w:bookmarkStart w:id="107" w:name="_Toc20084"/>
      <w:bookmarkStart w:id="108" w:name="_Toc532817008"/>
      <w:bookmarkStart w:id="109" w:name="_Toc2221_WPSOffice_Level3"/>
      <w:bookmarkStart w:id="110" w:name="_Toc14468_WPSOffice_Level3"/>
      <w:bookmarkStart w:id="111" w:name="_Toc2763"/>
      <w:r>
        <w:rPr>
          <w:rFonts w:ascii="Times New Roman" w:hAnsi="Times New Roman" w:cs="Times New Roman"/>
          <w:b/>
          <w:bCs/>
          <w:color w:val="000000" w:themeColor="text1"/>
          <w:sz w:val="24"/>
          <w:szCs w:val="24"/>
          <w14:textFill>
            <w14:solidFill>
              <w14:schemeClr w14:val="tx1"/>
            </w14:solidFill>
          </w14:textFill>
        </w:rPr>
        <w:t>1.5.2 企业应急预案分级</w:t>
      </w:r>
      <w:bookmarkEnd w:id="104"/>
      <w:bookmarkEnd w:id="105"/>
      <w:bookmarkEnd w:id="106"/>
      <w:bookmarkEnd w:id="107"/>
      <w:bookmarkEnd w:id="108"/>
      <w:bookmarkEnd w:id="109"/>
      <w:bookmarkEnd w:id="110"/>
      <w:bookmarkEnd w:id="111"/>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按照突发环境事件的可控范围和严重程度，加油站突发环境事件内部分级分为社会级和企业级二个等级。</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（1）社会级（</w:t>
      </w:r>
      <w:r>
        <w:rPr>
          <w:rFonts w:hint="eastAsia" w:ascii="宋体" w:hAnsi="宋体" w:eastAsia="宋体" w:cs="宋体"/>
          <w:color w:val="000000" w:themeColor="text1"/>
          <w:sz w:val="24"/>
          <w:szCs w:val="24"/>
          <w14:textFill>
            <w14:solidFill>
              <w14:schemeClr w14:val="tx1"/>
            </w14:solidFill>
          </w14:textFill>
        </w:rPr>
        <w:t>Ⅰ</w:t>
      </w:r>
      <w:r>
        <w:rPr>
          <w:rFonts w:ascii="Times New Roman" w:hAnsi="Times New Roman" w:cs="Times New Roman"/>
          <w:color w:val="000000" w:themeColor="text1"/>
          <w:sz w:val="24"/>
          <w:szCs w:val="24"/>
          <w14:textFill>
            <w14:solidFill>
              <w14:schemeClr w14:val="tx1"/>
            </w14:solidFill>
          </w14:textFill>
        </w:rPr>
        <w:t>级）</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指因突发环境事故或其他重大灾害，污染物造成受纳水体污染和大气重大污染，通过企业自身力量难以控制污染的扩散，必须向社会力量求援的事件。突发事故严重造成环境污染使当地正常的经济、社会活动受到严重影响；因环境污染造成重要水环境、环境空气的污染事故。如，加油站汽油大量泄漏，并泄漏至站区外，导致周边地表水、地下水及土壤被污染，站区发生大面积火灾，企业不能控制火灾发展趋势，对周边环境存在较大威胁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此外，地震、泥石流、山体滑坡等自然灾害危及站区外环境，可能污染土壤及浅层地下水事件。事件发现者必须立即逐级上报至企业应急救援指挥部，由应急救援指挥部下发启动本预案的命令；同时，向当地人民政府、消防、安监、环保部门报告，需寻求外部救援力量。</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（2）企业级（</w:t>
      </w:r>
      <w:r>
        <w:rPr>
          <w:rFonts w:hint="eastAsia" w:ascii="宋体" w:hAnsi="宋体" w:eastAsia="宋体" w:cs="宋体"/>
          <w:color w:val="000000" w:themeColor="text1"/>
          <w:sz w:val="24"/>
          <w:szCs w:val="24"/>
          <w14:textFill>
            <w14:solidFill>
              <w14:schemeClr w14:val="tx1"/>
            </w14:solidFill>
          </w14:textFill>
        </w:rPr>
        <w:t>Ⅱ</w:t>
      </w:r>
      <w:r>
        <w:rPr>
          <w:rFonts w:ascii="Times New Roman" w:hAnsi="Times New Roman" w:cs="Times New Roman"/>
          <w:color w:val="000000" w:themeColor="text1"/>
          <w:sz w:val="24"/>
          <w:szCs w:val="24"/>
          <w14:textFill>
            <w14:solidFill>
              <w14:schemeClr w14:val="tx1"/>
            </w14:solidFill>
          </w14:textFill>
        </w:rPr>
        <w:t>级）</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指因突发环境事故或其他较大灾害，突发事件对外界没有造成大的污染，通过公司自身力量可以控制污染的扩散，削除事件对站内、站外的污染和影响的事件。</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比如，加油站汽油少量泄漏，通过采取应急措施后可控制在站区内；站区内发生局部火灾，采用站区现有的灭火设备进行灭火后，可以控制火势发展或灭火完成。</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此外，加油设施可能存在跑、冒、漏现象。企业应急救援指挥部立即安排各应急处置小组积极做好应急救援工作，防止此类突发环境事件向站外扩散。</w:t>
      </w:r>
    </w:p>
    <w:p>
      <w:pPr>
        <w:spacing w:line="360" w:lineRule="auto"/>
        <w:ind w:firstLine="482" w:firstLineChars="200"/>
        <w:outlineLvl w:val="2"/>
        <w:rPr>
          <w:rFonts w:ascii="Times New Roman" w:hAnsi="Times New Roman" w:cs="Times New Roman"/>
          <w:b/>
          <w:bCs/>
          <w:color w:val="000000" w:themeColor="text1"/>
          <w:sz w:val="24"/>
          <w:szCs w:val="24"/>
          <w14:textFill>
            <w14:solidFill>
              <w14:schemeClr w14:val="tx1"/>
            </w14:solidFill>
          </w14:textFill>
        </w:rPr>
      </w:pPr>
      <w:bookmarkStart w:id="112" w:name="_Toc14468_WPSOffice_Level2"/>
      <w:bookmarkStart w:id="113" w:name="_Toc2221_WPSOffice_Level2"/>
      <w:bookmarkStart w:id="114" w:name="_Toc28459_WPSOffice_Level2"/>
      <w:bookmarkStart w:id="115" w:name="_Toc21536_WPSOffice_Level2"/>
      <w:bookmarkStart w:id="116" w:name="_Toc532817009"/>
      <w:bookmarkStart w:id="117" w:name="_Toc22477"/>
      <w:bookmarkStart w:id="118" w:name="_Toc12984_WPSOffice_Level2"/>
      <w:bookmarkStart w:id="119" w:name="_Toc8225"/>
      <w:r>
        <w:rPr>
          <w:rFonts w:ascii="Times New Roman" w:hAnsi="Times New Roman" w:cs="Times New Roman"/>
          <w:b/>
          <w:bCs/>
          <w:color w:val="000000" w:themeColor="text1"/>
          <w:sz w:val="24"/>
          <w:szCs w:val="24"/>
          <w14:textFill>
            <w14:solidFill>
              <w14:schemeClr w14:val="tx1"/>
            </w14:solidFill>
          </w14:textFill>
        </w:rPr>
        <w:t>1.6工作原则</w:t>
      </w:r>
      <w:bookmarkEnd w:id="112"/>
      <w:bookmarkEnd w:id="113"/>
      <w:bookmarkEnd w:id="114"/>
      <w:bookmarkEnd w:id="115"/>
      <w:bookmarkEnd w:id="116"/>
      <w:bookmarkEnd w:id="117"/>
      <w:bookmarkEnd w:id="118"/>
      <w:bookmarkEnd w:id="119"/>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突发环境事件应对工作坚持统一领导、分级负责，属地为主、协调联动，</w:t>
      </w:r>
      <w:r>
        <w:fldChar w:fldCharType="begin"/>
      </w:r>
      <w:r>
        <w:instrText xml:space="preserve"> HYPERLINK "http://baike.sogou.com/lemma/ShowInnerLink.htm?lemmaId=8042370&amp;ss_c=ssc.citiao.link" \t "http://baike.sogou.com/_blank" </w:instrText>
      </w:r>
      <w:r>
        <w:fldChar w:fldCharType="separate"/>
      </w:r>
      <w:r>
        <w:rPr>
          <w:rFonts w:ascii="Times New Roman" w:hAnsi="Times New Roman" w:cs="Times New Roman"/>
          <w:color w:val="000000" w:themeColor="text1"/>
          <w:sz w:val="24"/>
          <w:szCs w:val="24"/>
          <w14:textFill>
            <w14:solidFill>
              <w14:schemeClr w14:val="tx1"/>
            </w14:solidFill>
          </w14:textFill>
        </w:rPr>
        <w:t>快速反应</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、科学处置，资源共享、保障有力的原则。突发环境事件发生后，公司有关部门立即启动按照职责分工和相关预案开展应急处置工作。</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在建立突发环境事件应急系统及实施其响应程序时，应本着实事求是、切实可行的方针，贯彻如下原则：</w:t>
      </w:r>
    </w:p>
    <w:p>
      <w:pPr>
        <w:snapToGrid w:val="0"/>
        <w:spacing w:line="56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坚持救人第一，环境优先。把保障全体职工的生命安全和身体健康、最大程度地预防和减少突发环境事件造成的人员伤亡、环境污染作为首要任务。加强对环境事件危险源的监测、监控并实施监督管理，建立环境事件风险防范体系，积极预防、及时控制、消除隐患，提高突发性环境污染事件防范和处理能力。</w:t>
      </w:r>
    </w:p>
    <w:p>
      <w:pPr>
        <w:snapToGrid w:val="0"/>
        <w:spacing w:line="56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坚持统一领导，分类管理，分级响应。接受政府环保部门的指导，使突发性环境污染事件应急系统成为区域系统的有机组成部分。加强公司部门之间协同与合作，提高快速反应能力。针对不同污染源造成的环境污染，实行分类管理，充分发挥部门专业优势，使采取的措施与突发环境污染事件造成的危害范围与社会影响相适应。</w:t>
      </w:r>
    </w:p>
    <w:p>
      <w:pPr>
        <w:snapToGrid w:val="0"/>
        <w:spacing w:line="56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依靠科学，依法规范。采用先进技术，听取各方面的意见和建议，实行科学民主决策。采用先进的救援装备和技术，增强应急救援能力。依法规范应急救援工作，确保应急预案的科学性、权威性和可操作性。</w:t>
      </w:r>
    </w:p>
    <w:p>
      <w:pPr>
        <w:snapToGrid w:val="0"/>
        <w:spacing w:line="56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坚持平战结合，专兼结合，充分利用现有资源。积极做好应对突发性环境污染事件的思想准备、物资准备、技术准备、工作准备，加强培训演练，应急系统做到常备不懈，为本公司和其他公司及社会提供服务，在应急时快速有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（5）预防为主，减少危害，常备不懈。坚持预防为主的方针，宣传普及环境应急知识，不断提高环境安全意识。建立和加强突发环境事件预警机制，切实做到及时发现、及时报告、快速反应、有效控制。</w:t>
      </w:r>
    </w:p>
    <w:p>
      <w:pPr>
        <w:widowControl/>
        <w:jc w:val="lef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120" w:name="_Toc6001_WPSOffice_Level1"/>
      <w:bookmarkStart w:id="121" w:name="_Toc10739"/>
      <w:bookmarkStart w:id="122" w:name="_Toc982_WPSOffice_Level1"/>
      <w:bookmarkStart w:id="123" w:name="_Toc12984_WPSOffice_Level1"/>
      <w:bookmarkStart w:id="124" w:name="_Toc17962_WPSOffice_Level1"/>
      <w:bookmarkStart w:id="125" w:name="_Toc532817010"/>
      <w:bookmarkStart w:id="126" w:name="_Toc2634_WPSOffice_Level1"/>
      <w:bookmarkStart w:id="127" w:name="_Toc1213"/>
      <w:r>
        <w:rPr>
          <w:rFonts w:ascii="Times New Roman" w:hAnsi="Times New Roman" w:cs="Times New Roman"/>
          <w:b/>
          <w:bCs/>
          <w:color w:val="000000" w:themeColor="text1"/>
          <w:kern w:val="44"/>
          <w:sz w:val="30"/>
          <w:szCs w:val="30"/>
          <w14:textFill>
            <w14:solidFill>
              <w14:schemeClr w14:val="tx1"/>
            </w14:solidFill>
          </w14:textFill>
        </w:rPr>
        <w:t>2.加油站基本情况</w:t>
      </w:r>
      <w:bookmarkEnd w:id="120"/>
      <w:bookmarkEnd w:id="121"/>
      <w:bookmarkEnd w:id="122"/>
      <w:bookmarkEnd w:id="123"/>
      <w:bookmarkEnd w:id="124"/>
      <w:bookmarkEnd w:id="125"/>
      <w:bookmarkEnd w:id="126"/>
      <w:bookmarkEnd w:id="127"/>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28" w:name="_Toc26420"/>
      <w:bookmarkStart w:id="129" w:name="_Toc7948_WPSOffice_Level2"/>
      <w:bookmarkStart w:id="130" w:name="_Toc9181"/>
      <w:bookmarkStart w:id="131" w:name="_Toc4443_WPSOffice_Level2"/>
      <w:bookmarkStart w:id="132" w:name="_Toc532817011"/>
      <w:bookmarkStart w:id="133" w:name="_Toc21755_WPSOffice_Level2"/>
      <w:bookmarkStart w:id="134" w:name="_Toc30056_WPSOffice_Level2"/>
      <w:bookmarkStart w:id="135" w:name="_Toc18784_WPSOffice_Level2"/>
      <w:bookmarkStart w:id="136" w:name="_Toc13500"/>
      <w:r>
        <w:rPr>
          <w:rFonts w:ascii="Times New Roman" w:hAnsi="Times New Roman" w:cs="Times New Roman"/>
          <w:b/>
          <w:bCs/>
          <w:color w:val="000000" w:themeColor="text1"/>
          <w:kern w:val="44"/>
          <w:sz w:val="24"/>
          <w:szCs w:val="24"/>
          <w14:textFill>
            <w14:solidFill>
              <w14:schemeClr w14:val="tx1"/>
            </w14:solidFill>
          </w14:textFill>
        </w:rPr>
        <w:t>2.1</w:t>
      </w:r>
      <w:bookmarkEnd w:id="128"/>
      <w:r>
        <w:rPr>
          <w:rFonts w:ascii="Times New Roman" w:hAnsi="Times New Roman" w:cs="Times New Roman"/>
          <w:b/>
          <w:bCs/>
          <w:color w:val="000000" w:themeColor="text1"/>
          <w:kern w:val="44"/>
          <w:sz w:val="24"/>
          <w:szCs w:val="24"/>
          <w14:textFill>
            <w14:solidFill>
              <w14:schemeClr w14:val="tx1"/>
            </w14:solidFill>
          </w14:textFill>
        </w:rPr>
        <w:t>加油站概况</w:t>
      </w:r>
      <w:bookmarkEnd w:id="129"/>
      <w:bookmarkEnd w:id="130"/>
      <w:bookmarkEnd w:id="131"/>
      <w:bookmarkEnd w:id="132"/>
      <w:bookmarkEnd w:id="133"/>
      <w:bookmarkEnd w:id="134"/>
      <w:bookmarkEnd w:id="135"/>
      <w:bookmarkEnd w:id="136"/>
    </w:p>
    <w:p>
      <w:pPr>
        <w:autoSpaceDN w:val="0"/>
        <w:spacing w:line="500" w:lineRule="exact"/>
        <w:ind w:firstLine="480" w:firstLineChars="200"/>
        <w:jc w:val="left"/>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color w:val="000000" w:themeColor="text1"/>
          <w:sz w:val="24"/>
          <w:szCs w:val="24"/>
          <w14:textFill>
            <w14:solidFill>
              <w14:schemeClr w14:val="tx1"/>
            </w14:solidFill>
          </w14:textFill>
        </w:rPr>
        <w:t>中国石油天然气股份有限公司江西南昌启航加油站位于江西省南昌市</w:t>
      </w:r>
      <w:r>
        <w:rPr>
          <w:rFonts w:hint="eastAsia" w:ascii="宋体" w:hAnsi="宋体" w:eastAsia="宋体" w:cs="Times New Roman"/>
          <w:color w:val="000000" w:themeColor="text1"/>
          <w:sz w:val="24"/>
          <w:szCs w:val="24"/>
          <w14:textFill>
            <w14:solidFill>
              <w14:schemeClr w14:val="tx1"/>
            </w14:solidFill>
          </w14:textFill>
        </w:rPr>
        <w:t>高新区</w:t>
      </w:r>
      <w:r>
        <w:rPr>
          <w:rFonts w:ascii="宋体" w:hAnsi="宋体" w:eastAsia="宋体" w:cs="Times New Roman"/>
          <w:color w:val="000000" w:themeColor="text1"/>
          <w:sz w:val="24"/>
          <w:szCs w:val="24"/>
          <w14:textFill>
            <w14:solidFill>
              <w14:schemeClr w14:val="tx1"/>
            </w14:solidFill>
          </w14:textFill>
        </w:rPr>
        <w:t>紫阳东大道</w:t>
      </w:r>
      <w:r>
        <w:rPr>
          <w:rFonts w:ascii="Times New Roman" w:hAnsi="Times New Roman" w:eastAsia="宋体" w:cs="Times New Roman"/>
          <w:color w:val="000000" w:themeColor="text1"/>
          <w:sz w:val="24"/>
          <w:szCs w:val="24"/>
          <w14:textFill>
            <w14:solidFill>
              <w14:schemeClr w14:val="tx1"/>
            </w14:solidFill>
          </w14:textFill>
        </w:rPr>
        <w:t>500</w:t>
      </w:r>
      <w:r>
        <w:rPr>
          <w:rFonts w:ascii="宋体" w:hAnsi="宋体" w:eastAsia="宋体" w:cs="Times New Roman"/>
          <w:color w:val="000000" w:themeColor="text1"/>
          <w:sz w:val="24"/>
          <w:szCs w:val="24"/>
          <w14:textFill>
            <w14:solidFill>
              <w14:schemeClr w14:val="tx1"/>
            </w14:solidFill>
          </w14:textFill>
        </w:rPr>
        <w:t>号，</w:t>
      </w:r>
      <w:r>
        <w:rPr>
          <w:rFonts w:ascii="Times New Roman" w:hAnsi="Times New Roman" w:cs="Times New Roman"/>
          <w:color w:val="000000" w:themeColor="text1"/>
          <w:sz w:val="24"/>
          <w:szCs w:val="24"/>
          <w14:textFill>
            <w14:solidFill>
              <w14:schemeClr w14:val="tx1"/>
            </w14:solidFill>
          </w14:textFill>
        </w:rPr>
        <w:t>目前项目已获得由南昌市市场和质量监督管理局下发的“营业执照”（统一社会信用代码为913601065840028852），江西省商务厅下发的“成品油零售经营批准证书”（油零售证书第赣赣A11-42217号），南昌市安全生产监督管理局下发的“危险化学品经营许可证”（赣</w:t>
      </w:r>
      <w:r>
        <w:rPr>
          <w:rFonts w:hint="eastAsia" w:ascii="Times New Roman" w:hAnsi="Times New Roman" w:cs="Times New Roman"/>
          <w:color w:val="000000" w:themeColor="text1"/>
          <w:sz w:val="24"/>
          <w:szCs w:val="24"/>
          <w14:textFill>
            <w14:solidFill>
              <w14:schemeClr w14:val="tx1"/>
            </w14:solidFill>
          </w14:textFill>
        </w:rPr>
        <w:t>洪高新安经（甲）</w:t>
      </w:r>
      <w:r>
        <w:rPr>
          <w:rFonts w:hint="eastAsia" w:ascii="Times New Roman" w:hAnsi="Times New Roman" w:cs="Times New Roman"/>
          <w:sz w:val="24"/>
          <w:szCs w:val="24"/>
        </w:rPr>
        <w:t>字[2017]000004</w:t>
      </w:r>
      <w:r>
        <w:rPr>
          <w:rFonts w:ascii="Times New Roman" w:hAnsi="Times New Roman" w:cs="Times New Roman"/>
          <w:sz w:val="24"/>
          <w:szCs w:val="24"/>
        </w:rPr>
        <w:t>号）。</w:t>
      </w:r>
      <w:r>
        <w:rPr>
          <w:rFonts w:hint="eastAsia" w:ascii="宋体" w:hAnsi="宋体" w:eastAsia="宋体" w:cs="Times New Roman"/>
          <w:color w:val="000000" w:themeColor="text1"/>
          <w:sz w:val="24"/>
          <w:szCs w:val="24"/>
          <w14:textFill>
            <w14:solidFill>
              <w14:schemeClr w14:val="tx1"/>
            </w14:solidFill>
          </w14:textFill>
        </w:rPr>
        <w:t>油站总占地面积约为</w:t>
      </w:r>
      <w:r>
        <w:rPr>
          <w:rFonts w:ascii="Times New Roman" w:hAnsi="Times New Roman" w:eastAsia="宋体" w:cs="Times New Roman"/>
          <w:color w:val="000000" w:themeColor="text1"/>
          <w:sz w:val="24"/>
          <w:szCs w:val="24"/>
          <w14:textFill>
            <w14:solidFill>
              <w14:schemeClr w14:val="tx1"/>
            </w14:solidFill>
          </w14:textFill>
        </w:rPr>
        <w:t>7316㎡，建筑面积约为1805.4㎡。</w:t>
      </w:r>
      <w:r>
        <w:rPr>
          <w:rFonts w:hint="eastAsia" w:ascii="宋体" w:hAnsi="宋体" w:eastAsia="宋体" w:cs="Times New Roman"/>
          <w:color w:val="000000" w:themeColor="text1"/>
          <w:sz w:val="24"/>
          <w:szCs w:val="24"/>
          <w14:textFill>
            <w14:solidFill>
              <w14:schemeClr w14:val="tx1"/>
            </w14:solidFill>
          </w14:textFill>
        </w:rPr>
        <w:t>项目主要分为三个区，分别为①油罐区②营业区③加油区。储 油罐区包括储罐区、卸油区；营业区包括站房、便利店、辅助用房及卫生间等；加油区即为加油机所在区。项目储罐区建设有</w:t>
      </w:r>
      <w:r>
        <w:rPr>
          <w:rFonts w:ascii="Times New Roman" w:hAnsi="Times New Roman" w:eastAsia="宋体" w:cs="Times New Roman"/>
          <w:color w:val="000000" w:themeColor="text1"/>
          <w:sz w:val="24"/>
          <w:szCs w:val="24"/>
          <w14:textFill>
            <w14:solidFill>
              <w14:schemeClr w14:val="tx1"/>
            </w14:solidFill>
          </w14:textFill>
        </w:rPr>
        <w:t>5个地埋卧式油罐，包括0#柴油油罐2台、93#汽油油罐2台、97#汽油油罐1台，总容积折合汽油罐容积为120</w:t>
      </w:r>
      <w:r>
        <w:rPr>
          <w:rFonts w:ascii="Times New Roman" w:hAnsi="Times New Roman" w:eastAsia="宋体" w:cs="Times New Roman"/>
          <w:color w:val="000000" w:themeColor="text1"/>
          <w:position w:val="-4"/>
          <w:sz w:val="24"/>
          <w:szCs w:val="24"/>
          <w14:textFill>
            <w14:solidFill>
              <w14:schemeClr w14:val="tx1"/>
            </w14:solidFill>
          </w14:textFill>
        </w:rPr>
        <w:object>
          <v:shape id="_x0000_i1025" o:spt="75" type="#_x0000_t75" style="height:15pt;width:17pt;" o:ole="t" filled="f" o:preferrelative="t" stroked="f" coordsize="21600,21600">
            <v:path/>
            <v:fill on="f" focussize="0,0"/>
            <v:stroke on="f" joinstyle="miter"/>
            <v:imagedata r:id="rId10" o:title=""/>
            <o:lock v:ext="edit" aspectratio="t"/>
            <w10:wrap type="none"/>
            <w10:anchorlock/>
          </v:shape>
          <o:OLEObject Type="Embed" ProgID="Equation.3" ShapeID="_x0000_i1025" DrawAspect="Content" ObjectID="_1468075725" r:id="rId9">
            <o:LockedField>false</o:LockedField>
          </o:OLEObject>
        </w:object>
      </w:r>
      <w:r>
        <w:rPr>
          <w:rFonts w:ascii="Times New Roman" w:hAnsi="Times New Roman" w:eastAsia="宋体" w:cs="Times New Roman"/>
          <w:color w:val="000000" w:themeColor="text1"/>
          <w:sz w:val="24"/>
          <w:szCs w:val="24"/>
          <w14:textFill>
            <w14:solidFill>
              <w14:schemeClr w14:val="tx1"/>
            </w14:solidFill>
          </w14:textFill>
        </w:rPr>
        <w:t>，为二级加油站。配设6台四枪加油机（其中3台0#柴油双枪加油机，2台93#双枪加油机，1台97#双枪加油机）</w:t>
      </w:r>
      <w:r>
        <w:rPr>
          <w:rFonts w:hint="eastAsia" w:ascii="宋体" w:hAnsi="宋体" w:eastAsia="宋体" w:cs="Times New Roman"/>
          <w:color w:val="000000" w:themeColor="text1"/>
          <w:sz w:val="24"/>
          <w:szCs w:val="24"/>
          <w14:textFill>
            <w14:solidFill>
              <w14:schemeClr w14:val="tx1"/>
            </w14:solidFill>
          </w14:textFill>
        </w:rPr>
        <w:t>。项目区设加油进出口2个。本项目营业范围包括：柴油、汽油。</w:t>
      </w:r>
    </w:p>
    <w:p>
      <w:pPr>
        <w:snapToGrid w:val="0"/>
        <w:spacing w:line="500" w:lineRule="exact"/>
        <w:ind w:firstLine="480" w:firstLineChars="200"/>
        <w:jc w:val="left"/>
        <w:rPr>
          <w:rFonts w:ascii="Times New Roman" w:hAnsi="Times New Roman" w:eastAsia="宋体" w:cs="Times New Roman"/>
          <w:color w:val="000000" w:themeColor="text1"/>
          <w:sz w:val="24"/>
          <w:szCs w:val="24"/>
          <w14:textFill>
            <w14:solidFill>
              <w14:schemeClr w14:val="tx1"/>
            </w14:solidFill>
          </w14:textFill>
        </w:rPr>
      </w:pPr>
      <w:r>
        <w:rPr>
          <w:rFonts w:hint="eastAsia" w:ascii="宋体" w:hAnsi="宋体" w:eastAsia="宋体" w:cs="Times New Roman"/>
          <w:color w:val="000000" w:themeColor="text1"/>
          <w:sz w:val="24"/>
          <w:szCs w:val="24"/>
          <w14:textFill>
            <w14:solidFill>
              <w14:schemeClr w14:val="tx1"/>
            </w14:solidFill>
          </w14:textFill>
        </w:rPr>
        <w:t>加油</w:t>
      </w:r>
      <w:r>
        <w:rPr>
          <w:rFonts w:ascii="Times New Roman" w:hAnsi="Times New Roman" w:eastAsia="宋体" w:cs="Times New Roman"/>
          <w:color w:val="000000" w:themeColor="text1"/>
          <w:sz w:val="24"/>
          <w:szCs w:val="24"/>
          <w14:textFill>
            <w14:solidFill>
              <w14:schemeClr w14:val="tx1"/>
            </w14:solidFill>
          </w14:textFill>
        </w:rPr>
        <w:t>站有职工14人，站内设卫生间、宿舍，员工餐饮外购或自带；项目不经营洗车等内容。加油站年工作365d，每天四班，每班6小时，每班3-4人。</w:t>
      </w:r>
    </w:p>
    <w:p>
      <w:pPr>
        <w:snapToGrid w:val="0"/>
        <w:spacing w:line="500" w:lineRule="exact"/>
        <w:ind w:left="562"/>
        <w:jc w:val="left"/>
        <w:rPr>
          <w:rFonts w:ascii="宋体" w:hAnsi="宋体" w:eastAsia="宋体" w:cs="Times New Roman"/>
          <w:color w:val="000000" w:themeColor="text1"/>
          <w:sz w:val="24"/>
          <w:szCs w:val="24"/>
          <w14:textFill>
            <w14:solidFill>
              <w14:schemeClr w14:val="tx1"/>
            </w14:solidFill>
          </w14:textFill>
        </w:rPr>
      </w:pPr>
      <w:r>
        <w:rPr>
          <w:rFonts w:ascii="宋体" w:hAnsi="宋体" w:eastAsia="宋体" w:cs="Times New Roman"/>
          <w:b/>
          <w:color w:val="000000" w:themeColor="text1"/>
          <w:sz w:val="24"/>
          <w:szCs w:val="24"/>
          <w14:textFill>
            <w14:solidFill>
              <w14:schemeClr w14:val="tx1"/>
            </w14:solidFill>
          </w14:textFill>
        </w:rPr>
        <w:t>加油站项目环保手续办理情况：</w:t>
      </w:r>
    </w:p>
    <w:p>
      <w:pPr>
        <w:autoSpaceDN w:val="0"/>
        <w:spacing w:line="500" w:lineRule="exact"/>
        <w:ind w:firstLine="720" w:firstLineChars="300"/>
        <w:jc w:val="left"/>
        <w:rPr>
          <w:kern w:val="0"/>
          <w:sz w:val="24"/>
          <w:szCs w:val="20"/>
        </w:rPr>
      </w:pPr>
      <w:r>
        <w:rPr>
          <w:rFonts w:hint="eastAsia"/>
          <w:kern w:val="0"/>
          <w:sz w:val="24"/>
          <w:szCs w:val="20"/>
        </w:rPr>
        <w:t>因本项目已经办理环评审批手续，根据国家环保法律法规、《国务院办公厅</w:t>
      </w:r>
      <w:r>
        <w:rPr>
          <w:rFonts w:ascii="Times New Roman" w:hAnsi="Times New Roman" w:cs="Times New Roman"/>
          <w:kern w:val="0"/>
          <w:sz w:val="24"/>
          <w:szCs w:val="20"/>
        </w:rPr>
        <w:t>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w:t>
      </w:r>
      <w:r>
        <w:rPr>
          <w:rFonts w:hint="eastAsia"/>
          <w:kern w:val="0"/>
          <w:sz w:val="24"/>
          <w:szCs w:val="20"/>
        </w:rPr>
        <w:t>备案”手续。备案批复详见附件十四。</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37" w:name="_Toc11689_WPSOffice_Level2"/>
      <w:bookmarkStart w:id="138" w:name="_Toc532817012"/>
      <w:bookmarkStart w:id="139" w:name="_Toc23231_WPSOffice_Level2"/>
      <w:bookmarkStart w:id="140" w:name="_Toc1226_WPSOffice_Level2"/>
      <w:bookmarkStart w:id="141" w:name="_Toc29593_WPSOffice_Level2"/>
      <w:bookmarkStart w:id="142" w:name="_Toc9242_WPSOffice_Level2"/>
      <w:bookmarkStart w:id="143" w:name="_Toc29761"/>
      <w:bookmarkStart w:id="144" w:name="_Toc26681"/>
      <w:r>
        <w:rPr>
          <w:rFonts w:ascii="Times New Roman" w:hAnsi="Times New Roman" w:cs="Times New Roman"/>
          <w:b/>
          <w:bCs/>
          <w:color w:val="000000" w:themeColor="text1"/>
          <w:kern w:val="44"/>
          <w:sz w:val="24"/>
          <w:szCs w:val="24"/>
          <w14:textFill>
            <w14:solidFill>
              <w14:schemeClr w14:val="tx1"/>
            </w14:solidFill>
          </w14:textFill>
        </w:rPr>
        <w:t>2.2自然环境概况</w:t>
      </w:r>
      <w:bookmarkEnd w:id="137"/>
      <w:bookmarkEnd w:id="138"/>
      <w:bookmarkEnd w:id="139"/>
      <w:bookmarkEnd w:id="140"/>
      <w:bookmarkEnd w:id="141"/>
      <w:bookmarkEnd w:id="142"/>
      <w:bookmarkEnd w:id="143"/>
      <w:bookmarkEnd w:id="144"/>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145" w:name="_Toc23328"/>
      <w:bookmarkStart w:id="146" w:name="_Toc30056_WPSOffice_Level3"/>
      <w:bookmarkStart w:id="147" w:name="_Toc7948_WPSOffice_Level3"/>
      <w:bookmarkStart w:id="148" w:name="_Toc4443_WPSOffice_Level3"/>
      <w:bookmarkStart w:id="149" w:name="_Toc532817013"/>
      <w:bookmarkStart w:id="150" w:name="_Toc21755_WPSOffice_Level3"/>
      <w:bookmarkStart w:id="151" w:name="_Toc18784_WPSOffice_Level3"/>
      <w:bookmarkStart w:id="152" w:name="_Toc11400"/>
      <w:r>
        <w:rPr>
          <w:rFonts w:ascii="Times New Roman" w:hAnsi="Times New Roman" w:cs="Times New Roman"/>
          <w:b/>
          <w:bCs/>
          <w:color w:val="000000" w:themeColor="text1"/>
          <w:kern w:val="44"/>
          <w:sz w:val="24"/>
          <w:szCs w:val="24"/>
          <w14:textFill>
            <w14:solidFill>
              <w14:schemeClr w14:val="tx1"/>
            </w14:solidFill>
          </w14:textFill>
        </w:rPr>
        <w:t>2.2.1地理位置</w:t>
      </w:r>
      <w:bookmarkEnd w:id="145"/>
      <w:bookmarkEnd w:id="146"/>
      <w:bookmarkEnd w:id="147"/>
      <w:bookmarkEnd w:id="148"/>
      <w:bookmarkEnd w:id="149"/>
      <w:bookmarkEnd w:id="150"/>
      <w:bookmarkEnd w:id="151"/>
      <w:bookmarkEnd w:id="152"/>
    </w:p>
    <w:p>
      <w:pPr>
        <w:widowControl/>
        <w:spacing w:line="360" w:lineRule="auto"/>
        <w:ind w:firstLine="360" w:firstLineChars="150"/>
        <w:rPr>
          <w:rFonts w:ascii="Times New Roman" w:hAnsi="Times New Roman" w:eastAsia="宋体" w:cs="Times New Roman"/>
          <w:color w:val="000000" w:themeColor="text1"/>
          <w:sz w:val="24"/>
          <w:szCs w:val="20"/>
          <w14:textFill>
            <w14:solidFill>
              <w14:schemeClr w14:val="tx1"/>
            </w14:solidFill>
          </w14:textFill>
        </w:rPr>
      </w:pPr>
      <w:bookmarkStart w:id="153" w:name="_Toc25622"/>
      <w:bookmarkStart w:id="154" w:name="_Toc2648"/>
      <w:bookmarkStart w:id="155" w:name="_Toc3317"/>
      <w:r>
        <w:rPr>
          <w:rFonts w:hint="eastAsia" w:ascii="Times New Roman" w:hAnsi="Times New Roman" w:eastAsia="宋体" w:cs="Times New Roman"/>
          <w:color w:val="000000" w:themeColor="text1"/>
          <w:sz w:val="24"/>
          <w:szCs w:val="20"/>
          <w14:textFill>
            <w14:solidFill>
              <w14:schemeClr w14:val="tx1"/>
            </w14:solidFill>
          </w14:textFill>
        </w:rPr>
        <w:t>项目位于南昌市高新区昌万公路以南、瑶湖大桥（万年放向）下桥以东、昌万公路麻球立交以西、地理位置见附图一</w:t>
      </w:r>
      <w:r>
        <w:rPr>
          <w:rFonts w:ascii="Times New Roman" w:hAnsi="Times New Roman" w:eastAsia="宋体" w:cs="Times New Roman"/>
          <w:color w:val="000000" w:themeColor="text1"/>
          <w:sz w:val="24"/>
          <w:szCs w:val="20"/>
          <w14:textFill>
            <w14:solidFill>
              <w14:schemeClr w14:val="tx1"/>
            </w14:solidFill>
          </w14:textFill>
        </w:rPr>
        <w:t>。</w:t>
      </w:r>
    </w:p>
    <w:p>
      <w:pPr>
        <w:widowControl/>
        <w:spacing w:line="360" w:lineRule="auto"/>
        <w:ind w:firstLine="360" w:firstLineChars="150"/>
        <w:rPr>
          <w:rFonts w:ascii="Times New Roman" w:hAnsi="Times New Roman" w:eastAsia="宋体" w:cs="Times New Roman"/>
          <w:sz w:val="24"/>
          <w:szCs w:val="20"/>
        </w:rPr>
      </w:pPr>
      <w:r>
        <w:rPr>
          <w:rFonts w:hint="eastAsia" w:ascii="Times New Roman" w:hAnsi="Times New Roman" w:eastAsia="宋体" w:cs="Times New Roman"/>
          <w:sz w:val="24"/>
          <w:szCs w:val="20"/>
        </w:rPr>
        <w:t>南昌</w:t>
      </w:r>
      <w:r>
        <w:rPr>
          <w:rFonts w:ascii="Times New Roman" w:hAnsi="Times New Roman" w:eastAsia="宋体" w:cs="Times New Roman"/>
          <w:sz w:val="24"/>
          <w:szCs w:val="20"/>
        </w:rPr>
        <w:t>地处江西</w:t>
      </w:r>
      <w:r>
        <w:rPr>
          <w:rFonts w:hint="eastAsia" w:ascii="Times New Roman" w:hAnsi="Times New Roman" w:eastAsia="宋体" w:cs="Times New Roman"/>
          <w:sz w:val="24"/>
          <w:szCs w:val="20"/>
        </w:rPr>
        <w:t>省</w:t>
      </w:r>
      <w:r>
        <w:rPr>
          <w:rFonts w:ascii="Times New Roman" w:hAnsi="Times New Roman" w:eastAsia="宋体" w:cs="Times New Roman"/>
          <w:sz w:val="24"/>
          <w:szCs w:val="20"/>
        </w:rPr>
        <w:t>中偏北部，长江中下游，赣江、抚河下游，鄱阳湖西南岸，位于东经115°27′-116°35′，北纬28°09′-29°11′之间，</w:t>
      </w:r>
      <w:bookmarkEnd w:id="153"/>
      <w:bookmarkEnd w:id="154"/>
      <w:bookmarkEnd w:id="155"/>
      <w:r>
        <w:rPr>
          <w:rFonts w:hint="eastAsia" w:ascii="Times New Roman" w:hAnsi="Times New Roman" w:eastAsia="宋体" w:cs="Times New Roman"/>
          <w:sz w:val="24"/>
          <w:szCs w:val="20"/>
        </w:rPr>
        <w:t>东部</w:t>
      </w:r>
      <w:r>
        <w:rPr>
          <w:rFonts w:ascii="Times New Roman" w:hAnsi="Times New Roman" w:eastAsia="宋体" w:cs="Times New Roman"/>
          <w:sz w:val="24"/>
          <w:szCs w:val="20"/>
        </w:rPr>
        <w:t>与上饶市毗邻，</w:t>
      </w:r>
      <w:r>
        <w:rPr>
          <w:rFonts w:hint="eastAsia" w:ascii="Times New Roman" w:hAnsi="Times New Roman" w:eastAsia="宋体" w:cs="Times New Roman"/>
          <w:sz w:val="24"/>
          <w:szCs w:val="20"/>
        </w:rPr>
        <w:t>南和</w:t>
      </w:r>
      <w:r>
        <w:rPr>
          <w:rFonts w:ascii="Times New Roman" w:hAnsi="Times New Roman" w:eastAsia="宋体" w:cs="Times New Roman"/>
          <w:sz w:val="24"/>
          <w:szCs w:val="20"/>
        </w:rPr>
        <w:t>抚州市相连</w:t>
      </w:r>
      <w:r>
        <w:rPr>
          <w:rFonts w:hint="eastAsia" w:ascii="Times New Roman" w:hAnsi="Times New Roman" w:eastAsia="宋体" w:cs="Times New Roman"/>
          <w:sz w:val="24"/>
          <w:szCs w:val="20"/>
        </w:rPr>
        <w:t>，</w:t>
      </w:r>
      <w:r>
        <w:rPr>
          <w:rFonts w:ascii="Times New Roman" w:hAnsi="Times New Roman" w:eastAsia="宋体" w:cs="Times New Roman"/>
          <w:sz w:val="24"/>
          <w:szCs w:val="20"/>
        </w:rPr>
        <w:t>西同宜春市交界，北与九江市接壤。高新区</w:t>
      </w:r>
      <w:r>
        <w:rPr>
          <w:rFonts w:hint="eastAsia" w:ascii="Times New Roman" w:hAnsi="Times New Roman" w:eastAsia="宋体" w:cs="Times New Roman"/>
          <w:sz w:val="24"/>
          <w:szCs w:val="20"/>
        </w:rPr>
        <w:t>位于</w:t>
      </w:r>
      <w:r>
        <w:rPr>
          <w:rFonts w:ascii="Times New Roman" w:hAnsi="Times New Roman" w:eastAsia="宋体" w:cs="Times New Roman"/>
          <w:sz w:val="24"/>
          <w:szCs w:val="20"/>
        </w:rPr>
        <w:t>南昌市城东板块</w:t>
      </w:r>
      <w:r>
        <w:rPr>
          <w:rFonts w:hint="eastAsia" w:ascii="Times New Roman" w:hAnsi="Times New Roman" w:eastAsia="宋体" w:cs="Times New Roman"/>
          <w:sz w:val="24"/>
          <w:szCs w:val="20"/>
        </w:rPr>
        <w:t>，</w:t>
      </w:r>
      <w:r>
        <w:rPr>
          <w:rFonts w:ascii="Times New Roman" w:hAnsi="Times New Roman" w:eastAsia="宋体" w:cs="Times New Roman"/>
          <w:sz w:val="24"/>
          <w:szCs w:val="20"/>
        </w:rPr>
        <w:t>区域面积</w:t>
      </w:r>
      <w:r>
        <w:rPr>
          <w:rFonts w:hint="eastAsia" w:ascii="Times New Roman" w:hAnsi="Times New Roman" w:eastAsia="宋体" w:cs="Times New Roman"/>
          <w:sz w:val="24"/>
          <w:szCs w:val="20"/>
        </w:rPr>
        <w:t>231平方公里</w:t>
      </w:r>
      <w:r>
        <w:rPr>
          <w:rFonts w:ascii="Times New Roman" w:hAnsi="Times New Roman" w:eastAsia="宋体" w:cs="Times New Roman"/>
          <w:sz w:val="24"/>
          <w:szCs w:val="20"/>
        </w:rPr>
        <w:t>，下辖</w:t>
      </w:r>
      <w:r>
        <w:rPr>
          <w:rFonts w:hint="eastAsia" w:ascii="Times New Roman" w:hAnsi="Times New Roman" w:eastAsia="宋体" w:cs="Times New Roman"/>
          <w:sz w:val="24"/>
          <w:szCs w:val="20"/>
        </w:rPr>
        <w:t>昌东</w:t>
      </w:r>
      <w:r>
        <w:rPr>
          <w:rFonts w:ascii="Times New Roman" w:hAnsi="Times New Roman" w:eastAsia="宋体" w:cs="Times New Roman"/>
          <w:sz w:val="24"/>
          <w:szCs w:val="20"/>
        </w:rPr>
        <w:t>、麻丘两个镇和艾溪湖管理处。</w:t>
      </w:r>
      <w:r>
        <w:rPr>
          <w:rFonts w:ascii="Times New Roman" w:hAnsi="Times New Roman" w:cs="Times New Roman"/>
          <w:color w:val="000000" w:themeColor="text1"/>
          <w:sz w:val="24"/>
          <w:szCs w:val="24"/>
          <w14:textFill>
            <w14:solidFill>
              <w14:schemeClr w14:val="tx1"/>
            </w14:solidFill>
          </w14:textFill>
        </w:rPr>
        <w:t>位置详见图2-1。</w:t>
      </w:r>
    </w:p>
    <w:p>
      <w:pPr>
        <w:contextualSpacing/>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szCs w:val="21"/>
        </w:rPr>
        <w:drawing>
          <wp:anchor distT="0" distB="0" distL="114300" distR="114300" simplePos="0" relativeHeight="251703296" behindDoc="0" locked="0" layoutInCell="1" allowOverlap="1">
            <wp:simplePos x="0" y="0"/>
            <wp:positionH relativeFrom="column">
              <wp:posOffset>4849495</wp:posOffset>
            </wp:positionH>
            <wp:positionV relativeFrom="paragraph">
              <wp:posOffset>9525</wp:posOffset>
            </wp:positionV>
            <wp:extent cx="817245" cy="779145"/>
            <wp:effectExtent l="0" t="0" r="5715" b="13335"/>
            <wp:wrapNone/>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17245" cy="779145"/>
                    </a:xfrm>
                    <a:prstGeom prst="rect">
                      <a:avLst/>
                    </a:prstGeom>
                    <a:noFill/>
                    <a:ln>
                      <a:noFill/>
                    </a:ln>
                  </pic:spPr>
                </pic:pic>
              </a:graphicData>
            </a:graphic>
          </wp:anchor>
        </w:drawing>
      </w:r>
      <w:r>
        <w:rPr>
          <w:rFonts w:ascii="Times New Roman" w:hAnsi="Times New Roman" w:cs="Times New Roman"/>
          <w:b/>
          <w:bCs/>
          <w:color w:val="000000" w:themeColor="text1"/>
          <w:sz w:val="24"/>
          <w:szCs w:val="24"/>
          <w14:textFill>
            <w14:solidFill>
              <w14:schemeClr w14:val="tx1"/>
            </w14:solidFill>
          </w14:textFill>
        </w:rPr>
        <w:drawing>
          <wp:inline distT="0" distB="0" distL="0" distR="0">
            <wp:extent cx="5700395" cy="4281805"/>
            <wp:effectExtent l="0" t="0" r="1460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00395" cy="4281805"/>
                    </a:xfrm>
                    <a:prstGeom prst="rect">
                      <a:avLst/>
                    </a:prstGeom>
                    <a:noFill/>
                  </pic:spPr>
                </pic:pic>
              </a:graphicData>
            </a:graphic>
          </wp:inline>
        </w:drawing>
      </w:r>
    </w:p>
    <w:p>
      <w:pPr>
        <w:overflowPunct w:val="0"/>
        <w:topLinePunct/>
        <w:spacing w:line="360" w:lineRule="auto"/>
        <w:jc w:val="center"/>
        <w:rPr>
          <w:rFonts w:ascii="Times New Roman" w:hAnsi="Times New Roman" w:cs="Times New Roman"/>
          <w:b/>
          <w:bCs/>
          <w:color w:val="000000" w:themeColor="text1"/>
          <w:spacing w:val="4"/>
          <w:sz w:val="24"/>
          <w:szCs w:val="24"/>
          <w14:textFill>
            <w14:solidFill>
              <w14:schemeClr w14:val="tx1"/>
            </w14:solidFill>
          </w14:textFill>
        </w:rPr>
      </w:pPr>
      <w:bookmarkStart w:id="156" w:name="_Toc1226_WPSOffice_Level3"/>
      <w:bookmarkStart w:id="157" w:name="_Toc9242_WPSOffice_Level3"/>
      <w:bookmarkStart w:id="158" w:name="_Toc11689_WPSOffice_Level3"/>
      <w:bookmarkStart w:id="159" w:name="_Toc29593_WPSOffice_Level3"/>
      <w:bookmarkStart w:id="160" w:name="_Toc23231_WPSOffice_Level3"/>
      <w:r>
        <w:rPr>
          <w:rFonts w:ascii="Times New Roman" w:hAnsi="Times New Roman" w:cs="Times New Roman"/>
          <w:b/>
          <w:bCs/>
          <w:color w:val="000000" w:themeColor="text1"/>
          <w:spacing w:val="4"/>
          <w:sz w:val="24"/>
          <w:szCs w:val="24"/>
          <w14:textFill>
            <w14:solidFill>
              <w14:schemeClr w14:val="tx1"/>
            </w14:solidFill>
          </w14:textFill>
        </w:rPr>
        <w:t>图2-1 地理位置图</w:t>
      </w:r>
      <w:bookmarkEnd w:id="156"/>
      <w:bookmarkEnd w:id="157"/>
      <w:bookmarkEnd w:id="158"/>
      <w:bookmarkEnd w:id="159"/>
      <w:bookmarkEnd w:id="160"/>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161" w:name="_Toc18959_WPSOffice_Level3"/>
      <w:bookmarkStart w:id="162" w:name="_Toc5341_WPSOffice_Level3"/>
      <w:bookmarkStart w:id="163" w:name="_Toc11889_WPSOffice_Level3"/>
      <w:bookmarkStart w:id="164" w:name="_Toc532817014"/>
      <w:bookmarkStart w:id="165" w:name="_Toc26587_WPSOffice_Level3"/>
      <w:bookmarkStart w:id="166" w:name="_Toc10003"/>
      <w:bookmarkStart w:id="167" w:name="_Toc31580_WPSOffice_Level3"/>
      <w:bookmarkStart w:id="168" w:name="_Toc1974"/>
      <w:r>
        <w:rPr>
          <w:rFonts w:ascii="Times New Roman" w:hAnsi="Times New Roman" w:cs="Times New Roman"/>
          <w:b/>
          <w:bCs/>
          <w:color w:val="000000" w:themeColor="text1"/>
          <w:kern w:val="44"/>
          <w:sz w:val="24"/>
          <w:szCs w:val="24"/>
          <w14:textFill>
            <w14:solidFill>
              <w14:schemeClr w14:val="tx1"/>
            </w14:solidFill>
          </w14:textFill>
        </w:rPr>
        <w:t>2.2.2自然条件</w:t>
      </w:r>
      <w:bookmarkEnd w:id="161"/>
      <w:bookmarkEnd w:id="162"/>
      <w:bookmarkEnd w:id="163"/>
      <w:bookmarkEnd w:id="164"/>
      <w:bookmarkEnd w:id="165"/>
      <w:bookmarkEnd w:id="166"/>
      <w:bookmarkEnd w:id="167"/>
      <w:bookmarkEnd w:id="168"/>
    </w:p>
    <w:p>
      <w:pPr>
        <w:overflowPunct w:val="0"/>
        <w:topLinePunct/>
        <w:spacing w:line="500" w:lineRule="exact"/>
        <w:ind w:left="420" w:leftChars="200"/>
        <w:rPr>
          <w:rFonts w:ascii="Times New Roman" w:hAnsi="Times New Roman" w:cs="Times New Roman"/>
          <w:b/>
          <w:bCs/>
          <w:color w:val="000000" w:themeColor="text1"/>
          <w:spacing w:val="4"/>
          <w:sz w:val="24"/>
          <w:szCs w:val="24"/>
          <w14:textFill>
            <w14:solidFill>
              <w14:schemeClr w14:val="tx1"/>
            </w14:solidFill>
          </w14:textFill>
        </w:rPr>
      </w:pPr>
      <w:r>
        <w:rPr>
          <w:rFonts w:ascii="Times New Roman" w:hAnsi="Times New Roman" w:cs="Times New Roman"/>
          <w:b/>
          <w:bCs/>
          <w:color w:val="000000" w:themeColor="text1"/>
          <w:spacing w:val="4"/>
          <w:sz w:val="24"/>
          <w:szCs w:val="24"/>
          <w14:textFill>
            <w14:solidFill>
              <w14:schemeClr w14:val="tx1"/>
            </w14:solidFill>
          </w14:textFill>
        </w:rPr>
        <w:t>（1）气象条件</w:t>
      </w:r>
    </w:p>
    <w:p>
      <w:pPr>
        <w:overflowPunct w:val="0"/>
        <w:topLinePunct/>
        <w:spacing w:line="500" w:lineRule="exact"/>
        <w:ind w:firstLine="480" w:firstLineChars="200"/>
        <w:rPr>
          <w:rFonts w:ascii="Times New Roman" w:hAnsi="Times New Roman" w:eastAsia="宋体" w:cs="Times New Roman"/>
          <w:sz w:val="24"/>
          <w:szCs w:val="20"/>
        </w:rPr>
      </w:pPr>
      <w:bookmarkStart w:id="169" w:name="_Toc6444"/>
      <w:bookmarkStart w:id="170" w:name="_Toc14856"/>
      <w:bookmarkStart w:id="171" w:name="_Toc30496"/>
      <w:r>
        <w:rPr>
          <w:rFonts w:hint="eastAsia" w:ascii="Times New Roman" w:hAnsi="Times New Roman" w:eastAsia="宋体" w:cs="Times New Roman"/>
          <w:color w:val="000000" w:themeColor="text1"/>
          <w:sz w:val="24"/>
          <w:szCs w:val="20"/>
          <w14:textFill>
            <w14:solidFill>
              <w14:schemeClr w14:val="tx1"/>
            </w14:solidFill>
          </w14:textFill>
        </w:rPr>
        <w:t>南昌市属亚热带季风温润气候，冬寒、春暖、夏热、秋</w:t>
      </w:r>
      <w:r>
        <w:rPr>
          <w:rFonts w:hint="eastAsia" w:ascii="Times New Roman" w:hAnsi="Times New Roman" w:eastAsia="宋体" w:cs="Times New Roman"/>
          <w:sz w:val="24"/>
          <w:szCs w:val="20"/>
        </w:rPr>
        <w:t>凉，四季分明。年平均气温为17.</w:t>
      </w:r>
      <w:r>
        <w:rPr>
          <w:rFonts w:ascii="Times New Roman" w:hAnsi="Times New Roman" w:eastAsia="宋体" w:cs="Times New Roman"/>
          <w:sz w:val="24"/>
          <w:szCs w:val="20"/>
        </w:rPr>
        <w:t>5</w:t>
      </w:r>
      <w:r>
        <w:rPr>
          <w:rFonts w:hint="eastAsia" w:ascii="Times New Roman" w:hAnsi="Times New Roman" w:eastAsia="宋体" w:cs="Times New Roman"/>
          <w:sz w:val="24"/>
          <w:szCs w:val="20"/>
        </w:rPr>
        <w:t>℃，一月为最冷月，极端最低温度为-9.3℃，七月为最热月，极端最高温度为40.6℃。降雨量充沛，年平均降水量为1521.2mm。春夏季为雨季，占全年总雨量的7</w:t>
      </w:r>
      <w:r>
        <w:rPr>
          <w:rFonts w:ascii="Times New Roman" w:hAnsi="Times New Roman" w:eastAsia="宋体" w:cs="Times New Roman"/>
          <w:sz w:val="24"/>
          <w:szCs w:val="20"/>
        </w:rPr>
        <w:t>2.1%</w:t>
      </w:r>
      <w:r>
        <w:rPr>
          <w:rFonts w:hint="eastAsia" w:ascii="Times New Roman" w:hAnsi="Times New Roman" w:eastAsia="宋体" w:cs="Times New Roman"/>
          <w:sz w:val="24"/>
          <w:szCs w:val="20"/>
        </w:rPr>
        <w:t>。年</w:t>
      </w:r>
      <w:r>
        <w:rPr>
          <w:rFonts w:ascii="Times New Roman" w:hAnsi="Times New Roman" w:eastAsia="宋体" w:cs="Times New Roman"/>
          <w:sz w:val="24"/>
          <w:szCs w:val="20"/>
        </w:rPr>
        <w:t>平均日照率</w:t>
      </w:r>
      <w:r>
        <w:rPr>
          <w:rFonts w:hint="eastAsia" w:ascii="Times New Roman" w:hAnsi="Times New Roman" w:eastAsia="宋体" w:cs="Times New Roman"/>
          <w:sz w:val="24"/>
          <w:szCs w:val="20"/>
        </w:rPr>
        <w:t>43</w:t>
      </w:r>
      <w:r>
        <w:rPr>
          <w:rFonts w:ascii="Times New Roman" w:hAnsi="Times New Roman" w:eastAsia="宋体" w:cs="Times New Roman"/>
          <w:sz w:val="24"/>
          <w:szCs w:val="20"/>
        </w:rPr>
        <w:t>%，</w:t>
      </w:r>
      <w:r>
        <w:rPr>
          <w:rFonts w:hint="eastAsia" w:ascii="Times New Roman" w:hAnsi="Times New Roman" w:eastAsia="宋体" w:cs="Times New Roman"/>
          <w:sz w:val="24"/>
          <w:szCs w:val="20"/>
        </w:rPr>
        <w:t>多处平均日照时数为</w:t>
      </w:r>
      <w:r>
        <w:rPr>
          <w:rFonts w:ascii="Times New Roman" w:hAnsi="Times New Roman" w:eastAsia="宋体" w:cs="Times New Roman"/>
          <w:sz w:val="24"/>
          <w:szCs w:val="20"/>
        </w:rPr>
        <w:t>1888.5</w:t>
      </w:r>
      <w:r>
        <w:rPr>
          <w:rFonts w:hint="eastAsia" w:ascii="Times New Roman" w:hAnsi="Times New Roman" w:eastAsia="宋体" w:cs="Times New Roman"/>
          <w:sz w:val="24"/>
          <w:szCs w:val="20"/>
        </w:rPr>
        <w:t>小时。无霜期较长，平均为27</w:t>
      </w:r>
      <w:r>
        <w:rPr>
          <w:rFonts w:ascii="Times New Roman" w:hAnsi="Times New Roman" w:eastAsia="宋体" w:cs="Times New Roman"/>
          <w:sz w:val="24"/>
          <w:szCs w:val="20"/>
        </w:rPr>
        <w:t>0</w:t>
      </w:r>
      <w:r>
        <w:rPr>
          <w:rFonts w:hint="eastAsia" w:ascii="Times New Roman" w:hAnsi="Times New Roman" w:eastAsia="宋体" w:cs="Times New Roman"/>
          <w:sz w:val="24"/>
          <w:szCs w:val="20"/>
        </w:rPr>
        <w:t>天。去哪念</w:t>
      </w:r>
      <w:r>
        <w:rPr>
          <w:rFonts w:ascii="Times New Roman" w:hAnsi="Times New Roman" w:eastAsia="宋体" w:cs="Times New Roman"/>
          <w:sz w:val="24"/>
          <w:szCs w:val="20"/>
        </w:rPr>
        <w:t>相对湿度变化范围</w:t>
      </w:r>
      <w:r>
        <w:rPr>
          <w:rFonts w:hint="eastAsia" w:ascii="Times New Roman" w:hAnsi="Times New Roman" w:eastAsia="宋体" w:cs="Times New Roman"/>
          <w:sz w:val="24"/>
          <w:szCs w:val="20"/>
        </w:rPr>
        <w:t>72</w:t>
      </w:r>
      <w:r>
        <w:rPr>
          <w:rFonts w:ascii="Times New Roman" w:hAnsi="Times New Roman" w:eastAsia="宋体" w:cs="Times New Roman"/>
          <w:sz w:val="24"/>
          <w:szCs w:val="20"/>
        </w:rPr>
        <w:t>%~84%，年相对平均湿度为</w:t>
      </w:r>
      <w:r>
        <w:rPr>
          <w:rFonts w:hint="eastAsia" w:ascii="Times New Roman" w:hAnsi="Times New Roman" w:eastAsia="宋体" w:cs="Times New Roman"/>
          <w:sz w:val="24"/>
          <w:szCs w:val="20"/>
        </w:rPr>
        <w:t>78</w:t>
      </w:r>
      <w:r>
        <w:rPr>
          <w:rFonts w:ascii="Times New Roman" w:hAnsi="Times New Roman" w:eastAsia="宋体" w:cs="Times New Roman"/>
          <w:sz w:val="24"/>
          <w:szCs w:val="20"/>
        </w:rPr>
        <w:t>%。本地</w:t>
      </w:r>
      <w:r>
        <w:rPr>
          <w:rFonts w:hint="eastAsia" w:ascii="Times New Roman" w:hAnsi="Times New Roman" w:eastAsia="宋体" w:cs="Times New Roman"/>
          <w:sz w:val="24"/>
          <w:szCs w:val="20"/>
        </w:rPr>
        <w:t>全年</w:t>
      </w:r>
      <w:r>
        <w:rPr>
          <w:rFonts w:ascii="Times New Roman" w:hAnsi="Times New Roman" w:eastAsia="宋体" w:cs="Times New Roman"/>
          <w:sz w:val="24"/>
          <w:szCs w:val="20"/>
        </w:rPr>
        <w:t>主导风向为北北东，频率为</w:t>
      </w:r>
      <w:r>
        <w:rPr>
          <w:rFonts w:hint="eastAsia" w:ascii="Times New Roman" w:hAnsi="Times New Roman" w:eastAsia="宋体" w:cs="Times New Roman"/>
          <w:sz w:val="24"/>
          <w:szCs w:val="20"/>
        </w:rPr>
        <w:t>16</w:t>
      </w:r>
      <w:r>
        <w:rPr>
          <w:rFonts w:ascii="Times New Roman" w:hAnsi="Times New Roman" w:eastAsia="宋体" w:cs="Times New Roman"/>
          <w:sz w:val="24"/>
          <w:szCs w:val="20"/>
        </w:rPr>
        <w:t>%，</w:t>
      </w:r>
      <w:r>
        <w:rPr>
          <w:rFonts w:hint="eastAsia" w:ascii="Times New Roman" w:hAnsi="Times New Roman" w:eastAsia="宋体" w:cs="Times New Roman"/>
          <w:sz w:val="24"/>
          <w:szCs w:val="20"/>
        </w:rPr>
        <w:t>年平均风速为1.</w:t>
      </w:r>
      <w:r>
        <w:rPr>
          <w:rFonts w:ascii="Times New Roman" w:hAnsi="Times New Roman" w:eastAsia="宋体" w:cs="Times New Roman"/>
          <w:sz w:val="24"/>
          <w:szCs w:val="20"/>
        </w:rPr>
        <w:t>5</w:t>
      </w:r>
      <w:r>
        <w:rPr>
          <w:rFonts w:hint="eastAsia" w:ascii="Times New Roman" w:hAnsi="Times New Roman" w:eastAsia="宋体" w:cs="Times New Roman"/>
          <w:sz w:val="24"/>
          <w:szCs w:val="20"/>
        </w:rPr>
        <w:t>m/s。</w:t>
      </w:r>
      <w:bookmarkEnd w:id="169"/>
      <w:bookmarkEnd w:id="170"/>
      <w:bookmarkEnd w:id="171"/>
    </w:p>
    <w:p>
      <w:pPr>
        <w:overflowPunct w:val="0"/>
        <w:topLinePunct/>
        <w:spacing w:line="500" w:lineRule="exact"/>
        <w:ind w:left="420" w:leftChars="200" w:firstLine="124" w:firstLineChars="50"/>
        <w:rPr>
          <w:rFonts w:ascii="Times New Roman" w:hAnsi="Times New Roman" w:cs="Times New Roman"/>
          <w:b/>
          <w:bCs/>
          <w:color w:val="000000" w:themeColor="text1"/>
          <w:spacing w:val="4"/>
          <w:sz w:val="24"/>
          <w:szCs w:val="24"/>
          <w14:textFill>
            <w14:solidFill>
              <w14:schemeClr w14:val="tx1"/>
            </w14:solidFill>
          </w14:textFill>
        </w:rPr>
      </w:pPr>
      <w:r>
        <w:rPr>
          <w:rFonts w:ascii="Times New Roman" w:hAnsi="Times New Roman" w:cs="Times New Roman"/>
          <w:b/>
          <w:bCs/>
          <w:color w:val="000000" w:themeColor="text1"/>
          <w:spacing w:val="4"/>
          <w:sz w:val="24"/>
          <w:szCs w:val="24"/>
          <w14:textFill>
            <w14:solidFill>
              <w14:schemeClr w14:val="tx1"/>
            </w14:solidFill>
          </w14:textFill>
        </w:rPr>
        <w:t>（2）地质条件</w:t>
      </w:r>
    </w:p>
    <w:p>
      <w:pPr>
        <w:pStyle w:val="2"/>
        <w:ind w:firstLine="480"/>
        <w:rPr>
          <w:rFonts w:ascii="Times New Roman" w:hAnsi="Times New Roman" w:eastAsiaTheme="minorEastAsia"/>
          <w:color w:val="000000" w:themeColor="text1"/>
          <w:spacing w:val="0"/>
          <w:szCs w:val="24"/>
          <w14:textFill>
            <w14:solidFill>
              <w14:schemeClr w14:val="tx1"/>
            </w14:solidFill>
          </w14:textFill>
        </w:rPr>
      </w:pPr>
      <w:r>
        <w:rPr>
          <w:rFonts w:hint="eastAsia" w:ascii="Times New Roman" w:hAnsi="Times New Roman" w:eastAsiaTheme="minorEastAsia"/>
          <w:color w:val="000000" w:themeColor="text1"/>
          <w:spacing w:val="0"/>
          <w:szCs w:val="24"/>
          <w14:textFill>
            <w14:solidFill>
              <w14:schemeClr w14:val="tx1"/>
            </w14:solidFill>
          </w14:textFill>
        </w:rPr>
        <w:t>南昌市</w:t>
      </w:r>
      <w:r>
        <w:rPr>
          <w:rFonts w:ascii="Times New Roman" w:hAnsi="Times New Roman" w:eastAsiaTheme="minorEastAsia"/>
          <w:color w:val="000000" w:themeColor="text1"/>
          <w:spacing w:val="0"/>
          <w:szCs w:val="24"/>
          <w14:textFill>
            <w14:solidFill>
              <w14:schemeClr w14:val="tx1"/>
            </w14:solidFill>
          </w14:textFill>
        </w:rPr>
        <w:t>地貌以平原为主，</w:t>
      </w:r>
      <w:r>
        <w:rPr>
          <w:rFonts w:hint="eastAsia" w:ascii="Times New Roman" w:hAnsi="Times New Roman" w:eastAsiaTheme="minorEastAsia"/>
          <w:color w:val="000000" w:themeColor="text1"/>
          <w:spacing w:val="0"/>
          <w:szCs w:val="24"/>
          <w14:textFill>
            <w14:solidFill>
              <w14:schemeClr w14:val="tx1"/>
            </w14:solidFill>
          </w14:textFill>
        </w:rPr>
        <w:t>兼有</w:t>
      </w:r>
      <w:r>
        <w:rPr>
          <w:rFonts w:ascii="Times New Roman" w:hAnsi="Times New Roman" w:eastAsiaTheme="minorEastAsia"/>
          <w:color w:val="000000" w:themeColor="text1"/>
          <w:spacing w:val="0"/>
          <w:szCs w:val="24"/>
          <w14:textFill>
            <w14:solidFill>
              <w14:schemeClr w14:val="tx1"/>
            </w14:solidFill>
          </w14:textFill>
        </w:rPr>
        <w:t>广阔的水域和岗地、低丘，平原面积占</w:t>
      </w:r>
      <w:r>
        <w:rPr>
          <w:rFonts w:hint="eastAsia" w:ascii="Times New Roman" w:hAnsi="Times New Roman" w:eastAsiaTheme="minorEastAsia"/>
          <w:color w:val="000000" w:themeColor="text1"/>
          <w:spacing w:val="0"/>
          <w:szCs w:val="24"/>
          <w14:textFill>
            <w14:solidFill>
              <w14:schemeClr w14:val="tx1"/>
            </w14:solidFill>
          </w14:textFill>
        </w:rPr>
        <w:t>35.8</w:t>
      </w:r>
      <w:r>
        <w:rPr>
          <w:rFonts w:ascii="Times New Roman" w:hAnsi="Times New Roman" w:eastAsiaTheme="minorEastAsia"/>
          <w:color w:val="000000" w:themeColor="text1"/>
          <w:spacing w:val="0"/>
          <w:szCs w:val="24"/>
          <w14:textFill>
            <w14:solidFill>
              <w14:schemeClr w14:val="tx1"/>
            </w14:solidFill>
          </w14:textFill>
        </w:rPr>
        <w:t>%，水域面积占</w:t>
      </w:r>
      <w:r>
        <w:rPr>
          <w:rFonts w:hint="eastAsia" w:ascii="Times New Roman" w:hAnsi="Times New Roman" w:eastAsiaTheme="minorEastAsia"/>
          <w:color w:val="000000" w:themeColor="text1"/>
          <w:spacing w:val="0"/>
          <w:szCs w:val="24"/>
          <w14:textFill>
            <w14:solidFill>
              <w14:schemeClr w14:val="tx1"/>
            </w14:solidFill>
          </w14:textFill>
        </w:rPr>
        <w:t>29.8</w:t>
      </w:r>
      <w:r>
        <w:rPr>
          <w:rFonts w:ascii="Times New Roman" w:hAnsi="Times New Roman" w:eastAsiaTheme="minorEastAsia"/>
          <w:color w:val="000000" w:themeColor="text1"/>
          <w:spacing w:val="0"/>
          <w:szCs w:val="24"/>
          <w14:textFill>
            <w14:solidFill>
              <w14:schemeClr w14:val="tx1"/>
            </w14:solidFill>
          </w14:textFill>
        </w:rPr>
        <w:t>%，岗地、低丘面积占</w:t>
      </w:r>
      <w:r>
        <w:rPr>
          <w:rFonts w:hint="eastAsia" w:ascii="Times New Roman" w:hAnsi="Times New Roman" w:eastAsiaTheme="minorEastAsia"/>
          <w:color w:val="000000" w:themeColor="text1"/>
          <w:spacing w:val="0"/>
          <w:szCs w:val="24"/>
          <w14:textFill>
            <w14:solidFill>
              <w14:schemeClr w14:val="tx1"/>
            </w14:solidFill>
          </w14:textFill>
        </w:rPr>
        <w:t>34.4</w:t>
      </w:r>
      <w:r>
        <w:rPr>
          <w:rFonts w:ascii="Times New Roman" w:hAnsi="Times New Roman" w:eastAsiaTheme="minorEastAsia"/>
          <w:color w:val="000000" w:themeColor="text1"/>
          <w:spacing w:val="0"/>
          <w:szCs w:val="24"/>
          <w14:textFill>
            <w14:solidFill>
              <w14:schemeClr w14:val="tx1"/>
            </w14:solidFill>
          </w14:textFill>
        </w:rPr>
        <w:t>%，最高峰为西部的梅岭、海拔为</w:t>
      </w:r>
      <w:r>
        <w:rPr>
          <w:rFonts w:hint="eastAsia" w:ascii="Times New Roman" w:hAnsi="Times New Roman" w:eastAsiaTheme="minorEastAsia"/>
          <w:color w:val="000000" w:themeColor="text1"/>
          <w:spacing w:val="0"/>
          <w:szCs w:val="24"/>
          <w14:textFill>
            <w14:solidFill>
              <w14:schemeClr w14:val="tx1"/>
            </w14:solidFill>
          </w14:textFill>
        </w:rPr>
        <w:t>841.5</w:t>
      </w:r>
      <w:r>
        <w:rPr>
          <w:rFonts w:ascii="Times New Roman" w:hAnsi="Times New Roman" w:eastAsiaTheme="minorEastAsia"/>
          <w:color w:val="000000" w:themeColor="text1"/>
          <w:spacing w:val="0"/>
          <w:szCs w:val="24"/>
          <w14:textFill>
            <w14:solidFill>
              <w14:schemeClr w14:val="tx1"/>
            </w14:solidFill>
          </w14:textFill>
        </w:rPr>
        <w:t>m。</w:t>
      </w:r>
      <w:r>
        <w:rPr>
          <w:rFonts w:hint="eastAsia" w:ascii="Times New Roman" w:hAnsi="Times New Roman" w:eastAsiaTheme="minorEastAsia"/>
          <w:color w:val="000000" w:themeColor="text1"/>
          <w:spacing w:val="0"/>
          <w:szCs w:val="24"/>
          <w14:textFill>
            <w14:solidFill>
              <w14:schemeClr w14:val="tx1"/>
            </w14:solidFill>
          </w14:textFill>
        </w:rPr>
        <w:t>地势</w:t>
      </w:r>
      <w:r>
        <w:rPr>
          <w:rFonts w:ascii="Times New Roman" w:hAnsi="Times New Roman" w:eastAsiaTheme="minorEastAsia"/>
          <w:color w:val="000000" w:themeColor="text1"/>
          <w:spacing w:val="0"/>
          <w:szCs w:val="24"/>
          <w14:textFill>
            <w14:solidFill>
              <w14:schemeClr w14:val="tx1"/>
            </w14:solidFill>
          </w14:textFill>
        </w:rPr>
        <w:t>西南高，东北低，相对高差</w:t>
      </w:r>
      <w:r>
        <w:rPr>
          <w:rFonts w:hint="eastAsia" w:ascii="Times New Roman" w:hAnsi="Times New Roman" w:eastAsiaTheme="minorEastAsia"/>
          <w:color w:val="000000" w:themeColor="text1"/>
          <w:spacing w:val="0"/>
          <w:szCs w:val="24"/>
          <w14:textFill>
            <w14:solidFill>
              <w14:schemeClr w14:val="tx1"/>
            </w14:solidFill>
          </w14:textFill>
        </w:rPr>
        <w:t>6</w:t>
      </w:r>
      <w:r>
        <w:rPr>
          <w:rFonts w:ascii="Times New Roman" w:hAnsi="Times New Roman" w:eastAsiaTheme="minorEastAsia"/>
          <w:color w:val="000000" w:themeColor="text1"/>
          <w:spacing w:val="0"/>
          <w:szCs w:val="24"/>
          <w14:textFill>
            <w14:solidFill>
              <w14:schemeClr w14:val="tx1"/>
            </w14:solidFill>
          </w14:textFill>
        </w:rPr>
        <w:t>m，形成西南到东北倾斜的扇形地带。</w:t>
      </w:r>
    </w:p>
    <w:p>
      <w:pPr>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南昌市</w:t>
      </w:r>
      <w:r>
        <w:rPr>
          <w:rFonts w:ascii="Times New Roman" w:hAnsi="Times New Roman" w:cs="Times New Roman"/>
          <w:color w:val="000000" w:themeColor="text1"/>
          <w:sz w:val="24"/>
          <w:szCs w:val="24"/>
          <w14:textFill>
            <w14:solidFill>
              <w14:schemeClr w14:val="tx1"/>
            </w14:solidFill>
          </w14:textFill>
        </w:rPr>
        <w:t>高新区地处鄱阳湖平原区的中部，境内地形开阔</w:t>
      </w:r>
      <w:r>
        <w:rPr>
          <w:rFonts w:hint="eastAsia" w:ascii="Times New Roman" w:hAnsi="Times New Roman" w:cs="Times New Roman"/>
          <w:color w:val="000000" w:themeColor="text1"/>
          <w:sz w:val="24"/>
          <w:szCs w:val="24"/>
          <w14:textFill>
            <w14:solidFill>
              <w14:schemeClr w14:val="tx1"/>
            </w14:solidFill>
          </w14:textFill>
        </w:rPr>
        <w:t>平坦</w:t>
      </w:r>
      <w:r>
        <w:rPr>
          <w:rFonts w:ascii="Times New Roman" w:hAnsi="Times New Roman" w:cs="Times New Roman"/>
          <w:color w:val="000000" w:themeColor="text1"/>
          <w:sz w:val="24"/>
          <w:szCs w:val="24"/>
          <w14:textFill>
            <w14:solidFill>
              <w14:schemeClr w14:val="tx1"/>
            </w14:solidFill>
          </w14:textFill>
        </w:rPr>
        <w:t>，相对高差小，属</w:t>
      </w:r>
      <w:r>
        <w:rPr>
          <w:rFonts w:hint="eastAsia" w:ascii="Times New Roman" w:hAnsi="Times New Roman" w:cs="Times New Roman"/>
          <w:color w:val="000000" w:themeColor="text1"/>
          <w:sz w:val="24"/>
          <w:szCs w:val="24"/>
          <w14:textFill>
            <w14:solidFill>
              <w14:schemeClr w14:val="tx1"/>
            </w14:solidFill>
          </w14:textFill>
        </w:rPr>
        <w:t>赣</w:t>
      </w:r>
      <w:r>
        <w:rPr>
          <w:rFonts w:ascii="Times New Roman" w:hAnsi="Times New Roman" w:cs="Times New Roman"/>
          <w:color w:val="000000" w:themeColor="text1"/>
          <w:sz w:val="24"/>
          <w:szCs w:val="24"/>
          <w14:textFill>
            <w14:solidFill>
              <w14:schemeClr w14:val="tx1"/>
            </w14:solidFill>
          </w14:textFill>
        </w:rPr>
        <w:t>抚</w:t>
      </w:r>
      <w:r>
        <w:rPr>
          <w:rFonts w:hint="eastAsia" w:ascii="Times New Roman" w:hAnsi="Times New Roman" w:cs="Times New Roman"/>
          <w:color w:val="000000" w:themeColor="text1"/>
          <w:sz w:val="24"/>
          <w:szCs w:val="24"/>
          <w14:textFill>
            <w14:solidFill>
              <w14:schemeClr w14:val="tx1"/>
            </w14:solidFill>
          </w14:textFill>
        </w:rPr>
        <w:t>合流</w:t>
      </w:r>
      <w:r>
        <w:rPr>
          <w:rFonts w:ascii="Times New Roman" w:hAnsi="Times New Roman" w:cs="Times New Roman"/>
          <w:color w:val="000000" w:themeColor="text1"/>
          <w:sz w:val="24"/>
          <w:szCs w:val="24"/>
          <w14:textFill>
            <w14:solidFill>
              <w14:schemeClr w14:val="tx1"/>
            </w14:solidFill>
          </w14:textFill>
        </w:rPr>
        <w:t>冲积平积平原</w:t>
      </w:r>
      <w:r>
        <w:rPr>
          <w:rFonts w:hint="eastAsia" w:ascii="Times New Roman" w:hAnsi="Times New Roman" w:cs="Times New Roman"/>
          <w:color w:val="000000" w:themeColor="text1"/>
          <w:sz w:val="24"/>
          <w:szCs w:val="24"/>
          <w14:textFill>
            <w14:solidFill>
              <w14:schemeClr w14:val="tx1"/>
            </w14:solidFill>
          </w14:textFill>
        </w:rPr>
        <w:t>地貌</w:t>
      </w:r>
      <w:r>
        <w:rPr>
          <w:rFonts w:ascii="Times New Roman" w:hAnsi="Times New Roman" w:cs="Times New Roman"/>
          <w:color w:val="000000" w:themeColor="text1"/>
          <w:sz w:val="24"/>
          <w:szCs w:val="24"/>
          <w14:textFill>
            <w14:solidFill>
              <w14:schemeClr w14:val="tx1"/>
            </w14:solidFill>
          </w14:textFill>
        </w:rPr>
        <w:t>。海拔高度</w:t>
      </w:r>
      <w:r>
        <w:rPr>
          <w:rFonts w:hint="eastAsia" w:ascii="Times New Roman" w:hAnsi="Times New Roman" w:cs="Times New Roman"/>
          <w:color w:val="000000" w:themeColor="text1"/>
          <w:sz w:val="24"/>
          <w:szCs w:val="24"/>
          <w14:textFill>
            <w14:solidFill>
              <w14:schemeClr w14:val="tx1"/>
            </w14:solidFill>
          </w14:textFill>
        </w:rPr>
        <w:t>一般</w:t>
      </w:r>
      <w:r>
        <w:rPr>
          <w:rFonts w:ascii="Times New Roman" w:hAnsi="Times New Roman" w:cs="Times New Roman"/>
          <w:color w:val="000000" w:themeColor="text1"/>
          <w:sz w:val="24"/>
          <w:szCs w:val="24"/>
          <w14:textFill>
            <w14:solidFill>
              <w14:schemeClr w14:val="tx1"/>
            </w14:solidFill>
          </w14:textFill>
        </w:rPr>
        <w:t>在</w:t>
      </w:r>
      <w:r>
        <w:rPr>
          <w:rFonts w:hint="eastAsia" w:ascii="Times New Roman" w:hAnsi="Times New Roman" w:cs="Times New Roman"/>
          <w:color w:val="000000" w:themeColor="text1"/>
          <w:sz w:val="24"/>
          <w:szCs w:val="24"/>
          <w14:textFill>
            <w14:solidFill>
              <w14:schemeClr w14:val="tx1"/>
            </w14:solidFill>
          </w14:textFill>
        </w:rPr>
        <w:t>18</w:t>
      </w:r>
      <w:r>
        <w:rPr>
          <w:rFonts w:ascii="Times New Roman" w:hAnsi="Times New Roman" w:cs="Times New Roman"/>
          <w:color w:val="000000" w:themeColor="text1"/>
          <w:sz w:val="24"/>
          <w:szCs w:val="24"/>
          <w14:textFill>
            <w14:solidFill>
              <w14:schemeClr w14:val="tx1"/>
            </w14:solidFill>
          </w14:textFill>
        </w:rPr>
        <w:t>~30m之间。</w:t>
      </w:r>
    </w:p>
    <w:p>
      <w:pPr>
        <w:overflowPunct w:val="0"/>
        <w:topLinePunct/>
        <w:spacing w:line="500" w:lineRule="exact"/>
        <w:ind w:firstLine="498"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pacing w:val="4"/>
          <w:sz w:val="24"/>
          <w:szCs w:val="24"/>
          <w14:textFill>
            <w14:solidFill>
              <w14:schemeClr w14:val="tx1"/>
            </w14:solidFill>
          </w14:textFill>
        </w:rPr>
        <w:t>（3）水文</w:t>
      </w:r>
      <w:bookmarkStart w:id="172" w:name="_Toc31580_WPSOffice_Level2"/>
      <w:bookmarkStart w:id="173" w:name="_Toc26487"/>
      <w:bookmarkStart w:id="174" w:name="_Toc11889_WPSOffice_Level2"/>
      <w:bookmarkStart w:id="175" w:name="_Toc532817015"/>
      <w:bookmarkStart w:id="176" w:name="_Toc5341_WPSOffice_Level2"/>
      <w:bookmarkStart w:id="177" w:name="_Toc18959_WPSOffice_Level2"/>
      <w:bookmarkStart w:id="178" w:name="_Toc26587_WPSOffice_Level2"/>
    </w:p>
    <w:p>
      <w:pPr>
        <w:overflowPunct w:val="0"/>
        <w:topLinePunct/>
        <w:spacing w:line="500" w:lineRule="exact"/>
        <w:ind w:firstLine="480" w:firstLineChars="200"/>
        <w:rPr>
          <w:rFonts w:ascii="Times New Roman" w:hAnsi="Times New Roman" w:cs="Times New Roman"/>
          <w:b/>
          <w:bCs/>
          <w:color w:val="000000" w:themeColor="text1"/>
          <w:spacing w:val="4"/>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南昌市区</w:t>
      </w:r>
      <w:r>
        <w:rPr>
          <w:rFonts w:ascii="Times New Roman" w:hAnsi="Times New Roman" w:cs="Times New Roman"/>
          <w:color w:val="000000" w:themeColor="text1"/>
          <w:sz w:val="24"/>
          <w:szCs w:val="24"/>
          <w14:textFill>
            <w14:solidFill>
              <w14:schemeClr w14:val="tx1"/>
            </w14:solidFill>
          </w14:textFill>
        </w:rPr>
        <w:t>地下浅部广泛分布有第四系砂砾石孔隙地下水，水量丰富，南昌市地下含水层厚度自西向东（</w:t>
      </w:r>
      <w:r>
        <w:rPr>
          <w:rFonts w:hint="eastAsia" w:ascii="Times New Roman" w:hAnsi="Times New Roman" w:cs="Times New Roman"/>
          <w:color w:val="000000" w:themeColor="text1"/>
          <w:sz w:val="24"/>
          <w:szCs w:val="24"/>
          <w14:textFill>
            <w14:solidFill>
              <w14:schemeClr w14:val="tx1"/>
            </w14:solidFill>
          </w14:textFill>
        </w:rPr>
        <w:t>八一桥5</w:t>
      </w:r>
      <w:r>
        <w:rPr>
          <w:rFonts w:ascii="Times New Roman" w:hAnsi="Times New Roman" w:cs="Times New Roman"/>
          <w:color w:val="000000" w:themeColor="text1"/>
          <w:sz w:val="24"/>
          <w:szCs w:val="24"/>
          <w14:textFill>
            <w14:solidFill>
              <w14:schemeClr w14:val="tx1"/>
            </w14:solidFill>
          </w14:textFill>
        </w:rPr>
        <w:t>m</w:t>
      </w:r>
      <w:r>
        <w:rPr>
          <w:rFonts w:hint="eastAsia"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南昌大学</w:t>
      </w:r>
      <w:r>
        <w:rPr>
          <w:rFonts w:hint="eastAsia" w:ascii="Times New Roman" w:hAnsi="Times New Roman" w:cs="Times New Roman"/>
          <w:color w:val="000000" w:themeColor="text1"/>
          <w:sz w:val="24"/>
          <w:szCs w:val="24"/>
          <w14:textFill>
            <w14:solidFill>
              <w14:schemeClr w14:val="tx1"/>
            </w14:solidFill>
          </w14:textFill>
        </w:rPr>
        <w:t>17</w:t>
      </w:r>
      <w:r>
        <w:rPr>
          <w:rFonts w:ascii="Times New Roman" w:hAnsi="Times New Roman" w:cs="Times New Roman"/>
          <w:color w:val="000000" w:themeColor="text1"/>
          <w:sz w:val="24"/>
          <w:szCs w:val="24"/>
          <w14:textFill>
            <w14:solidFill>
              <w14:schemeClr w14:val="tx1"/>
            </w14:solidFill>
          </w14:textFill>
        </w:rPr>
        <w:t>m，太子殿一带达</w:t>
      </w:r>
      <w:r>
        <w:rPr>
          <w:rFonts w:hint="eastAsia" w:ascii="Times New Roman" w:hAnsi="Times New Roman" w:cs="Times New Roman"/>
          <w:color w:val="000000" w:themeColor="text1"/>
          <w:sz w:val="24"/>
          <w:szCs w:val="24"/>
          <w14:textFill>
            <w14:solidFill>
              <w14:schemeClr w14:val="tx1"/>
            </w14:solidFill>
          </w14:textFill>
        </w:rPr>
        <w:t>28</w:t>
      </w:r>
      <w:r>
        <w:rPr>
          <w:rFonts w:ascii="Times New Roman" w:hAnsi="Times New Roman" w:cs="Times New Roman"/>
          <w:color w:val="000000" w:themeColor="text1"/>
          <w:sz w:val="24"/>
          <w:szCs w:val="24"/>
          <w14:textFill>
            <w14:solidFill>
              <w14:schemeClr w14:val="tx1"/>
            </w14:solidFill>
          </w14:textFill>
        </w:rPr>
        <w:t>m）</w:t>
      </w:r>
      <w:r>
        <w:rPr>
          <w:rFonts w:hint="eastAsia" w:ascii="Times New Roman" w:hAnsi="Times New Roman" w:cs="Times New Roman"/>
          <w:color w:val="000000" w:themeColor="text1"/>
          <w:sz w:val="24"/>
          <w:szCs w:val="24"/>
          <w14:textFill>
            <w14:solidFill>
              <w14:schemeClr w14:val="tx1"/>
            </w14:solidFill>
          </w14:textFill>
        </w:rPr>
        <w:t>和</w:t>
      </w:r>
      <w:r>
        <w:rPr>
          <w:rFonts w:ascii="Times New Roman" w:hAnsi="Times New Roman" w:cs="Times New Roman"/>
          <w:color w:val="000000" w:themeColor="text1"/>
          <w:sz w:val="24"/>
          <w:szCs w:val="24"/>
          <w14:textFill>
            <w14:solidFill>
              <w14:schemeClr w14:val="tx1"/>
            </w14:solidFill>
          </w14:textFill>
        </w:rPr>
        <w:t>自南向北（</w:t>
      </w:r>
      <w:r>
        <w:rPr>
          <w:rFonts w:hint="eastAsia" w:ascii="Times New Roman" w:hAnsi="Times New Roman" w:cs="Times New Roman"/>
          <w:color w:val="000000" w:themeColor="text1"/>
          <w:sz w:val="24"/>
          <w:szCs w:val="24"/>
          <w14:textFill>
            <w14:solidFill>
              <w14:schemeClr w14:val="tx1"/>
            </w14:solidFill>
          </w14:textFill>
        </w:rPr>
        <w:t>青云谱10</w:t>
      </w:r>
      <w:r>
        <w:rPr>
          <w:rFonts w:ascii="Times New Roman" w:hAnsi="Times New Roman" w:cs="Times New Roman"/>
          <w:color w:val="000000" w:themeColor="text1"/>
          <w:sz w:val="24"/>
          <w:szCs w:val="24"/>
          <w14:textFill>
            <w14:solidFill>
              <w14:schemeClr w14:val="tx1"/>
            </w14:solidFill>
          </w14:textFill>
        </w:rPr>
        <w:t>m，龙王庙</w:t>
      </w:r>
      <w:r>
        <w:rPr>
          <w:rFonts w:hint="eastAsia" w:ascii="Times New Roman" w:hAnsi="Times New Roman" w:cs="Times New Roman"/>
          <w:color w:val="000000" w:themeColor="text1"/>
          <w:sz w:val="24"/>
          <w:szCs w:val="24"/>
          <w14:textFill>
            <w14:solidFill>
              <w14:schemeClr w14:val="tx1"/>
            </w14:solidFill>
          </w14:textFill>
        </w:rPr>
        <w:t>14</w:t>
      </w:r>
      <w:r>
        <w:rPr>
          <w:rFonts w:ascii="Times New Roman" w:hAnsi="Times New Roman" w:cs="Times New Roman"/>
          <w:color w:val="000000" w:themeColor="text1"/>
          <w:sz w:val="24"/>
          <w:szCs w:val="24"/>
          <w14:textFill>
            <w14:solidFill>
              <w14:schemeClr w14:val="tx1"/>
            </w14:solidFill>
          </w14:textFill>
        </w:rPr>
        <w:t>m，江纺</w:t>
      </w:r>
      <w:r>
        <w:rPr>
          <w:rFonts w:hint="eastAsia" w:ascii="Times New Roman" w:hAnsi="Times New Roman" w:cs="Times New Roman"/>
          <w:color w:val="000000" w:themeColor="text1"/>
          <w:sz w:val="24"/>
          <w:szCs w:val="24"/>
          <w14:textFill>
            <w14:solidFill>
              <w14:schemeClr w14:val="tx1"/>
            </w14:solidFill>
          </w14:textFill>
        </w:rPr>
        <w:t>20</w:t>
      </w:r>
      <w:r>
        <w:rPr>
          <w:rFonts w:ascii="Times New Roman" w:hAnsi="Times New Roman" w:cs="Times New Roman"/>
          <w:color w:val="000000" w:themeColor="text1"/>
          <w:sz w:val="24"/>
          <w:szCs w:val="24"/>
          <w14:textFill>
            <w14:solidFill>
              <w14:schemeClr w14:val="tx1"/>
            </w14:solidFill>
          </w14:textFill>
        </w:rPr>
        <w:t>m，南</w:t>
      </w:r>
      <w:r>
        <w:rPr>
          <w:rFonts w:hint="eastAsia" w:ascii="Times New Roman" w:hAnsi="Times New Roman" w:cs="Times New Roman"/>
          <w:color w:val="000000" w:themeColor="text1"/>
          <w:sz w:val="24"/>
          <w:szCs w:val="24"/>
          <w14:textFill>
            <w14:solidFill>
              <w14:schemeClr w14:val="tx1"/>
            </w14:solidFill>
          </w14:textFill>
        </w:rPr>
        <w:t>新乡30</w:t>
      </w:r>
      <w:r>
        <w:rPr>
          <w:rFonts w:ascii="Times New Roman" w:hAnsi="Times New Roman" w:cs="Times New Roman"/>
          <w:color w:val="000000" w:themeColor="text1"/>
          <w:sz w:val="24"/>
          <w:szCs w:val="24"/>
          <w14:textFill>
            <w14:solidFill>
              <w14:schemeClr w14:val="tx1"/>
            </w14:solidFill>
          </w14:textFill>
        </w:rPr>
        <w:t>m）</w:t>
      </w:r>
      <w:r>
        <w:rPr>
          <w:rFonts w:hint="eastAsia" w:ascii="Times New Roman" w:hAnsi="Times New Roman" w:cs="Times New Roman"/>
          <w:color w:val="000000" w:themeColor="text1"/>
          <w:sz w:val="24"/>
          <w:szCs w:val="24"/>
          <w14:textFill>
            <w14:solidFill>
              <w14:schemeClr w14:val="tx1"/>
            </w14:solidFill>
          </w14:textFill>
        </w:rPr>
        <w:t>逐渐增厚</w:t>
      </w:r>
      <w:r>
        <w:rPr>
          <w:rFonts w:ascii="Times New Roman" w:hAnsi="Times New Roman" w:cs="Times New Roman"/>
          <w:color w:val="000000" w:themeColor="text1"/>
          <w:sz w:val="24"/>
          <w:szCs w:val="24"/>
          <w14:textFill>
            <w14:solidFill>
              <w14:schemeClr w14:val="tx1"/>
            </w14:solidFill>
          </w14:textFill>
        </w:rPr>
        <w:t>。赣江</w:t>
      </w:r>
      <w:r>
        <w:rPr>
          <w:rFonts w:hint="eastAsia" w:ascii="Times New Roman" w:hAnsi="Times New Roman" w:cs="Times New Roman"/>
          <w:color w:val="000000" w:themeColor="text1"/>
          <w:sz w:val="24"/>
          <w:szCs w:val="24"/>
          <w14:textFill>
            <w14:solidFill>
              <w14:schemeClr w14:val="tx1"/>
            </w14:solidFill>
          </w14:textFill>
        </w:rPr>
        <w:t>延安</w:t>
      </w:r>
      <w:r>
        <w:rPr>
          <w:rFonts w:ascii="Times New Roman" w:hAnsi="Times New Roman" w:cs="Times New Roman"/>
          <w:color w:val="000000" w:themeColor="text1"/>
          <w:sz w:val="24"/>
          <w:szCs w:val="24"/>
          <w14:textFill>
            <w14:solidFill>
              <w14:schemeClr w14:val="tx1"/>
            </w14:solidFill>
          </w14:textFill>
        </w:rPr>
        <w:t>及以东的广大地区</w:t>
      </w:r>
      <w:r>
        <w:rPr>
          <w:rFonts w:hint="eastAsia" w:ascii="Times New Roman" w:hAnsi="Times New Roman" w:cs="Times New Roman"/>
          <w:color w:val="000000" w:themeColor="text1"/>
          <w:sz w:val="24"/>
          <w:szCs w:val="24"/>
          <w14:textFill>
            <w14:solidFill>
              <w14:schemeClr w14:val="tx1"/>
            </w14:solidFill>
          </w14:textFill>
        </w:rPr>
        <w:t>单井</w:t>
      </w:r>
      <w:r>
        <w:rPr>
          <w:rFonts w:ascii="Times New Roman" w:hAnsi="Times New Roman" w:cs="Times New Roman"/>
          <w:color w:val="000000" w:themeColor="text1"/>
          <w:sz w:val="24"/>
          <w:szCs w:val="24"/>
          <w14:textFill>
            <w14:solidFill>
              <w14:schemeClr w14:val="tx1"/>
            </w14:solidFill>
          </w14:textFill>
        </w:rPr>
        <w:t>涌水量为</w:t>
      </w:r>
      <w:r>
        <w:rPr>
          <w:rFonts w:hint="eastAsia" w:ascii="Times New Roman" w:hAnsi="Times New Roman" w:cs="Times New Roman"/>
          <w:color w:val="000000" w:themeColor="text1"/>
          <w:sz w:val="24"/>
          <w:szCs w:val="24"/>
          <w14:textFill>
            <w14:solidFill>
              <w14:schemeClr w14:val="tx1"/>
            </w14:solidFill>
          </w14:textFill>
        </w:rPr>
        <w:t>1016</w:t>
      </w:r>
      <w:r>
        <w:rPr>
          <w:rFonts w:ascii="Times New Roman" w:hAnsi="Times New Roman" w:cs="Times New Roman"/>
          <w:color w:val="000000" w:themeColor="text1"/>
          <w:sz w:val="24"/>
          <w:szCs w:val="24"/>
          <w14:textFill>
            <w14:solidFill>
              <w14:schemeClr w14:val="tx1"/>
            </w14:solidFill>
          </w14:textFill>
        </w:rPr>
        <w:t>~4916m³，渗透系数一般为</w:t>
      </w:r>
      <w:r>
        <w:rPr>
          <w:rFonts w:hint="eastAsia" w:ascii="Times New Roman" w:hAnsi="Times New Roman" w:cs="Times New Roman"/>
          <w:color w:val="000000" w:themeColor="text1"/>
          <w:sz w:val="24"/>
          <w:szCs w:val="24"/>
          <w14:textFill>
            <w14:solidFill>
              <w14:schemeClr w14:val="tx1"/>
            </w14:solidFill>
          </w14:textFill>
        </w:rPr>
        <w:t>53</w:t>
      </w:r>
      <w:r>
        <w:rPr>
          <w:rFonts w:ascii="Times New Roman" w:hAnsi="Times New Roman" w:cs="Times New Roman"/>
          <w:color w:val="000000" w:themeColor="text1"/>
          <w:sz w:val="24"/>
          <w:szCs w:val="24"/>
          <w14:textFill>
            <w14:solidFill>
              <w14:schemeClr w14:val="tx1"/>
            </w14:solidFill>
          </w14:textFill>
        </w:rPr>
        <w:t>~160.9m/d，漫滩</w:t>
      </w:r>
      <w:r>
        <w:rPr>
          <w:rFonts w:hint="eastAsia"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心滩渗透系数为</w:t>
      </w:r>
      <w:r>
        <w:rPr>
          <w:rFonts w:hint="eastAsia" w:ascii="Times New Roman" w:hAnsi="Times New Roman" w:cs="Times New Roman"/>
          <w:color w:val="000000" w:themeColor="text1"/>
          <w:sz w:val="24"/>
          <w:szCs w:val="24"/>
          <w14:textFill>
            <w14:solidFill>
              <w14:schemeClr w14:val="tx1"/>
            </w14:solidFill>
          </w14:textFill>
        </w:rPr>
        <w:t>260</w:t>
      </w:r>
      <w:r>
        <w:rPr>
          <w:rFonts w:ascii="Times New Roman" w:hAnsi="Times New Roman" w:cs="Times New Roman"/>
          <w:color w:val="000000" w:themeColor="text1"/>
          <w:sz w:val="24"/>
          <w:szCs w:val="24"/>
          <w14:textFill>
            <w14:solidFill>
              <w14:schemeClr w14:val="tx1"/>
            </w14:solidFill>
          </w14:textFill>
        </w:rPr>
        <w:t>~360m/d。八一桥</w:t>
      </w:r>
      <w:r>
        <w:rPr>
          <w:rFonts w:hint="eastAsia" w:ascii="Times New Roman" w:hAnsi="Times New Roman" w:cs="Times New Roman"/>
          <w:color w:val="000000" w:themeColor="text1"/>
          <w:sz w:val="24"/>
          <w:szCs w:val="24"/>
          <w14:textFill>
            <w14:solidFill>
              <w14:schemeClr w14:val="tx1"/>
            </w14:solidFill>
          </w14:textFill>
        </w:rPr>
        <w:t>以下</w:t>
      </w:r>
      <w:r>
        <w:rPr>
          <w:rFonts w:ascii="Times New Roman" w:hAnsi="Times New Roman" w:cs="Times New Roman"/>
          <w:color w:val="000000" w:themeColor="text1"/>
          <w:sz w:val="24"/>
          <w:szCs w:val="24"/>
          <w14:textFill>
            <w14:solidFill>
              <w14:schemeClr w14:val="tx1"/>
            </w14:solidFill>
          </w14:textFill>
        </w:rPr>
        <w:t>的赣江北支、中支、南支</w:t>
      </w:r>
      <w:r>
        <w:rPr>
          <w:rFonts w:hint="eastAsia" w:ascii="Times New Roman" w:hAnsi="Times New Roman" w:cs="Times New Roman"/>
          <w:color w:val="000000" w:themeColor="text1"/>
          <w:sz w:val="24"/>
          <w:szCs w:val="24"/>
          <w14:textFill>
            <w14:solidFill>
              <w14:schemeClr w14:val="tx1"/>
            </w14:solidFill>
          </w14:textFill>
        </w:rPr>
        <w:t>河间地块</w:t>
      </w:r>
      <w:r>
        <w:rPr>
          <w:rFonts w:ascii="Times New Roman" w:hAnsi="Times New Roman" w:cs="Times New Roman"/>
          <w:color w:val="000000" w:themeColor="text1"/>
          <w:sz w:val="24"/>
          <w:szCs w:val="24"/>
          <w14:textFill>
            <w14:solidFill>
              <w14:schemeClr w14:val="tx1"/>
            </w14:solidFill>
          </w14:textFill>
        </w:rPr>
        <w:t>为极强富水，单井涌水量</w:t>
      </w:r>
      <w:r>
        <w:rPr>
          <w:rFonts w:hint="eastAsia" w:ascii="Times New Roman" w:hAnsi="Times New Roman" w:cs="Times New Roman"/>
          <w:color w:val="000000" w:themeColor="text1"/>
          <w:sz w:val="24"/>
          <w:szCs w:val="24"/>
          <w14:textFill>
            <w14:solidFill>
              <w14:schemeClr w14:val="tx1"/>
            </w14:solidFill>
          </w14:textFill>
        </w:rPr>
        <w:t>5486</w:t>
      </w:r>
      <w:r>
        <w:rPr>
          <w:rFonts w:ascii="Times New Roman" w:hAnsi="Times New Roman" w:cs="Times New Roman"/>
          <w:color w:val="000000" w:themeColor="text1"/>
          <w:sz w:val="24"/>
          <w:szCs w:val="24"/>
          <w14:textFill>
            <w14:solidFill>
              <w14:schemeClr w14:val="tx1"/>
            </w14:solidFill>
          </w14:textFill>
        </w:rPr>
        <w:t>~9976m³/d，渗透系数一般为</w:t>
      </w:r>
      <w:r>
        <w:rPr>
          <w:rFonts w:hint="eastAsia" w:ascii="Times New Roman" w:hAnsi="Times New Roman" w:cs="Times New Roman"/>
          <w:color w:val="000000" w:themeColor="text1"/>
          <w:sz w:val="24"/>
          <w:szCs w:val="24"/>
          <w14:textFill>
            <w14:solidFill>
              <w14:schemeClr w14:val="tx1"/>
            </w14:solidFill>
          </w14:textFill>
        </w:rPr>
        <w:t>23.4</w:t>
      </w:r>
      <w:r>
        <w:rPr>
          <w:rFonts w:ascii="Times New Roman" w:hAnsi="Times New Roman" w:cs="Times New Roman"/>
          <w:color w:val="000000" w:themeColor="text1"/>
          <w:sz w:val="24"/>
          <w:szCs w:val="24"/>
          <w14:textFill>
            <w14:solidFill>
              <w14:schemeClr w14:val="tx1"/>
            </w14:solidFill>
          </w14:textFill>
        </w:rPr>
        <w:t>~149.0m/d。</w:t>
      </w:r>
    </w:p>
    <w:p>
      <w:pPr>
        <w:keepNext/>
        <w:keepLines/>
        <w:spacing w:before="120" w:beforeLines="50" w:line="360" w:lineRule="auto"/>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79" w:name="_Toc28806"/>
      <w:r>
        <w:rPr>
          <w:rFonts w:ascii="Times New Roman" w:hAnsi="Times New Roman" w:cs="Times New Roman"/>
          <w:b/>
          <w:bCs/>
          <w:color w:val="000000" w:themeColor="text1"/>
          <w:kern w:val="44"/>
          <w:sz w:val="24"/>
          <w:szCs w:val="24"/>
          <w14:textFill>
            <w14:solidFill>
              <w14:schemeClr w14:val="tx1"/>
            </w14:solidFill>
          </w14:textFill>
        </w:rPr>
        <w:t>2.3 周边环境敏感点</w:t>
      </w:r>
      <w:bookmarkEnd w:id="172"/>
      <w:bookmarkEnd w:id="173"/>
      <w:bookmarkEnd w:id="174"/>
      <w:bookmarkEnd w:id="175"/>
      <w:bookmarkEnd w:id="176"/>
      <w:bookmarkEnd w:id="177"/>
      <w:bookmarkEnd w:id="178"/>
      <w:bookmarkEnd w:id="179"/>
    </w:p>
    <w:p>
      <w:pPr>
        <w:snapToGrid w:val="0"/>
        <w:spacing w:line="360" w:lineRule="auto"/>
        <w:jc w:val="left"/>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本项目厂址评价区重点保护目标见</w:t>
      </w:r>
      <w:r>
        <w:rPr>
          <w:rFonts w:hint="eastAsia" w:ascii="Times New Roman" w:hAnsi="Times New Roman" w:cs="Times New Roman"/>
          <w:color w:val="000000" w:themeColor="text1"/>
          <w:kern w:val="0"/>
          <w:sz w:val="24"/>
          <w:szCs w:val="24"/>
          <w14:textFill>
            <w14:solidFill>
              <w14:schemeClr w14:val="tx1"/>
            </w14:solidFill>
          </w14:textFill>
        </w:rPr>
        <w:t>下表2</w:t>
      </w:r>
      <w:r>
        <w:rPr>
          <w:rFonts w:ascii="Times New Roman" w:hAnsi="Times New Roman" w:cs="Times New Roman"/>
          <w:color w:val="000000" w:themeColor="text1"/>
          <w:kern w:val="0"/>
          <w:sz w:val="24"/>
          <w:szCs w:val="24"/>
          <w14:textFill>
            <w14:solidFill>
              <w14:schemeClr w14:val="tx1"/>
            </w14:solidFill>
          </w14:textFill>
        </w:rPr>
        <w:t>-2</w:t>
      </w:r>
      <w:r>
        <w:rPr>
          <w:rFonts w:hint="eastAsia" w:ascii="Times New Roman" w:hAnsi="Times New Roman" w:cs="Times New Roman"/>
          <w:color w:val="000000" w:themeColor="text1"/>
          <w:kern w:val="0"/>
          <w:sz w:val="24"/>
          <w:szCs w:val="24"/>
          <w14:textFill>
            <w14:solidFill>
              <w14:schemeClr w14:val="tx1"/>
            </w14:solidFill>
          </w14:textFill>
        </w:rPr>
        <w:t>。</w:t>
      </w:r>
      <w:r>
        <w:rPr>
          <w:rFonts w:ascii="Times New Roman" w:hAnsi="Times New Roman" w:cs="Times New Roman"/>
          <w:color w:val="000000" w:themeColor="text1"/>
          <w:sz w:val="24"/>
          <w:szCs w:val="24"/>
          <w:lang w:val="zh-CN"/>
          <w14:textFill>
            <w14:solidFill>
              <w14:schemeClr w14:val="tx1"/>
            </w14:solidFill>
          </w14:textFill>
        </w:rPr>
        <w:t>建设项目与周围环境关系图见图</w:t>
      </w:r>
      <w:r>
        <w:rPr>
          <w:rFonts w:ascii="Times New Roman" w:hAnsi="Times New Roman" w:cs="Times New Roman"/>
          <w:color w:val="000000" w:themeColor="text1"/>
          <w:sz w:val="24"/>
          <w:szCs w:val="24"/>
          <w14:textFill>
            <w14:solidFill>
              <w14:schemeClr w14:val="tx1"/>
            </w14:solidFill>
          </w14:textFill>
        </w:rPr>
        <w:t>2-2</w:t>
      </w:r>
      <w:r>
        <w:rPr>
          <w:rFonts w:ascii="Times New Roman" w:hAnsi="Times New Roman" w:cs="Times New Roman"/>
          <w:color w:val="000000" w:themeColor="text1"/>
          <w:sz w:val="24"/>
          <w:szCs w:val="24"/>
          <w:lang w:val="zh-CN"/>
          <w14:textFill>
            <w14:solidFill>
              <w14:schemeClr w14:val="tx1"/>
            </w14:solidFill>
          </w14:textFill>
        </w:rPr>
        <w:t>。</w:t>
      </w:r>
    </w:p>
    <w:p>
      <w:pPr>
        <w:snapToGrid w:val="0"/>
        <w:spacing w:before="163"/>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表2-2 环境保护目标一览表</w:t>
      </w:r>
    </w:p>
    <w:tbl>
      <w:tblPr>
        <w:tblStyle w:val="16"/>
        <w:tblW w:w="8402"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051"/>
        <w:gridCol w:w="1339"/>
        <w:gridCol w:w="1052"/>
        <w:gridCol w:w="710"/>
        <w:gridCol w:w="1165"/>
        <w:gridCol w:w="3085"/>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33" w:hRule="exact"/>
          <w:jc w:val="center"/>
        </w:trPr>
        <w:tc>
          <w:tcPr>
            <w:tcW w:w="1051"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环境要素</w:t>
            </w:r>
          </w:p>
        </w:tc>
        <w:tc>
          <w:tcPr>
            <w:tcW w:w="1339"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保护目标名称</w:t>
            </w:r>
          </w:p>
        </w:tc>
        <w:tc>
          <w:tcPr>
            <w:tcW w:w="1052"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距离（m）</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方位</w:t>
            </w:r>
          </w:p>
        </w:tc>
        <w:tc>
          <w:tcPr>
            <w:tcW w:w="1165"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保护目标人数（人）</w:t>
            </w:r>
          </w:p>
        </w:tc>
        <w:tc>
          <w:tcPr>
            <w:tcW w:w="3085"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52" w:hRule="atLeast"/>
          <w:jc w:val="center"/>
        </w:trPr>
        <w:tc>
          <w:tcPr>
            <w:tcW w:w="1051" w:type="dxa"/>
            <w:vMerge w:val="restart"/>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大气环境/声环境</w:t>
            </w:r>
          </w:p>
        </w:tc>
        <w:tc>
          <w:tcPr>
            <w:tcW w:w="1339" w:type="dxa"/>
            <w:tcBorders>
              <w:tl2br w:val="nil"/>
              <w:tr2bl w:val="nil"/>
            </w:tcBorders>
            <w:vAlign w:val="center"/>
          </w:tcPr>
          <w:p>
            <w:pPr>
              <w:pStyle w:val="37"/>
              <w:numPr>
                <w:ilvl w:val="0"/>
                <w:numId w:val="2"/>
              </w:numPr>
              <w:ind w:firstLineChars="0"/>
              <w:jc w:val="center"/>
              <w:rPr>
                <w:rFonts w:ascii="宋体" w:hAnsi="宋体" w:eastAsia="宋体" w:cs="宋体"/>
                <w:kern w:val="18"/>
                <w:szCs w:val="21"/>
              </w:rPr>
            </w:pPr>
            <w:r>
              <w:rPr>
                <w:rFonts w:hint="eastAsia" w:ascii="宋体" w:hAnsi="宋体" w:eastAsia="宋体" w:cs="宋体"/>
                <w:kern w:val="18"/>
                <w:szCs w:val="21"/>
              </w:rPr>
              <w:t>麻丘村</w:t>
            </w:r>
          </w:p>
        </w:tc>
        <w:tc>
          <w:tcPr>
            <w:tcW w:w="1052"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630</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东北</w:t>
            </w:r>
          </w:p>
        </w:tc>
        <w:tc>
          <w:tcPr>
            <w:tcW w:w="1165"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300</w:t>
            </w:r>
          </w:p>
        </w:tc>
        <w:tc>
          <w:tcPr>
            <w:tcW w:w="3085" w:type="dxa"/>
            <w:vMerge w:val="restart"/>
            <w:tcBorders>
              <w:tl2br w:val="nil"/>
              <w:tr2bl w:val="nil"/>
            </w:tcBorders>
            <w:vAlign w:val="center"/>
          </w:tcPr>
          <w:p>
            <w:pPr>
              <w:ind w:left="-2" w:leftChars="-1"/>
              <w:contextualSpacing/>
              <w:rPr>
                <w:rFonts w:ascii="宋体" w:hAnsi="宋体" w:eastAsia="宋体" w:cs="宋体"/>
                <w:szCs w:val="21"/>
              </w:rPr>
            </w:pPr>
            <w:r>
              <w:rPr>
                <w:rFonts w:ascii="宋体" w:hAnsi="宋体" w:eastAsia="宋体" w:cs="宋体"/>
                <w:szCs w:val="21"/>
              </w:rPr>
              <w:t>《环境空气质量标准》</w:t>
            </w:r>
            <w:r>
              <w:rPr>
                <w:rFonts w:hint="eastAsia" w:ascii="宋体" w:hAnsi="宋体" w:eastAsia="宋体" w:cs="宋体"/>
                <w:szCs w:val="21"/>
              </w:rPr>
              <w:t>(GB3095-2012)中二级标准、</w:t>
            </w:r>
            <w:r>
              <w:rPr>
                <w:rFonts w:ascii="宋体" w:hAnsi="宋体" w:eastAsia="宋体" w:cs="宋体"/>
                <w:szCs w:val="21"/>
              </w:rPr>
              <w:t>《声环境质量标准》</w:t>
            </w:r>
          </w:p>
          <w:p>
            <w:pPr>
              <w:jc w:val="center"/>
              <w:rPr>
                <w:rFonts w:ascii="宋体" w:hAnsi="宋体" w:eastAsia="宋体" w:cs="宋体"/>
                <w:kern w:val="18"/>
                <w:szCs w:val="21"/>
              </w:rPr>
            </w:pPr>
            <w:r>
              <w:rPr>
                <w:rFonts w:hint="eastAsia" w:ascii="宋体" w:hAnsi="宋体" w:eastAsia="宋体" w:cs="宋体"/>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4" w:hRule="exact"/>
          <w:jc w:val="center"/>
        </w:trPr>
        <w:tc>
          <w:tcPr>
            <w:tcW w:w="1051" w:type="dxa"/>
            <w:vMerge w:val="continue"/>
            <w:tcBorders>
              <w:tl2br w:val="nil"/>
              <w:tr2bl w:val="nil"/>
            </w:tcBorders>
            <w:vAlign w:val="center"/>
          </w:tcPr>
          <w:p>
            <w:pPr>
              <w:widowControl/>
              <w:jc w:val="left"/>
              <w:rPr>
                <w:rFonts w:ascii="宋体" w:hAnsi="宋体" w:eastAsia="宋体" w:cs="宋体"/>
                <w:szCs w:val="21"/>
              </w:rPr>
            </w:pPr>
          </w:p>
        </w:tc>
        <w:tc>
          <w:tcPr>
            <w:tcW w:w="1339" w:type="dxa"/>
            <w:tcBorders>
              <w:tl2br w:val="nil"/>
              <w:tr2bl w:val="nil"/>
            </w:tcBorders>
            <w:vAlign w:val="center"/>
          </w:tcPr>
          <w:p>
            <w:pPr>
              <w:pStyle w:val="37"/>
              <w:numPr>
                <w:ilvl w:val="0"/>
                <w:numId w:val="2"/>
              </w:numPr>
              <w:ind w:firstLineChars="0"/>
              <w:jc w:val="center"/>
              <w:rPr>
                <w:rFonts w:ascii="宋体" w:hAnsi="宋体" w:eastAsia="宋体" w:cs="宋体"/>
                <w:kern w:val="18"/>
                <w:szCs w:val="21"/>
              </w:rPr>
            </w:pPr>
            <w:r>
              <w:rPr>
                <w:rFonts w:hint="eastAsia" w:ascii="宋体" w:hAnsi="宋体" w:eastAsia="宋体" w:cs="宋体"/>
                <w:kern w:val="18"/>
                <w:szCs w:val="21"/>
              </w:rPr>
              <w:t>瑶湖豪宅</w:t>
            </w:r>
          </w:p>
        </w:tc>
        <w:tc>
          <w:tcPr>
            <w:tcW w:w="1052"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940</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南面</w:t>
            </w:r>
          </w:p>
        </w:tc>
        <w:tc>
          <w:tcPr>
            <w:tcW w:w="1165"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500</w:t>
            </w:r>
          </w:p>
        </w:tc>
        <w:tc>
          <w:tcPr>
            <w:tcW w:w="3085" w:type="dxa"/>
            <w:vMerge w:val="continue"/>
            <w:tcBorders>
              <w:tl2br w:val="nil"/>
              <w:tr2bl w:val="nil"/>
            </w:tcBorders>
            <w:vAlign w:val="center"/>
          </w:tcPr>
          <w:p>
            <w:pPr>
              <w:widowControl/>
              <w:jc w:val="left"/>
              <w:rPr>
                <w:rFonts w:ascii="宋体" w:hAnsi="宋体" w:eastAsia="宋体" w:cs="宋体"/>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7" w:hRule="exact"/>
          <w:jc w:val="center"/>
        </w:trPr>
        <w:tc>
          <w:tcPr>
            <w:tcW w:w="1051" w:type="dxa"/>
            <w:vMerge w:val="continue"/>
            <w:tcBorders>
              <w:tl2br w:val="nil"/>
              <w:tr2bl w:val="nil"/>
            </w:tcBorders>
            <w:vAlign w:val="center"/>
          </w:tcPr>
          <w:p>
            <w:pPr>
              <w:widowControl/>
              <w:jc w:val="left"/>
              <w:rPr>
                <w:rFonts w:ascii="宋体" w:hAnsi="宋体" w:eastAsia="宋体" w:cs="宋体"/>
                <w:szCs w:val="21"/>
              </w:rPr>
            </w:pPr>
          </w:p>
        </w:tc>
        <w:tc>
          <w:tcPr>
            <w:tcW w:w="1339" w:type="dxa"/>
            <w:tcBorders>
              <w:tl2br w:val="nil"/>
              <w:tr2bl w:val="nil"/>
            </w:tcBorders>
            <w:vAlign w:val="center"/>
          </w:tcPr>
          <w:p>
            <w:pPr>
              <w:pStyle w:val="37"/>
              <w:numPr>
                <w:ilvl w:val="0"/>
                <w:numId w:val="2"/>
              </w:numPr>
              <w:ind w:firstLineChars="0"/>
              <w:jc w:val="center"/>
              <w:rPr>
                <w:rFonts w:ascii="宋体" w:hAnsi="宋体" w:eastAsia="宋体" w:cs="宋体"/>
                <w:kern w:val="18"/>
                <w:szCs w:val="21"/>
              </w:rPr>
            </w:pPr>
            <w:r>
              <w:rPr>
                <w:rFonts w:hint="eastAsia" w:ascii="宋体" w:hAnsi="宋体" w:eastAsia="宋体" w:cs="宋体"/>
                <w:kern w:val="18"/>
                <w:szCs w:val="21"/>
              </w:rPr>
              <w:t>山前闵家</w:t>
            </w:r>
          </w:p>
        </w:tc>
        <w:tc>
          <w:tcPr>
            <w:tcW w:w="1052"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1400</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东北</w:t>
            </w:r>
          </w:p>
        </w:tc>
        <w:tc>
          <w:tcPr>
            <w:tcW w:w="1165"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600</w:t>
            </w:r>
          </w:p>
        </w:tc>
        <w:tc>
          <w:tcPr>
            <w:tcW w:w="3085" w:type="dxa"/>
            <w:vMerge w:val="continue"/>
            <w:tcBorders>
              <w:tl2br w:val="nil"/>
              <w:tr2bl w:val="nil"/>
            </w:tcBorders>
            <w:vAlign w:val="center"/>
          </w:tcPr>
          <w:p>
            <w:pPr>
              <w:widowControl/>
              <w:jc w:val="left"/>
              <w:rPr>
                <w:rFonts w:ascii="宋体" w:hAnsi="宋体" w:eastAsia="宋体" w:cs="宋体"/>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57" w:hRule="exact"/>
          <w:jc w:val="center"/>
        </w:trPr>
        <w:tc>
          <w:tcPr>
            <w:tcW w:w="1051" w:type="dxa"/>
            <w:vMerge w:val="continue"/>
            <w:tcBorders>
              <w:tl2br w:val="nil"/>
              <w:tr2bl w:val="nil"/>
            </w:tcBorders>
            <w:vAlign w:val="center"/>
          </w:tcPr>
          <w:p>
            <w:pPr>
              <w:widowControl/>
              <w:jc w:val="left"/>
              <w:rPr>
                <w:rFonts w:ascii="宋体" w:hAnsi="宋体" w:eastAsia="宋体" w:cs="宋体"/>
                <w:szCs w:val="21"/>
              </w:rPr>
            </w:pPr>
          </w:p>
        </w:tc>
        <w:tc>
          <w:tcPr>
            <w:tcW w:w="1339" w:type="dxa"/>
            <w:tcBorders>
              <w:tl2br w:val="nil"/>
              <w:tr2bl w:val="nil"/>
            </w:tcBorders>
            <w:vAlign w:val="center"/>
          </w:tcPr>
          <w:p>
            <w:pPr>
              <w:pStyle w:val="37"/>
              <w:numPr>
                <w:ilvl w:val="0"/>
                <w:numId w:val="2"/>
              </w:numPr>
              <w:ind w:firstLineChars="0"/>
              <w:jc w:val="center"/>
              <w:rPr>
                <w:rFonts w:ascii="宋体" w:hAnsi="宋体" w:eastAsia="宋体" w:cs="宋体"/>
                <w:kern w:val="18"/>
                <w:szCs w:val="21"/>
              </w:rPr>
            </w:pPr>
            <w:r>
              <w:rPr>
                <w:rFonts w:hint="eastAsia" w:ascii="宋体" w:hAnsi="宋体" w:eastAsia="宋体" w:cs="宋体"/>
                <w:kern w:val="18"/>
                <w:szCs w:val="21"/>
              </w:rPr>
              <w:t>麻丘镇</w:t>
            </w:r>
          </w:p>
        </w:tc>
        <w:tc>
          <w:tcPr>
            <w:tcW w:w="1052"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1700</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东面</w:t>
            </w:r>
          </w:p>
        </w:tc>
        <w:tc>
          <w:tcPr>
            <w:tcW w:w="1165"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1000</w:t>
            </w:r>
          </w:p>
        </w:tc>
        <w:tc>
          <w:tcPr>
            <w:tcW w:w="3085" w:type="dxa"/>
            <w:vMerge w:val="continue"/>
            <w:tcBorders>
              <w:tl2br w:val="nil"/>
              <w:tr2bl w:val="nil"/>
            </w:tcBorders>
            <w:vAlign w:val="center"/>
          </w:tcPr>
          <w:p>
            <w:pPr>
              <w:widowControl/>
              <w:jc w:val="left"/>
              <w:rPr>
                <w:rFonts w:ascii="宋体" w:hAnsi="宋体" w:eastAsia="宋体" w:cs="宋体"/>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54" w:hRule="exact"/>
          <w:jc w:val="center"/>
        </w:trPr>
        <w:tc>
          <w:tcPr>
            <w:tcW w:w="1051" w:type="dxa"/>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水环境</w:t>
            </w:r>
          </w:p>
        </w:tc>
        <w:tc>
          <w:tcPr>
            <w:tcW w:w="1339"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赣江</w:t>
            </w:r>
          </w:p>
        </w:tc>
        <w:tc>
          <w:tcPr>
            <w:tcW w:w="1052" w:type="dxa"/>
            <w:tcBorders>
              <w:tl2br w:val="nil"/>
              <w:tr2bl w:val="nil"/>
            </w:tcBorders>
            <w:vAlign w:val="center"/>
          </w:tcPr>
          <w:p>
            <w:pPr>
              <w:jc w:val="center"/>
              <w:rPr>
                <w:rFonts w:ascii="宋体" w:hAnsi="宋体" w:eastAsia="宋体" w:cs="宋体"/>
                <w:kern w:val="18"/>
                <w:szCs w:val="21"/>
              </w:rPr>
            </w:pPr>
            <w:r>
              <w:rPr>
                <w:rFonts w:ascii="宋体" w:hAnsi="宋体" w:eastAsia="宋体" w:cs="宋体"/>
                <w:kern w:val="18"/>
                <w:szCs w:val="21"/>
              </w:rPr>
              <w:t>7.5</w:t>
            </w:r>
            <w:r>
              <w:rPr>
                <w:rFonts w:hint="eastAsia" w:ascii="宋体" w:hAnsi="宋体" w:eastAsia="宋体" w:cs="宋体"/>
                <w:kern w:val="18"/>
                <w:szCs w:val="21"/>
              </w:rPr>
              <w:t>km</w:t>
            </w:r>
          </w:p>
        </w:tc>
        <w:tc>
          <w:tcPr>
            <w:tcW w:w="710"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东面</w:t>
            </w:r>
          </w:p>
        </w:tc>
        <w:tc>
          <w:tcPr>
            <w:tcW w:w="1165"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大河</w:t>
            </w:r>
          </w:p>
        </w:tc>
        <w:tc>
          <w:tcPr>
            <w:tcW w:w="3085" w:type="dxa"/>
            <w:tcBorders>
              <w:tl2br w:val="nil"/>
              <w:tr2bl w:val="nil"/>
            </w:tcBorders>
            <w:vAlign w:val="center"/>
          </w:tcPr>
          <w:p>
            <w:pPr>
              <w:jc w:val="center"/>
              <w:rPr>
                <w:rFonts w:ascii="宋体" w:hAnsi="宋体" w:eastAsia="宋体" w:cs="宋体"/>
                <w:szCs w:val="21"/>
              </w:rPr>
            </w:pPr>
            <w:r>
              <w:rPr>
                <w:rFonts w:hint="eastAsia" w:ascii="宋体" w:hAnsi="宋体" w:eastAsia="宋体" w:cs="宋体"/>
                <w:szCs w:val="20"/>
              </w:rPr>
              <w:t>《地表水环境质量标准》(</w:t>
            </w:r>
            <w:r>
              <w:rPr>
                <w:rFonts w:hint="eastAsia" w:ascii="宋体" w:hAnsi="宋体" w:eastAsia="宋体" w:cs="宋体"/>
                <w:szCs w:val="21"/>
              </w:rPr>
              <w:t>GB3838-2002</w:t>
            </w:r>
            <w:r>
              <w:rPr>
                <w:rFonts w:hint="eastAsia" w:ascii="宋体" w:hAnsi="宋体" w:eastAsia="宋体" w:cs="宋体"/>
                <w:szCs w:val="20"/>
              </w:rPr>
              <w:t>)</w:t>
            </w:r>
            <w:r>
              <w:rPr>
                <w:rFonts w:hint="eastAsia" w:ascii="宋体" w:hAnsi="宋体" w:eastAsia="宋体" w:cs="宋体"/>
                <w:szCs w:val="21"/>
              </w:rPr>
              <w:t>中</w:t>
            </w:r>
            <w:r>
              <w:rPr>
                <w:rFonts w:ascii="宋体" w:hAnsi="宋体" w:eastAsia="宋体" w:cs="宋体"/>
                <w:szCs w:val="21"/>
              </w:rPr>
              <w:fldChar w:fldCharType="begin"/>
            </w:r>
            <w:r>
              <w:rPr>
                <w:rFonts w:ascii="宋体" w:hAnsi="宋体" w:eastAsia="宋体" w:cs="宋体"/>
                <w:szCs w:val="21"/>
              </w:rPr>
              <w:instrText xml:space="preserve"> </w:instrText>
            </w:r>
            <w:r>
              <w:rPr>
                <w:rFonts w:hint="eastAsia" w:ascii="宋体" w:hAnsi="宋体" w:eastAsia="宋体" w:cs="宋体"/>
                <w:szCs w:val="21"/>
              </w:rPr>
              <w:instrText xml:space="preserve">= 4 \* ROMAN</w:instrText>
            </w:r>
            <w:r>
              <w:rPr>
                <w:rFonts w:ascii="宋体" w:hAnsi="宋体" w:eastAsia="宋体" w:cs="宋体"/>
                <w:szCs w:val="21"/>
              </w:rPr>
              <w:instrText xml:space="preserve"> </w:instrText>
            </w:r>
            <w:r>
              <w:rPr>
                <w:rFonts w:ascii="宋体" w:hAnsi="宋体" w:eastAsia="宋体" w:cs="宋体"/>
                <w:szCs w:val="21"/>
              </w:rPr>
              <w:fldChar w:fldCharType="separate"/>
            </w:r>
            <w:r>
              <w:rPr>
                <w:rFonts w:ascii="宋体" w:hAnsi="宋体" w:eastAsia="宋体" w:cs="宋体"/>
                <w:szCs w:val="21"/>
              </w:rPr>
              <w:t>IV</w:t>
            </w:r>
            <w:r>
              <w:rPr>
                <w:rFonts w:ascii="宋体" w:hAnsi="宋体" w:eastAsia="宋体" w:cs="宋体"/>
                <w:szCs w:val="21"/>
              </w:rPr>
              <w:fldChar w:fldCharType="end"/>
            </w:r>
            <w:r>
              <w:rPr>
                <w:rFonts w:hint="eastAsia" w:ascii="宋体" w:hAnsi="宋体" w:eastAsia="宋体" w:cs="宋体"/>
                <w:szCs w:val="21"/>
              </w:rPr>
              <w:t>类水体标准</w:t>
            </w:r>
          </w:p>
        </w:tc>
      </w:tr>
    </w:tbl>
    <w:p>
      <w:pPr>
        <w:snapToGrid w:val="0"/>
        <w:spacing w:before="163"/>
        <w:jc w:val="center"/>
      </w:pPr>
      <w:bookmarkStart w:id="180" w:name="_Toc1987"/>
      <w:bookmarkStart w:id="181" w:name="_Toc14803_WPSOffice_Level2"/>
      <w:bookmarkStart w:id="182" w:name="_Toc6417_WPSOffice_Level2"/>
      <w:bookmarkStart w:id="183" w:name="_Toc532817016"/>
      <w:bookmarkStart w:id="184" w:name="_Toc8689_WPSOffice_Level2"/>
      <w:bookmarkStart w:id="185" w:name="_Toc14471_WPSOffice_Level2"/>
      <w:bookmarkStart w:id="186" w:name="_Toc18545_WPSOffice_Level2"/>
    </w:p>
    <w:p>
      <w:pPr>
        <w:snapToGrid w:val="0"/>
        <w:spacing w:before="163"/>
        <w:rPr>
          <w:rFonts w:ascii="Times New Roman" w:hAnsi="Times New Roman" w:cs="Times New Roman"/>
          <w:color w:val="000000" w:themeColor="text1"/>
          <w14:textFill>
            <w14:solidFill>
              <w14:schemeClr w14:val="tx1"/>
            </w14:solidFill>
          </w14:textFill>
        </w:rPr>
      </w:pPr>
      <w:r>
        <w:rPr>
          <w:rFonts w:ascii="Times New Roman" w:hAnsi="Times New Roman" w:cs="Times New Roman"/>
          <w:b/>
          <w:szCs w:val="21"/>
        </w:rPr>
        <w:drawing>
          <wp:anchor distT="0" distB="0" distL="114300" distR="114300" simplePos="0" relativeHeight="251749376" behindDoc="0" locked="0" layoutInCell="1" allowOverlap="1">
            <wp:simplePos x="0" y="0"/>
            <wp:positionH relativeFrom="column">
              <wp:posOffset>4697095</wp:posOffset>
            </wp:positionH>
            <wp:positionV relativeFrom="paragraph">
              <wp:posOffset>92075</wp:posOffset>
            </wp:positionV>
            <wp:extent cx="817245" cy="779145"/>
            <wp:effectExtent l="0" t="0" r="5715" b="13335"/>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17245" cy="779145"/>
                    </a:xfrm>
                    <a:prstGeom prst="rect">
                      <a:avLst/>
                    </a:prstGeom>
                    <a:noFill/>
                    <a:ln>
                      <a:noFill/>
                    </a:ln>
                  </pic:spPr>
                </pic:pic>
              </a:graphicData>
            </a:graphic>
          </wp:anchor>
        </w:drawing>
      </w:r>
      <w:r>
        <w:drawing>
          <wp:inline distT="0" distB="0" distL="0" distR="0">
            <wp:extent cx="5511165" cy="4052570"/>
            <wp:effectExtent l="0" t="0" r="571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rcRect t="19288" b="9223"/>
                    <a:stretch>
                      <a:fillRect/>
                    </a:stretch>
                  </pic:blipFill>
                  <pic:spPr>
                    <a:xfrm>
                      <a:off x="0" y="0"/>
                      <a:ext cx="5511165" cy="4052570"/>
                    </a:xfrm>
                    <a:prstGeom prst="rect">
                      <a:avLst/>
                    </a:prstGeom>
                    <a:ln>
                      <a:noFill/>
                    </a:ln>
                  </pic:spPr>
                </pic:pic>
              </a:graphicData>
            </a:graphic>
          </wp:inline>
        </w:drawing>
      </w:r>
    </w:p>
    <w:p>
      <w:pPr>
        <w:snapToGrid w:val="0"/>
        <w:spacing w:before="163"/>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图2-2 周边环境敏感点示意图</w:t>
      </w:r>
    </w:p>
    <w:p>
      <w:pPr>
        <w:keepNext/>
        <w:keepLines/>
        <w:spacing w:before="240" w:beforeLines="100" w:after="240" w:afterLines="100" w:line="360" w:lineRule="auto"/>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87" w:name="_Toc12028"/>
      <w:r>
        <w:rPr>
          <w:rFonts w:ascii="Times New Roman" w:hAnsi="Times New Roman" w:cs="Times New Roman"/>
          <w:b/>
          <w:bCs/>
          <w:color w:val="000000" w:themeColor="text1"/>
          <w:kern w:val="44"/>
          <w:sz w:val="24"/>
          <w:szCs w:val="24"/>
          <w14:textFill>
            <w14:solidFill>
              <w14:schemeClr w14:val="tx1"/>
            </w14:solidFill>
          </w14:textFill>
        </w:rPr>
        <w:t>2.4 加油站平面布置</w:t>
      </w:r>
      <w:bookmarkEnd w:id="180"/>
      <w:bookmarkEnd w:id="181"/>
      <w:bookmarkEnd w:id="182"/>
      <w:bookmarkEnd w:id="183"/>
      <w:bookmarkEnd w:id="184"/>
      <w:bookmarkEnd w:id="185"/>
      <w:bookmarkEnd w:id="186"/>
      <w:bookmarkEnd w:id="187"/>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根据现场踏勘，加油站</w:t>
      </w:r>
      <w:r>
        <w:rPr>
          <w:rFonts w:ascii="Times New Roman" w:hAnsi="Times New Roman" w:cs="Times New Roman"/>
          <w:color w:val="000000" w:themeColor="text1"/>
          <w:sz w:val="24"/>
          <w:szCs w:val="24"/>
          <w14:textFill>
            <w14:solidFill>
              <w14:schemeClr w14:val="tx1"/>
            </w14:solidFill>
          </w14:textFill>
        </w:rPr>
        <w:t>位于江西省南昌市紫阳东大道500号</w:t>
      </w:r>
      <w:r>
        <w:rPr>
          <w:rFonts w:ascii="Times New Roman" w:hAnsi="Times New Roman" w:cs="Times New Roman"/>
          <w:color w:val="000000" w:themeColor="text1"/>
          <w:sz w:val="24"/>
          <w:szCs w:val="24"/>
          <w:lang w:val="zh-CN"/>
          <w14:textFill>
            <w14:solidFill>
              <w14:schemeClr w14:val="tx1"/>
            </w14:solidFill>
          </w14:textFill>
        </w:rPr>
        <w:t>，加油站进、出站口</w:t>
      </w:r>
      <w:r>
        <w:rPr>
          <w:rFonts w:hint="eastAsia" w:ascii="Times New Roman" w:hAnsi="Times New Roman" w:cs="Times New Roman"/>
          <w:color w:val="000000" w:themeColor="text1"/>
          <w:sz w:val="24"/>
          <w:szCs w:val="24"/>
          <w14:textFill>
            <w14:solidFill>
              <w14:schemeClr w14:val="tx1"/>
            </w14:solidFill>
          </w14:textFill>
        </w:rPr>
        <w:t>面向昌万公路一侧</w:t>
      </w:r>
      <w:r>
        <w:rPr>
          <w:rFonts w:ascii="Times New Roman" w:hAnsi="Times New Roman" w:cs="Times New Roman"/>
          <w:color w:val="000000" w:themeColor="text1"/>
          <w:sz w:val="24"/>
          <w:szCs w:val="24"/>
          <w:lang w:val="zh-CN"/>
          <w14:textFill>
            <w14:solidFill>
              <w14:schemeClr w14:val="tx1"/>
            </w14:solidFill>
          </w14:textFill>
        </w:rPr>
        <w:t>，加油站占地面积约为7316m</w:t>
      </w:r>
      <w:r>
        <w:rPr>
          <w:rFonts w:ascii="Times New Roman" w:hAnsi="Times New Roman" w:cs="Times New Roman"/>
          <w:color w:val="000000" w:themeColor="text1"/>
          <w:sz w:val="24"/>
          <w:szCs w:val="24"/>
          <w:vertAlign w:val="superscript"/>
          <w:lang w:val="zh-CN"/>
          <w14:textFill>
            <w14:solidFill>
              <w14:schemeClr w14:val="tx1"/>
            </w14:solidFill>
          </w14:textFill>
        </w:rPr>
        <w:t>2</w:t>
      </w:r>
      <w:r>
        <w:rPr>
          <w:rFonts w:ascii="Times New Roman" w:hAnsi="Times New Roman" w:cs="Times New Roman"/>
          <w:color w:val="000000" w:themeColor="text1"/>
          <w:sz w:val="24"/>
          <w:szCs w:val="24"/>
          <w:lang w:val="zh-CN"/>
          <w14:textFill>
            <w14:solidFill>
              <w14:schemeClr w14:val="tx1"/>
            </w14:solidFill>
          </w14:textFill>
        </w:rPr>
        <w:t>，建筑面积约为1805.4m</w:t>
      </w:r>
      <w:r>
        <w:rPr>
          <w:rFonts w:ascii="Times New Roman" w:hAnsi="Times New Roman" w:cs="Times New Roman"/>
          <w:color w:val="000000" w:themeColor="text1"/>
          <w:sz w:val="24"/>
          <w:szCs w:val="24"/>
          <w:vertAlign w:val="superscript"/>
          <w:lang w:val="zh-CN"/>
          <w14:textFill>
            <w14:solidFill>
              <w14:schemeClr w14:val="tx1"/>
            </w14:solidFill>
          </w14:textFill>
        </w:rPr>
        <w:t>2</w:t>
      </w:r>
      <w:r>
        <w:rPr>
          <w:rFonts w:ascii="Times New Roman" w:hAnsi="Times New Roman" w:cs="Times New Roman"/>
          <w:color w:val="000000" w:themeColor="text1"/>
          <w:sz w:val="24"/>
          <w:szCs w:val="24"/>
          <w:lang w:val="zh-CN"/>
          <w14:textFill>
            <w14:solidFill>
              <w14:schemeClr w14:val="tx1"/>
            </w14:solidFill>
          </w14:textFill>
        </w:rPr>
        <w:t>。项目主要分为三个区，分别为</w:t>
      </w:r>
      <w:r>
        <w:rPr>
          <w:rFonts w:hint="eastAsia" w:ascii="宋体" w:hAnsi="宋体" w:eastAsia="宋体" w:cs="宋体"/>
          <w:color w:val="000000" w:themeColor="text1"/>
          <w:sz w:val="24"/>
          <w:szCs w:val="24"/>
          <w:lang w:val="zh-CN"/>
          <w14:textFill>
            <w14:solidFill>
              <w14:schemeClr w14:val="tx1"/>
            </w14:solidFill>
          </w14:textFill>
        </w:rPr>
        <w:t>①</w:t>
      </w:r>
      <w:r>
        <w:rPr>
          <w:rFonts w:ascii="Times New Roman" w:hAnsi="Times New Roman" w:cs="Times New Roman"/>
          <w:color w:val="000000" w:themeColor="text1"/>
          <w:sz w:val="24"/>
          <w:szCs w:val="24"/>
          <w:lang w:val="zh-CN"/>
          <w14:textFill>
            <w14:solidFill>
              <w14:schemeClr w14:val="tx1"/>
            </w14:solidFill>
          </w14:textFill>
        </w:rPr>
        <w:t>储油罐区</w:t>
      </w:r>
      <w:r>
        <w:rPr>
          <w:rFonts w:hint="eastAsia" w:ascii="宋体" w:hAnsi="宋体" w:eastAsia="宋体" w:cs="宋体"/>
          <w:color w:val="000000" w:themeColor="text1"/>
          <w:sz w:val="24"/>
          <w:szCs w:val="24"/>
          <w:lang w:val="zh-CN"/>
          <w14:textFill>
            <w14:solidFill>
              <w14:schemeClr w14:val="tx1"/>
            </w14:solidFill>
          </w14:textFill>
        </w:rPr>
        <w:t>②</w:t>
      </w:r>
      <w:r>
        <w:rPr>
          <w:rFonts w:ascii="Times New Roman" w:hAnsi="Times New Roman" w:cs="Times New Roman"/>
          <w:color w:val="000000" w:themeColor="text1"/>
          <w:sz w:val="24"/>
          <w:szCs w:val="24"/>
          <w:lang w:val="zh-CN"/>
          <w14:textFill>
            <w14:solidFill>
              <w14:schemeClr w14:val="tx1"/>
            </w14:solidFill>
          </w14:textFill>
        </w:rPr>
        <w:t>营业区</w:t>
      </w:r>
      <w:r>
        <w:rPr>
          <w:rFonts w:hint="eastAsia" w:ascii="宋体" w:hAnsi="宋体" w:eastAsia="宋体" w:cs="宋体"/>
          <w:color w:val="000000" w:themeColor="text1"/>
          <w:sz w:val="24"/>
          <w:szCs w:val="24"/>
          <w:lang w:val="zh-CN"/>
          <w14:textFill>
            <w14:solidFill>
              <w14:schemeClr w14:val="tx1"/>
            </w14:solidFill>
          </w14:textFill>
        </w:rPr>
        <w:t>③</w:t>
      </w:r>
      <w:r>
        <w:rPr>
          <w:rFonts w:ascii="Times New Roman" w:hAnsi="Times New Roman" w:cs="Times New Roman"/>
          <w:color w:val="000000" w:themeColor="text1"/>
          <w:sz w:val="24"/>
          <w:szCs w:val="24"/>
          <w:lang w:val="zh-CN"/>
          <w14:textFill>
            <w14:solidFill>
              <w14:schemeClr w14:val="tx1"/>
            </w14:solidFill>
          </w14:textFill>
        </w:rPr>
        <w:t>加油区。储油罐区包括储罐区、卸油区；营业区包括站房、便利店、辅助用房及卫生间等；加油区即为加油机所在区。</w:t>
      </w:r>
      <w:r>
        <w:rPr>
          <w:rFonts w:ascii="Times New Roman" w:hAnsi="Times New Roman" w:cs="Times New Roman"/>
          <w:color w:val="000000" w:themeColor="text1"/>
          <w:sz w:val="24"/>
          <w:szCs w:val="24"/>
          <w14:textFill>
            <w14:solidFill>
              <w14:schemeClr w14:val="tx1"/>
            </w14:solidFill>
          </w14:textFill>
        </w:rPr>
        <w:t>项目储罐区建设有5个地埋卧式油罐，包括0#柴油油罐2台、93#汽油油罐2台、97#汽油油罐1台，总容积折合汽油罐容积为120m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，为二级加油站。配设6台</w:t>
      </w:r>
      <w:r>
        <w:rPr>
          <w:rFonts w:hint="eastAsia" w:ascii="Times New Roman" w:hAnsi="Times New Roman" w:cs="Times New Roman"/>
          <w:color w:val="000000" w:themeColor="text1"/>
          <w:sz w:val="24"/>
          <w:szCs w:val="24"/>
          <w14:textFill>
            <w14:solidFill>
              <w14:schemeClr w14:val="tx1"/>
            </w14:solidFill>
          </w14:textFill>
        </w:rPr>
        <w:t>四</w:t>
      </w:r>
      <w:r>
        <w:rPr>
          <w:rFonts w:ascii="Times New Roman" w:hAnsi="Times New Roman" w:cs="Times New Roman"/>
          <w:color w:val="000000" w:themeColor="text1"/>
          <w:sz w:val="24"/>
          <w:szCs w:val="24"/>
          <w14:textFill>
            <w14:solidFill>
              <w14:schemeClr w14:val="tx1"/>
            </w14:solidFill>
          </w14:textFill>
        </w:rPr>
        <w:t>枪加油机（其中2台0#柴油双枪加油机，2台93#双枪加油机，1台97#双枪加油机）。</w:t>
      </w:r>
      <w:r>
        <w:rPr>
          <w:rFonts w:ascii="Times New Roman" w:hAnsi="Times New Roman" w:cs="Times New Roman"/>
          <w:bCs/>
          <w:color w:val="000000" w:themeColor="text1"/>
          <w:kern w:val="0"/>
          <w:sz w:val="24"/>
          <w:szCs w:val="24"/>
          <w14:textFill>
            <w14:solidFill>
              <w14:schemeClr w14:val="tx1"/>
            </w14:solidFill>
          </w14:textFill>
        </w:rPr>
        <w:t>加油站用地呈矩形，加油区位于站区中央；油罐区位于加油区</w:t>
      </w:r>
      <w:r>
        <w:rPr>
          <w:rFonts w:hint="eastAsia" w:ascii="Times New Roman" w:hAnsi="Times New Roman" w:cs="Times New Roman"/>
          <w:bCs/>
          <w:color w:val="000000" w:themeColor="text1"/>
          <w:kern w:val="0"/>
          <w:sz w:val="24"/>
          <w:szCs w:val="24"/>
          <w14:textFill>
            <w14:solidFill>
              <w14:schemeClr w14:val="tx1"/>
            </w14:solidFill>
          </w14:textFill>
        </w:rPr>
        <w:t>西南</w:t>
      </w:r>
      <w:r>
        <w:rPr>
          <w:rFonts w:ascii="Times New Roman" w:hAnsi="Times New Roman" w:cs="Times New Roman"/>
          <w:bCs/>
          <w:color w:val="000000" w:themeColor="text1"/>
          <w:kern w:val="0"/>
          <w:sz w:val="24"/>
          <w:szCs w:val="24"/>
          <w14:textFill>
            <w14:solidFill>
              <w14:schemeClr w14:val="tx1"/>
            </w14:solidFill>
          </w14:textFill>
        </w:rPr>
        <w:t>部，并设置防撞混凝土墙。站场地全部采用水泥硬化路面，采用环形道路布置，方便来往车辆进行加油作业，同时将各个建筑紧密的联系起来，形成一个有机的整体。从项目平面布置图来看，项目加油站油罐区与加油区，分开设置，加油站内各设施的安全间距满足《汽车加气加气站设计与施工规范》（GB50156-2012）表5.0.13的相关规范要求，因此站区平面布置是相对合理的。</w:t>
      </w:r>
    </w:p>
    <w:p>
      <w:pPr>
        <w:spacing w:line="360" w:lineRule="auto"/>
        <w:ind w:firstLine="420"/>
        <w:rPr>
          <w:rFonts w:ascii="Times New Roman" w:hAnsi="Times New Roman" w:cs="Times New Roman"/>
          <w:bCs/>
          <w:color w:val="000000" w:themeColor="text1"/>
          <w:kern w:val="0"/>
          <w:sz w:val="24"/>
          <w:szCs w:val="24"/>
          <w:lang w:val="zh-CN"/>
          <w14:textFill>
            <w14:solidFill>
              <w14:schemeClr w14:val="tx1"/>
            </w14:solidFill>
          </w14:textFill>
        </w:rPr>
      </w:pPr>
      <w:r>
        <w:rPr>
          <w:rFonts w:ascii="Times New Roman" w:hAnsi="Times New Roman" w:cs="Times New Roman"/>
          <w:bCs/>
          <w:color w:val="000000" w:themeColor="text1"/>
          <w:kern w:val="0"/>
          <w:sz w:val="24"/>
          <w:szCs w:val="24"/>
          <w:lang w:val="zh-CN"/>
          <w14:textFill>
            <w14:solidFill>
              <w14:schemeClr w14:val="tx1"/>
            </w14:solidFill>
          </w14:textFill>
        </w:rPr>
        <w:t>项目平面布置图见图2</w:t>
      </w:r>
      <w:r>
        <w:rPr>
          <w:rFonts w:ascii="Times New Roman" w:hAnsi="Times New Roman" w:cs="Times New Roman"/>
          <w:bCs/>
          <w:color w:val="000000" w:themeColor="text1"/>
          <w:kern w:val="0"/>
          <w:sz w:val="24"/>
          <w:szCs w:val="24"/>
          <w14:textFill>
            <w14:solidFill>
              <w14:schemeClr w14:val="tx1"/>
            </w14:solidFill>
          </w14:textFill>
        </w:rPr>
        <w:t>-3</w:t>
      </w:r>
      <w:r>
        <w:rPr>
          <w:rFonts w:ascii="Times New Roman" w:hAnsi="Times New Roman" w:cs="Times New Roman"/>
          <w:bCs/>
          <w:color w:val="000000" w:themeColor="text1"/>
          <w:kern w:val="0"/>
          <w:sz w:val="24"/>
          <w:szCs w:val="24"/>
          <w:lang w:val="zh-CN"/>
          <w14:textFill>
            <w14:solidFill>
              <w14:schemeClr w14:val="tx1"/>
            </w14:solidFill>
          </w14:textFill>
        </w:rPr>
        <w:t>。</w:t>
      </w:r>
    </w:p>
    <w:p>
      <w:pPr>
        <w:pStyle w:val="2"/>
        <w:ind w:firstLine="0" w:firstLineChars="0"/>
        <w:rPr>
          <w:lang w:val="zh-CN"/>
        </w:rPr>
      </w:pPr>
      <w:r>
        <w:drawing>
          <wp:inline distT="0" distB="0" distL="114300" distR="114300">
            <wp:extent cx="5620385" cy="5751830"/>
            <wp:effectExtent l="0" t="0" r="3175" b="8890"/>
            <wp:docPr id="8" name="图片 8" descr="平面布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平面布置图"/>
                    <pic:cNvPicPr>
                      <a:picLocks noChangeAspect="1"/>
                    </pic:cNvPicPr>
                  </pic:nvPicPr>
                  <pic:blipFill>
                    <a:blip r:embed="rId14"/>
                    <a:srcRect l="12831" r="13880"/>
                    <a:stretch>
                      <a:fillRect/>
                    </a:stretch>
                  </pic:blipFill>
                  <pic:spPr>
                    <a:xfrm>
                      <a:off x="0" y="0"/>
                      <a:ext cx="5620385" cy="5751830"/>
                    </a:xfrm>
                    <a:prstGeom prst="rect">
                      <a:avLst/>
                    </a:prstGeom>
                    <a:ln>
                      <a:noFill/>
                    </a:ln>
                  </pic:spPr>
                </pic:pic>
              </a:graphicData>
            </a:graphic>
          </wp:inline>
        </w:drawing>
      </w:r>
    </w:p>
    <w:p>
      <w:pPr>
        <w:snapToGrid w:val="0"/>
        <w:spacing w:before="163"/>
        <w:jc w:val="center"/>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图2-3项目</w:t>
      </w:r>
      <w:r>
        <w:rPr>
          <w:rFonts w:ascii="Times New Roman" w:hAnsi="Times New Roman" w:cs="Times New Roman"/>
          <w:b/>
          <w:color w:val="000000" w:themeColor="text1"/>
          <w:szCs w:val="21"/>
          <w14:textFill>
            <w14:solidFill>
              <w14:schemeClr w14:val="tx1"/>
            </w14:solidFill>
          </w14:textFill>
        </w:rPr>
        <w:t>平面图</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188" w:name="_Toc12126_WPSOffice_Level2"/>
      <w:bookmarkStart w:id="189" w:name="_Toc5698_WPSOffice_Level2"/>
      <w:bookmarkStart w:id="190" w:name="_Toc22505"/>
      <w:bookmarkStart w:id="191" w:name="_Toc29921_WPSOffice_Level2"/>
      <w:bookmarkStart w:id="192" w:name="_Toc30888_WPSOffice_Level2"/>
      <w:bookmarkStart w:id="193" w:name="_Toc9309_WPSOffice_Level2"/>
      <w:bookmarkStart w:id="194" w:name="_Toc4381"/>
      <w:r>
        <w:rPr>
          <w:rFonts w:ascii="Times New Roman" w:hAnsi="Times New Roman" w:cs="Times New Roman"/>
          <w:b/>
          <w:bCs/>
          <w:color w:val="000000" w:themeColor="text1"/>
          <w:kern w:val="44"/>
          <w:sz w:val="24"/>
          <w:szCs w:val="24"/>
          <w14:textFill>
            <w14:solidFill>
              <w14:schemeClr w14:val="tx1"/>
            </w14:solidFill>
          </w14:textFill>
        </w:rPr>
        <w:t>2.5加油站工艺流程基本情况</w:t>
      </w:r>
      <w:bookmarkEnd w:id="188"/>
      <w:bookmarkEnd w:id="189"/>
      <w:bookmarkEnd w:id="190"/>
      <w:bookmarkEnd w:id="191"/>
      <w:bookmarkEnd w:id="192"/>
      <w:bookmarkEnd w:id="193"/>
      <w:bookmarkEnd w:id="194"/>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195" w:name="_Toc18545_WPSOffice_Level3"/>
      <w:bookmarkStart w:id="196" w:name="_Toc23733_WPSOffice_Level3"/>
      <w:bookmarkStart w:id="197" w:name="_Toc6417_WPSOffice_Level3"/>
      <w:bookmarkStart w:id="198" w:name="_Toc5122"/>
      <w:bookmarkStart w:id="199" w:name="_Toc8689_WPSOffice_Level3"/>
      <w:bookmarkStart w:id="200" w:name="_Toc532817018"/>
      <w:bookmarkStart w:id="201" w:name="_Toc14471_WPSOffice_Level3"/>
      <w:bookmarkStart w:id="202" w:name="_Toc14752"/>
      <w:r>
        <w:rPr>
          <w:rFonts w:ascii="Times New Roman" w:hAnsi="Times New Roman" w:cs="Times New Roman"/>
          <w:b/>
          <w:bCs/>
          <w:color w:val="000000" w:themeColor="text1"/>
          <w:kern w:val="44"/>
          <w:sz w:val="24"/>
          <w:szCs w:val="24"/>
          <w14:textFill>
            <w14:solidFill>
              <w14:schemeClr w14:val="tx1"/>
            </w14:solidFill>
          </w14:textFill>
        </w:rPr>
        <w:t>2.5.1油品消耗</w:t>
      </w:r>
      <w:bookmarkEnd w:id="195"/>
      <w:bookmarkEnd w:id="196"/>
      <w:bookmarkEnd w:id="197"/>
      <w:bookmarkEnd w:id="198"/>
      <w:bookmarkEnd w:id="199"/>
      <w:bookmarkEnd w:id="200"/>
      <w:bookmarkEnd w:id="201"/>
      <w:bookmarkEnd w:id="202"/>
    </w:p>
    <w:p>
      <w:pPr>
        <w:spacing w:line="500" w:lineRule="exact"/>
        <w:ind w:firstLine="482"/>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加油站主要经营汽油、柴油，加油站年经营规模为汽油5000t/a，柴油8000t/a。</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03" w:name="_Toc29921_WPSOffice_Level3"/>
      <w:bookmarkStart w:id="204" w:name="_Toc9309_WPSOffice_Level3"/>
      <w:bookmarkStart w:id="205" w:name="_Toc5698_WPSOffice_Level3"/>
      <w:bookmarkStart w:id="206" w:name="_Toc23302"/>
      <w:bookmarkStart w:id="207" w:name="_Toc532817019"/>
      <w:bookmarkStart w:id="208" w:name="_Toc22307_WPSOffice_Level3"/>
      <w:bookmarkStart w:id="209" w:name="_Toc12126_WPSOffice_Level3"/>
      <w:bookmarkStart w:id="210" w:name="_Toc7444"/>
      <w:r>
        <w:rPr>
          <w:rFonts w:ascii="Times New Roman" w:hAnsi="Times New Roman" w:cs="Times New Roman"/>
          <w:b/>
          <w:bCs/>
          <w:color w:val="000000" w:themeColor="text1"/>
          <w:kern w:val="44"/>
          <w:sz w:val="24"/>
          <w:szCs w:val="24"/>
          <w14:textFill>
            <w14:solidFill>
              <w14:schemeClr w14:val="tx1"/>
            </w14:solidFill>
          </w14:textFill>
        </w:rPr>
        <w:t>2.5.2生产工艺流程及产污节点</w:t>
      </w:r>
      <w:bookmarkEnd w:id="203"/>
      <w:bookmarkEnd w:id="204"/>
      <w:bookmarkEnd w:id="205"/>
      <w:bookmarkEnd w:id="206"/>
      <w:bookmarkEnd w:id="207"/>
      <w:bookmarkEnd w:id="208"/>
      <w:bookmarkEnd w:id="209"/>
      <w:bookmarkEnd w:id="210"/>
    </w:p>
    <w:p>
      <w:pPr>
        <w:pStyle w:val="6"/>
        <w:spacing w:line="520" w:lineRule="exact"/>
        <w:ind w:firstLine="480"/>
        <w:contextualSpacing/>
        <w:rPr>
          <w:color w:val="000000" w:themeColor="text1"/>
          <w:sz w:val="24"/>
          <w14:textFill>
            <w14:solidFill>
              <w14:schemeClr w14:val="tx1"/>
            </w14:solidFill>
          </w14:textFill>
        </w:rPr>
      </w:pPr>
      <w:r>
        <w:rPr>
          <w:color w:val="000000" w:themeColor="text1"/>
          <w:sz w:val="24"/>
          <w14:textFill>
            <w14:solidFill>
              <w14:schemeClr w14:val="tx1"/>
            </w14:solidFill>
          </w14:textFill>
        </w:rPr>
        <w:t>本项目生产工艺流程及产污环节见图2-4。</w:t>
      </w:r>
    </w:p>
    <w:p>
      <w:pPr>
        <w:pStyle w:val="6"/>
        <w:spacing w:line="520" w:lineRule="exact"/>
        <w:ind w:firstLine="562"/>
        <w:contextualSpacing/>
        <w:rPr>
          <w:color w:val="000000" w:themeColor="text1"/>
          <w:sz w:val="24"/>
          <w14:textFill>
            <w14:solidFill>
              <w14:schemeClr w14:val="tx1"/>
            </w14:solidFill>
          </w14:textFill>
        </w:rPr>
      </w:pPr>
      <w:r>
        <w:rPr>
          <w:b/>
          <w:sz w:val="28"/>
        </w:rPr>
        <mc:AlternateContent>
          <mc:Choice Requires="wps">
            <w:drawing>
              <wp:anchor distT="0" distB="0" distL="114300" distR="114300" simplePos="0" relativeHeight="251667456" behindDoc="0" locked="0" layoutInCell="1" allowOverlap="1">
                <wp:simplePos x="0" y="0"/>
                <wp:positionH relativeFrom="column">
                  <wp:posOffset>3402330</wp:posOffset>
                </wp:positionH>
                <wp:positionV relativeFrom="paragraph">
                  <wp:posOffset>180340</wp:posOffset>
                </wp:positionV>
                <wp:extent cx="599440" cy="285750"/>
                <wp:effectExtent l="0" t="3175" r="635" b="0"/>
                <wp:wrapNone/>
                <wp:docPr id="194" name="文本框 194"/>
                <wp:cNvGraphicFramePr/>
                <a:graphic xmlns:a="http://schemas.openxmlformats.org/drawingml/2006/main">
                  <a:graphicData uri="http://schemas.microsoft.com/office/word/2010/wordprocessingShape">
                    <wps:wsp>
                      <wps:cNvSpPr txBox="1">
                        <a:spLocks noChangeArrowheads="1"/>
                      </wps:cNvSpPr>
                      <wps:spPr bwMode="auto">
                        <a:xfrm>
                          <a:off x="0" y="0"/>
                          <a:ext cx="599440" cy="285750"/>
                        </a:xfrm>
                        <a:prstGeom prst="rect">
                          <a:avLst/>
                        </a:prstGeom>
                        <a:noFill/>
                        <a:ln>
                          <a:noFill/>
                        </a:ln>
                      </wps:spPr>
                      <wps:txbx>
                        <w:txbxContent>
                          <w:p>
                            <w:pPr>
                              <w:rPr>
                                <w:b/>
                                <w:sz w:val="24"/>
                              </w:rPr>
                            </w:pPr>
                            <w:r>
                              <w:rPr>
                                <w:rFonts w:hint="eastAsia"/>
                                <w:b/>
                                <w:sz w:val="24"/>
                              </w:rPr>
                              <w:t>废气</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67.9pt;margin-top:14.2pt;height:22.5pt;width:47.2pt;z-index:251667456;mso-width-relative:page;mso-height-relative:page;" filled="f" stroked="f" coordsize="21600,21600" o:gfxdata="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Y4mB9cAAAAJAQAADwAAAAAAAAABACAAAAAiAAAAZHJzL2Rvd25yZXYu&#10;eG1sUEsBAhQAFAAAAAgAh07iQIfW80j8AQAAygMAAA4AAAAAAAAAAQAgAAAAJgEAAGRycy9lMm9E&#10;b2MueG1sUEsFBgAAAAAGAAYAWQEAAJQFAAAAAA==&#10;">
                <v:fill on="f" focussize="0,0"/>
                <v:stroke on="f"/>
                <v:imagedata o:title=""/>
                <o:lock v:ext="edit" aspectratio="f"/>
                <v:textbox>
                  <w:txbxContent>
                    <w:p>
                      <w:pPr>
                        <w:rPr>
                          <w:b/>
                          <w:sz w:val="24"/>
                        </w:rPr>
                      </w:pPr>
                      <w:r>
                        <w:rPr>
                          <w:rFonts w:hint="eastAsia"/>
                          <w:b/>
                          <w:sz w:val="24"/>
                        </w:rPr>
                        <w:t>废气</w:t>
                      </w:r>
                    </w:p>
                  </w:txbxContent>
                </v:textbox>
              </v:shape>
            </w:pict>
          </mc:Fallback>
        </mc:AlternateContent>
      </w:r>
      <w:r>
        <w:rPr>
          <w:b/>
          <w:sz w:val="28"/>
        </w:rPr>
        <mc:AlternateContent>
          <mc:Choice Requires="wps">
            <w:drawing>
              <wp:anchor distT="0" distB="0" distL="114300" distR="114300" simplePos="0" relativeHeight="251665408" behindDoc="0" locked="0" layoutInCell="1" allowOverlap="1">
                <wp:simplePos x="0" y="0"/>
                <wp:positionH relativeFrom="column">
                  <wp:posOffset>1736090</wp:posOffset>
                </wp:positionH>
                <wp:positionV relativeFrom="paragraph">
                  <wp:posOffset>180340</wp:posOffset>
                </wp:positionV>
                <wp:extent cx="599440" cy="285750"/>
                <wp:effectExtent l="0" t="4445" r="2540" b="0"/>
                <wp:wrapNone/>
                <wp:docPr id="195" name="文本框 195"/>
                <wp:cNvGraphicFramePr/>
                <a:graphic xmlns:a="http://schemas.openxmlformats.org/drawingml/2006/main">
                  <a:graphicData uri="http://schemas.microsoft.com/office/word/2010/wordprocessingShape">
                    <wps:wsp>
                      <wps:cNvSpPr txBox="1">
                        <a:spLocks noChangeArrowheads="1"/>
                      </wps:cNvSpPr>
                      <wps:spPr bwMode="auto">
                        <a:xfrm>
                          <a:off x="0" y="0"/>
                          <a:ext cx="599440" cy="285750"/>
                        </a:xfrm>
                        <a:prstGeom prst="rect">
                          <a:avLst/>
                        </a:prstGeom>
                        <a:noFill/>
                        <a:ln>
                          <a:noFill/>
                        </a:ln>
                      </wps:spPr>
                      <wps:txbx>
                        <w:txbxContent>
                          <w:p>
                            <w:pPr>
                              <w:rPr>
                                <w:b/>
                                <w:sz w:val="24"/>
                              </w:rPr>
                            </w:pPr>
                            <w:r>
                              <w:rPr>
                                <w:rFonts w:hint="eastAsia"/>
                                <w:b/>
                                <w:sz w:val="24"/>
                              </w:rPr>
                              <w:t>废气</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6.7pt;margin-top:14.2pt;height:22.5pt;width:47.2pt;z-index:251665408;mso-width-relative:page;mso-height-relative:page;" filled="f" stroked="f" coordsize="21600,21600" o:gfxdata="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TznBZ1gAAAAkBAAAPAAAAAAAAAAEAIAAAACIAAABkcnMvZG93bnJldi54&#10;bWxQSwECFAAUAAAACACHTuJAaLyw/fwBAADKAwAADgAAAAAAAAABACAAAAAlAQAAZHJzL2Uyb0Rv&#10;Yy54bWxQSwUGAAAAAAYABgBZAQAAkwUAAAAA&#10;">
                <v:fill on="f" focussize="0,0"/>
                <v:stroke on="f"/>
                <v:imagedata o:title=""/>
                <o:lock v:ext="edit" aspectratio="f"/>
                <v:textbox>
                  <w:txbxContent>
                    <w:p>
                      <w:pPr>
                        <w:rPr>
                          <w:b/>
                          <w:sz w:val="24"/>
                        </w:rPr>
                      </w:pPr>
                      <w:r>
                        <w:rPr>
                          <w:rFonts w:hint="eastAsia"/>
                          <w:b/>
                          <w:sz w:val="24"/>
                        </w:rPr>
                        <w:t>废气</w:t>
                      </w:r>
                    </w:p>
                  </w:txbxContent>
                </v:textbox>
              </v:shape>
            </w:pict>
          </mc:Fallback>
        </mc:AlternateContent>
      </w:r>
    </w:p>
    <w:p>
      <w:pPr>
        <w:pStyle w:val="6"/>
        <w:spacing w:line="360" w:lineRule="auto"/>
        <w:ind w:firstLine="562"/>
        <w:contextualSpacing/>
        <w:rPr>
          <w:sz w:val="24"/>
        </w:rPr>
      </w:pPr>
      <w:r>
        <w:rPr>
          <w:b/>
          <w:sz w:val="28"/>
        </w:rPr>
        <mc:AlternateContent>
          <mc:Choice Requires="wps">
            <w:drawing>
              <wp:anchor distT="0" distB="0" distL="114300" distR="114300" simplePos="0" relativeHeight="251656192" behindDoc="0" locked="0" layoutInCell="1" allowOverlap="1">
                <wp:simplePos x="0" y="0"/>
                <wp:positionH relativeFrom="column">
                  <wp:posOffset>3669030</wp:posOffset>
                </wp:positionH>
                <wp:positionV relativeFrom="paragraph">
                  <wp:posOffset>73660</wp:posOffset>
                </wp:positionV>
                <wp:extent cx="0" cy="209550"/>
                <wp:effectExtent l="57785" t="22860" r="56515" b="5715"/>
                <wp:wrapNone/>
                <wp:docPr id="155" name="直接连接符 155"/>
                <wp:cNvGraphicFramePr/>
                <a:graphic xmlns:a="http://schemas.openxmlformats.org/drawingml/2006/main">
                  <a:graphicData uri="http://schemas.microsoft.com/office/word/2010/wordprocessingShape">
                    <wps:wsp>
                      <wps:cNvCnPr>
                        <a:cxnSpLocks noChangeShapeType="1"/>
                      </wps:cNvCnPr>
                      <wps:spPr bwMode="auto">
                        <a:xfrm flipV="1">
                          <a:off x="0" y="0"/>
                          <a:ext cx="0" cy="209550"/>
                        </a:xfrm>
                        <a:prstGeom prst="line">
                          <a:avLst/>
                        </a:prstGeom>
                        <a:noFill/>
                        <a:ln w="9525">
                          <a:solidFill>
                            <a:srgbClr val="000000"/>
                          </a:solidFill>
                          <a:prstDash val="dash"/>
                          <a:round/>
                          <a:tailEnd type="triangle" w="med" len="med"/>
                        </a:ln>
                      </wps:spPr>
                      <wps:bodyPr/>
                    </wps:wsp>
                  </a:graphicData>
                </a:graphic>
              </wp:anchor>
            </w:drawing>
          </mc:Choice>
          <mc:Fallback>
            <w:pict>
              <v:line id="_x0000_s1026" o:spid="_x0000_s1026" o:spt="20" style="position:absolute;left:0pt;flip:y;margin-left:288.9pt;margin-top:5.8pt;height:16.5pt;width:0pt;z-index:251656192;mso-width-relative:page;mso-height-relative:page;" filled="f" stroked="t" coordsize="21600,21600" o:gfxdata="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EJjwb1QAAAAkBAAAPAAAAAAAAAAEAIAAAACIAAABkcnMvZG93bnJldi54bWxQSwECFAAU&#10;AAAACACHTuJAe/lMx/QBAACvAwAADgAAAAAAAAABACAAAAAkAQAAZHJzL2Uyb0RvYy54bWxQSwUG&#10;AAAAAAYABgBZAQAAigUAAAAA&#10;">
                <v:fill on="f" focussize="0,0"/>
                <v:stroke color="#000000" joinstyle="round" dashstyle="dash" endarrow="block"/>
                <v:imagedata o:title=""/>
                <o:lock v:ext="edit" aspectratio="f"/>
              </v:line>
            </w:pict>
          </mc:Fallback>
        </mc:AlternateContent>
      </w:r>
      <w:r>
        <w:rPr>
          <w:sz w:val="24"/>
        </w:rPr>
        <mc:AlternateContent>
          <mc:Choice Requires="wps">
            <w:drawing>
              <wp:anchor distT="0" distB="0" distL="114300" distR="114300" simplePos="0" relativeHeight="251654144" behindDoc="0" locked="0" layoutInCell="1" allowOverlap="1">
                <wp:simplePos x="0" y="0"/>
                <wp:positionH relativeFrom="column">
                  <wp:posOffset>1993900</wp:posOffset>
                </wp:positionH>
                <wp:positionV relativeFrom="paragraph">
                  <wp:posOffset>113030</wp:posOffset>
                </wp:positionV>
                <wp:extent cx="0" cy="209550"/>
                <wp:effectExtent l="55880" t="22860" r="58420" b="5715"/>
                <wp:wrapNone/>
                <wp:docPr id="154" name="直接连接符 154"/>
                <wp:cNvGraphicFramePr/>
                <a:graphic xmlns:a="http://schemas.openxmlformats.org/drawingml/2006/main">
                  <a:graphicData uri="http://schemas.microsoft.com/office/word/2010/wordprocessingShape">
                    <wps:wsp>
                      <wps:cNvCnPr>
                        <a:cxnSpLocks noChangeShapeType="1"/>
                      </wps:cNvCnPr>
                      <wps:spPr bwMode="auto">
                        <a:xfrm flipV="1">
                          <a:off x="0" y="0"/>
                          <a:ext cx="0" cy="209550"/>
                        </a:xfrm>
                        <a:prstGeom prst="line">
                          <a:avLst/>
                        </a:prstGeom>
                        <a:noFill/>
                        <a:ln w="9525">
                          <a:solidFill>
                            <a:srgbClr val="000000"/>
                          </a:solidFill>
                          <a:prstDash val="dash"/>
                          <a:round/>
                          <a:tailEnd type="triangle" w="med" len="med"/>
                        </a:ln>
                      </wps:spPr>
                      <wps:bodyPr/>
                    </wps:wsp>
                  </a:graphicData>
                </a:graphic>
              </wp:anchor>
            </w:drawing>
          </mc:Choice>
          <mc:Fallback>
            <w:pict>
              <v:line id="_x0000_s1026" o:spid="_x0000_s1026" o:spt="20" style="position:absolute;left:0pt;flip:y;margin-left:157pt;margin-top:8.9pt;height:16.5pt;width:0pt;z-index:251654144;mso-width-relative:page;mso-height-relative:page;" filled="f" stroked="t" coordsize="21600,21600" o:gfxdata="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z8vNJ1QAAAAkBAAAPAAAAAAAAAAEAIAAAACIAAABkcnMvZG93bnJldi54bWxQSwECFAAU&#10;AAAACACHTuJAe27p7PQBAACvAwAADgAAAAAAAAABACAAAAAkAQAAZHJzL2Uyb0RvYy54bWxQSwUG&#10;AAAAAAYABgBZAQAAigUAAAAA&#10;">
                <v:fill on="f" focussize="0,0"/>
                <v:stroke color="#000000" joinstyle="round" dashstyle="dash" endarrow="block"/>
                <v:imagedata o:title=""/>
                <o:lock v:ext="edit" aspectratio="f"/>
              </v:line>
            </w:pict>
          </mc:Fallback>
        </mc:AlternateContent>
      </w:r>
    </w:p>
    <w:p>
      <w:pPr>
        <w:ind w:firstLine="420" w:firstLineChars="200"/>
        <w:jc w:val="center"/>
        <w:rPr>
          <w:rFonts w:ascii="Times New Roman" w:hAnsi="Times New Roman" w:cs="Times New Roman"/>
          <w:b/>
          <w:color w:val="000000" w:themeColor="text1"/>
          <w:sz w:val="24"/>
          <w14:textFill>
            <w14:solidFill>
              <w14:schemeClr w14:val="tx1"/>
            </w14:solidFill>
          </w14:textFill>
        </w:rPr>
      </w:pPr>
      <w:r>
        <w:object>
          <v:shape id="_x0000_i1026" o:spt="75" type="#_x0000_t75" style="height:81.2pt;width:424.7pt;" o:ole="t" filled="f" o:preferrelative="t" stroked="f" coordsize="21600,21600">
            <v:path/>
            <v:fill on="f" focussize="0,0"/>
            <v:stroke on="f" joinstyle="miter"/>
            <v:imagedata r:id="rId16" o:title=""/>
            <o:lock v:ext="edit" aspectratio="t"/>
            <w10:wrap type="none"/>
            <w10:anchorlock/>
          </v:shape>
          <o:OLEObject Type="Embed" ProgID="Visio.Drawing.11" ShapeID="_x0000_i1026" DrawAspect="Content" ObjectID="_1468075726" r:id="rId15">
            <o:LockedField>false</o:LockedField>
          </o:OLEObject>
        </w:object>
      </w:r>
      <w:r>
        <w:rPr>
          <w:rFonts w:ascii="Times New Roman" w:hAnsi="Times New Roman" w:cs="Times New Roman"/>
          <w:b/>
          <w:color w:val="000000" w:themeColor="text1"/>
          <w:spacing w:val="4"/>
          <w:sz w:val="24"/>
          <w:szCs w:val="24"/>
          <w14:textFill>
            <w14:solidFill>
              <w14:schemeClr w14:val="tx1"/>
            </w14:solidFill>
          </w14:textFill>
        </w:rPr>
        <w:t xml:space="preserve">图2-4 </w:t>
      </w:r>
      <w:r>
        <w:rPr>
          <w:rFonts w:ascii="Times New Roman" w:hAnsi="Times New Roman" w:cs="Times New Roman"/>
          <w:b/>
          <w:color w:val="000000" w:themeColor="text1"/>
          <w:sz w:val="24"/>
          <w14:textFill>
            <w14:solidFill>
              <w14:schemeClr w14:val="tx1"/>
            </w14:solidFill>
          </w14:textFill>
        </w:rPr>
        <w:t>生产工艺流程及产污环节图</w:t>
      </w:r>
    </w:p>
    <w:p>
      <w:pPr>
        <w:ind w:firstLine="498" w:firstLineChars="200"/>
        <w:jc w:val="center"/>
        <w:rPr>
          <w:rFonts w:ascii="Times New Roman" w:hAnsi="Times New Roman" w:cs="Times New Roman"/>
          <w:b/>
          <w:color w:val="000000" w:themeColor="text1"/>
          <w:spacing w:val="4"/>
          <w:sz w:val="24"/>
          <w:szCs w:val="24"/>
          <w14:textFill>
            <w14:solidFill>
              <w14:schemeClr w14:val="tx1"/>
            </w14:solidFill>
          </w14:textFill>
        </w:rPr>
      </w:pPr>
    </w:p>
    <w:p>
      <w:pPr>
        <w:pStyle w:val="6"/>
        <w:spacing w:line="360" w:lineRule="auto"/>
        <w:ind w:leftChars="-1" w:hanging="2" w:hangingChars="1"/>
        <w:contextualSpacing/>
        <w:rPr>
          <w:sz w:val="24"/>
        </w:rPr>
      </w:pPr>
      <w:bookmarkStart w:id="211" w:name="_Toc29772_WPSOffice_Level3"/>
      <w:bookmarkStart w:id="212" w:name="_Toc30548_WPSOffice_Level3"/>
      <w:bookmarkStart w:id="213" w:name="_Toc28214_WPSOffice_Level3"/>
      <w:bookmarkStart w:id="214" w:name="_Toc10928_WPSOffice_Level3"/>
      <w:bookmarkStart w:id="215" w:name="_Toc532817020"/>
      <w:bookmarkStart w:id="216" w:name="_Toc20801"/>
      <w:bookmarkStart w:id="217" w:name="_Toc20889_WPSOffice_Level3"/>
      <w:r>
        <w:rPr>
          <w:sz w:val="24"/>
        </w:rPr>
        <w:t>项目加油工艺流程主要有卸油和加油两个环节，具体为：</w:t>
      </w:r>
    </w:p>
    <w:p>
      <w:pPr>
        <w:spacing w:line="520" w:lineRule="exact"/>
        <w:ind w:firstLine="480" w:firstLineChars="200"/>
        <w:contextualSpacing/>
        <w:rPr>
          <w:sz w:val="24"/>
        </w:rPr>
      </w:pPr>
      <w:r>
        <w:rPr>
          <w:rFonts w:ascii="宋体"/>
          <w:sz w:val="24"/>
        </w:rPr>
        <w:t>①</w:t>
      </w:r>
      <w:r>
        <w:rPr>
          <w:sz w:val="24"/>
        </w:rPr>
        <w:t>卸油：加油站油品来自汽车罐车，罐车进站后熄火，进行静电接地，待罐车静置15min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sz w:val="24"/>
        </w:rPr>
      </w:pPr>
      <w:r>
        <w:rPr>
          <w:rFonts w:ascii="宋体"/>
          <w:sz w:val="24"/>
        </w:rPr>
        <w:t>②</w:t>
      </w:r>
      <w:r>
        <w:rPr>
          <w:sz w:val="24"/>
        </w:rPr>
        <w:t>加油：加油车辆到达加油位置后，停车熄火，开启油箱，加油员在加油机上预置加油数量，经确认油品无误后，提枪加油，油品经泵进入加油枪然后注入汽车油箱内。</w:t>
      </w:r>
    </w:p>
    <w:p>
      <w:pPr>
        <w:pStyle w:val="6"/>
        <w:spacing w:line="520" w:lineRule="exact"/>
        <w:ind w:firstLine="480"/>
        <w:contextualSpacing/>
        <w:rPr>
          <w:sz w:val="24"/>
        </w:rPr>
      </w:pPr>
      <w:r>
        <w:rPr>
          <w:rFonts w:ascii="宋体"/>
          <w:sz w:val="24"/>
        </w:rPr>
        <w:t>③</w:t>
      </w:r>
      <w:r>
        <w:rPr>
          <w:sz w:val="24"/>
        </w:rPr>
        <w:t>油气回收：项目</w:t>
      </w:r>
      <w:r>
        <w:rPr>
          <w:rFonts w:hint="eastAsia"/>
          <w:sz w:val="24"/>
        </w:rPr>
        <w:t>目前</w:t>
      </w:r>
      <w:r>
        <w:rPr>
          <w:sz w:val="24"/>
        </w:rPr>
        <w:t>采用一次油气回收设施、二次油气回收设施</w:t>
      </w:r>
      <w:r>
        <w:rPr>
          <w:rFonts w:hint="eastAsia"/>
          <w:sz w:val="24"/>
        </w:rPr>
        <w:t>，将加装三次油气回收设施，故本次评价按三级油气进行</w:t>
      </w:r>
      <w:r>
        <w:rPr>
          <w:sz w:val="24"/>
        </w:rPr>
        <w:t>。</w:t>
      </w:r>
    </w:p>
    <w:p>
      <w:pPr>
        <w:pStyle w:val="6"/>
        <w:spacing w:line="520" w:lineRule="exact"/>
        <w:ind w:firstLine="480"/>
        <w:contextualSpacing/>
        <w:rPr>
          <w:sz w:val="24"/>
        </w:rPr>
      </w:pPr>
      <w:r>
        <w:rPr>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kern w:val="0"/>
          <w:sz w:val="24"/>
        </w:rPr>
      </w:pPr>
      <w:r>
        <w:rPr>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kern w:val="0"/>
          <w:sz w:val="24"/>
        </w:rPr>
      </w:pPr>
      <w:r>
        <w:rPr>
          <w:kern w:val="0"/>
          <w:sz w:val="22"/>
        </w:rPr>
        <w:drawing>
          <wp:inline distT="0" distB="0" distL="0" distR="0">
            <wp:extent cx="4846320" cy="2590800"/>
            <wp:effectExtent l="19050" t="0" r="0" b="0"/>
            <wp:docPr id="5"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4" descr="１"/>
                    <pic:cNvPicPr>
                      <a:picLocks noChangeAspect="1" noChangeArrowheads="1"/>
                    </pic:cNvPicPr>
                  </pic:nvPicPr>
                  <pic:blipFill>
                    <a:blip r:embed="rId17"/>
                    <a:srcRect/>
                    <a:stretch>
                      <a:fillRect/>
                    </a:stretch>
                  </pic:blipFill>
                  <pic:spPr>
                    <a:xfrm>
                      <a:off x="0" y="0"/>
                      <a:ext cx="4846320" cy="2590800"/>
                    </a:xfrm>
                    <a:prstGeom prst="rect">
                      <a:avLst/>
                    </a:prstGeom>
                    <a:noFill/>
                    <a:ln w="9525">
                      <a:noFill/>
                      <a:miter lim="800000"/>
                      <a:headEnd/>
                      <a:tailEnd/>
                    </a:ln>
                  </pic:spPr>
                </pic:pic>
              </a:graphicData>
            </a:graphic>
          </wp:inline>
        </w:drawing>
      </w:r>
    </w:p>
    <w:p>
      <w:pPr>
        <w:pStyle w:val="6"/>
        <w:spacing w:line="520" w:lineRule="exact"/>
        <w:ind w:firstLine="480"/>
        <w:contextualSpacing/>
        <w:rPr>
          <w:sz w:val="24"/>
        </w:rPr>
      </w:pPr>
      <w:r>
        <w:rPr>
          <w:sz w:val="24"/>
        </w:rPr>
        <w:t>二次油气回收指在给汽车油箱加油时，利用加油枪特殊装置，将原本由汽车油箱逸散于空气中的油气经加油枪、抽气泵回收入地下油罐内。</w:t>
      </w:r>
    </w:p>
    <w:p>
      <w:pPr>
        <w:pStyle w:val="6"/>
        <w:spacing w:line="520" w:lineRule="exact"/>
        <w:ind w:firstLine="480"/>
        <w:contextualSpacing/>
        <w:rPr>
          <w:sz w:val="24"/>
        </w:rPr>
      </w:pPr>
      <w:r>
        <w:rPr>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kern w:val="24"/>
          <w:sz w:val="24"/>
        </w:rPr>
        <w:t>油气回收管线应坡向油罐，坡度不应小于1%；加油软管应配备拉断截止阀，加油时应防止溢油和滴油。</w:t>
      </w:r>
    </w:p>
    <w:p>
      <w:pPr>
        <w:pStyle w:val="6"/>
        <w:spacing w:line="360" w:lineRule="auto"/>
        <w:ind w:firstLine="11" w:firstLineChars="5"/>
        <w:contextualSpacing/>
        <w:jc w:val="center"/>
        <w:rPr>
          <w:kern w:val="0"/>
          <w:sz w:val="22"/>
          <w:szCs w:val="22"/>
        </w:rPr>
      </w:pPr>
      <w:r>
        <w:rPr>
          <w:kern w:val="0"/>
          <w:sz w:val="22"/>
          <w:szCs w:val="22"/>
        </w:rPr>
        <w:drawing>
          <wp:inline distT="0" distB="0" distL="0" distR="0">
            <wp:extent cx="4305300" cy="2468880"/>
            <wp:effectExtent l="19050" t="0" r="0" b="0"/>
            <wp:docPr id="4"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5" descr="２"/>
                    <pic:cNvPicPr>
                      <a:picLocks noChangeAspect="1" noChangeArrowheads="1"/>
                    </pic:cNvPicPr>
                  </pic:nvPicPr>
                  <pic:blipFill>
                    <a:blip r:embed="rId18"/>
                    <a:srcRect/>
                    <a:stretch>
                      <a:fillRect/>
                    </a:stretch>
                  </pic:blipFill>
                  <pic:spPr>
                    <a:xfrm>
                      <a:off x="0" y="0"/>
                      <a:ext cx="4305300" cy="2468880"/>
                    </a:xfrm>
                    <a:prstGeom prst="rect">
                      <a:avLst/>
                    </a:prstGeom>
                    <a:noFill/>
                    <a:ln w="9525">
                      <a:noFill/>
                      <a:miter lim="800000"/>
                      <a:headEnd/>
                      <a:tailEnd/>
                    </a:ln>
                  </pic:spPr>
                </pic:pic>
              </a:graphicData>
            </a:graphic>
          </wp:inline>
        </w:drawing>
      </w:r>
    </w:p>
    <w:p>
      <w:pPr>
        <w:pStyle w:val="6"/>
        <w:spacing w:line="360" w:lineRule="auto"/>
        <w:ind w:firstLine="491" w:firstLineChars="205"/>
        <w:contextualSpacing/>
        <w:rPr>
          <w:sz w:val="24"/>
        </w:rPr>
      </w:pPr>
      <w:r>
        <w:rPr>
          <w:rFonts w:hint="eastAsia"/>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18" w:name="_Toc16052"/>
      <w:r>
        <w:rPr>
          <w:rFonts w:ascii="Times New Roman" w:hAnsi="Times New Roman" w:cs="Times New Roman"/>
          <w:b/>
          <w:bCs/>
          <w:color w:val="000000" w:themeColor="text1"/>
          <w:kern w:val="44"/>
          <w:sz w:val="24"/>
          <w:szCs w:val="24"/>
          <w14:textFill>
            <w14:solidFill>
              <w14:schemeClr w14:val="tx1"/>
            </w14:solidFill>
          </w14:textFill>
        </w:rPr>
        <w:t>2.5.3 公辅工程及主要设备设施</w:t>
      </w:r>
      <w:bookmarkEnd w:id="211"/>
      <w:bookmarkEnd w:id="212"/>
      <w:bookmarkEnd w:id="213"/>
      <w:bookmarkEnd w:id="214"/>
      <w:bookmarkEnd w:id="215"/>
      <w:bookmarkEnd w:id="216"/>
      <w:bookmarkEnd w:id="217"/>
      <w:bookmarkEnd w:id="218"/>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（1）供电</w:t>
      </w:r>
    </w:p>
    <w:p>
      <w:pPr>
        <w:spacing w:line="500" w:lineRule="exact"/>
        <w:ind w:firstLine="480" w:firstLineChars="200"/>
        <w:rPr>
          <w:rFonts w:ascii="Times New Roman" w:hAnsi="Times New Roman" w:cs="Times New Roman"/>
          <w:sz w:val="24"/>
          <w:szCs w:val="24"/>
        </w:rPr>
      </w:pPr>
      <w:r>
        <w:rPr>
          <w:rFonts w:hint="eastAsia" w:ascii="Times New Roman" w:hAnsi="Times New Roman" w:cs="Times New Roman"/>
          <w:sz w:val="24"/>
          <w:szCs w:val="24"/>
        </w:rPr>
        <w:t>由</w:t>
      </w:r>
      <w:r>
        <w:rPr>
          <w:rFonts w:ascii="Times New Roman" w:hAnsi="Times New Roman" w:cs="Times New Roman"/>
          <w:sz w:val="24"/>
          <w:szCs w:val="24"/>
        </w:rPr>
        <w:t>市政</w:t>
      </w:r>
      <w:r>
        <w:rPr>
          <w:rFonts w:hint="eastAsia" w:ascii="Times New Roman" w:hAnsi="Times New Roman" w:cs="Times New Roman"/>
          <w:sz w:val="24"/>
          <w:szCs w:val="24"/>
        </w:rPr>
        <w:t>供</w:t>
      </w:r>
      <w:r>
        <w:rPr>
          <w:rFonts w:ascii="Times New Roman" w:hAnsi="Times New Roman" w:cs="Times New Roman"/>
          <w:sz w:val="24"/>
          <w:szCs w:val="24"/>
        </w:rPr>
        <w:t>电</w:t>
      </w:r>
      <w:r>
        <w:rPr>
          <w:rFonts w:hint="eastAsia" w:ascii="Times New Roman" w:hAnsi="Times New Roman" w:cs="Times New Roman"/>
          <w:sz w:val="24"/>
          <w:szCs w:val="24"/>
        </w:rPr>
        <w:t>管</w:t>
      </w:r>
      <w:r>
        <w:rPr>
          <w:rFonts w:ascii="Times New Roman" w:hAnsi="Times New Roman" w:cs="Times New Roman"/>
          <w:sz w:val="24"/>
          <w:szCs w:val="24"/>
        </w:rPr>
        <w:t>网</w:t>
      </w:r>
      <w:r>
        <w:rPr>
          <w:rFonts w:hint="eastAsia" w:ascii="Times New Roman" w:hAnsi="Times New Roman" w:cs="Times New Roman"/>
          <w:sz w:val="24"/>
          <w:szCs w:val="24"/>
        </w:rPr>
        <w:t>提供</w:t>
      </w:r>
      <w:r>
        <w:rPr>
          <w:rFonts w:ascii="Times New Roman" w:hAnsi="Times New Roman" w:cs="Times New Roman"/>
          <w:sz w:val="24"/>
          <w:szCs w:val="24"/>
        </w:rPr>
        <w:t>，年用电量约</w:t>
      </w:r>
      <w:r>
        <w:rPr>
          <w:rFonts w:hint="eastAsia" w:ascii="Times New Roman" w:hAnsi="Times New Roman" w:cs="Times New Roman"/>
          <w:sz w:val="24"/>
          <w:szCs w:val="24"/>
        </w:rPr>
        <w:t>10</w:t>
      </w:r>
      <w:r>
        <w:rPr>
          <w:rFonts w:ascii="Times New Roman" w:hAnsi="Times New Roman" w:cs="Times New Roman"/>
          <w:sz w:val="24"/>
          <w:szCs w:val="24"/>
        </w:rPr>
        <w:t>万kWh</w:t>
      </w:r>
      <w:r>
        <w:rPr>
          <w:rFonts w:hint="eastAsia" w:ascii="Times New Roman" w:hAnsi="Times New Roman" w:cs="Times New Roman"/>
          <w:sz w:val="24"/>
          <w:szCs w:val="24"/>
        </w:rPr>
        <w:t>。</w:t>
      </w:r>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（2）供水</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市政给水管道给水；用水主要为职工日常生活用水；项目劳动定员14人，用水量为每人0.05m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/d，生活用水量为255.5</w:t>
      </w:r>
      <w:r>
        <w:rPr>
          <w:rFonts w:hint="eastAsia" w:ascii="Times New Roman" w:hAnsi="Times New Roman" w:cs="Times New Roman"/>
          <w:color w:val="000000" w:themeColor="text1"/>
          <w:sz w:val="24"/>
          <w:szCs w:val="24"/>
          <w14:textFill>
            <w14:solidFill>
              <w14:schemeClr w14:val="tx1"/>
            </w14:solidFill>
          </w14:textFill>
        </w:rPr>
        <w:t>t</w:t>
      </w:r>
      <w:r>
        <w:rPr>
          <w:rFonts w:ascii="Times New Roman" w:hAnsi="Times New Roman" w:cs="Times New Roman"/>
          <w:color w:val="000000" w:themeColor="text1"/>
          <w:sz w:val="24"/>
          <w:szCs w:val="24"/>
          <w14:textFill>
            <w14:solidFill>
              <w14:schemeClr w14:val="tx1"/>
            </w14:solidFill>
          </w14:textFill>
        </w:rPr>
        <w:t>/a(年工作365d)。项目经</w:t>
      </w:r>
      <w:r>
        <w:rPr>
          <w:rFonts w:hint="eastAsia" w:ascii="Times New Roman" w:hAnsi="Times New Roman" w:cs="Times New Roman"/>
          <w:color w:val="000000" w:themeColor="text1"/>
          <w:sz w:val="24"/>
          <w:szCs w:val="24"/>
          <w14:textFill>
            <w14:solidFill>
              <w14:schemeClr w14:val="tx1"/>
            </w14:solidFill>
          </w14:textFill>
        </w:rPr>
        <w:t>化粪池</w:t>
      </w:r>
      <w:r>
        <w:rPr>
          <w:rFonts w:ascii="Times New Roman" w:hAnsi="Times New Roman" w:cs="Times New Roman"/>
          <w:color w:val="000000" w:themeColor="text1"/>
          <w:sz w:val="24"/>
          <w:szCs w:val="24"/>
          <w14:textFill>
            <w14:solidFill>
              <w14:schemeClr w14:val="tx1"/>
            </w14:solidFill>
          </w14:textFill>
        </w:rPr>
        <w:t>处理后，排入市政污水管网。</w:t>
      </w:r>
    </w:p>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（3）主要设备设施</w:t>
      </w:r>
    </w:p>
    <w:p>
      <w:pPr>
        <w:spacing w:line="360" w:lineRule="auto"/>
        <w:ind w:firstLine="482"/>
        <w:contextualSpacing/>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加油站主要设备设施见下表。</w:t>
      </w:r>
    </w:p>
    <w:p>
      <w:pPr>
        <w:spacing w:line="360" w:lineRule="auto"/>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表2-3 主要设备一览表</w:t>
      </w:r>
    </w:p>
    <w:tbl>
      <w:tblPr>
        <w:tblStyle w:val="16"/>
        <w:tblW w:w="8312"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0" w:type="dxa"/>
          <w:bottom w:w="0" w:type="dxa"/>
          <w:right w:w="0" w:type="dxa"/>
        </w:tblCellMar>
      </w:tblPr>
      <w:tblGrid>
        <w:gridCol w:w="1092"/>
        <w:gridCol w:w="2027"/>
        <w:gridCol w:w="2067"/>
        <w:gridCol w:w="1224"/>
        <w:gridCol w:w="1902"/>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40" w:hRule="atLeast"/>
          <w:jc w:val="center"/>
        </w:trPr>
        <w:tc>
          <w:tcPr>
            <w:tcW w:w="1092" w:type="dxa"/>
            <w:tcBorders>
              <w:tl2br w:val="nil"/>
              <w:tr2bl w:val="nil"/>
            </w:tcBorders>
            <w:vAlign w:val="center"/>
          </w:tcPr>
          <w:p>
            <w:pPr>
              <w:pStyle w:val="28"/>
              <w:spacing w:line="360" w:lineRule="exact"/>
              <w:rPr>
                <w:rFonts w:ascii="Times New Roman" w:hAnsi="Times New Roman" w:cs="Times New Roman"/>
                <w:b/>
                <w:color w:val="000000" w:themeColor="text1"/>
                <w:spacing w:val="0"/>
                <w14:textFill>
                  <w14:solidFill>
                    <w14:schemeClr w14:val="tx1"/>
                  </w14:solidFill>
                </w14:textFill>
              </w:rPr>
            </w:pPr>
            <w:r>
              <w:rPr>
                <w:rFonts w:ascii="Times New Roman" w:hAnsi="Times New Roman" w:cs="Times New Roman"/>
                <w:b/>
                <w:color w:val="000000" w:themeColor="text1"/>
                <w:spacing w:val="0"/>
                <w14:textFill>
                  <w14:solidFill>
                    <w14:schemeClr w14:val="tx1"/>
                  </w14:solidFill>
                </w14:textFill>
              </w:rPr>
              <w:t>序号</w:t>
            </w:r>
          </w:p>
        </w:tc>
        <w:tc>
          <w:tcPr>
            <w:tcW w:w="2027" w:type="dxa"/>
            <w:tcBorders>
              <w:tl2br w:val="nil"/>
              <w:tr2bl w:val="nil"/>
            </w:tcBorders>
            <w:vAlign w:val="center"/>
          </w:tcPr>
          <w:p>
            <w:pPr>
              <w:pStyle w:val="28"/>
              <w:spacing w:line="360" w:lineRule="exact"/>
              <w:rPr>
                <w:rFonts w:ascii="Times New Roman" w:hAnsi="Times New Roman" w:cs="Times New Roman"/>
                <w:b/>
                <w:color w:val="000000" w:themeColor="text1"/>
                <w:spacing w:val="0"/>
                <w14:textFill>
                  <w14:solidFill>
                    <w14:schemeClr w14:val="tx1"/>
                  </w14:solidFill>
                </w14:textFill>
              </w:rPr>
            </w:pPr>
            <w:r>
              <w:rPr>
                <w:rFonts w:ascii="Times New Roman" w:hAnsi="Times New Roman" w:cs="Times New Roman"/>
                <w:b/>
                <w:color w:val="000000" w:themeColor="text1"/>
                <w:spacing w:val="0"/>
                <w14:textFill>
                  <w14:solidFill>
                    <w14:schemeClr w14:val="tx1"/>
                  </w14:solidFill>
                </w14:textFill>
              </w:rPr>
              <w:t>名称</w:t>
            </w:r>
          </w:p>
        </w:tc>
        <w:tc>
          <w:tcPr>
            <w:tcW w:w="2067" w:type="dxa"/>
            <w:tcBorders>
              <w:tl2br w:val="nil"/>
              <w:tr2bl w:val="nil"/>
            </w:tcBorders>
            <w:vAlign w:val="center"/>
          </w:tcPr>
          <w:p>
            <w:pPr>
              <w:pStyle w:val="28"/>
              <w:spacing w:line="360" w:lineRule="exact"/>
              <w:rPr>
                <w:rFonts w:ascii="Times New Roman" w:hAnsi="Times New Roman" w:cs="Times New Roman"/>
                <w:b/>
                <w:color w:val="000000" w:themeColor="text1"/>
                <w:spacing w:val="0"/>
                <w14:textFill>
                  <w14:solidFill>
                    <w14:schemeClr w14:val="tx1"/>
                  </w14:solidFill>
                </w14:textFill>
              </w:rPr>
            </w:pPr>
            <w:r>
              <w:rPr>
                <w:rFonts w:ascii="Times New Roman" w:hAnsi="Times New Roman" w:cs="Times New Roman"/>
                <w:b/>
                <w:color w:val="000000" w:themeColor="text1"/>
                <w:spacing w:val="0"/>
                <w14:textFill>
                  <w14:solidFill>
                    <w14:schemeClr w14:val="tx1"/>
                  </w14:solidFill>
                </w14:textFill>
              </w:rPr>
              <w:t>规格</w:t>
            </w:r>
          </w:p>
        </w:tc>
        <w:tc>
          <w:tcPr>
            <w:tcW w:w="1224" w:type="dxa"/>
            <w:tcBorders>
              <w:tl2br w:val="nil"/>
              <w:tr2bl w:val="nil"/>
            </w:tcBorders>
            <w:vAlign w:val="center"/>
          </w:tcPr>
          <w:p>
            <w:pPr>
              <w:pStyle w:val="28"/>
              <w:spacing w:line="360" w:lineRule="exact"/>
              <w:rPr>
                <w:rFonts w:ascii="Times New Roman" w:hAnsi="Times New Roman" w:cs="Times New Roman"/>
                <w:b/>
                <w:color w:val="000000" w:themeColor="text1"/>
                <w:spacing w:val="0"/>
                <w14:textFill>
                  <w14:solidFill>
                    <w14:schemeClr w14:val="tx1"/>
                  </w14:solidFill>
                </w14:textFill>
              </w:rPr>
            </w:pPr>
            <w:r>
              <w:rPr>
                <w:rFonts w:ascii="Times New Roman" w:hAnsi="Times New Roman" w:cs="Times New Roman"/>
                <w:b/>
                <w:color w:val="000000" w:themeColor="text1"/>
                <w:spacing w:val="0"/>
                <w14:textFill>
                  <w14:solidFill>
                    <w14:schemeClr w14:val="tx1"/>
                  </w14:solidFill>
                </w14:textFill>
              </w:rPr>
              <w:t>数量</w:t>
            </w:r>
          </w:p>
        </w:tc>
        <w:tc>
          <w:tcPr>
            <w:tcW w:w="1902" w:type="dxa"/>
            <w:tcBorders>
              <w:tl2br w:val="nil"/>
              <w:tr2bl w:val="nil"/>
            </w:tcBorders>
            <w:vAlign w:val="center"/>
          </w:tcPr>
          <w:p>
            <w:pPr>
              <w:pStyle w:val="28"/>
              <w:spacing w:line="360" w:lineRule="exact"/>
              <w:rPr>
                <w:rFonts w:ascii="Times New Roman" w:hAnsi="Times New Roman" w:cs="Times New Roman"/>
                <w:b/>
                <w:color w:val="000000" w:themeColor="text1"/>
                <w:spacing w:val="0"/>
                <w14:textFill>
                  <w14:solidFill>
                    <w14:schemeClr w14:val="tx1"/>
                  </w14:solidFill>
                </w14:textFill>
              </w:rPr>
            </w:pPr>
            <w:r>
              <w:rPr>
                <w:rFonts w:ascii="Times New Roman" w:hAnsi="Times New Roman" w:cs="Times New Roman"/>
                <w:b/>
                <w:color w:val="000000" w:themeColor="text1"/>
                <w:spacing w:val="0"/>
                <w14:textFill>
                  <w14:solidFill>
                    <w14:schemeClr w14:val="tx1"/>
                  </w14:solidFill>
                </w14:textFill>
              </w:rPr>
              <w:t>备注</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40" w:hRule="atLeast"/>
          <w:jc w:val="center"/>
        </w:trPr>
        <w:tc>
          <w:tcPr>
            <w:tcW w:w="109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1</w:t>
            </w:r>
          </w:p>
        </w:tc>
        <w:tc>
          <w:tcPr>
            <w:tcW w:w="202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0#柴油储罐</w:t>
            </w:r>
          </w:p>
        </w:tc>
        <w:tc>
          <w:tcPr>
            <w:tcW w:w="206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30m</w:t>
            </w:r>
            <w:r>
              <w:rPr>
                <w:rFonts w:ascii="Times New Roman" w:hAnsi="Times New Roman" w:cs="Times New Roman"/>
                <w:color w:val="000000" w:themeColor="text1"/>
                <w:spacing w:val="0"/>
                <w:vertAlign w:val="superscript"/>
                <w14:textFill>
                  <w14:solidFill>
                    <w14:schemeClr w14:val="tx1"/>
                  </w14:solidFill>
                </w14:textFill>
              </w:rPr>
              <w:t>3</w:t>
            </w:r>
          </w:p>
        </w:tc>
        <w:tc>
          <w:tcPr>
            <w:tcW w:w="1224"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2台</w:t>
            </w:r>
          </w:p>
        </w:tc>
        <w:tc>
          <w:tcPr>
            <w:tcW w:w="190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40" w:hRule="atLeast"/>
          <w:jc w:val="center"/>
        </w:trPr>
        <w:tc>
          <w:tcPr>
            <w:tcW w:w="109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2</w:t>
            </w:r>
          </w:p>
        </w:tc>
        <w:tc>
          <w:tcPr>
            <w:tcW w:w="202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93#汽油储罐</w:t>
            </w:r>
          </w:p>
        </w:tc>
        <w:tc>
          <w:tcPr>
            <w:tcW w:w="206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30m</w:t>
            </w:r>
            <w:r>
              <w:rPr>
                <w:rFonts w:ascii="Times New Roman" w:hAnsi="Times New Roman" w:cs="Times New Roman"/>
                <w:color w:val="000000" w:themeColor="text1"/>
                <w:spacing w:val="0"/>
                <w:vertAlign w:val="superscript"/>
                <w14:textFill>
                  <w14:solidFill>
                    <w14:schemeClr w14:val="tx1"/>
                  </w14:solidFill>
                </w14:textFill>
              </w:rPr>
              <w:t>3</w:t>
            </w:r>
          </w:p>
        </w:tc>
        <w:tc>
          <w:tcPr>
            <w:tcW w:w="1224"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2台</w:t>
            </w:r>
          </w:p>
        </w:tc>
        <w:tc>
          <w:tcPr>
            <w:tcW w:w="190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40" w:hRule="atLeast"/>
          <w:jc w:val="center"/>
        </w:trPr>
        <w:tc>
          <w:tcPr>
            <w:tcW w:w="109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3</w:t>
            </w:r>
          </w:p>
        </w:tc>
        <w:tc>
          <w:tcPr>
            <w:tcW w:w="202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97#汽油储罐</w:t>
            </w:r>
          </w:p>
        </w:tc>
        <w:tc>
          <w:tcPr>
            <w:tcW w:w="206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30m</w:t>
            </w:r>
            <w:r>
              <w:rPr>
                <w:rFonts w:ascii="Times New Roman" w:hAnsi="Times New Roman" w:cs="Times New Roman"/>
                <w:color w:val="000000" w:themeColor="text1"/>
                <w:spacing w:val="0"/>
                <w:vertAlign w:val="superscript"/>
                <w14:textFill>
                  <w14:solidFill>
                    <w14:schemeClr w14:val="tx1"/>
                  </w14:solidFill>
                </w14:textFill>
              </w:rPr>
              <w:t>3</w:t>
            </w:r>
          </w:p>
        </w:tc>
        <w:tc>
          <w:tcPr>
            <w:tcW w:w="1224"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1台</w:t>
            </w:r>
          </w:p>
        </w:tc>
        <w:tc>
          <w:tcPr>
            <w:tcW w:w="190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40" w:hRule="atLeast"/>
          <w:jc w:val="center"/>
        </w:trPr>
        <w:tc>
          <w:tcPr>
            <w:tcW w:w="109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4</w:t>
            </w:r>
          </w:p>
        </w:tc>
        <w:tc>
          <w:tcPr>
            <w:tcW w:w="202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加油机</w:t>
            </w:r>
          </w:p>
        </w:tc>
        <w:tc>
          <w:tcPr>
            <w:tcW w:w="2067"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4枪</w:t>
            </w:r>
          </w:p>
        </w:tc>
        <w:tc>
          <w:tcPr>
            <w:tcW w:w="1224"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6台</w:t>
            </w:r>
          </w:p>
        </w:tc>
        <w:tc>
          <w:tcPr>
            <w:tcW w:w="1902" w:type="dxa"/>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共24枪</w:t>
            </w:r>
          </w:p>
        </w:tc>
      </w:tr>
    </w:tbl>
    <w:p>
      <w:pPr>
        <w:spacing w:line="500" w:lineRule="exact"/>
        <w:ind w:firstLine="482" w:firstLineChars="200"/>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（4）消防</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本项目主要消防设施列于表2-4。</w:t>
      </w:r>
    </w:p>
    <w:p>
      <w:pPr>
        <w:spacing w:line="360" w:lineRule="auto"/>
        <w:ind w:firstLine="316" w:firstLineChars="150"/>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表2-4 主要消防设施一览表</w:t>
      </w:r>
    </w:p>
    <w:tbl>
      <w:tblPr>
        <w:tblStyle w:val="16"/>
        <w:tblW w:w="4906" w:type="pct"/>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autofit"/>
        <w:tblCellMar>
          <w:top w:w="0" w:type="dxa"/>
          <w:left w:w="108" w:type="dxa"/>
          <w:bottom w:w="0" w:type="dxa"/>
          <w:right w:w="108" w:type="dxa"/>
        </w:tblCellMar>
      </w:tblPr>
      <w:tblGrid>
        <w:gridCol w:w="1116"/>
        <w:gridCol w:w="2166"/>
        <w:gridCol w:w="1512"/>
        <w:gridCol w:w="1710"/>
        <w:gridCol w:w="1214"/>
        <w:gridCol w:w="1462"/>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56" w:hRule="atLeast"/>
          <w:jc w:val="center"/>
        </w:trPr>
        <w:tc>
          <w:tcPr>
            <w:tcW w:w="608"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bookmarkStart w:id="219" w:name="_Toc30592_WPSOffice_Level3"/>
            <w:bookmarkStart w:id="220" w:name="_Toc4133_WPSOffice_Level3"/>
            <w:bookmarkStart w:id="221" w:name="_Toc532817021"/>
            <w:bookmarkStart w:id="222" w:name="_Toc11135_WPSOffice_Level3"/>
            <w:bookmarkStart w:id="223" w:name="_Toc31869_WPSOffice_Level3"/>
            <w:bookmarkStart w:id="224" w:name="_Toc31825_WPSOffice_Level3"/>
            <w:bookmarkStart w:id="225" w:name="_Toc5418"/>
            <w:r>
              <w:rPr>
                <w:rFonts w:hint="eastAsia" w:ascii="Times New Roman" w:hAnsi="Times New Roman" w:cs="Times New Roman"/>
                <w:b/>
                <w:bCs/>
                <w:color w:val="000000" w:themeColor="text1"/>
                <w:spacing w:val="0"/>
                <w14:textFill>
                  <w14:solidFill>
                    <w14:schemeClr w14:val="tx1"/>
                  </w14:solidFill>
                </w14:textFill>
              </w:rPr>
              <w:t>序号</w:t>
            </w:r>
          </w:p>
        </w:tc>
        <w:tc>
          <w:tcPr>
            <w:tcW w:w="1179"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r>
              <w:rPr>
                <w:rFonts w:hint="eastAsia" w:ascii="Times New Roman" w:hAnsi="Times New Roman" w:cs="Times New Roman"/>
                <w:b/>
                <w:bCs/>
                <w:color w:val="000000" w:themeColor="text1"/>
                <w:spacing w:val="0"/>
                <w14:textFill>
                  <w14:solidFill>
                    <w14:schemeClr w14:val="tx1"/>
                  </w14:solidFill>
                </w14:textFill>
              </w:rPr>
              <w:t>名称</w:t>
            </w:r>
          </w:p>
        </w:tc>
        <w:tc>
          <w:tcPr>
            <w:tcW w:w="823"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r>
              <w:rPr>
                <w:rFonts w:hint="eastAsia" w:ascii="Times New Roman" w:hAnsi="Times New Roman" w:cs="Times New Roman"/>
                <w:b/>
                <w:bCs/>
                <w:color w:val="000000" w:themeColor="text1"/>
                <w:spacing w:val="0"/>
                <w14:textFill>
                  <w14:solidFill>
                    <w14:schemeClr w14:val="tx1"/>
                  </w14:solidFill>
                </w14:textFill>
              </w:rPr>
              <w:t>规格</w:t>
            </w:r>
          </w:p>
        </w:tc>
        <w:tc>
          <w:tcPr>
            <w:tcW w:w="931"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r>
              <w:rPr>
                <w:rFonts w:hint="eastAsia" w:ascii="Times New Roman" w:hAnsi="Times New Roman" w:cs="Times New Roman"/>
                <w:b/>
                <w:bCs/>
                <w:color w:val="000000" w:themeColor="text1"/>
                <w:spacing w:val="0"/>
                <w14:textFill>
                  <w14:solidFill>
                    <w14:schemeClr w14:val="tx1"/>
                  </w14:solidFill>
                </w14:textFill>
              </w:rPr>
              <w:t>单位</w:t>
            </w:r>
          </w:p>
        </w:tc>
        <w:tc>
          <w:tcPr>
            <w:tcW w:w="661"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r>
              <w:rPr>
                <w:rFonts w:hint="eastAsia" w:ascii="Times New Roman" w:hAnsi="Times New Roman" w:cs="Times New Roman"/>
                <w:b/>
                <w:bCs/>
                <w:color w:val="000000" w:themeColor="text1"/>
                <w:spacing w:val="0"/>
                <w14:textFill>
                  <w14:solidFill>
                    <w14:schemeClr w14:val="tx1"/>
                  </w14:solidFill>
                </w14:textFill>
              </w:rPr>
              <w:t>数量</w:t>
            </w:r>
          </w:p>
        </w:tc>
        <w:tc>
          <w:tcPr>
            <w:tcW w:w="796" w:type="pct"/>
            <w:tcBorders>
              <w:tl2br w:val="nil"/>
              <w:tr2bl w:val="nil"/>
            </w:tcBorders>
            <w:vAlign w:val="center"/>
          </w:tcPr>
          <w:p>
            <w:pPr>
              <w:pStyle w:val="28"/>
              <w:spacing w:line="360" w:lineRule="exact"/>
              <w:rPr>
                <w:rFonts w:ascii="Times New Roman" w:hAnsi="Times New Roman" w:cs="Times New Roman"/>
                <w:b/>
                <w:bCs/>
                <w:color w:val="000000" w:themeColor="text1"/>
                <w:spacing w:val="0"/>
                <w14:textFill>
                  <w14:solidFill>
                    <w14:schemeClr w14:val="tx1"/>
                  </w14:solidFill>
                </w14:textFill>
              </w:rPr>
            </w:pPr>
            <w:r>
              <w:rPr>
                <w:rFonts w:hint="eastAsia" w:ascii="Times New Roman" w:hAnsi="Times New Roman" w:cs="Times New Roman"/>
                <w:b/>
                <w:bCs/>
                <w:color w:val="000000" w:themeColor="text1"/>
                <w:spacing w:val="0"/>
                <w14:textFill>
                  <w14:solidFill>
                    <w14:schemeClr w14:val="tx1"/>
                  </w14:solidFill>
                </w14:textFill>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28" w:hRule="atLeast"/>
          <w:jc w:val="center"/>
        </w:trPr>
        <w:tc>
          <w:tcPr>
            <w:tcW w:w="608"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1</w:t>
            </w:r>
          </w:p>
        </w:tc>
        <w:tc>
          <w:tcPr>
            <w:tcW w:w="1179"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推车式干粉灭火器</w:t>
            </w:r>
          </w:p>
        </w:tc>
        <w:tc>
          <w:tcPr>
            <w:tcW w:w="823"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MFT-35型</w:t>
            </w:r>
          </w:p>
        </w:tc>
        <w:tc>
          <w:tcPr>
            <w:tcW w:w="93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台</w:t>
            </w:r>
          </w:p>
        </w:tc>
        <w:tc>
          <w:tcPr>
            <w:tcW w:w="66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3</w:t>
            </w:r>
          </w:p>
        </w:tc>
        <w:tc>
          <w:tcPr>
            <w:tcW w:w="796"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36" w:hRule="atLeast"/>
          <w:jc w:val="center"/>
        </w:trPr>
        <w:tc>
          <w:tcPr>
            <w:tcW w:w="608"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2</w:t>
            </w:r>
          </w:p>
        </w:tc>
        <w:tc>
          <w:tcPr>
            <w:tcW w:w="1179"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手提式灭火器</w:t>
            </w:r>
          </w:p>
        </w:tc>
        <w:tc>
          <w:tcPr>
            <w:tcW w:w="823"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w:t>
            </w:r>
          </w:p>
        </w:tc>
        <w:tc>
          <w:tcPr>
            <w:tcW w:w="93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具</w:t>
            </w:r>
          </w:p>
        </w:tc>
        <w:tc>
          <w:tcPr>
            <w:tcW w:w="66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8</w:t>
            </w:r>
          </w:p>
        </w:tc>
        <w:tc>
          <w:tcPr>
            <w:tcW w:w="796"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44" w:hRule="atLeast"/>
          <w:jc w:val="center"/>
        </w:trPr>
        <w:tc>
          <w:tcPr>
            <w:tcW w:w="608"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3</w:t>
            </w:r>
          </w:p>
        </w:tc>
        <w:tc>
          <w:tcPr>
            <w:tcW w:w="1179"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消防沙</w:t>
            </w:r>
          </w:p>
        </w:tc>
        <w:tc>
          <w:tcPr>
            <w:tcW w:w="823"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5</w:t>
            </w:r>
            <w:r>
              <w:rPr>
                <w:rFonts w:hint="eastAsia" w:ascii="Times New Roman" w:hAnsi="Times New Roman" w:cs="Times New Roman"/>
                <w:color w:val="000000" w:themeColor="text1"/>
                <w:spacing w:val="0"/>
                <w14:textFill>
                  <w14:solidFill>
                    <w14:schemeClr w14:val="tx1"/>
                  </w14:solidFill>
                </w14:textFill>
              </w:rPr>
              <w:t>m</w:t>
            </w:r>
            <w:r>
              <w:rPr>
                <w:rFonts w:hint="eastAsia" w:ascii="Times New Roman" w:hAnsi="Times New Roman" w:cs="Times New Roman"/>
                <w:color w:val="000000" w:themeColor="text1"/>
                <w:spacing w:val="0"/>
                <w:vertAlign w:val="superscript"/>
                <w14:textFill>
                  <w14:solidFill>
                    <w14:schemeClr w14:val="tx1"/>
                  </w14:solidFill>
                </w14:textFill>
              </w:rPr>
              <w:t>3</w:t>
            </w:r>
          </w:p>
        </w:tc>
        <w:tc>
          <w:tcPr>
            <w:tcW w:w="93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w:t>
            </w:r>
          </w:p>
        </w:tc>
        <w:tc>
          <w:tcPr>
            <w:tcW w:w="66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w:t>
            </w:r>
          </w:p>
        </w:tc>
        <w:tc>
          <w:tcPr>
            <w:tcW w:w="796"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08" w:hRule="atLeast"/>
          <w:jc w:val="center"/>
        </w:trPr>
        <w:tc>
          <w:tcPr>
            <w:tcW w:w="608"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4</w:t>
            </w:r>
          </w:p>
        </w:tc>
        <w:tc>
          <w:tcPr>
            <w:tcW w:w="1179"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灭火毯</w:t>
            </w:r>
          </w:p>
        </w:tc>
        <w:tc>
          <w:tcPr>
            <w:tcW w:w="823"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w:t>
            </w:r>
          </w:p>
        </w:tc>
        <w:tc>
          <w:tcPr>
            <w:tcW w:w="93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块</w:t>
            </w:r>
          </w:p>
        </w:tc>
        <w:tc>
          <w:tcPr>
            <w:tcW w:w="66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ascii="Times New Roman" w:hAnsi="Times New Roman" w:cs="Times New Roman"/>
                <w:color w:val="000000" w:themeColor="text1"/>
                <w:spacing w:val="0"/>
                <w14:textFill>
                  <w14:solidFill>
                    <w14:schemeClr w14:val="tx1"/>
                  </w14:solidFill>
                </w14:textFill>
              </w:rPr>
              <w:t>5</w:t>
            </w:r>
          </w:p>
        </w:tc>
        <w:tc>
          <w:tcPr>
            <w:tcW w:w="796"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720" w:hRule="atLeast"/>
          <w:jc w:val="center"/>
        </w:trPr>
        <w:tc>
          <w:tcPr>
            <w:tcW w:w="608"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5</w:t>
            </w:r>
          </w:p>
        </w:tc>
        <w:tc>
          <w:tcPr>
            <w:tcW w:w="1179"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吸油毡</w:t>
            </w:r>
          </w:p>
        </w:tc>
        <w:tc>
          <w:tcPr>
            <w:tcW w:w="823"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w:t>
            </w:r>
          </w:p>
        </w:tc>
        <w:tc>
          <w:tcPr>
            <w:tcW w:w="93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块</w:t>
            </w:r>
          </w:p>
        </w:tc>
        <w:tc>
          <w:tcPr>
            <w:tcW w:w="661"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5</w:t>
            </w:r>
          </w:p>
        </w:tc>
        <w:tc>
          <w:tcPr>
            <w:tcW w:w="796" w:type="pct"/>
            <w:tcBorders>
              <w:tl2br w:val="nil"/>
              <w:tr2bl w:val="nil"/>
            </w:tcBorders>
            <w:vAlign w:val="center"/>
          </w:tcPr>
          <w:p>
            <w:pPr>
              <w:pStyle w:val="28"/>
              <w:spacing w:line="360" w:lineRule="exact"/>
              <w:rPr>
                <w:rFonts w:ascii="Times New Roman" w:hAnsi="Times New Roman" w:cs="Times New Roman"/>
                <w:color w:val="000000" w:themeColor="text1"/>
                <w:spacing w:val="0"/>
                <w14:textFill>
                  <w14:solidFill>
                    <w14:schemeClr w14:val="tx1"/>
                  </w14:solidFill>
                </w14:textFill>
              </w:rPr>
            </w:pPr>
            <w:r>
              <w:rPr>
                <w:rFonts w:hint="eastAsia" w:ascii="Times New Roman" w:hAnsi="Times New Roman" w:cs="Times New Roman"/>
                <w:color w:val="000000" w:themeColor="text1"/>
                <w:spacing w:val="0"/>
                <w14:textFill>
                  <w14:solidFill>
                    <w14:schemeClr w14:val="tx1"/>
                  </w14:solidFill>
                </w14:textFill>
              </w:rPr>
              <w:t>有效</w:t>
            </w:r>
          </w:p>
        </w:tc>
      </w:tr>
    </w:tbl>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26" w:name="_Toc3342"/>
      <w:r>
        <w:rPr>
          <w:rFonts w:ascii="Times New Roman" w:hAnsi="Times New Roman" w:cs="Times New Roman"/>
          <w:b/>
          <w:bCs/>
          <w:color w:val="000000" w:themeColor="text1"/>
          <w:kern w:val="44"/>
          <w:sz w:val="24"/>
          <w:szCs w:val="24"/>
          <w14:textFill>
            <w14:solidFill>
              <w14:schemeClr w14:val="tx1"/>
            </w14:solidFill>
          </w14:textFill>
        </w:rPr>
        <w:t>2.5.4污染物产生及处置情况</w:t>
      </w:r>
      <w:bookmarkEnd w:id="219"/>
      <w:bookmarkEnd w:id="220"/>
      <w:bookmarkEnd w:id="221"/>
      <w:bookmarkEnd w:id="222"/>
      <w:bookmarkEnd w:id="223"/>
      <w:bookmarkEnd w:id="224"/>
      <w:bookmarkEnd w:id="225"/>
      <w:bookmarkEnd w:id="226"/>
    </w:p>
    <w:p>
      <w:pPr>
        <w:spacing w:line="500" w:lineRule="exact"/>
        <w:ind w:firstLine="480"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运营期污染主要来自于成品油的运输、卸油、加油过程烃类的挥发，来往车辆的噪声、尾气、加油区地面清洁废水、员工和流动人员生活污水及固体废物（包括项目所产生的废手套、废抹布、废油渣、油泥、废油污及废弃消防沙等危险废物）。</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bookmarkStart w:id="227" w:name="_Toc532817022"/>
      <w:bookmarkStart w:id="228" w:name="_Toc23733_WPSOffice_Level2"/>
      <w:bookmarkStart w:id="229" w:name="_Toc31826"/>
      <w:bookmarkStart w:id="230" w:name="_Toc29772_WPSOffice_Level2"/>
      <w:bookmarkStart w:id="231" w:name="_Toc28214_WPSOffice_Level2"/>
      <w:bookmarkStart w:id="232" w:name="_Toc478051491"/>
      <w:bookmarkStart w:id="233" w:name="_Toc10928_WPSOffice_Level2"/>
      <w:bookmarkStart w:id="234" w:name="_Toc30548_WPSOffice_Level2"/>
      <w:bookmarkStart w:id="235" w:name="_Toc532817023"/>
      <w:r>
        <w:rPr>
          <w:rFonts w:ascii="Times New Roman" w:hAnsi="Times New Roman" w:cs="Times New Roman"/>
          <w:color w:val="000000" w:themeColor="text1"/>
          <w:sz w:val="24"/>
          <w:szCs w:val="24"/>
          <w14:textFill>
            <w14:solidFill>
              <w14:schemeClr w14:val="tx1"/>
            </w14:solidFill>
          </w14:textFill>
        </w:rPr>
        <w:t>1、项目产生的油气经采用</w:t>
      </w:r>
      <w:r>
        <w:rPr>
          <w:rFonts w:hint="eastAsia" w:ascii="Times New Roman" w:hAnsi="Times New Roman" w:cs="Times New Roman"/>
          <w:color w:val="000000" w:themeColor="text1"/>
          <w:sz w:val="24"/>
          <w:szCs w:val="24"/>
          <w14:textFill>
            <w14:solidFill>
              <w14:schemeClr w14:val="tx1"/>
            </w14:solidFill>
          </w14:textFill>
        </w:rPr>
        <w:t>三级</w:t>
      </w:r>
      <w:r>
        <w:rPr>
          <w:rFonts w:ascii="Times New Roman" w:hAnsi="Times New Roman" w:cs="Times New Roman"/>
          <w:color w:val="000000" w:themeColor="text1"/>
          <w:sz w:val="24"/>
          <w:szCs w:val="24"/>
          <w14:textFill>
            <w14:solidFill>
              <w14:schemeClr w14:val="tx1"/>
            </w14:solidFill>
          </w14:textFill>
        </w:rPr>
        <w:t>油气回收技术，一次油气回收技术将减少80%挥发到大气中的油气，二次油气回收技术将减少85%挥发到大气中的油气</w:t>
      </w:r>
      <w:r>
        <w:rPr>
          <w:rFonts w:hint="eastAsia" w:ascii="Times New Roman" w:hAnsi="Times New Roman" w:cs="Times New Roman"/>
          <w:color w:val="000000" w:themeColor="text1"/>
          <w:sz w:val="24"/>
          <w:szCs w:val="24"/>
          <w14:textFill>
            <w14:solidFill>
              <w14:schemeClr w14:val="tx1"/>
            </w14:solidFill>
          </w14:textFill>
        </w:rPr>
        <w:t>，三次油气回收技术将减少99%挥发到大气中的油气</w:t>
      </w:r>
      <w:r>
        <w:rPr>
          <w:rFonts w:ascii="Times New Roman" w:hAnsi="Times New Roman" w:cs="Times New Roman"/>
          <w:color w:val="000000" w:themeColor="text1"/>
          <w:sz w:val="24"/>
          <w:szCs w:val="24"/>
          <w14:textFill>
            <w14:solidFill>
              <w14:schemeClr w14:val="tx1"/>
            </w14:solidFill>
          </w14:textFill>
        </w:rPr>
        <w:t>，处理措施经济技术可行。</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2、项目生活污水经</w:t>
      </w:r>
      <w:r>
        <w:rPr>
          <w:rFonts w:hint="eastAsia" w:ascii="Times New Roman" w:hAnsi="Times New Roman" w:cs="Times New Roman"/>
          <w:color w:val="000000" w:themeColor="text1"/>
          <w:sz w:val="24"/>
          <w:szCs w:val="24"/>
          <w14:textFill>
            <w14:solidFill>
              <w14:schemeClr w14:val="tx1"/>
            </w14:solidFill>
          </w14:textFill>
        </w:rPr>
        <w:t>油水隔离措施处理后直接排入附近沟渠，废水排放浓度不达标，能够满足《农田灌溉水质标准》（GB5084-2005）中水作标准相关要求，项目需要引进一套污水处理设施处理项目营运期产生的废水</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3、项目所产生的生活垃圾由环卫部门集中清运，做到无害化处理；废油及油渣委托有危险废物处置资质的单位处置。固废做到了无害化综合处理，对周围环境影响没有影响。</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4、项目的噪声源治理采用基础减振、建筑物隔音、集中布置、绿化吸声等措施，这些降噪措施在技术上是成熟的，在经济上是合理的。</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由此可见，在各项环保措施落实的情况下，项目外排污染物能够达到相应标准的要求，对周围环境影响很小。</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236" w:name="_Toc700"/>
      <w:r>
        <w:rPr>
          <w:rFonts w:ascii="Times New Roman" w:hAnsi="Times New Roman" w:cs="Times New Roman"/>
          <w:b/>
          <w:bCs/>
          <w:color w:val="000000" w:themeColor="text1"/>
          <w:kern w:val="44"/>
          <w:sz w:val="24"/>
          <w:szCs w:val="24"/>
          <w14:textFill>
            <w14:solidFill>
              <w14:schemeClr w14:val="tx1"/>
            </w14:solidFill>
          </w14:textFill>
        </w:rPr>
        <w:t xml:space="preserve">2.6 </w:t>
      </w:r>
      <w:r>
        <w:rPr>
          <w:rFonts w:hint="eastAsia" w:ascii="Times New Roman" w:hAnsi="Times New Roman" w:cs="Times New Roman"/>
          <w:b/>
          <w:bCs/>
          <w:color w:val="000000" w:themeColor="text1"/>
          <w:kern w:val="44"/>
          <w:sz w:val="24"/>
          <w:szCs w:val="24"/>
          <w14:textFill>
            <w14:solidFill>
              <w14:schemeClr w14:val="tx1"/>
            </w14:solidFill>
          </w14:textFill>
        </w:rPr>
        <w:t>项目水平衡</w:t>
      </w:r>
      <w:bookmarkEnd w:id="236"/>
    </w:p>
    <w:p>
      <w:pPr>
        <w:jc w:val="center"/>
      </w:pPr>
      <w:r>
        <w:drawing>
          <wp:inline distT="0" distB="0" distL="0" distR="0">
            <wp:extent cx="4395470" cy="215963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4395992" cy="2160000"/>
                    </a:xfrm>
                    <a:prstGeom prst="rect">
                      <a:avLst/>
                    </a:prstGeom>
                  </pic:spPr>
                </pic:pic>
              </a:graphicData>
            </a:graphic>
          </wp:inline>
        </w:drawing>
      </w:r>
    </w:p>
    <w:bookmarkEnd w:id="227"/>
    <w:bookmarkEnd w:id="228"/>
    <w:bookmarkEnd w:id="229"/>
    <w:bookmarkEnd w:id="230"/>
    <w:bookmarkEnd w:id="231"/>
    <w:bookmarkEnd w:id="232"/>
    <w:bookmarkEnd w:id="233"/>
    <w:bookmarkEnd w:id="234"/>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237" w:name="_Toc11135_WPSOffice_Level2"/>
      <w:bookmarkStart w:id="238" w:name="_Toc31869_WPSOffice_Level2"/>
      <w:bookmarkStart w:id="239" w:name="_Toc22307_WPSOffice_Level2"/>
      <w:bookmarkStart w:id="240" w:name="_Toc31265"/>
      <w:bookmarkStart w:id="241" w:name="_Toc31825_WPSOffice_Level2"/>
      <w:bookmarkStart w:id="242" w:name="_Toc30592_WPSOffice_Level2"/>
      <w:bookmarkStart w:id="243" w:name="_Toc20526"/>
      <w:r>
        <w:rPr>
          <w:rFonts w:ascii="Times New Roman" w:hAnsi="Times New Roman" w:cs="Times New Roman"/>
          <w:b/>
          <w:bCs/>
          <w:color w:val="000000" w:themeColor="text1"/>
          <w:kern w:val="44"/>
          <w:sz w:val="24"/>
          <w:szCs w:val="24"/>
          <w14:textFill>
            <w14:solidFill>
              <w14:schemeClr w14:val="tx1"/>
            </w14:solidFill>
          </w14:textFill>
        </w:rPr>
        <w:t>2.7 环境管理</w:t>
      </w:r>
      <w:bookmarkEnd w:id="235"/>
      <w:bookmarkEnd w:id="237"/>
      <w:bookmarkEnd w:id="238"/>
      <w:bookmarkEnd w:id="239"/>
      <w:bookmarkEnd w:id="240"/>
      <w:bookmarkEnd w:id="241"/>
      <w:bookmarkEnd w:id="242"/>
      <w:bookmarkEnd w:id="243"/>
      <w:r>
        <w:rPr>
          <w:rFonts w:ascii="Times New Roman" w:hAnsi="Times New Roman" w:cs="Times New Roman"/>
          <w:b/>
          <w:bCs/>
          <w:color w:val="000000" w:themeColor="text1"/>
          <w:kern w:val="44"/>
          <w:sz w:val="24"/>
          <w:szCs w:val="24"/>
          <w14:textFill>
            <w14:solidFill>
              <w14:schemeClr w14:val="tx1"/>
            </w14:solidFill>
          </w14:textFill>
        </w:rPr>
        <w:tab/>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环境管理是一项经常性的重要工作。环境管理的目的是为了使项目在整个运营期都严格遵守国家和地方的有关环境保护法律法规，监督和检查项目运营过程中环保措施的落实。环境管理机构职责是通过强化环境管理，使项目的运营取得明显的经济效益和环境效益。为了保证环境管理正常有效的进行，加油站必须设置管理机构，建立健全的管理制度及管理办法。环保管理人员职责：</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（1）督促项目环保治理措施、管理措施的实施；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（2）督促检查项目环保设施的建设及运行情况，并提出改善环境的建议及对策；</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（3）在加油站主要岗位设置环保应急卡，具体格式见附件九；</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（4）定期向各级主管部门汇报项目的环保工作情况。</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目前，加油站已进行改造，增设油气回收装置。</w:t>
      </w:r>
    </w:p>
    <w:p>
      <w:pPr>
        <w:widowControl/>
        <w:jc w:val="lef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244" w:name="_Toc7910_WPSOffice_Level1"/>
      <w:bookmarkStart w:id="245" w:name="_Toc15669_WPSOffice_Level1"/>
      <w:bookmarkStart w:id="246" w:name="_Toc7504_WPSOffice_Level1"/>
      <w:bookmarkStart w:id="247" w:name="_Toc30980_WPSOffice_Level1"/>
      <w:bookmarkStart w:id="248" w:name="_Toc1713_WPSOffice_Level1"/>
      <w:bookmarkStart w:id="249" w:name="_Toc17161"/>
      <w:bookmarkStart w:id="250" w:name="_Toc532817024"/>
      <w:bookmarkStart w:id="251" w:name="_Toc10839"/>
      <w:r>
        <w:rPr>
          <w:rFonts w:ascii="Times New Roman" w:hAnsi="Times New Roman" w:cs="Times New Roman"/>
          <w:b/>
          <w:bCs/>
          <w:color w:val="000000" w:themeColor="text1"/>
          <w:kern w:val="44"/>
          <w:sz w:val="30"/>
          <w:szCs w:val="30"/>
          <w14:textFill>
            <w14:solidFill>
              <w14:schemeClr w14:val="tx1"/>
            </w14:solidFill>
          </w14:textFill>
        </w:rPr>
        <w:t>3.环境风险源及环境风险评价</w:t>
      </w:r>
      <w:bookmarkEnd w:id="244"/>
      <w:bookmarkEnd w:id="245"/>
      <w:bookmarkEnd w:id="246"/>
      <w:bookmarkEnd w:id="247"/>
      <w:bookmarkEnd w:id="248"/>
      <w:bookmarkEnd w:id="249"/>
      <w:bookmarkEnd w:id="250"/>
      <w:bookmarkEnd w:id="251"/>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252" w:name="_Toc2157_WPSOffice_Level2"/>
      <w:bookmarkStart w:id="253" w:name="_Toc4736_WPSOffice_Level2"/>
      <w:bookmarkStart w:id="254" w:name="_Toc10454"/>
      <w:bookmarkStart w:id="255" w:name="_Toc19654"/>
      <w:bookmarkStart w:id="256" w:name="_Toc532817025"/>
      <w:bookmarkStart w:id="257" w:name="_Toc17407_WPSOffice_Level2"/>
      <w:bookmarkStart w:id="258" w:name="_Toc17534_WPSOffice_Level2"/>
      <w:bookmarkStart w:id="259" w:name="_Toc1713_WPSOffice_Level2"/>
      <w:bookmarkStart w:id="260" w:name="_Toc10892"/>
      <w:r>
        <w:rPr>
          <w:rFonts w:ascii="Times New Roman" w:hAnsi="Times New Roman" w:cs="Times New Roman"/>
          <w:b/>
          <w:bCs/>
          <w:color w:val="000000" w:themeColor="text1"/>
          <w:kern w:val="44"/>
          <w:sz w:val="24"/>
          <w:szCs w:val="24"/>
          <w14:textFill>
            <w14:solidFill>
              <w14:schemeClr w14:val="tx1"/>
            </w14:solidFill>
          </w14:textFill>
        </w:rPr>
        <w:t>3.1环境风险源识别</w:t>
      </w:r>
      <w:bookmarkEnd w:id="252"/>
      <w:bookmarkEnd w:id="253"/>
      <w:bookmarkEnd w:id="254"/>
      <w:bookmarkEnd w:id="255"/>
      <w:bookmarkEnd w:id="256"/>
      <w:bookmarkEnd w:id="257"/>
      <w:bookmarkEnd w:id="258"/>
      <w:bookmarkEnd w:id="259"/>
      <w:bookmarkEnd w:id="260"/>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61" w:name="_Toc532817026"/>
      <w:bookmarkStart w:id="262" w:name="_Toc16098_WPSOffice_Level3"/>
      <w:bookmarkStart w:id="263" w:name="_Toc1713_WPSOffice_Level3"/>
      <w:bookmarkStart w:id="264" w:name="_Toc23861_WPSOffice_Level3"/>
      <w:bookmarkStart w:id="265" w:name="_Toc16354"/>
      <w:bookmarkStart w:id="266" w:name="_Toc4583_WPSOffice_Level3"/>
      <w:bookmarkStart w:id="267" w:name="_Toc17283_WPSOffice_Level3"/>
      <w:bookmarkStart w:id="268" w:name="_Toc15181"/>
      <w:r>
        <w:rPr>
          <w:rFonts w:ascii="Times New Roman" w:hAnsi="Times New Roman" w:cs="Times New Roman"/>
          <w:b/>
          <w:bCs/>
          <w:color w:val="000000" w:themeColor="text1"/>
          <w:kern w:val="44"/>
          <w:sz w:val="24"/>
          <w:szCs w:val="24"/>
          <w14:textFill>
            <w14:solidFill>
              <w14:schemeClr w14:val="tx1"/>
            </w14:solidFill>
          </w14:textFill>
        </w:rPr>
        <w:t>3.1.1环境风险定义</w:t>
      </w:r>
      <w:bookmarkEnd w:id="261"/>
      <w:bookmarkEnd w:id="262"/>
      <w:bookmarkEnd w:id="263"/>
      <w:bookmarkEnd w:id="264"/>
      <w:bookmarkEnd w:id="265"/>
      <w:bookmarkEnd w:id="266"/>
      <w:bookmarkEnd w:id="267"/>
      <w:bookmarkEnd w:id="268"/>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的环境风险是指油品在运输、贮存和使用过程中，油品在失控情况下发生的突发事故对环境（或健康）的危害程度。这类事故发生的概率大小及事故造成的环境（或健康）后果影响程度与物料的性质、物料的泄漏量、工艺流程、管理以及防范补救措施等多种因素有关，较难用数字准确表示。但事故一旦发生，将对周围生态环境及人体健康造成比较严重的影响。</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69" w:name="_Toc18826_WPSOffice_Level3"/>
      <w:bookmarkStart w:id="270" w:name="_Toc7088_WPSOffice_Level3"/>
      <w:bookmarkStart w:id="271" w:name="_Toc7403_WPSOffice_Level3"/>
      <w:bookmarkStart w:id="272" w:name="_Toc532817027"/>
      <w:bookmarkStart w:id="273" w:name="_Toc15488"/>
      <w:bookmarkStart w:id="274" w:name="_Toc32434_WPSOffice_Level3"/>
      <w:bookmarkStart w:id="275" w:name="_Toc3286_WPSOffice_Level3"/>
      <w:bookmarkStart w:id="276" w:name="_Toc23712"/>
      <w:r>
        <w:rPr>
          <w:rFonts w:ascii="Times New Roman" w:hAnsi="Times New Roman" w:cs="Times New Roman"/>
          <w:b/>
          <w:bCs/>
          <w:color w:val="000000" w:themeColor="text1"/>
          <w:kern w:val="44"/>
          <w:sz w:val="24"/>
          <w:szCs w:val="24"/>
          <w14:textFill>
            <w14:solidFill>
              <w14:schemeClr w14:val="tx1"/>
            </w14:solidFill>
          </w14:textFill>
        </w:rPr>
        <w:t>3.1.2环境风险物质</w:t>
      </w:r>
      <w:bookmarkEnd w:id="269"/>
      <w:bookmarkEnd w:id="270"/>
      <w:bookmarkEnd w:id="271"/>
      <w:bookmarkEnd w:id="272"/>
      <w:bookmarkEnd w:id="273"/>
      <w:bookmarkEnd w:id="274"/>
      <w:bookmarkEnd w:id="275"/>
      <w:bookmarkEnd w:id="276"/>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（1）危险化学品情况</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本项目加油站主要经营：车用燃油（汽油、柴油），罐区设置5个储罐30m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的汽油、柴油储罐，总储油量为120m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。配设6台4枪单油品加油机，均采用潜油泵供油。</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（2）危险源识别</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fldChar w:fldCharType="begin"/>
      </w:r>
      <w:r>
        <w:rPr>
          <w:rFonts w:ascii="Times New Roman" w:hAnsi="Times New Roman" w:cs="Times New Roman"/>
          <w:b/>
          <w:bCs/>
          <w:color w:val="000000" w:themeColor="text1"/>
          <w:sz w:val="24"/>
          <w:szCs w:val="24"/>
          <w14:textFill>
            <w14:solidFill>
              <w14:schemeClr w14:val="tx1"/>
            </w14:solidFill>
          </w14:textFill>
        </w:rPr>
        <w:instrText xml:space="preserve"> = 1 \* GB3 </w:instrText>
      </w:r>
      <w:r>
        <w:rPr>
          <w:rFonts w:ascii="Times New Roman" w:hAnsi="Times New Roman" w:cs="Times New Roman"/>
          <w:b/>
          <w:bCs/>
          <w:color w:val="000000" w:themeColor="text1"/>
          <w:sz w:val="24"/>
          <w:szCs w:val="24"/>
          <w14:textFill>
            <w14:solidFill>
              <w14:schemeClr w14:val="tx1"/>
            </w14:solidFill>
          </w14:textFill>
        </w:rPr>
        <w:fldChar w:fldCharType="separate"/>
      </w:r>
      <w:r>
        <w:rPr>
          <w:rFonts w:hint="eastAsia" w:ascii="宋体" w:hAnsi="宋体" w:eastAsia="宋体" w:cs="宋体"/>
          <w:b/>
          <w:bCs/>
          <w:color w:val="000000" w:themeColor="text1"/>
          <w:sz w:val="24"/>
          <w:szCs w:val="24"/>
          <w14:textFill>
            <w14:solidFill>
              <w14:schemeClr w14:val="tx1"/>
            </w14:solidFill>
          </w14:textFill>
        </w:rPr>
        <w:t>①</w:t>
      </w:r>
      <w:r>
        <w:rPr>
          <w:rFonts w:ascii="Times New Roman" w:hAnsi="Times New Roman" w:cs="Times New Roman"/>
          <w:b/>
          <w:bCs/>
          <w:color w:val="000000" w:themeColor="text1"/>
          <w:sz w:val="24"/>
          <w:szCs w:val="24"/>
          <w14:textFill>
            <w14:solidFill>
              <w14:schemeClr w14:val="tx1"/>
            </w14:solidFill>
          </w14:textFill>
        </w:rPr>
        <w:fldChar w:fldCharType="end"/>
      </w:r>
      <w:r>
        <w:rPr>
          <w:rFonts w:ascii="Times New Roman" w:hAnsi="Times New Roman" w:cs="Times New Roman"/>
          <w:b/>
          <w:bCs/>
          <w:color w:val="000000" w:themeColor="text1"/>
          <w:sz w:val="24"/>
          <w:szCs w:val="24"/>
          <w14:textFill>
            <w14:solidFill>
              <w14:schemeClr w14:val="tx1"/>
            </w14:solidFill>
          </w14:textFill>
        </w:rPr>
        <w:t>物质危险性识别</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本项目生产过程中的主要物料、中间产品、最终产品等按物质危险性、毒理指标和毒性等级分析，并考虑其燃烧爆炸性，建设项目主要的危险物质识别见表3-1。</w:t>
      </w:r>
    </w:p>
    <w:p>
      <w:pPr>
        <w:spacing w:line="500" w:lineRule="exact"/>
        <w:ind w:firstLine="422" w:firstLineChars="200"/>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表3-1   物质危险性标准</w:t>
      </w:r>
    </w:p>
    <w:tbl>
      <w:tblPr>
        <w:tblStyle w:val="16"/>
        <w:tblW w:w="8522"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7"/>
        <w:gridCol w:w="845"/>
        <w:gridCol w:w="2241"/>
        <w:gridCol w:w="2185"/>
        <w:gridCol w:w="24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2" w:hRule="atLeast"/>
          <w:jc w:val="center"/>
        </w:trPr>
        <w:tc>
          <w:tcPr>
            <w:tcW w:w="827" w:type="dxa"/>
            <w:vAlign w:val="center"/>
          </w:tcPr>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物质</w:t>
            </w:r>
          </w:p>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类别</w:t>
            </w:r>
          </w:p>
        </w:tc>
        <w:tc>
          <w:tcPr>
            <w:tcW w:w="845" w:type="dxa"/>
            <w:vAlign w:val="center"/>
          </w:tcPr>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等级</w:t>
            </w:r>
          </w:p>
        </w:tc>
        <w:tc>
          <w:tcPr>
            <w:tcW w:w="2241" w:type="dxa"/>
            <w:vAlign w:val="center"/>
          </w:tcPr>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LD</w:t>
            </w:r>
            <w:r>
              <w:rPr>
                <w:rFonts w:ascii="Times New Roman" w:hAnsi="Times New Roman" w:cs="Times New Roman"/>
                <w:b/>
                <w:bCs/>
                <w:color w:val="000000" w:themeColor="text1"/>
                <w:szCs w:val="21"/>
                <w:vertAlign w:val="subscript"/>
                <w14:textFill>
                  <w14:solidFill>
                    <w14:schemeClr w14:val="tx1"/>
                  </w14:solidFill>
                </w14:textFill>
              </w:rPr>
              <w:t>50</w:t>
            </w:r>
            <w:r>
              <w:rPr>
                <w:rFonts w:ascii="Times New Roman" w:hAnsi="Times New Roman" w:cs="Times New Roman"/>
                <w:b/>
                <w:bCs/>
                <w:color w:val="000000" w:themeColor="text1"/>
                <w:szCs w:val="21"/>
                <w14:textFill>
                  <w14:solidFill>
                    <w14:schemeClr w14:val="tx1"/>
                  </w14:solidFill>
                </w14:textFill>
              </w:rPr>
              <w:t xml:space="preserve"> (大鼠经口) mg/kg</w:t>
            </w:r>
          </w:p>
        </w:tc>
        <w:tc>
          <w:tcPr>
            <w:tcW w:w="2185" w:type="dxa"/>
            <w:vAlign w:val="center"/>
          </w:tcPr>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LD</w:t>
            </w:r>
            <w:r>
              <w:rPr>
                <w:rFonts w:ascii="Times New Roman" w:hAnsi="Times New Roman" w:cs="Times New Roman"/>
                <w:b/>
                <w:bCs/>
                <w:color w:val="000000" w:themeColor="text1"/>
                <w:szCs w:val="21"/>
                <w:vertAlign w:val="subscript"/>
                <w14:textFill>
                  <w14:solidFill>
                    <w14:schemeClr w14:val="tx1"/>
                  </w14:solidFill>
                </w14:textFill>
              </w:rPr>
              <w:t>50</w:t>
            </w:r>
            <w:r>
              <w:rPr>
                <w:rFonts w:ascii="Times New Roman" w:hAnsi="Times New Roman" w:cs="Times New Roman"/>
                <w:b/>
                <w:bCs/>
                <w:color w:val="000000" w:themeColor="text1"/>
                <w:szCs w:val="21"/>
                <w14:textFill>
                  <w14:solidFill>
                    <w14:schemeClr w14:val="tx1"/>
                  </w14:solidFill>
                </w14:textFill>
              </w:rPr>
              <w:t xml:space="preserve"> (大鼠经皮)mg/kg</w:t>
            </w:r>
          </w:p>
        </w:tc>
        <w:tc>
          <w:tcPr>
            <w:tcW w:w="2424" w:type="dxa"/>
            <w:vAlign w:val="center"/>
          </w:tcPr>
          <w:p>
            <w:pPr>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LC</w:t>
            </w:r>
            <w:r>
              <w:rPr>
                <w:rFonts w:ascii="Times New Roman" w:hAnsi="Times New Roman" w:cs="Times New Roman"/>
                <w:b/>
                <w:bCs/>
                <w:color w:val="000000" w:themeColor="text1"/>
                <w:szCs w:val="21"/>
                <w:vertAlign w:val="subscript"/>
                <w14:textFill>
                  <w14:solidFill>
                    <w14:schemeClr w14:val="tx1"/>
                  </w14:solidFill>
                </w14:textFill>
              </w:rPr>
              <w:t>50</w:t>
            </w:r>
            <w:r>
              <w:rPr>
                <w:rFonts w:ascii="Times New Roman" w:hAnsi="Times New Roman" w:cs="Times New Roman"/>
                <w:b/>
                <w:bCs/>
                <w:color w:val="000000" w:themeColor="text1"/>
                <w:szCs w:val="21"/>
                <w14:textFill>
                  <w14:solidFill>
                    <w14:schemeClr w14:val="tx1"/>
                  </w14:solidFill>
                </w14:textFill>
              </w:rPr>
              <w:t>（小鼠吸入，4小时）mg/L</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27" w:type="dxa"/>
            <w:vMerge w:val="restart"/>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有</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毒</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物</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质</w:t>
            </w: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p>
        </w:tc>
        <w:tc>
          <w:tcPr>
            <w:tcW w:w="2241"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&lt;5</w:t>
            </w:r>
          </w:p>
        </w:tc>
        <w:tc>
          <w:tcPr>
            <w:tcW w:w="218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&lt;1</w:t>
            </w:r>
          </w:p>
        </w:tc>
        <w:tc>
          <w:tcPr>
            <w:tcW w:w="242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&lt;0.01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jc w:val="center"/>
              <w:rPr>
                <w:rFonts w:ascii="Times New Roman" w:hAnsi="Times New Roman" w:cs="Times New Roman"/>
                <w:color w:val="000000" w:themeColor="text1"/>
                <w:szCs w:val="21"/>
                <w14:textFill>
                  <w14:solidFill>
                    <w14:schemeClr w14:val="tx1"/>
                  </w14:solidFill>
                </w14:textFill>
              </w:rPr>
            </w:pP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2</w:t>
            </w:r>
          </w:p>
        </w:tc>
        <w:tc>
          <w:tcPr>
            <w:tcW w:w="2241"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5&lt;LD</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&lt;25</w:t>
            </w:r>
          </w:p>
        </w:tc>
        <w:tc>
          <w:tcPr>
            <w:tcW w:w="218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10&lt;LD</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&lt;50</w:t>
            </w:r>
          </w:p>
        </w:tc>
        <w:tc>
          <w:tcPr>
            <w:tcW w:w="242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0．1&lt;LC</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&lt;0.5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827" w:type="dxa"/>
            <w:vMerge w:val="continue"/>
            <w:vAlign w:val="center"/>
          </w:tcPr>
          <w:p>
            <w:pPr>
              <w:jc w:val="center"/>
              <w:rPr>
                <w:rFonts w:ascii="Times New Roman" w:hAnsi="Times New Roman" w:cs="Times New Roman"/>
                <w:color w:val="000000" w:themeColor="text1"/>
                <w:szCs w:val="21"/>
                <w14:textFill>
                  <w14:solidFill>
                    <w14:schemeClr w14:val="tx1"/>
                  </w14:solidFill>
                </w14:textFill>
              </w:rPr>
            </w:pP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3</w:t>
            </w:r>
          </w:p>
        </w:tc>
        <w:tc>
          <w:tcPr>
            <w:tcW w:w="2241"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25&lt;LD</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&lt;200</w:t>
            </w:r>
          </w:p>
        </w:tc>
        <w:tc>
          <w:tcPr>
            <w:tcW w:w="218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50&lt;LD</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&lt;400</w:t>
            </w:r>
          </w:p>
        </w:tc>
        <w:tc>
          <w:tcPr>
            <w:tcW w:w="242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0．5&lt;LC</w:t>
            </w:r>
            <w:r>
              <w:rPr>
                <w:rFonts w:ascii="Times New Roman" w:hAnsi="Times New Roman" w:cs="Times New Roman"/>
                <w:color w:val="000000" w:themeColor="text1"/>
                <w:szCs w:val="21"/>
                <w:vertAlign w:val="subscript"/>
                <w14:textFill>
                  <w14:solidFill>
                    <w14:schemeClr w14:val="tx1"/>
                  </w14:solidFill>
                </w14:textFill>
              </w:rPr>
              <w:t>50</w:t>
            </w:r>
            <w:r>
              <w:rPr>
                <w:rFonts w:ascii="Times New Roman" w:hAnsi="Times New Roman" w:cs="Times New Roman"/>
                <w:color w:val="000000" w:themeColor="text1"/>
                <w:szCs w:val="21"/>
                <w14:textFill>
                  <w14:solidFill>
                    <w14:schemeClr w14:val="tx1"/>
                  </w14:solidFill>
                </w14:textFill>
              </w:rPr>
              <w:t>&lt;2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827" w:type="dxa"/>
            <w:vMerge w:val="restart"/>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易</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燃</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物</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质</w:t>
            </w: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p>
        </w:tc>
        <w:tc>
          <w:tcPr>
            <w:tcW w:w="6850" w:type="dxa"/>
            <w:gridSpan w:val="3"/>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可燃气体，在常压下以气态存在并与空气混合形成可燃混合物；其沸点（常压下）是20</w:t>
            </w:r>
            <w:r>
              <w:rPr>
                <w:rFonts w:hint="eastAsia" w:ascii="宋体" w:hAnsi="宋体" w:eastAsia="宋体" w:cs="宋体"/>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或20</w:t>
            </w:r>
            <w:r>
              <w:rPr>
                <w:rFonts w:hint="eastAsia" w:ascii="宋体" w:hAnsi="宋体" w:eastAsia="宋体" w:cs="宋体"/>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以下的物质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06" w:hRule="atLeast"/>
          <w:jc w:val="center"/>
        </w:trPr>
        <w:tc>
          <w:tcPr>
            <w:tcW w:w="827" w:type="dxa"/>
            <w:vMerge w:val="continue"/>
            <w:vAlign w:val="center"/>
          </w:tcPr>
          <w:p>
            <w:pPr>
              <w:jc w:val="center"/>
              <w:rPr>
                <w:rFonts w:ascii="Times New Roman" w:hAnsi="Times New Roman" w:cs="Times New Roman"/>
                <w:color w:val="000000" w:themeColor="text1"/>
                <w:szCs w:val="21"/>
                <w14:textFill>
                  <w14:solidFill>
                    <w14:schemeClr w14:val="tx1"/>
                  </w14:solidFill>
                </w14:textFill>
              </w:rPr>
            </w:pP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2</w:t>
            </w:r>
          </w:p>
        </w:tc>
        <w:tc>
          <w:tcPr>
            <w:tcW w:w="6850" w:type="dxa"/>
            <w:gridSpan w:val="3"/>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易燃液体，闪点低于21</w:t>
            </w:r>
            <w:r>
              <w:rPr>
                <w:rFonts w:hint="eastAsia" w:ascii="宋体" w:hAnsi="宋体" w:eastAsia="宋体" w:cs="宋体"/>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，沸点高于20</w:t>
            </w:r>
            <w:r>
              <w:rPr>
                <w:rFonts w:hint="eastAsia" w:ascii="宋体" w:hAnsi="宋体" w:eastAsia="宋体" w:cs="宋体"/>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jc w:val="center"/>
              <w:rPr>
                <w:rFonts w:ascii="Times New Roman" w:hAnsi="Times New Roman" w:cs="Times New Roman"/>
                <w:color w:val="000000" w:themeColor="text1"/>
                <w:szCs w:val="21"/>
                <w14:textFill>
                  <w14:solidFill>
                    <w14:schemeClr w14:val="tx1"/>
                  </w14:solidFill>
                </w14:textFill>
              </w:rPr>
            </w:pPr>
          </w:p>
        </w:tc>
        <w:tc>
          <w:tcPr>
            <w:tcW w:w="845"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3</w:t>
            </w:r>
          </w:p>
        </w:tc>
        <w:tc>
          <w:tcPr>
            <w:tcW w:w="6850" w:type="dxa"/>
            <w:gridSpan w:val="3"/>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可燃液体，闪点低于55</w:t>
            </w:r>
            <w:r>
              <w:rPr>
                <w:rFonts w:hint="eastAsia" w:ascii="宋体" w:hAnsi="宋体" w:eastAsia="宋体" w:cs="宋体"/>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，一定压力下保持液态，在实际操作条件下（如高温高压）可以引起重大事故的物质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4" w:hRule="atLeast"/>
          <w:jc w:val="center"/>
        </w:trPr>
        <w:tc>
          <w:tcPr>
            <w:tcW w:w="1672" w:type="dxa"/>
            <w:gridSpan w:val="2"/>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爆炸性物质</w:t>
            </w:r>
          </w:p>
        </w:tc>
        <w:tc>
          <w:tcPr>
            <w:tcW w:w="6850" w:type="dxa"/>
            <w:gridSpan w:val="3"/>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在火焰影响下可以爆炸，或者对冲击、摩擦比硝基苯更为敏感的物质</w:t>
            </w:r>
          </w:p>
        </w:tc>
      </w:tr>
    </w:tbl>
    <w:p>
      <w:pPr>
        <w:ind w:firstLine="422" w:firstLineChars="200"/>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注：（1）有毒物质判定标准序号为1、2的物质，属于剧毒物质；符合有毒物质判定标准序号3的属于一般毒物。</w:t>
      </w:r>
    </w:p>
    <w:p>
      <w:pPr>
        <w:ind w:firstLine="422" w:firstLineChars="200"/>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 xml:space="preserve">    （2）凡符合表中易燃物质和爆炸性物质标准的物质，均视为火灾、爆炸危险物质。</w:t>
      </w:r>
    </w:p>
    <w:p>
      <w:pPr>
        <w:spacing w:line="500" w:lineRule="exact"/>
        <w:ind w:firstLine="422" w:firstLineChars="200"/>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表3-2  汽油的理化性质和危险特性</w:t>
      </w:r>
    </w:p>
    <w:tbl>
      <w:tblPr>
        <w:tblStyle w:val="16"/>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1"/>
        <w:gridCol w:w="1148"/>
        <w:gridCol w:w="1194"/>
        <w:gridCol w:w="1192"/>
        <w:gridCol w:w="906"/>
        <w:gridCol w:w="882"/>
        <w:gridCol w:w="1261"/>
        <w:gridCol w:w="15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中文名称</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汽油</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英文</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gasoline；petrol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外观与</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气味</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无色或淡黄色易挥发液体，有特殊臭味</w:t>
            </w:r>
          </w:p>
        </w:tc>
        <w:tc>
          <w:tcPr>
            <w:tcW w:w="906" w:type="dxa"/>
            <w:vAlign w:val="center"/>
          </w:tcPr>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侵入</w:t>
            </w:r>
          </w:p>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途径</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熔点(</w:t>
            </w:r>
            <w:r>
              <w:rPr>
                <w:rFonts w:hint="eastAsia" w:ascii="宋体" w:hAnsi="宋体" w:eastAsia="宋体" w:cs="宋体"/>
                <w:szCs w:val="21"/>
              </w:rPr>
              <w:t>℃</w:t>
            </w:r>
            <w:r>
              <w:rPr>
                <w:rFonts w:ascii="Times New Roman" w:hAnsi="Times New Roman" w:eastAsia="宋体" w:cs="Times New Roman"/>
                <w:szCs w:val="21"/>
              </w:rPr>
              <w:t>)</w:t>
            </w: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&lt;-60</w:t>
            </w:r>
          </w:p>
        </w:tc>
        <w:tc>
          <w:tcPr>
            <w:tcW w:w="1194"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沸点(</w:t>
            </w:r>
            <w:r>
              <w:rPr>
                <w:rFonts w:hint="eastAsia" w:ascii="宋体" w:hAnsi="宋体" w:eastAsia="宋体" w:cs="宋体"/>
                <w:szCs w:val="21"/>
              </w:rPr>
              <w:t>℃</w:t>
            </w:r>
            <w:r>
              <w:rPr>
                <w:rFonts w:ascii="Times New Roman" w:hAnsi="Times New Roman" w:eastAsia="宋体" w:cs="Times New Roman"/>
                <w:szCs w:val="21"/>
              </w:rPr>
              <w:t>)</w:t>
            </w:r>
          </w:p>
        </w:tc>
        <w:tc>
          <w:tcPr>
            <w:tcW w:w="119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bCs/>
                <w:kern w:val="0"/>
                <w:szCs w:val="21"/>
              </w:rPr>
              <w:t>40-200</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闪点(</w:t>
            </w:r>
            <w:r>
              <w:rPr>
                <w:rFonts w:hint="eastAsia" w:ascii="宋体" w:hAnsi="宋体" w:eastAsia="宋体" w:cs="宋体"/>
                <w:szCs w:val="21"/>
              </w:rPr>
              <w:t>℃</w:t>
            </w:r>
            <w:r>
              <w:rPr>
                <w:rFonts w:ascii="Times New Roman" w:hAnsi="Times New Roman" w:eastAsia="宋体" w:cs="Times New Roman"/>
                <w:szCs w:val="21"/>
              </w:rPr>
              <w:t>)</w:t>
            </w:r>
          </w:p>
        </w:tc>
        <w:tc>
          <w:tcPr>
            <w:tcW w:w="88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-50</w:t>
            </w:r>
          </w:p>
        </w:tc>
        <w:tc>
          <w:tcPr>
            <w:tcW w:w="126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引燃温度(</w:t>
            </w:r>
            <w:r>
              <w:rPr>
                <w:rFonts w:hint="eastAsia" w:ascii="宋体" w:hAnsi="宋体" w:eastAsia="宋体" w:cs="宋体"/>
                <w:szCs w:val="21"/>
              </w:rPr>
              <w:t>℃</w:t>
            </w:r>
            <w:r>
              <w:rPr>
                <w:rFonts w:ascii="Times New Roman" w:hAnsi="Times New Roman" w:eastAsia="宋体" w:cs="Times New Roman"/>
                <w:szCs w:val="21"/>
              </w:rPr>
              <w:t>)</w:t>
            </w:r>
          </w:p>
        </w:tc>
        <w:tc>
          <w:tcPr>
            <w:tcW w:w="151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415-530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相对密度</w:t>
            </w: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水=1</w:t>
            </w:r>
          </w:p>
        </w:tc>
        <w:tc>
          <w:tcPr>
            <w:tcW w:w="238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0.70-0.79</w:t>
            </w:r>
          </w:p>
        </w:tc>
        <w:tc>
          <w:tcPr>
            <w:tcW w:w="1788" w:type="dxa"/>
            <w:gridSpan w:val="2"/>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燃烧热(kJ/kg)</w:t>
            </w:r>
          </w:p>
        </w:tc>
        <w:tc>
          <w:tcPr>
            <w:tcW w:w="2773" w:type="dxa"/>
            <w:gridSpan w:val="2"/>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4.6×10</w:t>
            </w:r>
            <w:r>
              <w:rPr>
                <w:rFonts w:ascii="Times New Roman" w:hAnsi="Times New Roman" w:eastAsia="宋体" w:cs="Times New Roman"/>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continue"/>
            <w:vAlign w:val="center"/>
          </w:tcPr>
          <w:p>
            <w:pPr>
              <w:contextualSpacing/>
              <w:jc w:val="center"/>
              <w:rPr>
                <w:rFonts w:ascii="Times New Roman" w:hAnsi="Times New Roman" w:eastAsia="宋体" w:cs="Times New Roman"/>
                <w:szCs w:val="21"/>
              </w:rPr>
            </w:pP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空气=1</w:t>
            </w:r>
          </w:p>
        </w:tc>
        <w:tc>
          <w:tcPr>
            <w:tcW w:w="238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3.5</w:t>
            </w:r>
          </w:p>
        </w:tc>
        <w:tc>
          <w:tcPr>
            <w:tcW w:w="1788" w:type="dxa"/>
            <w:gridSpan w:val="2"/>
            <w:vMerge w:val="continue"/>
            <w:vAlign w:val="center"/>
          </w:tcPr>
          <w:p>
            <w:pPr>
              <w:contextualSpacing/>
              <w:jc w:val="center"/>
              <w:rPr>
                <w:rFonts w:ascii="Times New Roman" w:hAnsi="Times New Roman" w:eastAsia="宋体" w:cs="Times New Roman"/>
                <w:szCs w:val="21"/>
              </w:rPr>
            </w:pPr>
          </w:p>
        </w:tc>
        <w:tc>
          <w:tcPr>
            <w:tcW w:w="2773" w:type="dxa"/>
            <w:gridSpan w:val="2"/>
            <w:vMerge w:val="continue"/>
            <w:vAlign w:val="center"/>
          </w:tcPr>
          <w:p>
            <w:pPr>
              <w:contextualSpacing/>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1.3-6.0</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灭火剂</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工作场所空气中容许浓度(mg/m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2342"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时间加权平均容许浓度PC-TWA</w:t>
            </w:r>
          </w:p>
        </w:tc>
        <w:tc>
          <w:tcPr>
            <w:tcW w:w="119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300</w:t>
            </w:r>
          </w:p>
        </w:tc>
        <w:tc>
          <w:tcPr>
            <w:tcW w:w="178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c>
          <w:tcPr>
            <w:tcW w:w="2773"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主要用途</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主要用作汽油机的燃料，用于橡胶、制鞋、印刷、制革、颜料等行业，也可用作机械零件的去污剂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第3.1类 低闪点易燃液体</w:t>
            </w:r>
          </w:p>
        </w:tc>
        <w:tc>
          <w:tcPr>
            <w:tcW w:w="178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773"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极度易燃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禁忌物</w:t>
            </w:r>
          </w:p>
        </w:tc>
        <w:tc>
          <w:tcPr>
            <w:tcW w:w="2342"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强氧化剂</w:t>
            </w:r>
          </w:p>
        </w:tc>
        <w:tc>
          <w:tcPr>
            <w:tcW w:w="209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溶解性</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不溶于水，易溶于苯、二硫化碳、醇、脂肪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燃烧(分解)产物</w:t>
            </w:r>
          </w:p>
        </w:tc>
        <w:tc>
          <w:tcPr>
            <w:tcW w:w="2342" w:type="dxa"/>
            <w:gridSpan w:val="2"/>
            <w:vAlign w:val="center"/>
          </w:tcPr>
          <w:p>
            <w:pPr>
              <w:contextualSpacing/>
              <w:jc w:val="center"/>
              <w:rPr>
                <w:rFonts w:ascii="Times New Roman" w:hAnsi="Times New Roman" w:eastAsia="宋体" w:cs="Times New Roman"/>
                <w:spacing w:val="-4"/>
                <w:szCs w:val="21"/>
              </w:rPr>
            </w:pPr>
            <w:r>
              <w:rPr>
                <w:rFonts w:ascii="Times New Roman" w:hAnsi="Times New Roman" w:eastAsia="宋体" w:cs="Times New Roman"/>
                <w:spacing w:val="-4"/>
                <w:szCs w:val="21"/>
              </w:rPr>
              <w:t>一氧化碳、二氧化碳</w:t>
            </w:r>
          </w:p>
        </w:tc>
        <w:tc>
          <w:tcPr>
            <w:tcW w:w="209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UN编号</w:t>
            </w:r>
          </w:p>
        </w:tc>
        <w:tc>
          <w:tcPr>
            <w:tcW w:w="88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1203</w:t>
            </w:r>
          </w:p>
        </w:tc>
        <w:tc>
          <w:tcPr>
            <w:tcW w:w="126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CAS No.</w:t>
            </w:r>
          </w:p>
        </w:tc>
        <w:tc>
          <w:tcPr>
            <w:tcW w:w="151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8006-61-9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急性毒性</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LD</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67000mg/kg(小鼠经口)；LC</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103000 mg/kg，2小时(小鼠吸入)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危险特性</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其蒸汽与空气可形成爆炸性混合物。遇明火、高热极易燃烧爆炸。与氧化剂能发生强烈反应。其蒸汽比空气重，能在较低处扩散到相当远的地方，遇明火会引起回燃。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灭火方法</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健康危害</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性中毒：对中枢神经系统有麻醉作用。轻度中毒症状有头晕、头痛、恶心、呕吐、步态不稳、共济失调。高浓度吸入出现中毒性脑病。极高浓度吸入引起意识突然丧失、反射性呼吸停止。可伴有中毒性周围神经病及化学性肺炎。部分患者出现中毒性神经病。液体吸入呼吸道可引起吸入性肺炎。溅入眼内可致角膜溃疡、穿孔，甚至失明。皮肤接触致急性接触性皮炎，甚至灼伤。吞咽引起急性胃肠炎，重者出现类似急性吸入中毒症状，并可引起肝、肾损害。</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慢性中毒：神经衰弱综合症、植物神经功能紊乱、周围神经病。严重中毒出现中毒性脑病，症状类似精神分裂症。皮肤损害。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急救措施</w:t>
            </w:r>
          </w:p>
        </w:tc>
        <w:tc>
          <w:tcPr>
            <w:tcW w:w="8095"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眼睛接触：立即提起眼睑，用大量流动清水或生理盐水彻底冲洗至少15分钟，就医。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食入：给饮牛奶或用植物洗胃和灌肠，就医。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防护措施</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消防防护服。尽可能切断泄漏源，防止进入下水道、排洪沟等限制性空间。小量泄漏：用砂土、蛭石或其他惰性材料吸收，或在保证安全情况下，就地焚烧。大量泄漏：构筑围堤或挖坑收容；用泡沫覆盖，降低蒸汽灾害。用防爆泵转移至槽车或专用收集器内，回收或运至废物处理场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bCs/>
                <w:kern w:val="0"/>
                <w:szCs w:val="21"/>
              </w:rPr>
              <w:t>储存于阴凉、通风仓库内。仓内温度不宜超过30</w:t>
            </w:r>
            <w:r>
              <w:rPr>
                <w:rFonts w:hint="eastAsia" w:ascii="宋体" w:hAnsi="宋体" w:eastAsia="宋体" w:cs="宋体"/>
                <w:bCs/>
                <w:kern w:val="0"/>
                <w:szCs w:val="21"/>
              </w:rPr>
              <w:t>℃</w:t>
            </w:r>
            <w:r>
              <w:rPr>
                <w:rFonts w:ascii="Times New Roman" w:hAnsi="Times New Roman" w:eastAsia="宋体" w:cs="Times New Roman"/>
                <w:bCs/>
                <w:kern w:val="0"/>
                <w:szCs w:val="21"/>
              </w:rPr>
              <w:t>。远离火种、热源，防止阳光直射。保持容器密封。应与氧化剂分开存放。储存间内的照明、通风等设施应采用防爆型，开关设于仓外。桶装堆垛不可过大，应留墙距、顶距、柱距及必要的防火检查走道。罐储时要有防火防爆技术措施。禁止使用易产生火花的机械设备和工具。灌装时应注意流速(不超过3m/s)，且有接地装置，防止静电积聚。搬运时要轻装轻卸，防止包装及容器损坏。</w:t>
            </w:r>
          </w:p>
        </w:tc>
      </w:tr>
    </w:tbl>
    <w:p>
      <w:pPr>
        <w:spacing w:line="500" w:lineRule="exact"/>
        <w:ind w:firstLine="422" w:firstLineChars="200"/>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表3-3  柴油的理化性质和危险特性</w:t>
      </w:r>
    </w:p>
    <w:tbl>
      <w:tblPr>
        <w:tblStyle w:val="16"/>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0"/>
        <w:gridCol w:w="869"/>
        <w:gridCol w:w="1135"/>
        <w:gridCol w:w="1619"/>
        <w:gridCol w:w="1432"/>
        <w:gridCol w:w="715"/>
        <w:gridCol w:w="1417"/>
        <w:gridCol w:w="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中文名称</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柴油</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英文名称</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diesel oil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外观与气味</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稍有粘性的棕色液体</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侵入途径</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熔点(</w:t>
            </w:r>
            <w:r>
              <w:rPr>
                <w:rFonts w:hint="eastAsia" w:ascii="宋体" w:hAnsi="宋体" w:eastAsia="宋体" w:cs="宋体"/>
                <w:szCs w:val="21"/>
              </w:rPr>
              <w:t>℃</w:t>
            </w:r>
            <w:r>
              <w:rPr>
                <w:rFonts w:ascii="Times New Roman" w:hAnsi="Times New Roman" w:eastAsia="宋体" w:cs="Times New Roman"/>
                <w:szCs w:val="21"/>
              </w:rPr>
              <w:t>)</w:t>
            </w:r>
          </w:p>
        </w:tc>
        <w:tc>
          <w:tcPr>
            <w:tcW w:w="86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-18</w:t>
            </w:r>
          </w:p>
        </w:tc>
        <w:tc>
          <w:tcPr>
            <w:tcW w:w="1135"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沸点(</w:t>
            </w:r>
            <w:r>
              <w:rPr>
                <w:rFonts w:hint="eastAsia" w:ascii="宋体" w:hAnsi="宋体" w:eastAsia="宋体" w:cs="宋体"/>
                <w:szCs w:val="21"/>
              </w:rPr>
              <w:t>℃</w:t>
            </w:r>
            <w:r>
              <w:rPr>
                <w:rFonts w:ascii="Times New Roman" w:hAnsi="Times New Roman" w:eastAsia="宋体" w:cs="Times New Roman"/>
                <w:szCs w:val="21"/>
              </w:rPr>
              <w:t>)</w:t>
            </w:r>
          </w:p>
        </w:tc>
        <w:tc>
          <w:tcPr>
            <w:tcW w:w="161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282-338</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闪点(</w:t>
            </w:r>
            <w:r>
              <w:rPr>
                <w:rFonts w:hint="eastAsia" w:ascii="宋体" w:hAnsi="宋体" w:eastAsia="宋体" w:cs="宋体"/>
                <w:szCs w:val="21"/>
              </w:rPr>
              <w:t>℃</w:t>
            </w:r>
            <w:r>
              <w:rPr>
                <w:rFonts w:ascii="Times New Roman" w:hAnsi="Times New Roman" w:eastAsia="宋体" w:cs="Times New Roman"/>
                <w:szCs w:val="21"/>
              </w:rPr>
              <w:t>)</w:t>
            </w:r>
          </w:p>
        </w:tc>
        <w:tc>
          <w:tcPr>
            <w:tcW w:w="715"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55</w:t>
            </w:r>
          </w:p>
        </w:tc>
        <w:tc>
          <w:tcPr>
            <w:tcW w:w="1417"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引燃温度(</w:t>
            </w:r>
            <w:r>
              <w:rPr>
                <w:rFonts w:hint="eastAsia" w:ascii="宋体" w:hAnsi="宋体" w:eastAsia="宋体" w:cs="宋体"/>
                <w:szCs w:val="21"/>
              </w:rPr>
              <w:t>℃</w:t>
            </w:r>
            <w:r>
              <w:rPr>
                <w:rFonts w:ascii="Times New Roman" w:hAnsi="Times New Roman" w:eastAsia="宋体" w:cs="Times New Roman"/>
                <w:szCs w:val="21"/>
              </w:rPr>
              <w:t>)</w:t>
            </w:r>
          </w:p>
        </w:tc>
        <w:tc>
          <w:tcPr>
            <w:tcW w:w="81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相对密度</w:t>
            </w:r>
          </w:p>
        </w:tc>
        <w:tc>
          <w:tcPr>
            <w:tcW w:w="86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水=1</w:t>
            </w:r>
          </w:p>
        </w:tc>
        <w:tc>
          <w:tcPr>
            <w:tcW w:w="2754"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0.87-0.9</w:t>
            </w:r>
          </w:p>
        </w:tc>
        <w:tc>
          <w:tcPr>
            <w:tcW w:w="2147"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燃烧热(kJ/kg)</w:t>
            </w:r>
          </w:p>
        </w:tc>
        <w:tc>
          <w:tcPr>
            <w:tcW w:w="223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4.5×10</w:t>
            </w:r>
            <w:r>
              <w:rPr>
                <w:rFonts w:ascii="Times New Roman" w:hAnsi="Times New Roman" w:eastAsia="宋体" w:cs="Times New Roman"/>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1.5-4.5</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灭火剂</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主要用途</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用作柴油机的燃料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2004"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第3.3类 高闪点易燃液体</w:t>
            </w:r>
          </w:p>
        </w:tc>
        <w:tc>
          <w:tcPr>
            <w:tcW w:w="3051"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危险特性</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遇明火、高热与氧化剂接触，有引起燃烧爆炸的危险。若遇高热，容器内压增大，有开裂和爆炸的危险。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灭火方法</w:t>
            </w:r>
          </w:p>
        </w:tc>
        <w:tc>
          <w:tcPr>
            <w:tcW w:w="8006"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健康危害</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急救措施</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contextualSpacing/>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眼睛接触：立即提起眼睑，用大量流动清水或生理盐水冲洗，就医。</w:t>
            </w:r>
          </w:p>
          <w:p>
            <w:pPr>
              <w:contextualSpacing/>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contextualSpacing/>
              <w:rPr>
                <w:rFonts w:ascii="Times New Roman" w:hAnsi="Times New Roman" w:eastAsia="宋体" w:cs="Times New Roman"/>
                <w:szCs w:val="21"/>
              </w:rPr>
            </w:pPr>
            <w:r>
              <w:rPr>
                <w:rFonts w:ascii="Times New Roman" w:hAnsi="Times New Roman" w:eastAsia="宋体" w:cs="Times New Roman"/>
                <w:szCs w:val="21"/>
              </w:rPr>
              <w:t>食入：尽快彻底洗胃，就医。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防护措施</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一般作业工作服。尽可能切断泄漏源，防止进入下水道、排洪沟等限制性空间。小量泄漏：用活性炭或其它惰性材料吸收。大量泄漏：构筑围堤或挖坑收容；用泵转移至槽车或专用收集器内，回收或运至废物处理场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06" w:type="dxa"/>
            <w:gridSpan w:val="7"/>
            <w:vAlign w:val="center"/>
          </w:tcPr>
          <w:p>
            <w:pPr>
              <w:contextualSpacing/>
              <w:rPr>
                <w:rFonts w:ascii="Times New Roman" w:hAnsi="Times New Roman" w:eastAsia="宋体" w:cs="Times New Roman"/>
                <w:bCs/>
                <w:kern w:val="0"/>
                <w:szCs w:val="21"/>
              </w:rPr>
            </w:pPr>
            <w:r>
              <w:rPr>
                <w:rFonts w:ascii="Times New Roman" w:hAnsi="Times New Roman" w:eastAsia="宋体" w:cs="Times New Roman"/>
                <w:bCs/>
                <w:kern w:val="0"/>
                <w:szCs w:val="21"/>
              </w:rPr>
              <w:t>储存于阴凉、通风的库房。远离火种、热源。应与氧化剂、卤素分开存放，切忌混储。采用防爆型照明、通风设施。禁止使用易产生火花的机械设备和工具。储区应备有泄漏应急处理设备和合适的收容材料。</w:t>
            </w:r>
          </w:p>
        </w:tc>
      </w:tr>
    </w:tbl>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fldChar w:fldCharType="begin"/>
      </w:r>
      <w:r>
        <w:rPr>
          <w:rFonts w:ascii="Times New Roman" w:hAnsi="Times New Roman" w:cs="Times New Roman"/>
          <w:b/>
          <w:bCs/>
          <w:color w:val="000000" w:themeColor="text1"/>
          <w:sz w:val="24"/>
          <w:szCs w:val="24"/>
          <w14:textFill>
            <w14:solidFill>
              <w14:schemeClr w14:val="tx1"/>
            </w14:solidFill>
          </w14:textFill>
        </w:rPr>
        <w:instrText xml:space="preserve"> = 2 \* GB3 </w:instrText>
      </w:r>
      <w:r>
        <w:rPr>
          <w:rFonts w:ascii="Times New Roman" w:hAnsi="Times New Roman" w:cs="Times New Roman"/>
          <w:b/>
          <w:bCs/>
          <w:color w:val="000000" w:themeColor="text1"/>
          <w:sz w:val="24"/>
          <w:szCs w:val="24"/>
          <w14:textFill>
            <w14:solidFill>
              <w14:schemeClr w14:val="tx1"/>
            </w14:solidFill>
          </w14:textFill>
        </w:rPr>
        <w:fldChar w:fldCharType="separate"/>
      </w:r>
      <w:r>
        <w:rPr>
          <w:rFonts w:hint="eastAsia" w:ascii="宋体" w:hAnsi="宋体" w:eastAsia="宋体" w:cs="宋体"/>
          <w:b/>
          <w:bCs/>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b/>
          <w:bCs/>
          <w:color w:val="000000" w:themeColor="text1"/>
          <w:sz w:val="24"/>
          <w:szCs w:val="24"/>
          <w14:textFill>
            <w14:solidFill>
              <w14:schemeClr w14:val="tx1"/>
            </w14:solidFill>
          </w14:textFill>
        </w:rPr>
        <w:t>重大危险源辨识</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本项目</w:t>
      </w:r>
      <w:r>
        <w:rPr>
          <w:rFonts w:ascii="Times New Roman" w:hAnsi="Times New Roman" w:cs="Times New Roman"/>
          <w:bCs/>
          <w:color w:val="000000" w:themeColor="text1"/>
          <w:sz w:val="24"/>
          <w:szCs w:val="24"/>
          <w14:textFill>
            <w14:solidFill>
              <w14:schemeClr w14:val="tx1"/>
            </w14:solidFill>
          </w14:textFill>
        </w:rPr>
        <w:t>生产过程中涉及到的</w:t>
      </w:r>
      <w:r>
        <w:rPr>
          <w:rFonts w:ascii="Times New Roman" w:hAnsi="Times New Roman" w:cs="Times New Roman"/>
          <w:color w:val="000000" w:themeColor="text1"/>
          <w:sz w:val="24"/>
          <w:szCs w:val="24"/>
          <w14:textFill>
            <w14:solidFill>
              <w14:schemeClr w14:val="tx1"/>
            </w14:solidFill>
          </w14:textFill>
        </w:rPr>
        <w:t>化学药品主要为汽油</w:t>
      </w:r>
      <w:r>
        <w:rPr>
          <w:rFonts w:hint="eastAsia" w:ascii="Times New Roman" w:hAnsi="Times New Roman" w:cs="Times New Roman"/>
          <w:color w:val="000000" w:themeColor="text1"/>
          <w:sz w:val="24"/>
          <w:szCs w:val="24"/>
          <w14:textFill>
            <w14:solidFill>
              <w14:schemeClr w14:val="tx1"/>
            </w14:solidFill>
          </w14:textFill>
        </w:rPr>
        <w:t>和</w:t>
      </w:r>
      <w:r>
        <w:rPr>
          <w:rFonts w:ascii="Times New Roman" w:hAnsi="Times New Roman" w:cs="Times New Roman"/>
          <w:color w:val="000000" w:themeColor="text1"/>
          <w:sz w:val="24"/>
          <w:szCs w:val="24"/>
          <w14:textFill>
            <w14:solidFill>
              <w14:schemeClr w14:val="tx1"/>
            </w14:solidFill>
          </w14:textFill>
        </w:rPr>
        <w:t>柴油。对照《危险化学品重大危险源辨识》（GB18218—2018）中所列名录中有毒物质及临界量可知，导则对本项目所储存的汽油临界储存量的规定，贮存区汽油临界量为200t</w:t>
      </w:r>
      <w:r>
        <w:rPr>
          <w:rFonts w:hint="eastAsia" w:ascii="Times New Roman" w:hAnsi="Times New Roman" w:cs="Times New Roman"/>
          <w:color w:val="000000" w:themeColor="text1"/>
          <w:sz w:val="24"/>
          <w:szCs w:val="24"/>
          <w14:textFill>
            <w14:solidFill>
              <w14:schemeClr w14:val="tx1"/>
            </w14:solidFill>
          </w14:textFill>
        </w:rPr>
        <w:t>，贮存区柴油临界量为5000t</w:t>
      </w:r>
      <w:r>
        <w:rPr>
          <w:rFonts w:ascii="Times New Roman" w:hAnsi="Times New Roman" w:cs="Times New Roman"/>
          <w:color w:val="000000" w:themeColor="text1"/>
          <w:sz w:val="24"/>
          <w:szCs w:val="24"/>
          <w14:textFill>
            <w14:solidFill>
              <w14:schemeClr w14:val="tx1"/>
            </w14:solidFill>
          </w14:textFill>
        </w:rPr>
        <w: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该加油站有汽油储罐3个，容量为30m</w:t>
      </w:r>
      <w:r>
        <w:rPr>
          <w:rFonts w:ascii="Times New Roman" w:hAnsi="Times New Roman" w:cs="Times New Roman"/>
          <w:color w:val="000000" w:themeColor="text1"/>
          <w:sz w:val="24"/>
          <w:szCs w:val="24"/>
          <w:vertAlign w:val="superscript"/>
          <w14:textFill>
            <w14:solidFill>
              <w14:schemeClr w14:val="tx1"/>
            </w14:solidFill>
          </w14:textFill>
        </w:rPr>
        <w:t>3</w:t>
      </w:r>
      <w:r>
        <w:rPr>
          <w:rFonts w:ascii="Times New Roman" w:hAnsi="Times New Roman" w:cs="Times New Roman"/>
          <w:color w:val="000000" w:themeColor="text1"/>
          <w:sz w:val="24"/>
          <w:szCs w:val="24"/>
          <w14:textFill>
            <w14:solidFill>
              <w14:schemeClr w14:val="tx1"/>
            </w14:solidFill>
          </w14:textFill>
        </w:rPr>
        <w:t>，汽油密度为0.75，汽油最大贮存量为60.75t</w:t>
      </w:r>
      <w:r>
        <w:rPr>
          <w:rFonts w:hint="eastAsia"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柴油</w:t>
      </w:r>
      <w:r>
        <w:rPr>
          <w:rFonts w:hint="eastAsia" w:ascii="Times New Roman" w:hAnsi="Times New Roman" w:cs="Times New Roman"/>
          <w:color w:val="000000" w:themeColor="text1"/>
          <w:sz w:val="24"/>
          <w:szCs w:val="24"/>
          <w14:textFill>
            <w14:solidFill>
              <w14:schemeClr w14:val="tx1"/>
            </w14:solidFill>
          </w14:textFill>
        </w:rPr>
        <w:t>储存</w:t>
      </w:r>
      <w:r>
        <w:rPr>
          <w:rFonts w:ascii="Times New Roman" w:hAnsi="Times New Roman" w:cs="Times New Roman"/>
          <w:color w:val="000000" w:themeColor="text1"/>
          <w:sz w:val="24"/>
          <w:szCs w:val="24"/>
          <w14:textFill>
            <w14:solidFill>
              <w14:schemeClr w14:val="tx1"/>
            </w14:solidFill>
          </w14:textFill>
        </w:rPr>
        <w:t>量</w:t>
      </w:r>
      <w:r>
        <w:rPr>
          <w:rFonts w:hint="eastAsia" w:ascii="Times New Roman" w:hAnsi="Times New Roman" w:cs="Times New Roman"/>
          <w:color w:val="000000" w:themeColor="text1"/>
          <w:sz w:val="24"/>
          <w:szCs w:val="24"/>
          <w14:textFill>
            <w14:solidFill>
              <w14:schemeClr w14:val="tx1"/>
            </w14:solidFill>
          </w14:textFill>
        </w:rPr>
        <w:t>为30</w:t>
      </w:r>
      <w:r>
        <w:rPr>
          <w:rFonts w:ascii="Times New Roman" w:hAnsi="Times New Roman" w:cs="Times New Roman"/>
          <w:color w:val="000000" w:themeColor="text1"/>
          <w:sz w:val="24"/>
          <w:szCs w:val="24"/>
          <w14:textFill>
            <w14:solidFill>
              <w14:schemeClr w14:val="tx1"/>
            </w14:solidFill>
          </w14:textFill>
        </w:rPr>
        <w:t>m³，柴油密度按</w:t>
      </w:r>
      <w:r>
        <w:rPr>
          <w:rFonts w:hint="eastAsia" w:ascii="Times New Roman" w:hAnsi="Times New Roman" w:cs="Times New Roman"/>
          <w:color w:val="000000" w:themeColor="text1"/>
          <w:sz w:val="24"/>
          <w:szCs w:val="24"/>
          <w14:textFill>
            <w14:solidFill>
              <w14:schemeClr w14:val="tx1"/>
            </w14:solidFill>
          </w14:textFill>
        </w:rPr>
        <w:t>0.88</w:t>
      </w:r>
      <w:r>
        <w:rPr>
          <w:rFonts w:ascii="Times New Roman" w:hAnsi="Times New Roman" w:cs="Times New Roman"/>
          <w:color w:val="000000" w:themeColor="text1"/>
          <w:sz w:val="24"/>
          <w:szCs w:val="24"/>
          <w14:textFill>
            <w14:solidFill>
              <w14:schemeClr w14:val="tx1"/>
            </w14:solidFill>
          </w14:textFill>
        </w:rPr>
        <w:t>t/m³，本项目柴油实际存在量为</w:t>
      </w:r>
      <w:r>
        <w:rPr>
          <w:rFonts w:hint="eastAsia" w:ascii="Times New Roman" w:hAnsi="Times New Roman" w:cs="Times New Roman"/>
          <w:color w:val="000000" w:themeColor="text1"/>
          <w:sz w:val="24"/>
          <w:szCs w:val="24"/>
          <w14:textFill>
            <w14:solidFill>
              <w14:schemeClr w14:val="tx1"/>
            </w14:solidFill>
          </w14:textFill>
        </w:rPr>
        <w:t>23.76</w:t>
      </w:r>
      <w:r>
        <w:rPr>
          <w:rFonts w:ascii="Times New Roman" w:hAnsi="Times New Roman" w:cs="Times New Roman"/>
          <w:color w:val="000000" w:themeColor="text1"/>
          <w:sz w:val="24"/>
          <w:szCs w:val="24"/>
          <w14:textFill>
            <w14:solidFill>
              <w14:schemeClr w14:val="tx1"/>
            </w14:solidFill>
          </w14:textFill>
        </w:rPr>
        <w:t>t。</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项目重大危险源辨识表如下表3-4所示。</w:t>
      </w:r>
    </w:p>
    <w:p>
      <w:pPr>
        <w:spacing w:line="500" w:lineRule="exact"/>
        <w:ind w:firstLine="422" w:firstLineChars="200"/>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表3-4  重大危险源辨识一览表</w:t>
      </w:r>
    </w:p>
    <w:tbl>
      <w:tblPr>
        <w:tblStyle w:val="17"/>
        <w:tblW w:w="0" w:type="auto"/>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826"/>
        <w:gridCol w:w="1826"/>
        <w:gridCol w:w="1826"/>
        <w:gridCol w:w="1826"/>
        <w:gridCol w:w="182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危险源</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物质</w:t>
            </w:r>
            <w:r>
              <w:rPr>
                <w:rFonts w:asciiTheme="minorEastAsia" w:hAnsiTheme="minorEastAsia" w:eastAsiaTheme="minorEastAsia"/>
              </w:rPr>
              <w:t>名称</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临界量Q</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实际</w:t>
            </w:r>
            <w:r>
              <w:rPr>
                <w:rFonts w:asciiTheme="minorEastAsia" w:hAnsiTheme="minorEastAsia" w:eastAsiaTheme="minorEastAsia"/>
              </w:rPr>
              <w:t>存在量q</w:t>
            </w:r>
          </w:p>
        </w:tc>
        <w:tc>
          <w:tcPr>
            <w:tcW w:w="1826" w:type="dxa"/>
            <w:tcBorders>
              <w:tl2br w:val="nil"/>
              <w:tr2bl w:val="nil"/>
            </w:tcBorders>
          </w:tcPr>
          <w:p>
            <w:pPr>
              <w:pStyle w:val="2"/>
              <w:ind w:firstLine="0" w:firstLineChars="0"/>
              <w:rPr>
                <w:rFonts w:asciiTheme="minorEastAsia" w:hAnsiTheme="minorEastAsia" w:eastAsiaTheme="minorEastAsia"/>
              </w:rPr>
            </w:pPr>
            <w:r>
              <w:rPr>
                <w:rFonts w:asciiTheme="minorEastAsia" w:hAnsiTheme="minorEastAsia" w:eastAsiaTheme="minorEastAsia"/>
              </w:rPr>
              <w:t>q</w:t>
            </w:r>
            <w:r>
              <w:rPr>
                <w:rFonts w:asciiTheme="minorEastAsia" w:hAnsiTheme="minorEastAsia" w:eastAsiaTheme="minorEastAsia"/>
                <w:vertAlign w:val="subscript"/>
              </w:rPr>
              <w:t>i</w:t>
            </w:r>
            <w:r>
              <w:rPr>
                <w:rFonts w:asciiTheme="minorEastAsia" w:hAnsiTheme="minorEastAsia" w:eastAsiaTheme="minorEastAsia"/>
              </w:rPr>
              <w:t>/Q</w:t>
            </w:r>
            <w:r>
              <w:rPr>
                <w:rFonts w:asciiTheme="minorEastAsia" w:hAnsiTheme="minorEastAsia" w:eastAsiaTheme="minorEastAsia"/>
                <w:vertAlign w:val="subscript"/>
              </w:rPr>
              <w:t>i</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柴油储罐</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柴油</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5000t</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23.76</w:t>
            </w:r>
          </w:p>
        </w:tc>
        <w:tc>
          <w:tcPr>
            <w:tcW w:w="1826" w:type="dxa"/>
            <w:tcBorders>
              <w:tl2br w:val="nil"/>
              <w:tr2bl w:val="nil"/>
            </w:tcBorders>
          </w:tcPr>
          <w:p>
            <w:pPr>
              <w:pStyle w:val="2"/>
              <w:ind w:firstLine="0" w:firstLineChars="0"/>
              <w:rPr>
                <w:rFonts w:asciiTheme="minorEastAsia" w:hAnsiTheme="minorEastAsia" w:eastAsiaTheme="minorEastAsia"/>
              </w:rPr>
            </w:pPr>
            <w:r>
              <w:rPr>
                <w:rFonts w:asciiTheme="minorEastAsia" w:hAnsiTheme="minorEastAsia" w:eastAsiaTheme="minorEastAsia"/>
              </w:rPr>
              <w:t>0.004752</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汽油</w:t>
            </w:r>
            <w:r>
              <w:rPr>
                <w:rFonts w:asciiTheme="minorEastAsia" w:hAnsiTheme="minorEastAsia" w:eastAsiaTheme="minorEastAsia"/>
              </w:rPr>
              <w:t>储罐</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汽油</w:t>
            </w:r>
          </w:p>
        </w:tc>
        <w:tc>
          <w:tcPr>
            <w:tcW w:w="1826" w:type="dxa"/>
            <w:tcBorders>
              <w:tl2br w:val="nil"/>
              <w:tr2bl w:val="nil"/>
            </w:tcBorders>
          </w:tcPr>
          <w:p>
            <w:pPr>
              <w:pStyle w:val="2"/>
              <w:ind w:firstLine="0" w:firstLineChars="0"/>
              <w:rPr>
                <w:rFonts w:asciiTheme="minorEastAsia" w:hAnsiTheme="minorEastAsia" w:eastAsiaTheme="minorEastAsia"/>
              </w:rPr>
            </w:pPr>
            <w:r>
              <w:rPr>
                <w:rFonts w:hint="eastAsia" w:asciiTheme="minorEastAsia" w:hAnsiTheme="minorEastAsia" w:eastAsiaTheme="minorEastAsia"/>
              </w:rPr>
              <w:t>200t</w:t>
            </w:r>
          </w:p>
        </w:tc>
        <w:tc>
          <w:tcPr>
            <w:tcW w:w="1826" w:type="dxa"/>
            <w:tcBorders>
              <w:tl2br w:val="nil"/>
              <w:tr2bl w:val="nil"/>
            </w:tcBorders>
          </w:tcPr>
          <w:p>
            <w:pPr>
              <w:pStyle w:val="2"/>
              <w:ind w:firstLine="0" w:firstLineChars="0"/>
              <w:rPr>
                <w:rFonts w:asciiTheme="minorEastAsia" w:hAnsiTheme="minorEastAsia" w:eastAsiaTheme="minorEastAsia"/>
              </w:rPr>
            </w:pPr>
            <w:r>
              <w:rPr>
                <w:rFonts w:asciiTheme="minorEastAsia" w:hAnsiTheme="minorEastAsia" w:eastAsiaTheme="minorEastAsia"/>
              </w:rPr>
              <w:t>60.75</w:t>
            </w:r>
          </w:p>
        </w:tc>
        <w:tc>
          <w:tcPr>
            <w:tcW w:w="1826" w:type="dxa"/>
            <w:tcBorders>
              <w:tl2br w:val="nil"/>
              <w:tr2bl w:val="nil"/>
            </w:tcBorders>
          </w:tcPr>
          <w:p>
            <w:pPr>
              <w:pStyle w:val="2"/>
              <w:ind w:firstLine="0" w:firstLineChars="0"/>
              <w:rPr>
                <w:rFonts w:asciiTheme="minorEastAsia" w:hAnsiTheme="minorEastAsia" w:eastAsiaTheme="minorEastAsia"/>
              </w:rPr>
            </w:pPr>
            <w:r>
              <w:rPr>
                <w:rFonts w:asciiTheme="minorEastAsia" w:hAnsiTheme="minorEastAsia" w:eastAsiaTheme="minorEastAsia"/>
              </w:rPr>
              <w:t>0.03375</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c>
          <w:tcPr>
            <w:tcW w:w="9130" w:type="dxa"/>
            <w:gridSpan w:val="5"/>
            <w:tcBorders>
              <w:tl2br w:val="nil"/>
              <w:tr2bl w:val="nil"/>
            </w:tcBorders>
          </w:tcPr>
          <w:p>
            <w:pPr>
              <w:pStyle w:val="2"/>
              <w:ind w:firstLine="0" w:firstLineChars="0"/>
              <w:jc w:val="center"/>
              <w:rPr>
                <w:rFonts w:asciiTheme="minorEastAsia" w:hAnsiTheme="minorEastAsia" w:eastAsiaTheme="minorEastAsia"/>
              </w:rPr>
            </w:pPr>
            <m:oMath>
              <m:r>
                <m:rPr>
                  <m:sty m:val="p"/>
                </m:rPr>
                <w:rPr>
                  <w:rFonts w:ascii="Cambria Math" w:hAnsi="Cambria Math" w:eastAsiaTheme="minorEastAsia"/>
                </w:rPr>
                <m:t>Σ</m:t>
              </m:r>
              <m:sSub>
                <m:sSubPr>
                  <m:ctrlPr>
                    <w:rPr>
                      <w:rFonts w:ascii="Cambria Math" w:hAnsi="Cambria Math" w:eastAsiaTheme="minorEastAsia"/>
                    </w:rPr>
                  </m:ctrlPr>
                </m:sSubPr>
                <m:e>
                  <m:r>
                    <w:rPr>
                      <w:rFonts w:ascii="Cambria Math" w:hAnsi="Cambria Math" w:eastAsiaTheme="minorEastAsia"/>
                    </w:rPr>
                    <m:t>q</m:t>
                  </m:r>
                  <m:ctrlPr>
                    <w:rPr>
                      <w:rFonts w:ascii="Cambria Math" w:hAnsi="Cambria Math" w:eastAsiaTheme="minorEastAsia"/>
                    </w:rPr>
                  </m:ctrlPr>
                </m:e>
                <m:sub>
                  <m:r>
                    <w:rPr>
                      <w:rFonts w:ascii="Cambria Math" w:hAnsi="Cambria Math" w:eastAsiaTheme="minorEastAsia"/>
                    </w:rPr>
                    <m:t>i</m:t>
                  </m:r>
                  <m:ctrlPr>
                    <w:rPr>
                      <w:rFonts w:ascii="Cambria Math" w:hAnsi="Cambria Math" w:eastAsiaTheme="minorEastAsia"/>
                    </w:rPr>
                  </m:ctrlPr>
                </m:sub>
              </m:sSub>
              <m:r>
                <w:rPr>
                  <w:rFonts w:ascii="Cambria Math" w:hAnsi="Cambria Math" w:eastAsiaTheme="minorEastAsia"/>
                </w:rPr>
                <m:t>/</m:t>
              </m:r>
              <m:sSub>
                <m:sSubPr>
                  <m:ctrlPr>
                    <w:rPr>
                      <w:rFonts w:ascii="Cambria Math" w:hAnsi="Cambria Math" w:eastAsiaTheme="minorEastAsia"/>
                      <w:i/>
                    </w:rPr>
                  </m:ctrlPr>
                </m:sSubPr>
                <m:e>
                  <m:r>
                    <w:rPr>
                      <w:rFonts w:ascii="Cambria Math" w:hAnsi="Cambria Math" w:eastAsiaTheme="minorEastAsia"/>
                    </w:rPr>
                    <m:t>Q</m:t>
                  </m:r>
                  <m:ctrlPr>
                    <w:rPr>
                      <w:rFonts w:ascii="Cambria Math" w:hAnsi="Cambria Math" w:eastAsiaTheme="minorEastAsia"/>
                      <w:i/>
                    </w:rPr>
                  </m:ctrlPr>
                </m:e>
                <m:sub>
                  <m:r>
                    <w:rPr>
                      <w:rFonts w:ascii="Cambria Math" w:hAnsi="Cambria Math" w:eastAsiaTheme="minorEastAsia"/>
                    </w:rPr>
                    <m:t>i</m:t>
                  </m:r>
                  <m:ctrlPr>
                    <w:rPr>
                      <w:rFonts w:ascii="Cambria Math" w:hAnsi="Cambria Math" w:eastAsiaTheme="minorEastAsia"/>
                      <w:i/>
                    </w:rPr>
                  </m:ctrlPr>
                </m:sub>
              </m:sSub>
              <m:r>
                <w:rPr>
                  <w:rFonts w:ascii="Cambria Math" w:hAnsi="Cambria Math" w:eastAsiaTheme="minorEastAsia"/>
                </w:rPr>
                <m:t>=</m:t>
              </m:r>
            </m:oMath>
            <w:r>
              <w:rPr>
                <w:rFonts w:hint="eastAsia" w:asciiTheme="minorEastAsia" w:hAnsiTheme="minorEastAsia" w:eastAsiaTheme="minorEastAsia"/>
              </w:rPr>
              <w:t>0.3038＜1</w:t>
            </w:r>
          </w:p>
        </w:tc>
      </w:tr>
    </w:tbl>
    <w:p>
      <w:pPr>
        <w:pStyle w:val="2"/>
        <w:ind w:firstLine="496"/>
        <w:rPr>
          <w:rFonts w:asciiTheme="minorEastAsia" w:hAnsiTheme="minorEastAsia" w:eastAsiaTheme="minorEastAsia"/>
        </w:rPr>
      </w:pP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bookmarkStart w:id="277" w:name="_Toc28676"/>
      <w:bookmarkStart w:id="278" w:name="_Toc17283_WPSOffice_Level2"/>
      <w:bookmarkStart w:id="279" w:name="_Toc4583_WPSOffice_Level2"/>
      <w:bookmarkStart w:id="280" w:name="_Toc23861_WPSOffice_Level2"/>
      <w:bookmarkStart w:id="281" w:name="_Toc7403_WPSOffice_Level2"/>
      <w:bookmarkStart w:id="282" w:name="_Toc16098_WPSOffice_Level2"/>
      <w:bookmarkStart w:id="283" w:name="_Toc532817028"/>
      <w:r>
        <w:rPr>
          <w:rFonts w:ascii="Times New Roman" w:hAnsi="Times New Roman" w:cs="Times New Roman"/>
          <w:color w:val="000000" w:themeColor="text1"/>
          <w:sz w:val="24"/>
          <w:szCs w:val="24"/>
          <w14:textFill>
            <w14:solidFill>
              <w14:schemeClr w14:val="tx1"/>
            </w14:solidFill>
          </w14:textFill>
        </w:rPr>
        <w:t>由上表可知，项目汽油</w:t>
      </w:r>
      <w:r>
        <w:rPr>
          <w:rFonts w:hint="eastAsia" w:ascii="Times New Roman" w:hAnsi="Times New Roman" w:cs="Times New Roman"/>
          <w:color w:val="000000" w:themeColor="text1"/>
          <w:sz w:val="24"/>
          <w:szCs w:val="24"/>
          <w14:textFill>
            <w14:solidFill>
              <w14:schemeClr w14:val="tx1"/>
            </w14:solidFill>
          </w14:textFill>
        </w:rPr>
        <w:t>和柴油</w:t>
      </w:r>
      <w:r>
        <w:rPr>
          <w:rFonts w:ascii="Times New Roman" w:hAnsi="Times New Roman" w:cs="Times New Roman"/>
          <w:color w:val="000000" w:themeColor="text1"/>
          <w:sz w:val="24"/>
          <w:szCs w:val="24"/>
          <w14:textFill>
            <w14:solidFill>
              <w14:schemeClr w14:val="tx1"/>
            </w14:solidFill>
          </w14:textFill>
        </w:rPr>
        <w:t>储存量</w:t>
      </w:r>
      <w:r>
        <w:rPr>
          <w:rFonts w:hint="eastAsia" w:ascii="Times New Roman" w:hAnsi="Times New Roman" w:cs="Times New Roman"/>
          <w:color w:val="000000" w:themeColor="text1"/>
          <w:sz w:val="24"/>
          <w:szCs w:val="24"/>
          <w14:textFill>
            <w14:solidFill>
              <w14:schemeClr w14:val="tx1"/>
            </w14:solidFill>
          </w14:textFill>
        </w:rPr>
        <w:t>根据</w:t>
      </w:r>
      <w:r>
        <w:rPr>
          <w:rFonts w:ascii="Times New Roman" w:hAnsi="Times New Roman" w:cs="Times New Roman"/>
          <w:color w:val="000000" w:themeColor="text1"/>
          <w:sz w:val="24"/>
          <w:szCs w:val="24"/>
          <w14:textFill>
            <w14:solidFill>
              <w14:schemeClr w14:val="tx1"/>
            </w14:solidFill>
          </w14:textFill>
        </w:rPr>
        <w:t>《危险化学品重大危险源辨识》（GB18218—2018）中</w:t>
      </w:r>
      <w:r>
        <w:rPr>
          <w:rFonts w:hint="eastAsia"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z w:val="24"/>
          <w:szCs w:val="24"/>
          <w14:textFill>
            <w14:solidFill>
              <w14:schemeClr w14:val="tx1"/>
            </w14:solidFill>
          </w14:textFill>
        </w:rPr>
        <w:t>规定</w:t>
      </w:r>
      <w:r>
        <w:rPr>
          <w:rFonts w:hint="eastAsia"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判定值=0.3038&lt;1。因此，项目经营过程中储存场所涉及到的危险化学品不构成危险化学品重大危险源。</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284" w:name="_Toc9940"/>
      <w:r>
        <w:rPr>
          <w:rFonts w:ascii="Times New Roman" w:hAnsi="Times New Roman" w:cs="Times New Roman"/>
          <w:b/>
          <w:bCs/>
          <w:color w:val="000000" w:themeColor="text1"/>
          <w:kern w:val="44"/>
          <w:sz w:val="24"/>
          <w:szCs w:val="24"/>
          <w14:textFill>
            <w14:solidFill>
              <w14:schemeClr w14:val="tx1"/>
            </w14:solidFill>
          </w14:textFill>
        </w:rPr>
        <w:t>3.2 环境风险分析</w:t>
      </w:r>
      <w:bookmarkEnd w:id="277"/>
      <w:bookmarkEnd w:id="278"/>
      <w:bookmarkEnd w:id="279"/>
      <w:bookmarkEnd w:id="280"/>
      <w:bookmarkEnd w:id="281"/>
      <w:bookmarkEnd w:id="282"/>
      <w:bookmarkEnd w:id="283"/>
      <w:bookmarkEnd w:id="284"/>
    </w:p>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本项目风险主要考虑汽油的风险分析。</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85" w:name="_Toc12462_WPSOffice_Level3"/>
      <w:bookmarkStart w:id="286" w:name="_Toc653_WPSOffice_Level3"/>
      <w:bookmarkStart w:id="287" w:name="_Toc6108_WPSOffice_Level3"/>
      <w:bookmarkStart w:id="288" w:name="_Toc8889_WPSOffice_Level3"/>
      <w:bookmarkStart w:id="289" w:name="_Toc12429_WPSOffice_Level3"/>
      <w:bookmarkStart w:id="290" w:name="_Toc532817029"/>
      <w:bookmarkStart w:id="291" w:name="_Toc6097"/>
      <w:bookmarkStart w:id="292" w:name="_Toc729"/>
      <w:r>
        <w:rPr>
          <w:rFonts w:ascii="Times New Roman" w:hAnsi="Times New Roman" w:cs="Times New Roman"/>
          <w:b/>
          <w:bCs/>
          <w:color w:val="000000" w:themeColor="text1"/>
          <w:kern w:val="44"/>
          <w:sz w:val="24"/>
          <w:szCs w:val="24"/>
          <w14:textFill>
            <w14:solidFill>
              <w14:schemeClr w14:val="tx1"/>
            </w14:solidFill>
          </w14:textFill>
        </w:rPr>
        <w:t>3.2.1 火灾、爆炸</w:t>
      </w:r>
      <w:bookmarkEnd w:id="285"/>
      <w:bookmarkEnd w:id="286"/>
      <w:bookmarkEnd w:id="287"/>
      <w:bookmarkEnd w:id="288"/>
      <w:bookmarkEnd w:id="289"/>
      <w:bookmarkEnd w:id="290"/>
      <w:bookmarkEnd w:id="291"/>
      <w:bookmarkEnd w:id="292"/>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汽油属易燃、易爆液体，如果在储存、输送过程发生跑、冒、滴、漏，卸油过程中如果静电接地不好或管线、接头等有渗漏，加油过程加油设备及管线出现故障或加油过程操作不当等会引起油料泄漏，油料蒸发出来的可燃气体在一定的浓度范围内，能够与空气形成爆炸性混合物，遇明火、静电及高温或与氧化剂接触等易引起燃烧或爆炸；同时其蒸汽比空气重，能在较低处扩散到相当远的地方，遇明火会引着回燃，也会造成火灾爆炸事故。</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发生火灾、爆炸时对区域环境空气会造成影响，火灾、爆炸后产生的消防废水如不及时收集，流入周围地表水体会污染地表水。</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293" w:name="_Toc28061_WPSOffice_Level3"/>
      <w:bookmarkStart w:id="294" w:name="_Toc24077"/>
      <w:bookmarkStart w:id="295" w:name="_Toc14340_WPSOffice_Level3"/>
      <w:bookmarkStart w:id="296" w:name="_Toc532817030"/>
      <w:bookmarkStart w:id="297" w:name="_Toc25268_WPSOffice_Level3"/>
      <w:bookmarkStart w:id="298" w:name="_Toc14635_WPSOffice_Level3"/>
      <w:bookmarkStart w:id="299" w:name="_Toc582_WPSOffice_Level3"/>
      <w:bookmarkStart w:id="300" w:name="_Toc12118"/>
      <w:r>
        <w:rPr>
          <w:rFonts w:ascii="Times New Roman" w:hAnsi="Times New Roman" w:cs="Times New Roman"/>
          <w:b/>
          <w:bCs/>
          <w:color w:val="000000" w:themeColor="text1"/>
          <w:kern w:val="44"/>
          <w:sz w:val="24"/>
          <w:szCs w:val="24"/>
          <w14:textFill>
            <w14:solidFill>
              <w14:schemeClr w14:val="tx1"/>
            </w14:solidFill>
          </w14:textFill>
        </w:rPr>
        <w:t>3.2.2 静电</w:t>
      </w:r>
      <w:bookmarkEnd w:id="293"/>
      <w:bookmarkEnd w:id="294"/>
      <w:bookmarkEnd w:id="295"/>
      <w:bookmarkEnd w:id="296"/>
      <w:bookmarkEnd w:id="297"/>
      <w:bookmarkEnd w:id="298"/>
      <w:bookmarkEnd w:id="299"/>
      <w:bookmarkEnd w:id="300"/>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汽油的电阻率大约在10Ω·CM，当汽油沿管道流动与管壁产生摩擦时，以及在运输过程中收到震荡时，都会产生静电。如果静电不能及时消除就有可能产生火花。当满足一定条件时，静电火花可以引发火灾爆炸。静电引发火灾爆炸必须同时满足下列五个条件：必须有产生静电的条件；必须具有静电积累的条件；积累的静电必须达到产生火花放电的条件；静电放电火花波及的范围必须存在爆炸性气体；与爆炸性气体接触的静电火花必须达到爆炸性气体的最小点火能量。</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01" w:name="_Toc1118"/>
      <w:bookmarkStart w:id="302" w:name="_Toc8749_WPSOffice_Level3"/>
      <w:bookmarkStart w:id="303" w:name="_Toc3479_WPSOffice_Level3"/>
      <w:bookmarkStart w:id="304" w:name="_Toc7502_WPSOffice_Level3"/>
      <w:bookmarkStart w:id="305" w:name="_Toc17783_WPSOffice_Level3"/>
      <w:bookmarkStart w:id="306" w:name="_Toc532817031"/>
      <w:bookmarkStart w:id="307" w:name="_Toc13494_WPSOffice_Level3"/>
      <w:bookmarkStart w:id="308" w:name="_Toc22252"/>
      <w:r>
        <w:rPr>
          <w:rFonts w:ascii="Times New Roman" w:hAnsi="Times New Roman" w:cs="Times New Roman"/>
          <w:b/>
          <w:bCs/>
          <w:color w:val="000000" w:themeColor="text1"/>
          <w:kern w:val="44"/>
          <w:sz w:val="24"/>
          <w:szCs w:val="24"/>
          <w14:textFill>
            <w14:solidFill>
              <w14:schemeClr w14:val="tx1"/>
            </w14:solidFill>
          </w14:textFill>
        </w:rPr>
        <w:t>3.2.3 中毒</w:t>
      </w:r>
      <w:bookmarkEnd w:id="301"/>
      <w:bookmarkEnd w:id="302"/>
      <w:bookmarkEnd w:id="303"/>
      <w:bookmarkEnd w:id="304"/>
      <w:bookmarkEnd w:id="305"/>
      <w:bookmarkEnd w:id="306"/>
      <w:bookmarkEnd w:id="307"/>
      <w:bookmarkEnd w:id="308"/>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主要的毒性物质为汽油，其毒性危害如下：汽油对中枢神经系统有麻醉作用。轻度中毒症状有头晕、头痛、恶心、呕吐、步态不稳等。高浓度吸入出现中毒性脑病。极高浓度吸入引起意识突然丧失、反射性呼吸停止。液体吸入呼吸道可引起吸入性皮炎。溅入眼内可致角膜溃疡、穿孔，甚至失明。皮肤接触致急性接触性皮炎，甚至灼伤。</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09" w:name="_Toc28984_WPSOffice_Level3"/>
      <w:bookmarkStart w:id="310" w:name="_Toc1167_WPSOffice_Level3"/>
      <w:bookmarkStart w:id="311" w:name="_Toc532817032"/>
      <w:bookmarkStart w:id="312" w:name="_Toc20621"/>
      <w:bookmarkStart w:id="313" w:name="_Toc9965_WPSOffice_Level3"/>
      <w:bookmarkStart w:id="314" w:name="_Toc24762_WPSOffice_Level3"/>
      <w:bookmarkStart w:id="315" w:name="_Toc4640_WPSOffice_Level3"/>
      <w:bookmarkStart w:id="316" w:name="_Toc19703"/>
      <w:r>
        <w:rPr>
          <w:rFonts w:ascii="Times New Roman" w:hAnsi="Times New Roman" w:cs="Times New Roman"/>
          <w:b/>
          <w:bCs/>
          <w:color w:val="000000" w:themeColor="text1"/>
          <w:kern w:val="44"/>
          <w:sz w:val="24"/>
          <w:szCs w:val="24"/>
          <w14:textFill>
            <w14:solidFill>
              <w14:schemeClr w14:val="tx1"/>
            </w14:solidFill>
          </w14:textFill>
        </w:rPr>
        <w:t>3.2.4 加油站作业风险分析</w:t>
      </w:r>
      <w:bookmarkEnd w:id="309"/>
      <w:bookmarkEnd w:id="310"/>
      <w:bookmarkEnd w:id="311"/>
      <w:bookmarkEnd w:id="312"/>
      <w:bookmarkEnd w:id="313"/>
      <w:bookmarkEnd w:id="314"/>
      <w:bookmarkEnd w:id="315"/>
      <w:bookmarkEnd w:id="316"/>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作业事故主要发生在卸油、量油、加油、维修和清罐五个环节，这五个环节都使油品暴露在空气中，如果在作业中违反操作规程，使油品或油品蒸气在空气中与火源接触，就可能导致爆炸燃烧事故的发生。</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（1）卸油</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加油站火灾事故的60%~70%发生在卸油作业中。常见事故有：</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油罐满溢。卸油时对液位监测不及时易造成油品跑冒。油品溢出罐外后，周围空气中油蒸气的浓度迅速上升，达到爆炸极限范围，遇到点火源，随即可能发生爆炸燃烧。在油品漫溢时，使用金属容器刮舀，开启电灯照明观察，均可能产生火花引起着火。</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油品滴漏。由于卸油胶管破裂、密封垫破损、快速接头、紧固栓松动等原因，使油品滴漏至地面，遇火花可能燃烧。</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静电起火。由于油管无静电接地、采用喷溅式卸油、卸油中油罐车无静电接地等原因，造成静电积聚放电，点燃油蒸气。</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卸油中遇明火。在非密闭卸油过程中，大量油蒸气从卸油口溢出，当周围出现烟火、火花时，就可能产生爆炸燃烧。</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混油。由于计量员和司机未按操作规程核实所卸油品品种、卸油口等，造成混油的质量事故。</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（2）量油</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按规定，油罐车送油到站后应静置稳油15分钟，待静电消除后方可开盖量油，如果车到立即开盖量油，就可能引起静电起火；如果油罐未安装量油孔或量油孔铝制（铜质）镶槽脱落，在储油量油时，量油尺与钢管口摩擦产生火花，就可能点燃罐内油蒸气，引起爆炸燃烧；在气压低、无风得情况下，穿化纤服装，摩擦产生静电火花也可能点燃油蒸气。</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（3）加油</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目前国内大部分加油站未采用封闭加油技术，加油时，大量油蒸气外泻，加之操作不当油品外溢等原因，在加油口附近形成了一个爆炸危险区域，遇烟火、使用手机或BP机、铁钉鞋摩擦、金属碰撞、电器打火、发动机排气管喷火等都可能导致火灾。</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（4）维修</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维修作业时由于维修人员不遵守操作规程，常常引起触电、高处坠落等安全事故，甚至引起火灾爆炸。</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（5）清罐</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在加油站油罐清洗作业时，由于无法彻底清除油蒸气和沉淀物，残余油蒸气遇到静电、摩擦、点火花都可能导致火灾。</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17" w:name="_Toc25708_WPSOffice_Level3"/>
      <w:bookmarkStart w:id="318" w:name="_Toc24487_WPSOffice_Level3"/>
      <w:bookmarkStart w:id="319" w:name="_Toc21319_WPSOffice_Level3"/>
      <w:bookmarkStart w:id="320" w:name="_Toc532817033"/>
      <w:bookmarkStart w:id="321" w:name="_Toc1450_WPSOffice_Level3"/>
      <w:bookmarkStart w:id="322" w:name="_Toc28682"/>
      <w:bookmarkStart w:id="323" w:name="_Toc26583_WPSOffice_Level3"/>
      <w:bookmarkStart w:id="324" w:name="_Toc2211"/>
      <w:r>
        <w:rPr>
          <w:rFonts w:ascii="Times New Roman" w:hAnsi="Times New Roman" w:cs="Times New Roman"/>
          <w:b/>
          <w:bCs/>
          <w:color w:val="000000" w:themeColor="text1"/>
          <w:kern w:val="44"/>
          <w:sz w:val="24"/>
          <w:szCs w:val="24"/>
          <w14:textFill>
            <w14:solidFill>
              <w14:schemeClr w14:val="tx1"/>
            </w14:solidFill>
          </w14:textFill>
        </w:rPr>
        <w:t>3.2.5 非作业事故分析</w:t>
      </w:r>
      <w:bookmarkEnd w:id="317"/>
      <w:bookmarkEnd w:id="318"/>
      <w:bookmarkEnd w:id="319"/>
      <w:bookmarkEnd w:id="320"/>
      <w:bookmarkEnd w:id="321"/>
      <w:bookmarkEnd w:id="322"/>
      <w:bookmarkEnd w:id="323"/>
      <w:bookmarkEnd w:id="324"/>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加油站非作业事故又可分为与油品相关的火灾和非油品火灾。</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（1）与油品相关的火灾</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油蒸气沉淀。在作业过程中，会有大量油蒸气外泄，由于油蒸气密度比空气大，会沉淀于管沟、电缆沟、操作井等低洼处，积聚于室内角落处，一旦遇到火源就可能发生爆炸燃烧。油蒸气四处蔓延把加油站和作业区内外沟通起来，将站外火源引至站内，可能造成爆炸燃烧。</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油罐、管道渗漏。由于腐蚀、制造缺陷等原因，在非作业状态下，油品渗漏，遇明火可能燃烧。</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雷击。雷电直接击中加油设施，或者雷电作用在加油机等处产生间接放电，都可能导致油品燃烧或油气爆炸。</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（2）非油品火灾</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常见非油品火灾有：因电气老化、绝缘破损、短路、超负荷用电、过载发热、接线不规范、电器使用管理不当等原因引起的电气火灾；因生产、生活用火失控，引燃站外火灾蔓延，殃及站内，明火管理不当引起火灾。</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325" w:name="_Toc289"/>
      <w:bookmarkStart w:id="326" w:name="_Toc18826_WPSOffice_Level2"/>
      <w:bookmarkStart w:id="327" w:name="_Toc7088_WPSOffice_Level2"/>
      <w:bookmarkStart w:id="328" w:name="_Toc3286_WPSOffice_Level2"/>
      <w:bookmarkStart w:id="329" w:name="_Toc23210_WPSOffice_Level2"/>
      <w:bookmarkStart w:id="330" w:name="_Toc532817034"/>
      <w:bookmarkStart w:id="331" w:name="_Toc32434_WPSOffice_Level2"/>
      <w:bookmarkStart w:id="332" w:name="_Toc105"/>
      <w:bookmarkStart w:id="333" w:name="_Toc4006"/>
      <w:r>
        <w:rPr>
          <w:rFonts w:ascii="Times New Roman" w:hAnsi="Times New Roman" w:cs="Times New Roman"/>
          <w:b/>
          <w:bCs/>
          <w:color w:val="000000" w:themeColor="text1"/>
          <w:kern w:val="44"/>
          <w:sz w:val="24"/>
          <w:szCs w:val="24"/>
          <w14:textFill>
            <w14:solidFill>
              <w14:schemeClr w14:val="tx1"/>
            </w14:solidFill>
          </w14:textFill>
        </w:rPr>
        <w:t>3.3风险事故环境影响评价</w:t>
      </w:r>
      <w:bookmarkEnd w:id="325"/>
      <w:bookmarkEnd w:id="326"/>
      <w:bookmarkEnd w:id="327"/>
      <w:bookmarkEnd w:id="328"/>
      <w:bookmarkEnd w:id="329"/>
      <w:bookmarkEnd w:id="330"/>
      <w:bookmarkEnd w:id="331"/>
      <w:bookmarkEnd w:id="332"/>
      <w:bookmarkEnd w:id="333"/>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34" w:name="_Toc24052_WPSOffice_Level3"/>
      <w:bookmarkStart w:id="335" w:name="_Toc22957_WPSOffice_Level3"/>
      <w:bookmarkStart w:id="336" w:name="_Toc532817035"/>
      <w:bookmarkStart w:id="337" w:name="_Toc10518_WPSOffice_Level3"/>
      <w:bookmarkStart w:id="338" w:name="_Toc19489"/>
      <w:bookmarkStart w:id="339" w:name="_Toc23210_WPSOffice_Level3"/>
      <w:bookmarkStart w:id="340" w:name="_Toc27962_WPSOffice_Level3"/>
      <w:bookmarkStart w:id="341" w:name="_Toc21052"/>
      <w:bookmarkStart w:id="342" w:name="OLE_LINK8"/>
      <w:r>
        <w:rPr>
          <w:rFonts w:ascii="Times New Roman" w:hAnsi="Times New Roman" w:cs="Times New Roman"/>
          <w:b/>
          <w:bCs/>
          <w:color w:val="000000" w:themeColor="text1"/>
          <w:kern w:val="44"/>
          <w:sz w:val="24"/>
          <w:szCs w:val="24"/>
          <w14:textFill>
            <w14:solidFill>
              <w14:schemeClr w14:val="tx1"/>
            </w14:solidFill>
          </w14:textFill>
        </w:rPr>
        <w:t>3.3.1油品泄漏引起的环境污染事故</w:t>
      </w:r>
      <w:bookmarkEnd w:id="334"/>
      <w:bookmarkEnd w:id="335"/>
      <w:bookmarkEnd w:id="336"/>
      <w:bookmarkEnd w:id="337"/>
      <w:bookmarkEnd w:id="338"/>
      <w:bookmarkEnd w:id="339"/>
      <w:bookmarkEnd w:id="340"/>
      <w:bookmarkEnd w:id="341"/>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1、事故类型</w:t>
      </w:r>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本加油站可能发生的事故主要有储油罐破损油品渗漏引起土壤及地下水的污染；输油管线发生意外事故或工人操作失误时产生的泄漏以及由此引起的火灾及爆炸对人身安全及周围环境产生的危害。根据风险识别，本加油站主要存在的事故类型有：</w:t>
      </w:r>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a、储罐破损油品渗漏引起土壤及地下水的污染；</w:t>
      </w:r>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b、储油区油品溢出或泄漏后遇明火发生火灾、爆炸事故，从而引起对周边环境空气和地表水环境影响；</w:t>
      </w:r>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2、事故原因</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（1）储油罐体泄露原因分析</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由于年限较长，储油罐体管壁腐蚀，致使油类泄漏；</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在加油过程中，由于操作失误，致使油类泄漏；</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各个管道接口不严，跑、冒、滴、漏现象的发生。</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（2）储油罐体溢出原因分析</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bookmarkStart w:id="343" w:name="_Toc219195846"/>
      <w:r>
        <w:rPr>
          <w:rFonts w:ascii="Times New Roman" w:hAnsi="Times New Roman" w:cs="Times New Roman"/>
          <w:color w:val="000000" w:themeColor="text1"/>
          <w:sz w:val="24"/>
          <w:szCs w:val="24"/>
          <w14:textFill>
            <w14:solidFill>
              <w14:schemeClr w14:val="tx1"/>
            </w14:solidFill>
          </w14:textFill>
        </w:rPr>
        <w:t>储油罐计量仪表失灵，至使储油罐加油过程中灌满溢出；</w:t>
      </w:r>
      <w:bookmarkEnd w:id="343"/>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为储油罐加油过程中，由于存在气障、气阻，至使油类溢出；</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在加油过程中，由于接口不同，衔接不严密，致使油类溢出。</w:t>
      </w:r>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项目在储罐区设置有检查井，加油站每天安排专人对项目区内油罐区进行检查，当地埋油罐发生泄漏时，采取倒罐或移库的方式将泄漏油罐油品转移；当发现油罐区和加油区发生油品泄漏时，设置围堰，用干消防沙对泄漏油品进行吸附回收，当泄漏量较大时用防爆油泵等器材回收。通过采取相应措施后油品泄露对地下水环</w:t>
      </w:r>
      <w:r>
        <w:rPr>
          <w:rFonts w:ascii="Times New Roman" w:hAnsi="Times New Roman" w:cs="Times New Roman"/>
          <w:color w:val="000000" w:themeColor="text1"/>
          <w:sz w:val="24"/>
          <w:szCs w:val="24"/>
          <w:lang w:val="zh-CN"/>
          <w14:textFill>
            <w14:solidFill>
              <w14:schemeClr w14:val="tx1"/>
            </w14:solidFill>
          </w14:textFill>
        </w:rPr>
        <w:t>境及土壤环境影响不大。</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44" w:name="_Toc5613_WPSOffice_Level3"/>
      <w:bookmarkStart w:id="345" w:name="_Toc18819"/>
      <w:bookmarkStart w:id="346" w:name="_Toc22532_WPSOffice_Level3"/>
      <w:bookmarkStart w:id="347" w:name="_Toc10364_WPSOffice_Level3"/>
      <w:bookmarkStart w:id="348" w:name="_Toc8330_WPSOffice_Level3"/>
      <w:bookmarkStart w:id="349" w:name="_Toc3502_WPSOffice_Level3"/>
      <w:bookmarkStart w:id="350" w:name="_Toc532817036"/>
      <w:bookmarkStart w:id="351" w:name="_Toc12941"/>
      <w:r>
        <w:rPr>
          <w:rFonts w:ascii="Times New Roman" w:hAnsi="Times New Roman" w:cs="Times New Roman"/>
          <w:b/>
          <w:bCs/>
          <w:color w:val="000000" w:themeColor="text1"/>
          <w:kern w:val="44"/>
          <w:sz w:val="24"/>
          <w:szCs w:val="24"/>
          <w14:textFill>
            <w14:solidFill>
              <w14:schemeClr w14:val="tx1"/>
            </w14:solidFill>
          </w14:textFill>
        </w:rPr>
        <w:t>3.3.2 火灾、爆炸事故环境影响</w:t>
      </w:r>
      <w:bookmarkEnd w:id="344"/>
      <w:bookmarkEnd w:id="345"/>
      <w:bookmarkEnd w:id="346"/>
      <w:bookmarkEnd w:id="347"/>
      <w:bookmarkEnd w:id="348"/>
      <w:bookmarkEnd w:id="349"/>
      <w:bookmarkEnd w:id="350"/>
      <w:bookmarkEnd w:id="351"/>
    </w:p>
    <w:p>
      <w:pPr>
        <w:spacing w:line="360" w:lineRule="auto"/>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储油区油品溢出或泄漏后遇明火发生火灾、爆炸事故，从而引起对周边环境空气和地表水环境影响。</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火灾、爆炸事故原因分析：</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由于加油作业人员操作不当，其他人员不能遵守加油站的相关规定，导致油品发生火灾或爆炸事故；</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由于跑、冒、滴、漏等造成加油站局部空气周围汽油密度较大，达到爆炸极限，遇火源可能产生的事故；</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由于避雷系统缺陷产生的雷击火花，造成油品发生火灾或爆炸事故。</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油品发生火灾或爆炸后，汽油燃烧会产生NOx、CO等，呈无组织排放，造成周边环境空气污染。由于站区面积不大，当发生事故时，通过及时采取灭火措施后，火灾情况可以得到有效的控制，火灾产生的废气将得到有效的控制，对周边环境影响不大。</w:t>
      </w:r>
      <w:bookmarkEnd w:id="342"/>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52" w:name="_Toc532817037"/>
      <w:bookmarkStart w:id="353" w:name="_Toc21297_WPSOffice_Level3"/>
      <w:bookmarkStart w:id="354" w:name="_Toc27302"/>
      <w:bookmarkStart w:id="355" w:name="_Toc27543_WPSOffice_Level3"/>
      <w:bookmarkStart w:id="356" w:name="_Toc21341_WPSOffice_Level3"/>
      <w:bookmarkStart w:id="357" w:name="_Toc8032_WPSOffice_Level3"/>
      <w:bookmarkStart w:id="358" w:name="_Toc19979_WPSOffice_Level3"/>
      <w:bookmarkStart w:id="359" w:name="_Toc19600"/>
      <w:r>
        <w:rPr>
          <w:rFonts w:ascii="Times New Roman" w:hAnsi="Times New Roman" w:cs="Times New Roman"/>
          <w:b/>
          <w:bCs/>
          <w:color w:val="000000" w:themeColor="text1"/>
          <w:kern w:val="44"/>
          <w:sz w:val="24"/>
          <w:szCs w:val="24"/>
          <w14:textFill>
            <w14:solidFill>
              <w14:schemeClr w14:val="tx1"/>
            </w14:solidFill>
          </w14:textFill>
        </w:rPr>
        <w:t>3.3.3小结</w:t>
      </w:r>
      <w:bookmarkEnd w:id="352"/>
      <w:bookmarkEnd w:id="353"/>
      <w:bookmarkEnd w:id="354"/>
      <w:bookmarkEnd w:id="355"/>
      <w:bookmarkEnd w:id="356"/>
      <w:bookmarkEnd w:id="357"/>
      <w:bookmarkEnd w:id="358"/>
      <w:bookmarkEnd w:id="359"/>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根据各类突发环境事件情景及源强分析，从地表水、地下水、土壤、大气、人口及至社会等方面考虑，中国石油天然气股份有限公司江西南昌启航加油站发生突发环境事件时可能产生的后果及其环境影响如下表3-5：</w:t>
      </w:r>
    </w:p>
    <w:p>
      <w:pPr>
        <w:widowControl/>
        <w:autoSpaceDE w:val="0"/>
        <w:autoSpaceDN w:val="0"/>
        <w:jc w:val="center"/>
        <w:rPr>
          <w:rFonts w:ascii="Times New Roman" w:hAnsi="Times New Roman" w:cs="Times New Roman"/>
          <w:b/>
          <w:color w:val="000000" w:themeColor="text1"/>
          <w:kern w:val="0"/>
          <w:szCs w:val="21"/>
          <w14:textFill>
            <w14:solidFill>
              <w14:schemeClr w14:val="tx1"/>
            </w14:solidFill>
          </w14:textFill>
        </w:rPr>
      </w:pPr>
      <w:r>
        <w:rPr>
          <w:rFonts w:ascii="Times New Roman" w:hAnsi="Times New Roman" w:cs="Times New Roman"/>
          <w:b/>
          <w:color w:val="000000" w:themeColor="text1"/>
          <w:kern w:val="0"/>
          <w:szCs w:val="21"/>
          <w14:textFill>
            <w14:solidFill>
              <w14:schemeClr w14:val="tx1"/>
            </w14:solidFill>
          </w14:textFill>
        </w:rPr>
        <w:t>表3-5 各类突发环境事件可能产生的后果及其环境影响汇总表</w:t>
      </w:r>
    </w:p>
    <w:tbl>
      <w:tblPr>
        <w:tblStyle w:val="16"/>
        <w:tblW w:w="94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1"/>
        <w:gridCol w:w="1068"/>
        <w:gridCol w:w="5685"/>
        <w:gridCol w:w="1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tblHeader/>
          <w:jc w:val="center"/>
        </w:trPr>
        <w:tc>
          <w:tcPr>
            <w:tcW w:w="1331" w:type="dxa"/>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危险源</w:t>
            </w:r>
          </w:p>
        </w:tc>
        <w:tc>
          <w:tcPr>
            <w:tcW w:w="1068" w:type="dxa"/>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突发环境事件类型</w:t>
            </w:r>
          </w:p>
        </w:tc>
        <w:tc>
          <w:tcPr>
            <w:tcW w:w="5685" w:type="dxa"/>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影响程度及范围</w:t>
            </w:r>
          </w:p>
        </w:tc>
        <w:tc>
          <w:tcPr>
            <w:tcW w:w="1334" w:type="dxa"/>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受影响</w:t>
            </w:r>
          </w:p>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环境要素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331" w:type="dxa"/>
            <w:vMerge w:val="restart"/>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卸油区</w:t>
            </w:r>
          </w:p>
          <w:p>
            <w:pPr>
              <w:jc w:val="center"/>
              <w:rPr>
                <w:rFonts w:ascii="Times New Roman" w:hAnsi="Times New Roman" w:cs="Times New Roman"/>
                <w:color w:val="000000" w:themeColor="text1"/>
                <w:szCs w:val="21"/>
                <w14:textFill>
                  <w14:solidFill>
                    <w14:schemeClr w14:val="tx1"/>
                  </w14:solidFill>
                </w14:textFill>
              </w:rPr>
            </w:pP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加油区</w:t>
            </w:r>
          </w:p>
          <w:p>
            <w:pPr>
              <w:jc w:val="center"/>
              <w:rPr>
                <w:rFonts w:ascii="Times New Roman" w:hAnsi="Times New Roman" w:cs="Times New Roman"/>
                <w:color w:val="000000" w:themeColor="text1"/>
                <w:szCs w:val="21"/>
                <w14:textFill>
                  <w14:solidFill>
                    <w14:schemeClr w14:val="tx1"/>
                  </w14:solidFill>
                </w14:textFill>
              </w:rPr>
            </w:pP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油罐区</w:t>
            </w:r>
          </w:p>
        </w:tc>
        <w:tc>
          <w:tcPr>
            <w:tcW w:w="1068"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泄漏</w:t>
            </w:r>
          </w:p>
        </w:tc>
        <w:tc>
          <w:tcPr>
            <w:tcW w:w="5685" w:type="dxa"/>
            <w:vAlign w:val="center"/>
          </w:tcPr>
          <w:p>
            <w:pPr>
              <w:widowControl/>
              <w:rPr>
                <w:rFonts w:ascii="Times New Roman" w:hAnsi="Times New Roman" w:cs="Times New Roman"/>
                <w:bCs/>
                <w:color w:val="000000" w:themeColor="text1"/>
                <w:kern w:val="0"/>
                <w:szCs w:val="21"/>
                <w14:textFill>
                  <w14:solidFill>
                    <w14:schemeClr w14:val="tx1"/>
                  </w14:solidFill>
                </w14:textFill>
              </w:rPr>
            </w:pPr>
            <w:r>
              <w:rPr>
                <w:rFonts w:ascii="Times New Roman" w:hAnsi="Times New Roman" w:cs="Times New Roman"/>
                <w:bCs/>
                <w:color w:val="000000" w:themeColor="text1"/>
                <w:kern w:val="0"/>
                <w:szCs w:val="21"/>
                <w14:textFill>
                  <w14:solidFill>
                    <w14:schemeClr w14:val="tx1"/>
                  </w14:solidFill>
                </w14:textFill>
              </w:rPr>
              <w:t>将影响加油站</w:t>
            </w:r>
            <w:r>
              <w:rPr>
                <w:rFonts w:hint="eastAsia" w:ascii="Times New Roman" w:hAnsi="Times New Roman" w:cs="Times New Roman"/>
                <w:bCs/>
                <w:color w:val="000000" w:themeColor="text1"/>
                <w:kern w:val="0"/>
                <w:szCs w:val="21"/>
                <w14:textFill>
                  <w14:solidFill>
                    <w14:schemeClr w14:val="tx1"/>
                  </w14:solidFill>
                </w14:textFill>
              </w:rPr>
              <w:t>西北面7.5</w:t>
            </w:r>
            <w:r>
              <w:rPr>
                <w:rFonts w:ascii="Times New Roman" w:hAnsi="Times New Roman" w:cs="Times New Roman"/>
                <w:bCs/>
                <w:color w:val="000000" w:themeColor="text1"/>
                <w:kern w:val="0"/>
                <w:szCs w:val="21"/>
                <w14:textFill>
                  <w14:solidFill>
                    <w14:schemeClr w14:val="tx1"/>
                  </w14:solidFill>
                </w14:textFill>
              </w:rPr>
              <w:t>km</w:t>
            </w:r>
            <w:r>
              <w:rPr>
                <w:rFonts w:hint="eastAsia" w:ascii="Times New Roman" w:hAnsi="Times New Roman" w:cs="Times New Roman"/>
                <w:bCs/>
                <w:color w:val="000000" w:themeColor="text1"/>
                <w:kern w:val="0"/>
                <w:szCs w:val="21"/>
                <w14:textFill>
                  <w14:solidFill>
                    <w14:schemeClr w14:val="tx1"/>
                  </w14:solidFill>
                </w14:textFill>
              </w:rPr>
              <w:t>的赣江以及西面</w:t>
            </w:r>
            <w:r>
              <w:rPr>
                <w:rFonts w:ascii="Times New Roman" w:hAnsi="Times New Roman" w:cs="Times New Roman"/>
                <w:bCs/>
                <w:color w:val="000000" w:themeColor="text1"/>
                <w:kern w:val="0"/>
                <w:szCs w:val="21"/>
                <w14:textFill>
                  <w14:solidFill>
                    <w14:schemeClr w14:val="tx1"/>
                  </w14:solidFill>
                </w14:textFill>
              </w:rPr>
              <w:t>420m</w:t>
            </w:r>
            <w:r>
              <w:rPr>
                <w:rFonts w:hint="eastAsia" w:ascii="Times New Roman" w:hAnsi="Times New Roman" w:cs="Times New Roman"/>
                <w:bCs/>
                <w:color w:val="000000" w:themeColor="text1"/>
                <w:kern w:val="0"/>
                <w:szCs w:val="21"/>
                <w14:textFill>
                  <w14:solidFill>
                    <w14:schemeClr w14:val="tx1"/>
                  </w14:solidFill>
                </w14:textFill>
              </w:rPr>
              <w:t>的瑶湖</w:t>
            </w:r>
            <w:r>
              <w:rPr>
                <w:rFonts w:ascii="Times New Roman" w:hAnsi="Times New Roman" w:cs="Times New Roman"/>
                <w:bCs/>
                <w:color w:val="000000" w:themeColor="text1"/>
                <w:kern w:val="0"/>
                <w:szCs w:val="21"/>
                <w14:textFill>
                  <w14:solidFill>
                    <w14:schemeClr w14:val="tx1"/>
                  </w14:solidFill>
                </w14:textFill>
              </w:rPr>
              <w:t>及沿途地下水与土壤造成严重污染。</w:t>
            </w:r>
          </w:p>
        </w:tc>
        <w:tc>
          <w:tcPr>
            <w:tcW w:w="133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地表水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地下水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5" w:hRule="atLeast"/>
          <w:jc w:val="center"/>
        </w:trPr>
        <w:tc>
          <w:tcPr>
            <w:tcW w:w="1331" w:type="dxa"/>
            <w:vMerge w:val="continue"/>
            <w:vAlign w:val="center"/>
          </w:tcPr>
          <w:p>
            <w:pPr>
              <w:jc w:val="center"/>
              <w:rPr>
                <w:rFonts w:ascii="Times New Roman" w:hAnsi="Times New Roman" w:cs="Times New Roman"/>
                <w:color w:val="000000" w:themeColor="text1"/>
                <w:szCs w:val="21"/>
                <w14:textFill>
                  <w14:solidFill>
                    <w14:schemeClr w14:val="tx1"/>
                  </w14:solidFill>
                </w14:textFill>
              </w:rPr>
            </w:pPr>
          </w:p>
        </w:tc>
        <w:tc>
          <w:tcPr>
            <w:tcW w:w="1068"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火灾</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爆炸</w:t>
            </w:r>
          </w:p>
        </w:tc>
        <w:tc>
          <w:tcPr>
            <w:tcW w:w="5685" w:type="dxa"/>
            <w:vAlign w:val="center"/>
          </w:tcPr>
          <w:p>
            <w:pP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可能导致与事故发生点不同距离处出现死亡、重伤、轻伤及经济财产损失；同时物料燃烧过程中将向大气中以无组织形式排放烟尘、氮氧化物、二氧化碳等大气污染物；存在消防废水、事故后期洗消废水外溢出厂外，影响</w:t>
            </w:r>
            <w:r>
              <w:rPr>
                <w:rFonts w:hint="eastAsia" w:ascii="Times New Roman" w:hAnsi="Times New Roman" w:cs="Times New Roman"/>
                <w:color w:val="000000" w:themeColor="text1"/>
                <w:szCs w:val="21"/>
                <w14:textFill>
                  <w14:solidFill>
                    <w14:schemeClr w14:val="tx1"/>
                  </w14:solidFill>
                </w14:textFill>
              </w:rPr>
              <w:t>加油站西北面7.5km的赣江以及西面420m的瑶湖及沿途地下水与土壤造成严重污染</w:t>
            </w:r>
            <w:r>
              <w:rPr>
                <w:rFonts w:ascii="Times New Roman" w:hAnsi="Times New Roman" w:cs="Times New Roman"/>
                <w:color w:val="000000" w:themeColor="text1"/>
                <w:szCs w:val="21"/>
                <w14:textFill>
                  <w14:solidFill>
                    <w14:schemeClr w14:val="tx1"/>
                  </w14:solidFill>
                </w14:textFill>
              </w:rPr>
              <w:t>。事故本身及事故后加油站毁坏状态将明显破坏区域的环境景观。</w:t>
            </w:r>
          </w:p>
        </w:tc>
        <w:tc>
          <w:tcPr>
            <w:tcW w:w="133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大气</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地表水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地下水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生态环境</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331"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化粪池等污水处理设施</w:t>
            </w:r>
          </w:p>
        </w:tc>
        <w:tc>
          <w:tcPr>
            <w:tcW w:w="1068"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泄漏</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运行异常</w:t>
            </w:r>
          </w:p>
        </w:tc>
        <w:tc>
          <w:tcPr>
            <w:tcW w:w="5685" w:type="dxa"/>
            <w:vAlign w:val="center"/>
          </w:tcPr>
          <w:p>
            <w:pPr>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加油站西北面7.5km的赣江以及西面420m的瑶湖及沿途地下水与土壤造成严重污染</w:t>
            </w:r>
          </w:p>
        </w:tc>
        <w:tc>
          <w:tcPr>
            <w:tcW w:w="1334"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地表水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地下水</w:t>
            </w:r>
          </w:p>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331" w:type="dxa"/>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站内各用电单元</w:t>
            </w:r>
          </w:p>
        </w:tc>
        <w:tc>
          <w:tcPr>
            <w:tcW w:w="8087" w:type="dxa"/>
            <w:gridSpan w:val="3"/>
            <w:vAlign w:val="center"/>
          </w:tcPr>
          <w:p>
            <w:pP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同各危险源发生火灾、爆炸事故时的影响。</w:t>
            </w:r>
          </w:p>
        </w:tc>
      </w:tr>
    </w:tbl>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360" w:name="_Toc532817038"/>
      <w:bookmarkStart w:id="361" w:name="_Toc1190_WPSOffice_Level2"/>
      <w:bookmarkStart w:id="362" w:name="_Toc8889_WPSOffice_Level2"/>
      <w:bookmarkStart w:id="363" w:name="_Toc653_WPSOffice_Level2"/>
      <w:bookmarkStart w:id="364" w:name="_Toc24083"/>
      <w:bookmarkStart w:id="365" w:name="_Toc12429_WPSOffice_Level2"/>
      <w:bookmarkStart w:id="366" w:name="_Toc6108_WPSOffice_Level2"/>
      <w:bookmarkStart w:id="367" w:name="_Toc29714"/>
      <w:r>
        <w:rPr>
          <w:rFonts w:ascii="Times New Roman" w:hAnsi="Times New Roman" w:cs="Times New Roman"/>
          <w:b/>
          <w:bCs/>
          <w:color w:val="000000" w:themeColor="text1"/>
          <w:kern w:val="44"/>
          <w:sz w:val="24"/>
          <w:szCs w:val="24"/>
          <w14:textFill>
            <w14:solidFill>
              <w14:schemeClr w14:val="tx1"/>
            </w14:solidFill>
          </w14:textFill>
        </w:rPr>
        <w:t>3.4风险事故管理</w:t>
      </w:r>
      <w:bookmarkEnd w:id="360"/>
      <w:bookmarkEnd w:id="361"/>
      <w:bookmarkEnd w:id="362"/>
      <w:bookmarkEnd w:id="363"/>
      <w:bookmarkEnd w:id="364"/>
      <w:bookmarkEnd w:id="365"/>
      <w:bookmarkEnd w:id="366"/>
      <w:bookmarkEnd w:id="367"/>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公司制定了《安全生产管理制度》和《环境保护管理制度》，贯彻落实国家安全、环保法律法规的要求，不断的制定和完善生产、设备安全规程，做到管理防范在先，安全环保管理部门要按时按要求进行检查，使企业生产管理始终在正确的轨道上运行，对公司易发生风险事故的环节进行严格管理，强化各级责任制落实，严格环境风险源的控制管理，防止环境污染事件发生。</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68" w:name="_Toc14017_WPSOffice_Level3"/>
      <w:bookmarkStart w:id="369" w:name="_Toc25951_WPSOffice_Level3"/>
      <w:bookmarkStart w:id="370" w:name="_Toc532817039"/>
      <w:bookmarkStart w:id="371" w:name="_Toc25316_WPSOffice_Level3"/>
      <w:bookmarkStart w:id="372" w:name="_Toc1190_WPSOffice_Level3"/>
      <w:bookmarkStart w:id="373" w:name="_Toc30116_WPSOffice_Level3"/>
      <w:bookmarkStart w:id="374" w:name="_Toc22333"/>
      <w:bookmarkStart w:id="375" w:name="_Toc27034"/>
      <w:r>
        <w:rPr>
          <w:rFonts w:ascii="Times New Roman" w:hAnsi="Times New Roman" w:cs="Times New Roman"/>
          <w:b/>
          <w:bCs/>
          <w:color w:val="000000" w:themeColor="text1"/>
          <w:kern w:val="44"/>
          <w:sz w:val="24"/>
          <w:szCs w:val="24"/>
          <w14:textFill>
            <w14:solidFill>
              <w14:schemeClr w14:val="tx1"/>
            </w14:solidFill>
          </w14:textFill>
        </w:rPr>
        <w:t>3.4.1</w:t>
      </w:r>
      <w:bookmarkStart w:id="376" w:name="OLE_LINK9"/>
      <w:r>
        <w:rPr>
          <w:rFonts w:ascii="Times New Roman" w:hAnsi="Times New Roman" w:cs="Times New Roman"/>
          <w:b/>
          <w:bCs/>
          <w:color w:val="000000" w:themeColor="text1"/>
          <w:kern w:val="44"/>
          <w:sz w:val="24"/>
          <w:szCs w:val="24"/>
          <w14:textFill>
            <w14:solidFill>
              <w14:schemeClr w14:val="tx1"/>
            </w14:solidFill>
          </w14:textFill>
        </w:rPr>
        <w:t>环境事故预防措施</w:t>
      </w:r>
      <w:bookmarkEnd w:id="368"/>
      <w:bookmarkEnd w:id="369"/>
      <w:bookmarkEnd w:id="370"/>
      <w:bookmarkEnd w:id="371"/>
      <w:bookmarkEnd w:id="372"/>
      <w:bookmarkEnd w:id="373"/>
      <w:bookmarkEnd w:id="374"/>
      <w:bookmarkEnd w:id="375"/>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bookmarkStart w:id="377" w:name="OLE_LINK7"/>
      <w:r>
        <w:rPr>
          <w:rFonts w:ascii="Times New Roman" w:hAnsi="Times New Roman" w:cs="Times New Roman"/>
          <w:color w:val="000000" w:themeColor="text1"/>
          <w:sz w:val="24"/>
          <w:szCs w:val="24"/>
          <w14:textFill>
            <w14:solidFill>
              <w14:schemeClr w14:val="tx1"/>
            </w14:solidFill>
          </w14:textFill>
        </w:rPr>
        <w:t>由于加油站环境风险具有突发性和短暂性及危害较大等特点，必须采取相应有效预防措施加以防范，加强控制和管理，杜绝、减轻和避免环境风险。在项目运营过程中可采取以下安全防范措施：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（1）放置储油罐体的罐池内回填厚度大于0.3m的干净砂土，同时也防止回填土含酸碱的废渣，对储油罐体加剧腐蚀；</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（2）增加高液位报警系统，及时掌握储油罐情况，如果发生泄漏能够及时发现，及时采取措施；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（3）储油罐体的各接合管设在储油罐的顶部，便于平时的检修与管理，避免现场安装开孔，有可能出现焊接不良和接管受力大，容易发生断裂而造成的跑油、渗油等不安全事故；</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（4）加油站设置符合标准的灭火设施；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（5）加油站设置防雷防静电设施，并经过避雷装置检测站检测及复查合格；</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（6）加强对项目周围大气和水环境的监测，对油品的泄露要及时掌握，防止油品的泄露对周围大气、土壤、水环境造成危害；</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（7）建立一套完善的安全管理制度，执行工业安全卫生、劳动保护、环保、消防等相关规定；</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（8）加强对储油罐体渗漏事故的防护，对储油罐法兰、阀门等进行定期检测。一旦发生火灾爆炸，要尽快使用已有的消防设施扑救，疏散周围非急救人员，远离事故区；</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（9）加强对加油机灭火装置的日常管理，做到灭火装置完整有效，一旦发生加油机火灾、爆炸事故时能及时启动，进行灭火；</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（10）加油站电气设备和仪表均选用防爆型，灯具也应选防爆灯具，加强管理，严禁区内有明火出现；</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（11）加油站若出现意外撒油，立即用消防沙吸附清除地面的油污；</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12）为了避免油品事故泄漏对土壤环境和地下水环境的影响，加油站地下油罐罐池采用六胶三布防渗防腐防水处理，同时对埋地管线采取环氧煤沥青加强级防腐处理，并设有卸油、加油密闭油气回收装置。油罐设置在防腐防渗钢混水泥罐池内，池底壁内衬防腐防渗。为防止卸油时油罐溢满，已在卸油管立管处安装卸油防溢阀。为保护埋地敷设的防腐层，管底部做沙垫层，厚度大于200mm，管顶部及两侧填沙厚度均大于200mm。然后做硬化地面处理，建议安装监控设施，杜绝油品泄漏。</w:t>
      </w:r>
    </w:p>
    <w:bookmarkEnd w:id="376"/>
    <w:bookmarkEnd w:id="377"/>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378" w:name="_Toc532817040"/>
      <w:bookmarkStart w:id="379" w:name="_Toc3780_WPSOffice_Level3"/>
      <w:bookmarkStart w:id="380" w:name="_Toc20861_WPSOffice_Level3"/>
      <w:bookmarkStart w:id="381" w:name="_Toc21902_WPSOffice_Level3"/>
      <w:bookmarkStart w:id="382" w:name="_Toc28228_WPSOffice_Level3"/>
      <w:bookmarkStart w:id="383" w:name="_Toc10653"/>
      <w:bookmarkStart w:id="384" w:name="_Toc30192_WPSOffice_Level3"/>
      <w:bookmarkStart w:id="385" w:name="_Toc7880"/>
      <w:r>
        <w:rPr>
          <w:rFonts w:ascii="Times New Roman" w:hAnsi="Times New Roman" w:cs="Times New Roman"/>
          <w:b/>
          <w:bCs/>
          <w:color w:val="000000" w:themeColor="text1"/>
          <w:kern w:val="44"/>
          <w:sz w:val="24"/>
          <w:szCs w:val="24"/>
          <w14:textFill>
            <w14:solidFill>
              <w14:schemeClr w14:val="tx1"/>
            </w14:solidFill>
          </w14:textFill>
        </w:rPr>
        <w:t>3.4.2环境事故发生后措施</w:t>
      </w:r>
      <w:bookmarkEnd w:id="378"/>
      <w:bookmarkEnd w:id="379"/>
      <w:bookmarkEnd w:id="380"/>
      <w:bookmarkEnd w:id="381"/>
      <w:bookmarkEnd w:id="382"/>
      <w:bookmarkEnd w:id="383"/>
      <w:bookmarkEnd w:id="384"/>
      <w:bookmarkEnd w:id="385"/>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bookmarkStart w:id="386" w:name="OLE_LINK4"/>
      <w:r>
        <w:rPr>
          <w:rFonts w:ascii="Times New Roman" w:hAnsi="Times New Roman" w:cs="Times New Roman"/>
          <w:b/>
          <w:bCs/>
          <w:color w:val="000000" w:themeColor="text1"/>
          <w:sz w:val="24"/>
          <w:szCs w:val="24"/>
          <w14:textFill>
            <w14:solidFill>
              <w14:schemeClr w14:val="tx1"/>
            </w14:solidFill>
          </w14:textFill>
        </w:rPr>
        <w:t>（1）加油机跑油事故处理措施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加油员应立即停止加油，放空回油，关闭加油阀，切断加油机电源。</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暂停所有加油活动，其他加油员将加油车辆推离加油站。现场站长或当班安全员负责疏散周围车辆和闲散人员，并指派一名加油员现场警戒。</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3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其他加油员用棉纱、拖把等进行必要的回收，严禁用铁制、塑料等易产生火花的器皿进行回收，回收后用沙土覆盖残留油面，待充分吸收残油后将沙土清除干净。</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4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地面油品处理干净后，现场班长宣布恢复加油作业。</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（2）罐车卸油冒罐处理措施</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当罐车卸油冒罐时计量保管员及时关闭储油罐卸油阀，切断总电源，停止营业，并向站长（或现场班长）汇报。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必要时报告公安消防部门，以便临时封堵附近的交通道路，站长（或现场班长）及时组织人员进行现场警戒，疏散站内人员，推出站内车辆，检查并消除附近的一切火源；制止其他车辆和人员进入加油站。</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3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在溢油处上风向，布置消防器材。</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4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对现场已冒油品用沙土、活性炭等围住、吸附，并进行必要的回收，禁止用铁制等易产生火花的器具作回收工具。回收后用沙土覆盖残留油品，待充分吸收残油后将沙土清除干净。</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5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给被油品溅泼的人员提供援助；通知毗邻单位或居民，注意危险。</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6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⑥</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检查井内是否有残油，若有残油应及时清理干净，并检查其他可能产生危险的区域是否有隐患存在。</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7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⑦</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计量确定跑冒油损失数量，做好记录台帐。</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8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⑧</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检查确认无其他隐患后，方可恢复营业。</w:t>
      </w:r>
    </w:p>
    <w:p>
      <w:pPr>
        <w:spacing w:line="48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（3）加油站车辆火灾处理措施</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如果是车辆的油箱口着火，加油员立即用石棉毯将油箱口盖住使其窒息，另外一名加油员用灭火器扑救。</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如果是摩托车发动机着火，加油站应立即停止加油，先设法将油箱盖盖上或用灭火毯盖住，再用灭火器扑灭。</w:t>
      </w:r>
    </w:p>
    <w:p>
      <w:pPr>
        <w:spacing w:line="48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（4）油罐汽车火灾处理措施</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加油员立即关闭罐车卸油阀，停止卸油。</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司机迅速将罐车驶离现场，将车开到开阔安全的地方再进行扑救。</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3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加油站工作人员应拨打119火警电话，请求外援。</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4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向所属地环保部门报告。电话：</w:t>
      </w:r>
      <w:r>
        <w:rPr>
          <w:rFonts w:ascii="Times New Roman" w:hAnsi="Times New Roman" w:eastAsia="仿宋" w:cs="Times New Roman"/>
          <w:sz w:val="24"/>
          <w:szCs w:val="24"/>
          <w:lang w:val="zh-CN"/>
        </w:rPr>
        <w:t>0791-</w:t>
      </w:r>
      <w:r>
        <w:rPr>
          <w:rFonts w:ascii="Times New Roman" w:hAnsi="Times New Roman" w:eastAsia="宋体" w:cs="Times New Roman"/>
          <w:sz w:val="24"/>
          <w:szCs w:val="24"/>
        </w:rPr>
        <w:t xml:space="preserve"> </w:t>
      </w:r>
      <w:r>
        <w:rPr>
          <w:rFonts w:ascii="Times New Roman" w:hAnsi="Times New Roman" w:eastAsia="仿宋" w:cs="Times New Roman"/>
          <w:sz w:val="24"/>
          <w:szCs w:val="24"/>
        </w:rPr>
        <w:t>83751288</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5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如油罐车罐口着火，可首先用石棉毯将罐口盖上，或使用其他覆盖物（如湿棉衣、湿麻袋等）堵严罐口将油火扑灭。当火势较猛时，应使用推车式及手提式干粉灭火器对准罐口将大火扑灭。</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6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⑥</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当专业消防人员尚未到达，且火势无法控制时，放弃扑救，现场站长立即将人员撤离到安全场所。</w:t>
      </w:r>
    </w:p>
    <w:p>
      <w:pPr>
        <w:spacing w:line="48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（5）站内大面积起火处理措施</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一人负责向当地消防部门报警（报警电话119），说明火灾类型及地点。</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站长组织在场人员利用现有消防器材扑灭油火。灭火人员按照灭火器材的使用方法，占据有利地形，从上风向由近及远扑灭地面火灾。</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3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在灭火同时，立即停止加油，关闭闸阀，包裹在储油罐体通气管，关闭操作井口，切断电源。</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4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疏散现场无关人员及车辆，清理疏通站内、外消防通道。</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5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消防车一到，加油站员工立即配合消防队按预定方案投入灭火救援。</w:t>
      </w:r>
    </w:p>
    <w:p>
      <w:pPr>
        <w:spacing w:line="48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（6）电气火灾处理措施</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发生电气火灾时，首先切断电源，然后用CO</w:t>
      </w:r>
      <w:r>
        <w:rPr>
          <w:rFonts w:ascii="Times New Roman" w:hAnsi="Times New Roman" w:cs="Times New Roman"/>
          <w:color w:val="000000" w:themeColor="text1"/>
          <w:sz w:val="24"/>
          <w:szCs w:val="24"/>
          <w:vertAlign w:val="subscript"/>
          <w14:textFill>
            <w14:solidFill>
              <w14:schemeClr w14:val="tx1"/>
            </w14:solidFill>
          </w14:textFill>
        </w:rPr>
        <w:t>2</w:t>
      </w:r>
      <w:r>
        <w:rPr>
          <w:rFonts w:ascii="Times New Roman" w:hAnsi="Times New Roman" w:cs="Times New Roman"/>
          <w:color w:val="000000" w:themeColor="text1"/>
          <w:sz w:val="24"/>
          <w:szCs w:val="24"/>
          <w14:textFill>
            <w14:solidFill>
              <w14:schemeClr w14:val="tx1"/>
            </w14:solidFill>
          </w14:textFill>
        </w:rPr>
        <w:t>或干粉灭火器扑灭。电气火灾严禁用泡沫灭火器对着火源喷射。</w:t>
      </w:r>
    </w:p>
    <w:p>
      <w:pPr>
        <w:spacing w:line="48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无法切断电源时，灭火者身着耐火并绝缘的鞋靴、服装，防止触电。然后用CO</w:t>
      </w:r>
      <w:r>
        <w:rPr>
          <w:rFonts w:ascii="Times New Roman" w:hAnsi="Times New Roman" w:cs="Times New Roman"/>
          <w:color w:val="000000" w:themeColor="text1"/>
          <w:sz w:val="24"/>
          <w:szCs w:val="24"/>
          <w:vertAlign w:val="subscript"/>
          <w14:textFill>
            <w14:solidFill>
              <w14:schemeClr w14:val="tx1"/>
            </w14:solidFill>
          </w14:textFill>
        </w:rPr>
        <w:t>2</w:t>
      </w:r>
      <w:r>
        <w:rPr>
          <w:rFonts w:ascii="Times New Roman" w:hAnsi="Times New Roman" w:cs="Times New Roman"/>
          <w:color w:val="000000" w:themeColor="text1"/>
          <w:sz w:val="24"/>
          <w:szCs w:val="24"/>
          <w14:textFill>
            <w14:solidFill>
              <w14:schemeClr w14:val="tx1"/>
            </w14:solidFill>
          </w14:textFill>
        </w:rPr>
        <w:t>或干粉灭火器对着火源喷射。</w:t>
      </w:r>
      <w:bookmarkEnd w:id="386"/>
      <w:bookmarkStart w:id="387" w:name="_Toc14991"/>
    </w:p>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pStyle w:val="4"/>
        <w:spacing w:before="240" w:after="240" w:line="500" w:lineRule="exact"/>
        <w:jc w:val="center"/>
        <w:rPr>
          <w:rFonts w:eastAsiaTheme="minorEastAsia"/>
          <w:color w:val="000000" w:themeColor="text1"/>
          <w:sz w:val="30"/>
          <w:szCs w:val="30"/>
          <w14:textFill>
            <w14:solidFill>
              <w14:schemeClr w14:val="tx1"/>
            </w14:solidFill>
          </w14:textFill>
        </w:rPr>
      </w:pPr>
      <w:bookmarkStart w:id="388" w:name="_Toc1190_WPSOffice_Level1"/>
      <w:bookmarkStart w:id="389" w:name="_Toc532817041"/>
      <w:bookmarkStart w:id="390" w:name="_Toc4176"/>
      <w:bookmarkStart w:id="391" w:name="_Toc24551_WPSOffice_Level1"/>
      <w:bookmarkStart w:id="392" w:name="_Toc14034_WPSOffice_Level1"/>
      <w:bookmarkStart w:id="393" w:name="_Toc29261_WPSOffice_Level1"/>
      <w:bookmarkStart w:id="394" w:name="_Toc3604_WPSOffice_Level1"/>
      <w:bookmarkStart w:id="395" w:name="_Toc28698"/>
      <w:r>
        <w:rPr>
          <w:rFonts w:eastAsiaTheme="minorEastAsia"/>
          <w:color w:val="000000" w:themeColor="text1"/>
          <w:sz w:val="30"/>
          <w:szCs w:val="30"/>
          <w14:textFill>
            <w14:solidFill>
              <w14:schemeClr w14:val="tx1"/>
            </w14:solidFill>
          </w14:textFill>
        </w:rPr>
        <w:t>4、组织机构和职责</w:t>
      </w:r>
      <w:bookmarkEnd w:id="388"/>
      <w:bookmarkEnd w:id="389"/>
      <w:bookmarkEnd w:id="390"/>
      <w:bookmarkEnd w:id="391"/>
      <w:bookmarkEnd w:id="392"/>
      <w:bookmarkEnd w:id="393"/>
      <w:bookmarkEnd w:id="394"/>
      <w:bookmarkEnd w:id="395"/>
    </w:p>
    <w:p>
      <w:pPr>
        <w:pStyle w:val="5"/>
        <w:spacing w:before="240" w:after="240" w:line="500" w:lineRule="exact"/>
        <w:jc w:val="left"/>
        <w:rPr>
          <w:rFonts w:ascii="Times New Roman" w:hAnsi="Times New Roman" w:cs="Times New Roman" w:eastAsiaTheme="minorEastAsia"/>
          <w:color w:val="000000" w:themeColor="text1"/>
          <w:sz w:val="24"/>
          <w:szCs w:val="24"/>
          <w14:textFill>
            <w14:solidFill>
              <w14:schemeClr w14:val="tx1"/>
            </w14:solidFill>
          </w14:textFill>
        </w:rPr>
      </w:pPr>
      <w:bookmarkStart w:id="396" w:name="_Toc22415"/>
      <w:bookmarkStart w:id="397" w:name="_Toc582_WPSOffice_Level2"/>
      <w:bookmarkStart w:id="398" w:name="_Toc14635_WPSOffice_Level2"/>
      <w:bookmarkStart w:id="399" w:name="_Toc28061_WPSOffice_Level2"/>
      <w:bookmarkStart w:id="400" w:name="_Toc13999"/>
      <w:bookmarkStart w:id="401" w:name="_Toc11939_WPSOffice_Level2"/>
      <w:bookmarkStart w:id="402" w:name="_Toc15473"/>
      <w:bookmarkStart w:id="403" w:name="_Toc14340_WPSOffice_Level2"/>
      <w:bookmarkStart w:id="404" w:name="_Toc532817042"/>
      <w:bookmarkStart w:id="405" w:name="_Toc21250"/>
      <w:r>
        <w:rPr>
          <w:rFonts w:ascii="Times New Roman" w:hAnsi="Times New Roman" w:cs="Times New Roman" w:eastAsiaTheme="minorEastAsia"/>
          <w:color w:val="000000" w:themeColor="text1"/>
          <w:sz w:val="24"/>
          <w:szCs w:val="24"/>
          <w14:textFill>
            <w14:solidFill>
              <w14:schemeClr w14:val="tx1"/>
            </w14:solidFill>
          </w14:textFill>
        </w:rPr>
        <w:t>4.1应急组织机构</w:t>
      </w:r>
      <w:bookmarkEnd w:id="396"/>
      <w:r>
        <w:rPr>
          <w:rFonts w:ascii="Times New Roman" w:hAnsi="Times New Roman" w:cs="Times New Roman" w:eastAsiaTheme="minorEastAsia"/>
          <w:color w:val="000000" w:themeColor="text1"/>
          <w:sz w:val="24"/>
          <w:szCs w:val="24"/>
          <w14:textFill>
            <w14:solidFill>
              <w14:schemeClr w14:val="tx1"/>
            </w14:solidFill>
          </w14:textFill>
        </w:rPr>
        <w:t>体系</w:t>
      </w:r>
      <w:bookmarkEnd w:id="397"/>
      <w:bookmarkEnd w:id="398"/>
      <w:bookmarkEnd w:id="399"/>
      <w:bookmarkEnd w:id="400"/>
      <w:bookmarkEnd w:id="401"/>
      <w:bookmarkEnd w:id="402"/>
      <w:bookmarkEnd w:id="403"/>
      <w:bookmarkEnd w:id="404"/>
      <w:bookmarkEnd w:id="405"/>
    </w:p>
    <w:p>
      <w:pPr>
        <w:pStyle w:val="30"/>
        <w:widowControl w:val="0"/>
        <w:spacing w:beforeAutospacing="0" w:afterAutospacing="0" w:line="500" w:lineRule="exact"/>
        <w:rPr>
          <w:rFonts w:hint="default" w:ascii="Times New Roman" w:hAnsi="Times New Roman" w:eastAsiaTheme="minorEastAsia"/>
          <w:color w:val="000000" w:themeColor="text1"/>
          <w:szCs w:val="24"/>
          <w14:textFill>
            <w14:solidFill>
              <w14:schemeClr w14:val="tx1"/>
            </w14:solidFill>
          </w14:textFill>
        </w:rPr>
      </w:pPr>
      <w:r>
        <w:rPr>
          <w:rFonts w:hint="default" w:ascii="Times New Roman" w:hAnsi="Times New Roman" w:eastAsiaTheme="minorEastAsia"/>
          <w:color w:val="000000" w:themeColor="text1"/>
          <w:szCs w:val="24"/>
          <w14:textFill>
            <w14:solidFill>
              <w14:schemeClr w14:val="tx1"/>
            </w14:solidFill>
          </w14:textFill>
        </w:rPr>
        <w:t>加油站成立突发性环境事件应急救援“指挥领导小组”，由公司片区经理、加油站站长、安全员、加油岗位加油员等组成,下设应急救援办公室(设在加油站办公室)，日常工作由安全员兼管，并由营业室协助事故报警及事故处理工作。发生突发性环境污染事故时，以指挥领导小组为基础，公司总经理任总指挥，站长任副总指挥，负责加油站应急救援工作的组织和指挥，指挥部设在加油站办公室。</w:t>
      </w:r>
    </w:p>
    <w:p>
      <w:pPr>
        <w:pStyle w:val="30"/>
        <w:widowControl w:val="0"/>
        <w:spacing w:beforeAutospacing="0" w:afterAutospacing="0" w:line="500" w:lineRule="exact"/>
        <w:rPr>
          <w:rFonts w:hint="default" w:ascii="Times New Roman" w:hAnsi="Times New Roman" w:eastAsiaTheme="minorEastAsia"/>
          <w:color w:val="000000" w:themeColor="text1"/>
          <w:szCs w:val="24"/>
          <w14:textFill>
            <w14:solidFill>
              <w14:schemeClr w14:val="tx1"/>
            </w14:solidFill>
          </w14:textFill>
        </w:rPr>
      </w:pPr>
      <w:r>
        <w:rPr>
          <w:rFonts w:hint="default" w:ascii="Times New Roman" w:hAnsi="Times New Roman" w:eastAsiaTheme="minorEastAsia"/>
          <w:color w:val="000000" w:themeColor="text1"/>
          <w:szCs w:val="24"/>
          <w14:textFill>
            <w14:solidFill>
              <w14:schemeClr w14:val="tx1"/>
            </w14:solidFill>
          </w14:textFill>
        </w:rPr>
        <w:t>突发环境事件应急指挥部根据加油站环境污染源实际情况，分别设立应急救援办公室、物资后勤保障组。应急指挥领导小组主要成员及组织结构、联系方式见附件5。突发环境事件应急救援组织机构见下图：</w:t>
      </w:r>
      <w:r>
        <w:drawing>
          <wp:anchor distT="0" distB="0" distL="114300" distR="114300" simplePos="0" relativeHeight="251698176" behindDoc="0" locked="0" layoutInCell="1" allowOverlap="1">
            <wp:simplePos x="0" y="0"/>
            <wp:positionH relativeFrom="margin">
              <wp:align>center</wp:align>
            </wp:positionH>
            <wp:positionV relativeFrom="paragraph">
              <wp:posOffset>8255</wp:posOffset>
            </wp:positionV>
            <wp:extent cx="4718050" cy="3434080"/>
            <wp:effectExtent l="0" t="0" r="6350" b="1016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718050" cy="3434080"/>
                    </a:xfrm>
                    <a:prstGeom prst="rect">
                      <a:avLst/>
                    </a:prstGeom>
                  </pic:spPr>
                </pic:pic>
              </a:graphicData>
            </a:graphic>
          </wp:anchor>
        </w:drawing>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06" w:name="_Toc8749_WPSOffice_Level2"/>
      <w:bookmarkStart w:id="407" w:name="_Toc27222"/>
      <w:bookmarkStart w:id="408" w:name="_Toc8148"/>
      <w:bookmarkStart w:id="409" w:name="_Toc18113"/>
      <w:bookmarkStart w:id="410" w:name="_Toc532817043"/>
      <w:bookmarkStart w:id="411" w:name="_Toc16749_WPSOffice_Level2"/>
      <w:bookmarkStart w:id="412" w:name="_Toc7502_WPSOffice_Level2"/>
      <w:bookmarkStart w:id="413" w:name="_Toc13324_WPSOffice_Level2"/>
      <w:bookmarkStart w:id="414" w:name="_Toc13494_WPSOffice_Level2"/>
      <w:bookmarkStart w:id="415" w:name="_Toc26979"/>
      <w:r>
        <w:rPr>
          <w:rFonts w:ascii="Times New Roman" w:hAnsi="Times New Roman" w:cs="Times New Roman"/>
          <w:b/>
          <w:bCs/>
          <w:color w:val="000000" w:themeColor="text1"/>
          <w:kern w:val="44"/>
          <w:sz w:val="24"/>
          <w:szCs w:val="24"/>
          <w14:textFill>
            <w14:solidFill>
              <w14:schemeClr w14:val="tx1"/>
            </w14:solidFill>
          </w14:textFill>
        </w:rPr>
        <w:t>4.2指挥机构及职责</w:t>
      </w:r>
      <w:bookmarkEnd w:id="406"/>
      <w:bookmarkEnd w:id="407"/>
      <w:bookmarkEnd w:id="408"/>
      <w:bookmarkEnd w:id="409"/>
      <w:bookmarkEnd w:id="410"/>
      <w:bookmarkEnd w:id="411"/>
      <w:bookmarkEnd w:id="412"/>
      <w:bookmarkEnd w:id="413"/>
      <w:bookmarkEnd w:id="414"/>
      <w:bookmarkEnd w:id="415"/>
    </w:p>
    <w:p>
      <w:pPr>
        <w:spacing w:line="500" w:lineRule="exact"/>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公司内部指挥机构</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一级指挥（总指挥）：</w:t>
      </w:r>
      <w:r>
        <w:rPr>
          <w:rFonts w:hint="eastAsia" w:ascii="Times New Roman" w:hAnsi="Times New Roman" w:cs="Times New Roman"/>
          <w:color w:val="000000" w:themeColor="text1"/>
          <w:sz w:val="24"/>
          <w:szCs w:val="24"/>
          <w14:textFill>
            <w14:solidFill>
              <w14:schemeClr w14:val="tx1"/>
            </w14:solidFill>
          </w14:textFill>
        </w:rPr>
        <w:t>陈俊</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二级指挥（副总指挥）：</w:t>
      </w:r>
      <w:r>
        <w:rPr>
          <w:rFonts w:hint="eastAsia" w:ascii="Times New Roman" w:hAnsi="Times New Roman" w:cs="Times New Roman"/>
          <w:color w:val="000000" w:themeColor="text1"/>
          <w:sz w:val="24"/>
          <w:szCs w:val="24"/>
          <w14:textFill>
            <w14:solidFill>
              <w14:schemeClr w14:val="tx1"/>
            </w14:solidFill>
          </w14:textFill>
        </w:rPr>
        <w:t>闫松</w:t>
      </w:r>
    </w:p>
    <w:p>
      <w:pPr>
        <w:pStyle w:val="2"/>
        <w:ind w:firstLine="480"/>
        <w:rPr>
          <w:rFonts w:ascii="Times New Roman" w:hAnsi="Times New Roman" w:eastAsiaTheme="minorEastAsia"/>
          <w:color w:val="000000" w:themeColor="text1"/>
          <w:spacing w:val="0"/>
          <w:szCs w:val="24"/>
          <w14:textFill>
            <w14:solidFill>
              <w14:schemeClr w14:val="tx1"/>
            </w14:solidFill>
          </w14:textFill>
        </w:rPr>
      </w:pPr>
      <w:r>
        <w:rPr>
          <w:rFonts w:hint="eastAsia" w:ascii="Times New Roman" w:hAnsi="Times New Roman" w:eastAsiaTheme="minorEastAsia"/>
          <w:color w:val="000000" w:themeColor="text1"/>
          <w:spacing w:val="0"/>
          <w:szCs w:val="24"/>
          <w14:textFill>
            <w14:solidFill>
              <w14:schemeClr w14:val="tx1"/>
            </w14:solidFill>
          </w14:textFill>
        </w:rPr>
        <w:t>应急</w:t>
      </w:r>
      <w:r>
        <w:rPr>
          <w:rFonts w:ascii="Times New Roman" w:hAnsi="Times New Roman" w:eastAsiaTheme="minorEastAsia"/>
          <w:color w:val="000000" w:themeColor="text1"/>
          <w:spacing w:val="0"/>
          <w:szCs w:val="24"/>
          <w14:textFill>
            <w14:solidFill>
              <w14:schemeClr w14:val="tx1"/>
            </w14:solidFill>
          </w14:textFill>
        </w:rPr>
        <w:t>救援办公室负责人：</w:t>
      </w:r>
      <w:r>
        <w:rPr>
          <w:rFonts w:hint="eastAsia" w:ascii="Times New Roman" w:hAnsi="Times New Roman" w:eastAsiaTheme="minorEastAsia"/>
          <w:color w:val="000000" w:themeColor="text1"/>
          <w:spacing w:val="0"/>
          <w:szCs w:val="24"/>
          <w14:textFill>
            <w14:solidFill>
              <w14:schemeClr w14:val="tx1"/>
            </w14:solidFill>
          </w14:textFill>
        </w:rPr>
        <w:t>闫松</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抢险救灾队：陈江</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警戒疏散队：张辉兰</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环境监测队：王华荣</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通讯及后勤保障队：钱颖慧</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医疗救护与善后处理队：涂玉琴</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公司值班电话：</w:t>
      </w:r>
      <w:r>
        <w:rPr>
          <w:rFonts w:hint="eastAsia" w:ascii="Times New Roman" w:hAnsi="Times New Roman" w:cs="Times New Roman"/>
          <w:color w:val="000000" w:themeColor="text1"/>
          <w:sz w:val="24"/>
          <w:szCs w:val="24"/>
          <w14:textFill>
            <w14:solidFill>
              <w14:schemeClr w14:val="tx1"/>
            </w14:solidFill>
          </w14:textFill>
        </w:rPr>
        <w:t>0791-82135313</w:t>
      </w:r>
    </w:p>
    <w:p>
      <w:pPr>
        <w:spacing w:line="360" w:lineRule="auto"/>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外部保障体系</w:t>
      </w:r>
    </w:p>
    <w:p>
      <w:pPr>
        <w:spacing w:line="500" w:lineRule="exact"/>
        <w:ind w:firstLine="420"/>
        <w:jc w:val="left"/>
        <w:rPr>
          <w:rFonts w:ascii="Times New Roman" w:hAnsi="Times New Roman" w:cs="Times New Roman"/>
          <w:color w:val="000000" w:themeColor="text1"/>
          <w:sz w:val="24"/>
          <w:szCs w:val="24"/>
          <w:lang w:val="zh-CN"/>
          <w14:textFill>
            <w14:solidFill>
              <w14:schemeClr w14:val="tx1"/>
            </w14:solidFill>
          </w14:textFill>
        </w:rPr>
      </w:pPr>
      <w:r>
        <w:rPr>
          <w:rFonts w:hint="eastAsia" w:ascii="Times New Roman" w:hAnsi="Times New Roman" w:cs="Times New Roman"/>
          <w:color w:val="000000" w:themeColor="text1"/>
          <w:sz w:val="24"/>
          <w:szCs w:val="24"/>
          <w:lang w:val="zh-CN"/>
          <w14:textFill>
            <w14:solidFill>
              <w14:schemeClr w14:val="tx1"/>
            </w14:solidFill>
          </w14:textFill>
        </w:rPr>
        <w:t>医疗急救电话：120</w:t>
      </w:r>
      <w:r>
        <w:rPr>
          <w:rFonts w:hint="eastAsia"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zh-CN"/>
          <w14:textFill>
            <w14:solidFill>
              <w14:schemeClr w14:val="tx1"/>
            </w14:solidFill>
          </w14:textFill>
        </w:rPr>
        <w:t>消防应急电话：119</w:t>
      </w:r>
    </w:p>
    <w:p>
      <w:pPr>
        <w:spacing w:line="500" w:lineRule="exact"/>
        <w:ind w:firstLine="420"/>
        <w:jc w:val="left"/>
        <w:rPr>
          <w:rFonts w:ascii="Times New Roman" w:hAnsi="Times New Roman" w:cs="Times New Roman"/>
          <w:color w:val="000000" w:themeColor="text1"/>
          <w:spacing w:val="4"/>
          <w:sz w:val="24"/>
          <w:szCs w:val="24"/>
          <w:lang w:val="zh-CN"/>
          <w14:textFill>
            <w14:solidFill>
              <w14:schemeClr w14:val="tx1"/>
            </w14:solidFill>
          </w14:textFill>
        </w:rPr>
      </w:pPr>
      <w:r>
        <w:rPr>
          <w:rFonts w:hint="eastAsia" w:ascii="Times New Roman" w:hAnsi="Times New Roman" w:cs="Times New Roman"/>
          <w:color w:val="000000" w:themeColor="text1"/>
          <w:spacing w:val="4"/>
          <w:sz w:val="24"/>
          <w:szCs w:val="24"/>
          <w:lang w:val="zh-CN"/>
          <w14:textFill>
            <w14:solidFill>
              <w14:schemeClr w14:val="tx1"/>
            </w14:solidFill>
          </w14:textFill>
        </w:rPr>
        <w:t>南昌市人民政府应急办电话：</w:t>
      </w:r>
      <w:r>
        <w:rPr>
          <w:rFonts w:ascii="Times New Roman" w:hAnsi="Times New Roman" w:cs="Times New Roman"/>
          <w:color w:val="000000" w:themeColor="text1"/>
          <w:spacing w:val="4"/>
          <w:sz w:val="24"/>
          <w:szCs w:val="24"/>
          <w14:textFill>
            <w14:solidFill>
              <w14:schemeClr w14:val="tx1"/>
            </w14:solidFill>
          </w14:textFill>
        </w:rPr>
        <w:t>0791-85712189</w:t>
      </w:r>
    </w:p>
    <w:p>
      <w:pPr>
        <w:spacing w:line="500" w:lineRule="exact"/>
        <w:ind w:firstLine="420"/>
        <w:jc w:val="left"/>
        <w:rPr>
          <w:rFonts w:ascii="Times New Roman" w:hAnsi="Times New Roman" w:cs="Times New Roman"/>
          <w:color w:val="000000" w:themeColor="text1"/>
          <w:spacing w:val="4"/>
          <w:sz w:val="24"/>
          <w:szCs w:val="24"/>
          <w14:textFill>
            <w14:solidFill>
              <w14:schemeClr w14:val="tx1"/>
            </w14:solidFill>
          </w14:textFill>
        </w:rPr>
      </w:pPr>
      <w:r>
        <w:rPr>
          <w:rFonts w:hint="eastAsia" w:ascii="Times New Roman" w:hAnsi="Times New Roman" w:cs="Times New Roman"/>
          <w:color w:val="000000" w:themeColor="text1"/>
          <w:spacing w:val="4"/>
          <w:sz w:val="24"/>
          <w:szCs w:val="24"/>
          <w14:textFill>
            <w14:solidFill>
              <w14:schemeClr w14:val="tx1"/>
            </w14:solidFill>
          </w14:textFill>
        </w:rPr>
        <w:t>南昌市环境保护</w:t>
      </w:r>
      <w:r>
        <w:rPr>
          <w:rFonts w:hint="eastAsia" w:ascii="Times New Roman" w:hAnsi="Times New Roman" w:cs="Times New Roman"/>
          <w:color w:val="000000" w:themeColor="text1"/>
          <w:spacing w:val="4"/>
          <w:sz w:val="24"/>
          <w:szCs w:val="24"/>
          <w:lang w:val="zh-CN"/>
          <w14:textFill>
            <w14:solidFill>
              <w14:schemeClr w14:val="tx1"/>
            </w14:solidFill>
          </w14:textFill>
        </w:rPr>
        <w:t>局电话：079</w:t>
      </w:r>
      <w:r>
        <w:rPr>
          <w:rFonts w:ascii="Times New Roman" w:hAnsi="Times New Roman" w:cs="Times New Roman"/>
          <w:color w:val="000000" w:themeColor="text1"/>
          <w:spacing w:val="4"/>
          <w:sz w:val="24"/>
          <w:szCs w:val="24"/>
          <w:lang w:val="zh-CN"/>
          <w14:textFill>
            <w14:solidFill>
              <w14:schemeClr w14:val="tx1"/>
            </w14:solidFill>
          </w14:textFill>
        </w:rPr>
        <w:t>1</w:t>
      </w:r>
      <w:r>
        <w:rPr>
          <w:rFonts w:hint="eastAsia" w:ascii="Times New Roman" w:hAnsi="Times New Roman" w:cs="Times New Roman"/>
          <w:color w:val="000000" w:themeColor="text1"/>
          <w:spacing w:val="4"/>
          <w:sz w:val="24"/>
          <w:szCs w:val="24"/>
          <w:lang w:val="zh-CN"/>
          <w14:textFill>
            <w14:solidFill>
              <w14:schemeClr w14:val="tx1"/>
            </w14:solidFill>
          </w14:textFill>
        </w:rPr>
        <w:t>-</w:t>
      </w:r>
      <w:r>
        <w:rPr>
          <w:rFonts w:ascii="Times New Roman" w:hAnsi="Times New Roman" w:cs="Times New Roman"/>
          <w:color w:val="000000" w:themeColor="text1"/>
          <w:spacing w:val="4"/>
          <w:sz w:val="24"/>
          <w:szCs w:val="24"/>
          <w14:textFill>
            <w14:solidFill>
              <w14:schemeClr w14:val="tx1"/>
            </w14:solidFill>
          </w14:textFill>
        </w:rPr>
        <w:t xml:space="preserve"> 85735802</w:t>
      </w:r>
    </w:p>
    <w:p>
      <w:pPr>
        <w:spacing w:line="500" w:lineRule="exact"/>
        <w:ind w:firstLine="420"/>
        <w:jc w:val="left"/>
        <w:rPr>
          <w:rFonts w:ascii="Times New Roman" w:hAnsi="Times New Roman" w:cs="Times New Roman"/>
          <w:color w:val="000000" w:themeColor="text1"/>
          <w:spacing w:val="4"/>
          <w:sz w:val="24"/>
          <w:szCs w:val="24"/>
          <w:lang w:val="zh-CN"/>
          <w14:textFill>
            <w14:solidFill>
              <w14:schemeClr w14:val="tx1"/>
            </w14:solidFill>
          </w14:textFill>
        </w:rPr>
      </w:pPr>
      <w:r>
        <w:rPr>
          <w:rFonts w:hint="eastAsia" w:ascii="Times New Roman" w:hAnsi="Times New Roman" w:cs="Times New Roman"/>
          <w:color w:val="000000" w:themeColor="text1"/>
          <w:spacing w:val="4"/>
          <w:sz w:val="24"/>
          <w:szCs w:val="24"/>
          <w14:textFill>
            <w14:solidFill>
              <w14:schemeClr w14:val="tx1"/>
            </w14:solidFill>
          </w14:textFill>
        </w:rPr>
        <w:t>南昌市安全监督管理</w:t>
      </w:r>
      <w:r>
        <w:rPr>
          <w:rFonts w:hint="eastAsia" w:ascii="Times New Roman" w:hAnsi="Times New Roman" w:cs="Times New Roman"/>
          <w:color w:val="000000" w:themeColor="text1"/>
          <w:spacing w:val="4"/>
          <w:sz w:val="24"/>
          <w:szCs w:val="24"/>
          <w:lang w:val="zh-CN"/>
          <w14:textFill>
            <w14:solidFill>
              <w14:schemeClr w14:val="tx1"/>
            </w14:solidFill>
          </w14:textFill>
        </w:rPr>
        <w:t>局电话：</w:t>
      </w:r>
      <w:r>
        <w:rPr>
          <w:rFonts w:ascii="Times New Roman" w:hAnsi="Times New Roman" w:cs="Times New Roman"/>
          <w:color w:val="000000" w:themeColor="text1"/>
          <w:spacing w:val="4"/>
          <w:sz w:val="24"/>
          <w:szCs w:val="24"/>
          <w:lang w:val="zh-CN"/>
          <w14:textFill>
            <w14:solidFill>
              <w14:schemeClr w14:val="tx1"/>
            </w14:solidFill>
          </w14:textFill>
        </w:rPr>
        <w:t>0791-83986158</w:t>
      </w:r>
    </w:p>
    <w:p>
      <w:pPr>
        <w:spacing w:line="500" w:lineRule="exact"/>
        <w:ind w:firstLine="420"/>
        <w:jc w:val="left"/>
        <w:rPr>
          <w:rFonts w:ascii="Times New Roman" w:hAnsi="Times New Roman" w:cs="Times New Roman"/>
          <w:color w:val="000000" w:themeColor="text1"/>
          <w:spacing w:val="4"/>
          <w:sz w:val="24"/>
          <w:szCs w:val="24"/>
          <w14:textFill>
            <w14:solidFill>
              <w14:schemeClr w14:val="tx1"/>
            </w14:solidFill>
          </w14:textFill>
        </w:rPr>
      </w:pPr>
      <w:r>
        <w:rPr>
          <w:rFonts w:hint="eastAsia" w:ascii="Times New Roman" w:hAnsi="Times New Roman" w:cs="Times New Roman"/>
          <w:color w:val="000000" w:themeColor="text1"/>
          <w:spacing w:val="4"/>
          <w:sz w:val="24"/>
          <w:szCs w:val="24"/>
          <w14:textFill>
            <w14:solidFill>
              <w14:schemeClr w14:val="tx1"/>
            </w14:solidFill>
          </w14:textFill>
        </w:rPr>
        <w:t>南昌市安全生产应急指挥中心</w:t>
      </w:r>
      <w:r>
        <w:rPr>
          <w:rFonts w:ascii="Times New Roman" w:hAnsi="Times New Roman" w:cs="Times New Roman"/>
          <w:color w:val="000000" w:themeColor="text1"/>
          <w:spacing w:val="4"/>
          <w:sz w:val="24"/>
          <w:szCs w:val="24"/>
          <w14:textFill>
            <w14:solidFill>
              <w14:schemeClr w14:val="tx1"/>
            </w14:solidFill>
          </w14:textFill>
        </w:rPr>
        <w:t>：0791-85257110</w:t>
      </w:r>
    </w:p>
    <w:p>
      <w:pPr>
        <w:spacing w:line="500" w:lineRule="exact"/>
        <w:ind w:firstLine="420"/>
        <w:jc w:val="left"/>
        <w:rPr>
          <w:rFonts w:ascii="Times New Roman" w:hAnsi="Times New Roman" w:cs="Times New Roman"/>
          <w:color w:val="000000" w:themeColor="text1"/>
          <w:spacing w:val="4"/>
          <w:sz w:val="24"/>
          <w:szCs w:val="24"/>
          <w14:textFill>
            <w14:solidFill>
              <w14:schemeClr w14:val="tx1"/>
            </w14:solidFill>
          </w14:textFill>
        </w:rPr>
      </w:pPr>
      <w:r>
        <w:rPr>
          <w:rFonts w:hint="eastAsia" w:ascii="Times New Roman" w:hAnsi="Times New Roman" w:cs="Times New Roman"/>
          <w:color w:val="000000" w:themeColor="text1"/>
          <w:spacing w:val="4"/>
          <w:sz w:val="24"/>
          <w:szCs w:val="24"/>
          <w14:textFill>
            <w14:solidFill>
              <w14:schemeClr w14:val="tx1"/>
            </w14:solidFill>
          </w14:textFill>
        </w:rPr>
        <w:t>南昌市</w:t>
      </w:r>
      <w:r>
        <w:rPr>
          <w:rFonts w:ascii="Times New Roman" w:hAnsi="Times New Roman" w:cs="Times New Roman"/>
          <w:color w:val="000000" w:themeColor="text1"/>
          <w:spacing w:val="4"/>
          <w:sz w:val="24"/>
          <w:szCs w:val="24"/>
          <w14:textFill>
            <w14:solidFill>
              <w14:schemeClr w14:val="tx1"/>
            </w14:solidFill>
          </w14:textFill>
        </w:rPr>
        <w:t>应急救援中心：0791-85257098</w:t>
      </w:r>
    </w:p>
    <w:p>
      <w:pPr>
        <w:spacing w:line="500" w:lineRule="exact"/>
        <w:ind w:firstLine="420"/>
        <w:jc w:val="left"/>
        <w:rPr>
          <w:rFonts w:ascii="Times New Roman" w:hAnsi="Times New Roman" w:cs="Times New Roman"/>
          <w:color w:val="000000" w:themeColor="text1"/>
          <w:spacing w:val="4"/>
          <w:sz w:val="24"/>
          <w:szCs w:val="24"/>
          <w14:textFill>
            <w14:solidFill>
              <w14:schemeClr w14:val="tx1"/>
            </w14:solidFill>
          </w14:textFill>
        </w:rPr>
      </w:pPr>
      <w:r>
        <w:rPr>
          <w:rFonts w:hint="eastAsia" w:ascii="Times New Roman" w:hAnsi="Times New Roman" w:cs="Times New Roman"/>
          <w:color w:val="000000" w:themeColor="text1"/>
          <w:spacing w:val="4"/>
          <w:sz w:val="24"/>
          <w:szCs w:val="24"/>
          <w14:textFill>
            <w14:solidFill>
              <w14:schemeClr w14:val="tx1"/>
            </w14:solidFill>
          </w14:textFill>
        </w:rPr>
        <w:t>危险化学品事故南昌抢救中心：</w:t>
      </w:r>
      <w:r>
        <w:rPr>
          <w:rFonts w:ascii="Times New Roman" w:hAnsi="Times New Roman" w:cs="Times New Roman"/>
          <w:color w:val="000000" w:themeColor="text1"/>
          <w:spacing w:val="4"/>
          <w:sz w:val="24"/>
          <w:szCs w:val="24"/>
          <w14:textFill>
            <w14:solidFill>
              <w14:schemeClr w14:val="tx1"/>
            </w14:solidFill>
          </w14:textFill>
        </w:rPr>
        <w:t>0791-83859062</w:t>
      </w:r>
    </w:p>
    <w:p>
      <w:pPr>
        <w:spacing w:line="500" w:lineRule="exact"/>
        <w:ind w:firstLine="420"/>
        <w:jc w:val="left"/>
        <w:rPr>
          <w:rFonts w:ascii="Times New Roman" w:hAnsi="Times New Roman" w:cs="Times New Roman"/>
          <w:color w:val="000000" w:themeColor="text1"/>
          <w:spacing w:val="4"/>
          <w:sz w:val="24"/>
          <w:szCs w:val="24"/>
          <w:lang w:val="zh-CN"/>
          <w14:textFill>
            <w14:solidFill>
              <w14:schemeClr w14:val="tx1"/>
            </w14:solidFill>
          </w14:textFill>
        </w:rPr>
      </w:pPr>
      <w:r>
        <w:rPr>
          <w:rFonts w:hint="eastAsia" w:ascii="Times New Roman" w:hAnsi="Times New Roman" w:cs="Times New Roman"/>
          <w:color w:val="000000" w:themeColor="text1"/>
          <w:spacing w:val="4"/>
          <w:sz w:val="24"/>
          <w:szCs w:val="24"/>
          <w:lang w:val="zh-CN"/>
          <w14:textFill>
            <w14:solidFill>
              <w14:schemeClr w14:val="tx1"/>
            </w14:solidFill>
          </w14:textFill>
        </w:rPr>
        <w:t>南昌市消防大队电话：</w:t>
      </w:r>
      <w:r>
        <w:rPr>
          <w:rFonts w:ascii="Times New Roman" w:hAnsi="Times New Roman" w:cs="Times New Roman"/>
          <w:color w:val="000000" w:themeColor="text1"/>
          <w:spacing w:val="4"/>
          <w:sz w:val="24"/>
          <w:szCs w:val="24"/>
          <w14:textFill>
            <w14:solidFill>
              <w14:schemeClr w14:val="tx1"/>
            </w14:solidFill>
          </w14:textFill>
        </w:rPr>
        <w:t>0791-5738119</w:t>
      </w:r>
    </w:p>
    <w:p>
      <w:pPr>
        <w:spacing w:line="500" w:lineRule="exact"/>
        <w:ind w:firstLine="420"/>
        <w:jc w:val="left"/>
        <w:rPr>
          <w:rFonts w:ascii="Times New Roman" w:hAnsi="Times New Roman" w:cs="Times New Roman"/>
          <w:color w:val="000000" w:themeColor="text1"/>
          <w:spacing w:val="4"/>
          <w:sz w:val="24"/>
          <w:szCs w:val="24"/>
          <w:lang w:val="zh-CN"/>
          <w14:textFill>
            <w14:solidFill>
              <w14:schemeClr w14:val="tx1"/>
            </w14:solidFill>
          </w14:textFill>
        </w:rPr>
      </w:pPr>
      <w:r>
        <w:rPr>
          <w:rFonts w:hint="eastAsia" w:ascii="Times New Roman" w:hAnsi="Times New Roman" w:cs="Times New Roman"/>
          <w:color w:val="000000" w:themeColor="text1"/>
          <w:spacing w:val="4"/>
          <w:sz w:val="24"/>
          <w:szCs w:val="24"/>
          <w:lang w:val="zh-CN"/>
          <w14:textFill>
            <w14:solidFill>
              <w14:schemeClr w14:val="tx1"/>
            </w14:solidFill>
          </w14:textFill>
        </w:rPr>
        <w:t>南昌市人民医院：</w:t>
      </w:r>
      <w:r>
        <w:rPr>
          <w:rFonts w:ascii="Times New Roman" w:hAnsi="Times New Roman" w:cs="Times New Roman"/>
          <w:color w:val="000000" w:themeColor="text1"/>
          <w:spacing w:val="4"/>
          <w:sz w:val="24"/>
          <w:szCs w:val="24"/>
          <w:lang w:val="zh-CN"/>
          <w14:textFill>
            <w14:solidFill>
              <w14:schemeClr w14:val="tx1"/>
            </w14:solidFill>
          </w14:textFill>
        </w:rPr>
        <w:t>0791-85712198</w:t>
      </w:r>
    </w:p>
    <w:p>
      <w:pPr>
        <w:spacing w:line="500" w:lineRule="exact"/>
        <w:ind w:firstLine="420"/>
        <w:jc w:val="left"/>
        <w:rPr>
          <w:rFonts w:ascii="Times New Roman" w:hAnsi="Times New Roman" w:cs="Times New Roman"/>
          <w:color w:val="000000" w:themeColor="text1"/>
          <w:spacing w:val="4"/>
          <w:sz w:val="24"/>
          <w:szCs w:val="24"/>
          <w:lang w:val="zh-CN"/>
          <w14:textFill>
            <w14:solidFill>
              <w14:schemeClr w14:val="tx1"/>
            </w14:solidFill>
          </w14:textFill>
        </w:rPr>
      </w:pPr>
      <w:r>
        <w:rPr>
          <w:rFonts w:hint="eastAsia" w:ascii="Times New Roman" w:hAnsi="Times New Roman" w:cs="Times New Roman"/>
          <w:color w:val="000000" w:themeColor="text1"/>
          <w:spacing w:val="4"/>
          <w:sz w:val="24"/>
          <w:szCs w:val="24"/>
          <w:lang w:val="zh-CN"/>
          <w14:textFill>
            <w14:solidFill>
              <w14:schemeClr w14:val="tx1"/>
            </w14:solidFill>
          </w14:textFill>
        </w:rPr>
        <w:t>南昌市疾控中心：</w:t>
      </w:r>
      <w:r>
        <w:rPr>
          <w:rFonts w:ascii="Times New Roman" w:hAnsi="Times New Roman" w:cs="Times New Roman"/>
          <w:color w:val="000000" w:themeColor="text1"/>
          <w:spacing w:val="4"/>
          <w:sz w:val="24"/>
          <w:szCs w:val="24"/>
          <w:lang w:val="zh-CN"/>
          <w14:textFill>
            <w14:solidFill>
              <w14:schemeClr w14:val="tx1"/>
            </w14:solidFill>
          </w14:textFill>
        </w:rPr>
        <w:t>0791-85712234</w:t>
      </w:r>
    </w:p>
    <w:p>
      <w:pPr>
        <w:spacing w:line="500" w:lineRule="exact"/>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指挥机构的职责</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负责“预案”的制定、修订；组建应急救援专业队伍，组织实施和演练；检查督促做好重大事故的预防措施和应急救援的各项准备工作。发生突发性环境污染事故时,由指挥部发布和解除应急救援命令、信号；组织指挥救援队伍实施救援行动；向上级汇报和向友邻单位通报事故情况，必要时向有关单位发出救援请求，组织救援工作。</w:t>
      </w:r>
    </w:p>
    <w:p>
      <w:pPr>
        <w:spacing w:line="500" w:lineRule="exact"/>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指挥机构成员职责</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bookmarkStart w:id="416" w:name="_Toc29421_WPSOffice_Level3"/>
      <w:bookmarkStart w:id="417" w:name="_Toc16749_WPSOffice_Level3"/>
      <w:bookmarkStart w:id="418" w:name="_Toc4116_WPSOffice_Level3"/>
      <w:bookmarkStart w:id="419" w:name="_Toc11939_WPSOffice_Level3"/>
      <w:bookmarkStart w:id="420" w:name="_Toc32611_WPSOffice_Level3"/>
      <w:r>
        <w:rPr>
          <w:rFonts w:ascii="Times New Roman" w:hAnsi="Times New Roman" w:cs="Times New Roman"/>
          <w:b/>
          <w:bCs/>
          <w:color w:val="000000" w:themeColor="text1"/>
          <w:sz w:val="24"/>
          <w:szCs w:val="24"/>
          <w14:textFill>
            <w14:solidFill>
              <w14:schemeClr w14:val="tx1"/>
            </w14:solidFill>
          </w14:textFill>
        </w:rPr>
        <w:t>（1）总指挥职责：</w:t>
      </w:r>
      <w:bookmarkEnd w:id="416"/>
      <w:bookmarkEnd w:id="417"/>
      <w:bookmarkEnd w:id="418"/>
      <w:bookmarkEnd w:id="419"/>
      <w:bookmarkEnd w:id="420"/>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组织制定突发环境事件应急预案；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组建突发环境事件应急救援队伍；</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负责启动与终止应急工作；</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t>负责掌握突发环境事件状况，根据突发环境事件的发展，确定现场指挥人员，推动应急组织工作的发挥；</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t>视突发环境事件状况和可能演化的趋势，判定是否需要外部救援或外借应急物资，接受上级应急救援指挥机构的指令和调动，协助事件的处理；</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⑥</w:t>
      </w:r>
      <w:r>
        <w:rPr>
          <w:rFonts w:ascii="Times New Roman" w:hAnsi="Times New Roman" w:cs="Times New Roman"/>
          <w:color w:val="000000" w:themeColor="text1"/>
          <w:sz w:val="24"/>
          <w:szCs w:val="24"/>
          <w14:textFill>
            <w14:solidFill>
              <w14:schemeClr w14:val="tx1"/>
            </w14:solidFill>
          </w14:textFill>
        </w:rPr>
        <w:t>组织内部和对政府的报告，配合有关部门对环境进行监测、修复、事件调查、经验教训总结；</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7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⑦</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每三年组织更新备案，每年组织演练，签署预案发布令等。</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⑧</w:t>
      </w:r>
      <w:r>
        <w:rPr>
          <w:rFonts w:ascii="Times New Roman" w:hAnsi="Times New Roman" w:cs="Times New Roman"/>
          <w:color w:val="000000" w:themeColor="text1"/>
          <w:sz w:val="24"/>
          <w:szCs w:val="24"/>
          <w14:textFill>
            <w14:solidFill>
              <w14:schemeClr w14:val="tx1"/>
            </w14:solidFill>
          </w14:textFill>
        </w:rPr>
        <w:t>政府介入后，负责将指挥权移交政府。</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bookmarkStart w:id="421" w:name="_Toc13624_WPSOffice_Level3"/>
      <w:bookmarkStart w:id="422" w:name="_Toc25774_WPSOffice_Level3"/>
      <w:bookmarkStart w:id="423" w:name="_Toc13324_WPSOffice_Level3"/>
      <w:bookmarkStart w:id="424" w:name="_Toc25863_WPSOffice_Level3"/>
      <w:bookmarkStart w:id="425" w:name="_Toc20317_WPSOffice_Level3"/>
      <w:r>
        <w:rPr>
          <w:rFonts w:ascii="Times New Roman" w:hAnsi="Times New Roman" w:cs="Times New Roman"/>
          <w:b/>
          <w:bCs/>
          <w:color w:val="000000" w:themeColor="text1"/>
          <w:sz w:val="24"/>
          <w:szCs w:val="24"/>
          <w14:textFill>
            <w14:solidFill>
              <w14:schemeClr w14:val="tx1"/>
            </w14:solidFill>
          </w14:textFill>
        </w:rPr>
        <w:t>（2）副总指挥职责：</w:t>
      </w:r>
      <w:bookmarkEnd w:id="421"/>
      <w:bookmarkEnd w:id="422"/>
      <w:bookmarkEnd w:id="423"/>
      <w:bookmarkEnd w:id="424"/>
      <w:bookmarkEnd w:id="425"/>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 xml:space="preserve"> 协助总指挥负责应急救援的具体操作和实施步骤的协调工作。</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 xml:space="preserve"> 总指挥不能到任时接替总指挥工作。</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应急救援办公室职责：</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负责应急救援的日常工作。 </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负责人员、应急资源配置、应急队伍的调动；</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协调和指挥事故现场处置救援工作；</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对事故现场情况进行侦察、评估，协同现场指挥制定抢救方案；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t>组织本小组所有的力量严格按抢救方案实施现场抢救；</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t>监督本小组参与事故处置的应急人员执行有效的应急措施，保证小组内的应急人员的安全；</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6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⑥</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协助政府环保部门展开环境监测工作，</w:t>
      </w:r>
      <w:r>
        <w:rPr>
          <w:rFonts w:ascii="Times New Roman" w:hAnsi="Times New Roman" w:cs="Times New Roman"/>
          <w:color w:val="000000" w:themeColor="text1"/>
          <w:sz w:val="24"/>
          <w:szCs w:val="24"/>
          <w:lang w:val="zh-CN"/>
          <w14:textFill>
            <w14:solidFill>
              <w14:schemeClr w14:val="tx1"/>
            </w14:solidFill>
          </w14:textFill>
        </w:rPr>
        <w:t>处理事故发生后的环境遗留问题。</w:t>
      </w:r>
    </w:p>
    <w:p>
      <w:pPr>
        <w:spacing w:line="500" w:lineRule="exact"/>
        <w:ind w:firstLine="482" w:firstLineChars="20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物资后勤保障组职责：</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sz w:val="24"/>
          <w:szCs w:val="24"/>
          <w14:textFill>
            <w14:solidFill>
              <w14:schemeClr w14:val="tx1"/>
            </w14:solidFill>
          </w14:textFill>
        </w:rPr>
        <w:t>负责站区内外应急救援物资的调配与发放；</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负责做好应急资金的保障工作；</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sz w:val="24"/>
          <w:szCs w:val="24"/>
          <w14:textFill>
            <w14:solidFill>
              <w14:schemeClr w14:val="tx1"/>
            </w14:solidFill>
          </w14:textFill>
        </w:rPr>
        <w:t>保证加油站内所有通讯处于畅通状态；</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④</w:t>
      </w:r>
      <w:r>
        <w:rPr>
          <w:rFonts w:ascii="Times New Roman" w:hAnsi="Times New Roman" w:cs="Times New Roman"/>
          <w:color w:val="000000" w:themeColor="text1"/>
          <w:sz w:val="24"/>
          <w:szCs w:val="24"/>
          <w14:textFill>
            <w14:solidFill>
              <w14:schemeClr w14:val="tx1"/>
            </w14:solidFill>
          </w14:textFill>
        </w:rPr>
        <w:t>负责布置安全警戒，禁止无关人员和车辆进入危险区域；</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⑤</w:t>
      </w:r>
      <w:r>
        <w:rPr>
          <w:rFonts w:ascii="Times New Roman" w:hAnsi="Times New Roman" w:cs="Times New Roman"/>
          <w:color w:val="000000" w:themeColor="text1"/>
          <w:sz w:val="24"/>
          <w:szCs w:val="24"/>
          <w14:textFill>
            <w14:solidFill>
              <w14:schemeClr w14:val="tx1"/>
            </w14:solidFill>
          </w14:textFill>
        </w:rPr>
        <w:t>交通疏导、交通管制，确保运送应急物资及人员的畅通；</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6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⑥</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协助总指挥做好事故报警、情况通报及事故处置工作；</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fldChar w:fldCharType="begin"/>
      </w:r>
      <w:r>
        <w:rPr>
          <w:rFonts w:ascii="Times New Roman" w:hAnsi="Times New Roman" w:cs="Times New Roman"/>
          <w:color w:val="000000" w:themeColor="text1"/>
          <w:sz w:val="24"/>
          <w:szCs w:val="24"/>
          <w14:textFill>
            <w14:solidFill>
              <w14:schemeClr w14:val="tx1"/>
            </w14:solidFill>
          </w14:textFill>
        </w:rPr>
        <w:instrText xml:space="preserve"> = 7 \* GB3 \* MERGEFORMAT </w:instrText>
      </w:r>
      <w:r>
        <w:rPr>
          <w:rFonts w:ascii="Times New Roman" w:hAnsi="Times New Roman" w:cs="Times New Roman"/>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⑦</w:t>
      </w:r>
      <w:r>
        <w:rPr>
          <w:rFonts w:ascii="Times New Roman" w:hAnsi="Times New Roman" w:cs="Times New Roman"/>
          <w:color w:val="000000" w:themeColor="text1"/>
          <w:sz w:val="24"/>
          <w:szCs w:val="24"/>
          <w14:textFill>
            <w14:solidFill>
              <w14:schemeClr w14:val="tx1"/>
            </w14:solidFill>
          </w14:textFill>
        </w:rPr>
        <w:fldChar w:fldCharType="end"/>
      </w:r>
      <w:r>
        <w:rPr>
          <w:rFonts w:ascii="Times New Roman" w:hAnsi="Times New Roman" w:cs="Times New Roman"/>
          <w:color w:val="000000" w:themeColor="text1"/>
          <w:sz w:val="24"/>
          <w:szCs w:val="24"/>
          <w14:textFill>
            <w14:solidFill>
              <w14:schemeClr w14:val="tx1"/>
            </w14:solidFill>
          </w14:textFill>
        </w:rPr>
        <w:t>负责现场中毒、受伤人员分类抢救和护送工作；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加油站全体员工都负有事故应急救援的责任，为事故应急救援骨干力量，承担各类事故救援及处置。</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26" w:name="_Toc22687_WPSOffice_Level2"/>
      <w:bookmarkStart w:id="427" w:name="_Toc9024"/>
      <w:bookmarkStart w:id="428" w:name="_Toc25774_WPSOffice_Level2"/>
      <w:bookmarkStart w:id="429" w:name="_Toc4640_WPSOffice_Level2"/>
      <w:bookmarkStart w:id="430" w:name="_Toc1167_WPSOffice_Level2"/>
      <w:bookmarkStart w:id="431" w:name="_Toc4350"/>
      <w:bookmarkStart w:id="432" w:name="_Toc28984_WPSOffice_Level2"/>
      <w:bookmarkStart w:id="433" w:name="_Toc532817044"/>
      <w:bookmarkStart w:id="434" w:name="_Toc24037"/>
      <w:r>
        <w:rPr>
          <w:rFonts w:ascii="Times New Roman" w:hAnsi="Times New Roman" w:cs="Times New Roman"/>
          <w:b/>
          <w:bCs/>
          <w:color w:val="000000" w:themeColor="text1"/>
          <w:kern w:val="44"/>
          <w:sz w:val="24"/>
          <w:szCs w:val="24"/>
          <w14:textFill>
            <w14:solidFill>
              <w14:schemeClr w14:val="tx1"/>
            </w14:solidFill>
          </w14:textFill>
        </w:rPr>
        <w:t>4.3应急指挥运行机制</w:t>
      </w:r>
      <w:bookmarkEnd w:id="426"/>
      <w:bookmarkEnd w:id="427"/>
      <w:bookmarkEnd w:id="428"/>
      <w:bookmarkEnd w:id="429"/>
      <w:bookmarkEnd w:id="430"/>
      <w:bookmarkEnd w:id="431"/>
      <w:bookmarkEnd w:id="432"/>
      <w:bookmarkEnd w:id="433"/>
      <w:bookmarkEnd w:id="434"/>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突发环境事件不可能立即完全确定其属性时，使应急救援行动充满变数，如遇特殊情况下，应急救援行动都必须寻求内部与外部力量的救援。因此，</w:t>
      </w:r>
      <w:r>
        <w:rPr>
          <w:rFonts w:ascii="Times New Roman" w:hAnsi="Times New Roman" w:cs="Times New Roman"/>
          <w:color w:val="000000" w:themeColor="text1"/>
          <w:sz w:val="24"/>
          <w:szCs w:val="24"/>
          <w14:textFill>
            <w14:solidFill>
              <w14:schemeClr w14:val="tx1"/>
            </w14:solidFill>
          </w14:textFill>
        </w:rPr>
        <w:t>中国石油天然气股份有限公司江西南昌启航加油站</w:t>
      </w:r>
      <w:r>
        <w:rPr>
          <w:rFonts w:ascii="Times New Roman" w:hAnsi="Times New Roman" w:cs="Times New Roman"/>
          <w:color w:val="000000" w:themeColor="text1"/>
          <w:kern w:val="0"/>
          <w:sz w:val="24"/>
          <w:szCs w:val="24"/>
          <w14:textFill>
            <w14:solidFill>
              <w14:schemeClr w14:val="tx1"/>
            </w14:solidFill>
          </w14:textFill>
        </w:rPr>
        <w:t>与各相关救援单位、政府部门间的联动就显得尤为重要。</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（1）加油站一旦发生不可控级（</w:t>
      </w:r>
      <w:r>
        <w:rPr>
          <w:rFonts w:hint="eastAsia" w:ascii="宋体" w:hAnsi="宋体" w:eastAsia="宋体" w:cs="宋体"/>
          <w:color w:val="000000" w:themeColor="text1"/>
          <w:kern w:val="0"/>
          <w:sz w:val="24"/>
          <w:szCs w:val="24"/>
          <w14:textFill>
            <w14:solidFill>
              <w14:schemeClr w14:val="tx1"/>
            </w14:solidFill>
          </w14:textFill>
        </w:rPr>
        <w:t>Ⅰ</w:t>
      </w:r>
      <w:r>
        <w:rPr>
          <w:rFonts w:ascii="Times New Roman" w:hAnsi="Times New Roman" w:cs="Times New Roman"/>
          <w:color w:val="000000" w:themeColor="text1"/>
          <w:kern w:val="0"/>
          <w:sz w:val="24"/>
          <w:szCs w:val="24"/>
          <w14:textFill>
            <w14:solidFill>
              <w14:schemeClr w14:val="tx1"/>
            </w14:solidFill>
          </w14:textFill>
        </w:rPr>
        <w:t>级）突发环境事件，应急指挥部的总指挥应及时与南昌市政府、南昌市环境保护局以及相关的职能管理部门的应急指挥机构联系，及时将环境事件发生情况及最新进展向有关部门汇报，并将上级指挥机构的命令及时向公司加油站应急救援办公室传达。</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若政府及其有关部门介入后，加油站内的总指挥应为政府及其相关部门人员，加油站总指挥及应急救援办公室负责人应听从政府及其相关部门人员的统一指挥，企业应急救援总指挥应积极配合政府及其相关部门人员的工作，积极调动应急救援人员进行现场处置及救援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加油站发生不可控级（</w:t>
      </w:r>
      <w:r>
        <w:rPr>
          <w:rFonts w:hint="eastAsia" w:ascii="宋体" w:hAnsi="宋体" w:eastAsia="宋体" w:cs="宋体"/>
          <w:color w:val="000000" w:themeColor="text1"/>
          <w:kern w:val="0"/>
          <w:sz w:val="24"/>
          <w:szCs w:val="24"/>
          <w14:textFill>
            <w14:solidFill>
              <w14:schemeClr w14:val="tx1"/>
            </w14:solidFill>
          </w14:textFill>
        </w:rPr>
        <w:t>Ⅰ</w:t>
      </w:r>
      <w:r>
        <w:rPr>
          <w:rFonts w:ascii="Times New Roman" w:hAnsi="Times New Roman" w:cs="Times New Roman"/>
          <w:color w:val="000000" w:themeColor="text1"/>
          <w:kern w:val="0"/>
          <w:sz w:val="24"/>
          <w:szCs w:val="24"/>
          <w14:textFill>
            <w14:solidFill>
              <w14:schemeClr w14:val="tx1"/>
            </w14:solidFill>
          </w14:textFill>
        </w:rPr>
        <w:t>级）突发环境事件，需要借助外部救援力量，加油站可联系南昌市政府应急部门、环境保护局等相关部门，启动南昌市突发环境事件应急预案，当政府应急指挥部门到达现场后，加油站应急救援指挥领导小组移交指挥权，听从政府应急指挥部指挥，积极配合完成救援工作。</w:t>
      </w:r>
    </w:p>
    <w:p>
      <w:pPr>
        <w:numPr>
          <w:ilvl w:val="0"/>
          <w:numId w:val="3"/>
        </w:num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加油站发生可控级（</w:t>
      </w:r>
      <w:r>
        <w:rPr>
          <w:rFonts w:hint="eastAsia" w:ascii="宋体" w:hAnsi="宋体" w:eastAsia="宋体" w:cs="宋体"/>
          <w:color w:val="000000" w:themeColor="text1"/>
          <w:kern w:val="0"/>
          <w:sz w:val="24"/>
          <w:szCs w:val="24"/>
          <w14:textFill>
            <w14:solidFill>
              <w14:schemeClr w14:val="tx1"/>
            </w14:solidFill>
          </w14:textFill>
        </w:rPr>
        <w:t>Ⅱ</w:t>
      </w:r>
      <w:r>
        <w:rPr>
          <w:rFonts w:ascii="Times New Roman" w:hAnsi="Times New Roman" w:cs="Times New Roman"/>
          <w:color w:val="000000" w:themeColor="text1"/>
          <w:kern w:val="0"/>
          <w:sz w:val="24"/>
          <w:szCs w:val="24"/>
          <w14:textFill>
            <w14:solidFill>
              <w14:schemeClr w14:val="tx1"/>
            </w14:solidFill>
          </w14:textFill>
        </w:rPr>
        <w:t>级）突发环境事件，加油站内部救援力量能处置的，事故当事人，应立即向应急救援指挥部上报，应急救援总指挥立即启动应急救援，组织应急救援办公室展开现场救援，应急救援办公室负责人应听从总指挥的统一指挥。应急工作结束后，应向南昌市环境保护局报备；若加油站内部救援力量不能满足救援需求时，需借助外部救援力量，加油站应联系南昌市政府应急部门、环境保护局等相关部门，启动南昌市突发环境事件应急预案，当政府应急指挥部门到达现场后，加油站应急救援指挥领导小组移交指挥权，听从政府应急指挥部指挥，积极配合完成救援工作。</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35" w:name="_Toc25708_WPSOffice_Level2"/>
      <w:bookmarkStart w:id="436" w:name="_Toc30317"/>
      <w:bookmarkStart w:id="437" w:name="_Toc31188_WPSOffice_Level2"/>
      <w:bookmarkStart w:id="438" w:name="_Toc21319_WPSOffice_Level2"/>
      <w:bookmarkStart w:id="439" w:name="_Toc532817045"/>
      <w:bookmarkStart w:id="440" w:name="_Toc1450_WPSOffice_Level2"/>
      <w:bookmarkStart w:id="441" w:name="_Toc20556_WPSOffice_Level2"/>
      <w:bookmarkStart w:id="442" w:name="_Toc15005"/>
      <w:r>
        <w:rPr>
          <w:rFonts w:ascii="Times New Roman" w:hAnsi="Times New Roman" w:cs="Times New Roman"/>
          <w:b/>
          <w:bCs/>
          <w:color w:val="000000" w:themeColor="text1"/>
          <w:kern w:val="44"/>
          <w:sz w:val="24"/>
          <w:szCs w:val="24"/>
          <w14:textFill>
            <w14:solidFill>
              <w14:schemeClr w14:val="tx1"/>
            </w14:solidFill>
          </w14:textFill>
        </w:rPr>
        <w:t>4.4加油站现场应急处理分级</w:t>
      </w:r>
      <w:bookmarkEnd w:id="435"/>
      <w:bookmarkEnd w:id="436"/>
      <w:bookmarkEnd w:id="437"/>
      <w:bookmarkEnd w:id="438"/>
      <w:bookmarkEnd w:id="439"/>
      <w:bookmarkEnd w:id="440"/>
      <w:bookmarkEnd w:id="441"/>
      <w:bookmarkEnd w:id="442"/>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加油站现场应急处理分两级，可控级为加油站应急办处理，不可控级为当地政府部门应急处理。</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fldChar w:fldCharType="begin"/>
      </w:r>
      <w:r>
        <w:rPr>
          <w:rFonts w:ascii="Times New Roman" w:hAnsi="Times New Roman" w:cs="Times New Roman"/>
          <w:b/>
          <w:color w:val="000000" w:themeColor="text1"/>
          <w:kern w:val="0"/>
          <w:sz w:val="24"/>
          <w:szCs w:val="24"/>
          <w14:textFill>
            <w14:solidFill>
              <w14:schemeClr w14:val="tx1"/>
            </w14:solidFill>
          </w14:textFill>
        </w:rPr>
        <w:instrText xml:space="preserve"> = 1 \* GB2 \* MERGEFORMAT </w:instrText>
      </w:r>
      <w:r>
        <w:rPr>
          <w:rFonts w:ascii="Times New Roman" w:hAnsi="Times New Roman" w:cs="Times New Roman"/>
          <w:b/>
          <w:color w:val="000000" w:themeColor="text1"/>
          <w:kern w:val="0"/>
          <w:sz w:val="24"/>
          <w:szCs w:val="24"/>
          <w14:textFill>
            <w14:solidFill>
              <w14:schemeClr w14:val="tx1"/>
            </w14:solidFill>
          </w14:textFill>
        </w:rPr>
        <w:fldChar w:fldCharType="separate"/>
      </w:r>
      <w:r>
        <w:rPr>
          <w:rFonts w:hint="eastAsia" w:ascii="宋体" w:hAnsi="宋体" w:eastAsia="宋体" w:cs="宋体"/>
          <w:b/>
          <w:color w:val="000000" w:themeColor="text1"/>
          <w:kern w:val="0"/>
          <w:sz w:val="24"/>
          <w:szCs w:val="24"/>
          <w14:textFill>
            <w14:solidFill>
              <w14:schemeClr w14:val="tx1"/>
            </w14:solidFill>
          </w14:textFill>
        </w:rPr>
        <w:t>⑴</w:t>
      </w:r>
      <w:r>
        <w:rPr>
          <w:rFonts w:ascii="Times New Roman" w:hAnsi="Times New Roman" w:cs="Times New Roman"/>
          <w:b/>
          <w:color w:val="000000" w:themeColor="text1"/>
          <w:kern w:val="0"/>
          <w:sz w:val="24"/>
          <w:szCs w:val="24"/>
          <w14:textFill>
            <w14:solidFill>
              <w14:schemeClr w14:val="tx1"/>
            </w14:solidFill>
          </w14:textFill>
        </w:rPr>
        <w:fldChar w:fldCharType="end"/>
      </w:r>
      <w:r>
        <w:rPr>
          <w:rFonts w:ascii="Times New Roman" w:hAnsi="Times New Roman" w:cs="Times New Roman"/>
          <w:b/>
          <w:color w:val="000000" w:themeColor="text1"/>
          <w:kern w:val="0"/>
          <w:sz w:val="24"/>
          <w:szCs w:val="24"/>
          <w14:textFill>
            <w14:solidFill>
              <w14:schemeClr w14:val="tx1"/>
            </w14:solidFill>
          </w14:textFill>
        </w:rPr>
        <w:t>可控级预警：</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a、为已发生火灾、危险源大面积泄漏事故，但危险源没有流出或扩散到周边社区、企业，由加油站应急领导小组组织实施应急救援。</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b、为已发生火灾和危险源泄漏，在短时间内可以处置控制未对周边企业和社区产生影响的突发环境事故时，由加油站应急小组组织实施应急救援，及时报告加油站应急领导小组，做好协调工作。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c、</w:t>
      </w:r>
      <w:r>
        <w:rPr>
          <w:rFonts w:ascii="Times New Roman" w:hAnsi="Times New Roman" w:cs="Times New Roman"/>
          <w:color w:val="000000" w:themeColor="text1"/>
          <w:kern w:val="0"/>
          <w:sz w:val="24"/>
          <w:szCs w:val="24"/>
          <w14:textFill>
            <w14:solidFill>
              <w14:schemeClr w14:val="tx1"/>
            </w14:solidFill>
          </w14:textFill>
        </w:rPr>
        <w:fldChar w:fldCharType="begin"/>
      </w:r>
      <w:r>
        <w:rPr>
          <w:rFonts w:ascii="Times New Roman" w:hAnsi="Times New Roman" w:cs="Times New Roman"/>
          <w:color w:val="000000" w:themeColor="text1"/>
          <w:kern w:val="0"/>
          <w:sz w:val="24"/>
          <w:szCs w:val="24"/>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加油站设备、设施故障，将会导致危险源泄漏、火灾等安全事故的；</w:t>
      </w:r>
      <w:r>
        <w:rPr>
          <w:rFonts w:ascii="Times New Roman" w:hAnsi="Times New Roman" w:cs="Times New Roman"/>
          <w:color w:val="000000" w:themeColor="text1"/>
          <w:kern w:val="0"/>
          <w:sz w:val="24"/>
          <w:szCs w:val="24"/>
          <w14:textFill>
            <w14:solidFill>
              <w14:schemeClr w14:val="tx1"/>
            </w14:solidFill>
          </w14:textFill>
        </w:rPr>
        <w:fldChar w:fldCharType="begin"/>
      </w:r>
      <w:r>
        <w:rPr>
          <w:rFonts w:ascii="Times New Roman" w:hAnsi="Times New Roman" w:cs="Times New Roman"/>
          <w:color w:val="000000" w:themeColor="text1"/>
          <w:kern w:val="0"/>
          <w:sz w:val="24"/>
          <w:szCs w:val="24"/>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现场发现存在泄漏或火灾迹象的；</w:t>
      </w:r>
      <w:r>
        <w:rPr>
          <w:rFonts w:ascii="Times New Roman" w:hAnsi="Times New Roman" w:cs="Times New Roman"/>
          <w:color w:val="000000" w:themeColor="text1"/>
          <w:kern w:val="0"/>
          <w:sz w:val="24"/>
          <w:szCs w:val="24"/>
          <w14:textFill>
            <w14:solidFill>
              <w14:schemeClr w14:val="tx1"/>
            </w14:solidFill>
          </w14:textFill>
        </w:rPr>
        <w:fldChar w:fldCharType="begin"/>
      </w:r>
      <w:r>
        <w:rPr>
          <w:rFonts w:ascii="Times New Roman" w:hAnsi="Times New Roman" w:cs="Times New Roman"/>
          <w:color w:val="000000" w:themeColor="text1"/>
          <w:kern w:val="0"/>
          <w:sz w:val="24"/>
          <w:szCs w:val="24"/>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遇雷雨、极端气候、汛涝等恶劣气候；</w:t>
      </w:r>
      <w:r>
        <w:rPr>
          <w:rFonts w:ascii="Times New Roman" w:hAnsi="Times New Roman" w:cs="Times New Roman"/>
          <w:color w:val="000000" w:themeColor="text1"/>
          <w:kern w:val="0"/>
          <w:sz w:val="24"/>
          <w:szCs w:val="24"/>
          <w14:textFill>
            <w14:solidFill>
              <w14:schemeClr w14:val="tx1"/>
            </w14:solidFill>
          </w14:textFill>
        </w:rPr>
        <w:fldChar w:fldCharType="begin"/>
      </w:r>
      <w:r>
        <w:rPr>
          <w:rFonts w:ascii="Times New Roman" w:hAnsi="Times New Roman" w:cs="Times New Roman"/>
          <w:color w:val="000000" w:themeColor="text1"/>
          <w:kern w:val="0"/>
          <w:sz w:val="24"/>
          <w:szCs w:val="24"/>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其他异常现象等，由加油站及时应急处置，同时报告公司应急办，做好应急协调工作。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fldChar w:fldCharType="begin"/>
      </w:r>
      <w:r>
        <w:rPr>
          <w:rFonts w:ascii="Times New Roman" w:hAnsi="Times New Roman" w:cs="Times New Roman"/>
          <w:b/>
          <w:color w:val="000000" w:themeColor="text1"/>
          <w:kern w:val="0"/>
          <w:sz w:val="24"/>
          <w:szCs w:val="24"/>
          <w:lang w:val="zh-CN"/>
          <w14:textFill>
            <w14:solidFill>
              <w14:schemeClr w14:val="tx1"/>
            </w14:solidFill>
          </w14:textFill>
        </w:rPr>
        <w:instrText xml:space="preserve"> = 2 \* GB2 \* MERGEFORMAT </w:instrText>
      </w:r>
      <w:r>
        <w:rPr>
          <w:rFonts w:ascii="Times New Roman" w:hAnsi="Times New Roman" w:cs="Times New Roman"/>
          <w:b/>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b/>
          <w:color w:val="000000" w:themeColor="text1"/>
          <w:kern w:val="0"/>
          <w:sz w:val="24"/>
          <w:szCs w:val="24"/>
          <w:lang w:val="zh-CN"/>
          <w14:textFill>
            <w14:solidFill>
              <w14:schemeClr w14:val="tx1"/>
            </w14:solidFill>
          </w14:textFill>
        </w:rPr>
        <w:t>⑵</w:t>
      </w:r>
      <w:r>
        <w:rPr>
          <w:rFonts w:ascii="Times New Roman" w:hAnsi="Times New Roman" w:cs="Times New Roman"/>
          <w:b/>
          <w:color w:val="000000" w:themeColor="text1"/>
          <w:kern w:val="0"/>
          <w:sz w:val="24"/>
          <w:szCs w:val="24"/>
          <w:lang w:val="zh-CN"/>
          <w14:textFill>
            <w14:solidFill>
              <w14:schemeClr w14:val="tx1"/>
            </w14:solidFill>
          </w14:textFill>
        </w:rPr>
        <w:fldChar w:fldCharType="end"/>
      </w:r>
      <w:r>
        <w:rPr>
          <w:rFonts w:ascii="Times New Roman" w:hAnsi="Times New Roman" w:cs="Times New Roman"/>
          <w:b/>
          <w:color w:val="000000" w:themeColor="text1"/>
          <w:kern w:val="0"/>
          <w:sz w:val="24"/>
          <w:szCs w:val="24"/>
          <w:lang w:val="zh-CN"/>
          <w14:textFill>
            <w14:solidFill>
              <w14:schemeClr w14:val="tx1"/>
            </w14:solidFill>
          </w14:textFill>
        </w:rPr>
        <w:t>不可控级预警：</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若危险源已流出或扩散到周边社区、企业，加油站没有能力控制时，立即报告当地相关政府部门，请求支援。</w:t>
      </w:r>
    </w:p>
    <w:p>
      <w:pPr>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443" w:name="_Toc3671_WPSOffice_Level1"/>
      <w:bookmarkStart w:id="444" w:name="_Toc532817046"/>
      <w:bookmarkStart w:id="445" w:name="_Toc16749_WPSOffice_Level1"/>
      <w:bookmarkStart w:id="446" w:name="_Toc7664_WPSOffice_Level1"/>
      <w:bookmarkStart w:id="447" w:name="_Toc2112_WPSOffice_Level1"/>
      <w:bookmarkStart w:id="448" w:name="_Toc14999"/>
      <w:bookmarkStart w:id="449" w:name="_Toc22687_WPSOffice_Level1"/>
      <w:bookmarkStart w:id="450" w:name="_Toc4655"/>
      <w:r>
        <w:rPr>
          <w:rFonts w:ascii="Times New Roman" w:hAnsi="Times New Roman" w:cs="Times New Roman"/>
          <w:b/>
          <w:bCs/>
          <w:color w:val="000000" w:themeColor="text1"/>
          <w:kern w:val="44"/>
          <w:sz w:val="30"/>
          <w:szCs w:val="30"/>
          <w14:textFill>
            <w14:solidFill>
              <w14:schemeClr w14:val="tx1"/>
            </w14:solidFill>
          </w14:textFill>
        </w:rPr>
        <w:t>5.预防和预警</w:t>
      </w:r>
      <w:bookmarkEnd w:id="443"/>
      <w:bookmarkEnd w:id="444"/>
      <w:bookmarkEnd w:id="445"/>
      <w:bookmarkEnd w:id="446"/>
      <w:bookmarkEnd w:id="447"/>
      <w:bookmarkEnd w:id="448"/>
      <w:bookmarkEnd w:id="449"/>
      <w:bookmarkEnd w:id="450"/>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51" w:name="_Toc21100"/>
      <w:bookmarkStart w:id="452" w:name="_Toc10518_WPSOffice_Level2"/>
      <w:bookmarkStart w:id="453" w:name="_Toc532817047"/>
      <w:bookmarkStart w:id="454" w:name="_Toc27962_WPSOffice_Level2"/>
      <w:bookmarkStart w:id="455" w:name="_Toc20133"/>
      <w:bookmarkStart w:id="456" w:name="_Toc20158_WPSOffice_Level2"/>
      <w:bookmarkStart w:id="457" w:name="_Toc24052_WPSOffice_Level2"/>
      <w:bookmarkStart w:id="458" w:name="_Toc668_WPSOffice_Level2"/>
      <w:bookmarkStart w:id="459" w:name="_Toc11513"/>
      <w:r>
        <w:rPr>
          <w:rFonts w:ascii="Times New Roman" w:hAnsi="Times New Roman" w:cs="Times New Roman"/>
          <w:b/>
          <w:bCs/>
          <w:color w:val="000000" w:themeColor="text1"/>
          <w:kern w:val="44"/>
          <w:sz w:val="24"/>
          <w:szCs w:val="24"/>
          <w14:textFill>
            <w14:solidFill>
              <w14:schemeClr w14:val="tx1"/>
            </w14:solidFill>
          </w14:textFill>
        </w:rPr>
        <w:t>5.1</w:t>
      </w:r>
      <w:bookmarkEnd w:id="451"/>
      <w:r>
        <w:rPr>
          <w:rFonts w:ascii="Times New Roman" w:hAnsi="Times New Roman" w:cs="Times New Roman"/>
          <w:b/>
          <w:bCs/>
          <w:color w:val="000000" w:themeColor="text1"/>
          <w:kern w:val="44"/>
          <w:sz w:val="24"/>
          <w:szCs w:val="24"/>
          <w14:textFill>
            <w14:solidFill>
              <w14:schemeClr w14:val="tx1"/>
            </w14:solidFill>
          </w14:textFill>
        </w:rPr>
        <w:t>预防</w:t>
      </w:r>
      <w:bookmarkEnd w:id="452"/>
      <w:bookmarkEnd w:id="453"/>
      <w:bookmarkEnd w:id="454"/>
      <w:bookmarkEnd w:id="455"/>
      <w:bookmarkEnd w:id="456"/>
      <w:bookmarkEnd w:id="457"/>
      <w:bookmarkEnd w:id="458"/>
      <w:bookmarkEnd w:id="459"/>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环境风险源分为安全生产事故可能引发突发环境事件的环境安全危险源、排污造成环境污染事故的环境污染源和自然灾害引发的突发环境事件风险源。</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针对公司存在的危险源，公司采取了相应的安全防范措施，具体详见“3.4 风险事故管理”。对重要设备的运行状况、重点区域安排专人进行巡检，在事故未发生前预先发现隐患或事故发生时及时发现异常情况；另外，通过相关报警系统的设立，能够及时发现事故隐患进行报警，以便第一时间采取相应的紧急措施，避免事故的发生或事态的扩大，避免环境安全事故的发生。</w:t>
      </w:r>
    </w:p>
    <w:p>
      <w:pPr>
        <w:spacing w:line="500" w:lineRule="exact"/>
        <w:ind w:firstLine="482" w:firstLineChars="200"/>
        <w:jc w:val="left"/>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工程技术及管理预防措施：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）按规定在站房、加油区、储罐区等设置灭火器、灭火毯、消防沙等消防器材。</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）采用防渗承重罐池，筏板基础，剪力墙罐池，过车顶板，罐池内采用玻璃钢防腐防渗。储油罐按有关规范做好防腐，防腐等级不低于加强级。</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3</w:t>
      </w:r>
      <w:r>
        <w:rPr>
          <w:rFonts w:ascii="Times New Roman" w:hAnsi="Times New Roman" w:cs="Times New Roman"/>
          <w:color w:val="000000" w:themeColor="text1"/>
          <w:kern w:val="0"/>
          <w:sz w:val="24"/>
          <w:szCs w:val="24"/>
          <w:lang w:val="zh-CN"/>
          <w14:textFill>
            <w14:solidFill>
              <w14:schemeClr w14:val="tx1"/>
            </w14:solidFill>
          </w14:textFill>
        </w:rPr>
        <w:t>）在油罐四周及上部回填中性沙，厚度不小于0.3m，罐顶低于加油区混凝土路面不小于0.9m。罐池上部采取防水措施。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）地下储油罐设置液位报警装置，防止罐内油品溢出；设观察孔，为及时发现地下油罐渗漏提供条件，防止成品油泄漏造成大面积的地下水污染。</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lang w:val="zh-CN"/>
          <w14:textFill>
            <w14:solidFill>
              <w14:schemeClr w14:val="tx1"/>
            </w14:solidFill>
          </w14:textFill>
        </w:rPr>
        <w:t>）油罐区观测井、加油机低槽等部位采取防渗措施。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6</w:t>
      </w:r>
      <w:r>
        <w:rPr>
          <w:rFonts w:ascii="Times New Roman" w:hAnsi="Times New Roman" w:cs="Times New Roman"/>
          <w:color w:val="000000" w:themeColor="text1"/>
          <w:kern w:val="0"/>
          <w:sz w:val="24"/>
          <w:szCs w:val="24"/>
          <w:lang w:val="zh-CN"/>
          <w14:textFill>
            <w14:solidFill>
              <w14:schemeClr w14:val="tx1"/>
            </w14:solidFill>
          </w14:textFill>
        </w:rPr>
        <w:t>）输油管线外表面做好防腐处理，防腐等级不低于加强级的防腐绝缘保护层。埋地部分的管线采用焊接，穿越车道的埋地管线应设钢管保护；管沟敷设管线的，沟内填满细沙。当油品管线与管沟、电缆沟和排水沟交叉时，采取相应的防渗漏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7</w:t>
      </w:r>
      <w:r>
        <w:rPr>
          <w:rFonts w:ascii="Times New Roman" w:hAnsi="Times New Roman" w:cs="Times New Roman"/>
          <w:color w:val="000000" w:themeColor="text1"/>
          <w:kern w:val="0"/>
          <w:sz w:val="24"/>
          <w:szCs w:val="24"/>
          <w:lang w:val="zh-CN"/>
          <w14:textFill>
            <w14:solidFill>
              <w14:schemeClr w14:val="tx1"/>
            </w14:solidFill>
          </w14:textFill>
        </w:rPr>
        <w:t>）加油站加油机、罩棚、站房、油罐等均采取有效防雷和接地措施，卸油口、加油区设置静电释放装置，避免静电积聚。</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8</w:t>
      </w:r>
      <w:r>
        <w:rPr>
          <w:rFonts w:ascii="Times New Roman" w:hAnsi="Times New Roman" w:cs="Times New Roman"/>
          <w:color w:val="000000" w:themeColor="text1"/>
          <w:kern w:val="0"/>
          <w:sz w:val="24"/>
          <w:szCs w:val="24"/>
          <w:lang w:val="zh-CN"/>
          <w14:textFill>
            <w14:solidFill>
              <w14:schemeClr w14:val="tx1"/>
            </w14:solidFill>
          </w14:textFill>
        </w:rPr>
        <w:t>）绿化、房屋建构筑物占地以外的地面全部进行水泥地面硬化，防止滴漏于地面的油品污染地下水。</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9</w:t>
      </w:r>
      <w:r>
        <w:rPr>
          <w:rFonts w:ascii="Times New Roman" w:hAnsi="Times New Roman" w:cs="Times New Roman"/>
          <w:color w:val="000000" w:themeColor="text1"/>
          <w:kern w:val="0"/>
          <w:sz w:val="24"/>
          <w:szCs w:val="24"/>
          <w:lang w:val="zh-CN"/>
          <w14:textFill>
            <w14:solidFill>
              <w14:schemeClr w14:val="tx1"/>
            </w14:solidFill>
          </w14:textFill>
        </w:rPr>
        <w:t>）加油站设置醒目的防火、禁止吸烟及明火标志。</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10</w:t>
      </w:r>
      <w:r>
        <w:rPr>
          <w:rFonts w:ascii="Times New Roman" w:hAnsi="Times New Roman" w:cs="Times New Roman"/>
          <w:color w:val="000000" w:themeColor="text1"/>
          <w:kern w:val="0"/>
          <w:sz w:val="24"/>
          <w:szCs w:val="24"/>
          <w:lang w:val="zh-CN"/>
          <w14:textFill>
            <w14:solidFill>
              <w14:schemeClr w14:val="tx1"/>
            </w14:solidFill>
          </w14:textFill>
        </w:rPr>
        <w:t>）对加油站危险区域定时巡检，发现风险及时处理。</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60" w:name="_Toc8330_WPSOffice_Level2"/>
      <w:bookmarkStart w:id="461" w:name="_Toc5522"/>
      <w:bookmarkStart w:id="462" w:name="_Toc11315"/>
      <w:bookmarkStart w:id="463" w:name="_Toc22532_WPSOffice_Level2"/>
      <w:bookmarkStart w:id="464" w:name="_Toc30474"/>
      <w:bookmarkStart w:id="465" w:name="_Toc5613_WPSOffice_Level2"/>
      <w:bookmarkStart w:id="466" w:name="_Toc16284_WPSOffice_Level2"/>
      <w:bookmarkStart w:id="467" w:name="_Toc2870_WPSOffice_Level2"/>
      <w:bookmarkStart w:id="468" w:name="_Toc532817048"/>
      <w:bookmarkStart w:id="469" w:name="_Toc30731"/>
      <w:r>
        <w:rPr>
          <w:rFonts w:ascii="Times New Roman" w:hAnsi="Times New Roman" w:cs="Times New Roman"/>
          <w:b/>
          <w:bCs/>
          <w:color w:val="000000" w:themeColor="text1"/>
          <w:kern w:val="44"/>
          <w:sz w:val="24"/>
          <w:szCs w:val="24"/>
          <w14:textFill>
            <w14:solidFill>
              <w14:schemeClr w14:val="tx1"/>
            </w14:solidFill>
          </w14:textFill>
        </w:rPr>
        <w:t>5.2环境风险源监控</w:t>
      </w:r>
      <w:bookmarkEnd w:id="460"/>
      <w:bookmarkEnd w:id="461"/>
      <w:bookmarkEnd w:id="462"/>
      <w:bookmarkEnd w:id="463"/>
      <w:bookmarkEnd w:id="464"/>
      <w:bookmarkEnd w:id="465"/>
      <w:bookmarkEnd w:id="466"/>
      <w:bookmarkEnd w:id="467"/>
      <w:bookmarkEnd w:id="468"/>
      <w:bookmarkEnd w:id="469"/>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 xml:space="preserve">按照早发现、早报告、早处置的原则，根据中国石油天然气股份有限公司江西南昌启航加油站储油区、加油区、生产废水、危险废物、污水收集预处理池布置情况，将环保危险源进行分区监管。 </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470" w:name="_Toc32164"/>
      <w:bookmarkStart w:id="471" w:name="_Toc11274"/>
      <w:bookmarkStart w:id="472" w:name="_Toc532817049"/>
      <w:bookmarkStart w:id="473" w:name="_Toc668_WPSOffice_Level3"/>
      <w:bookmarkStart w:id="474" w:name="_Toc20556_WPSOffice_Level3"/>
      <w:bookmarkStart w:id="475" w:name="_Toc4553_WPSOffice_Level3"/>
      <w:bookmarkStart w:id="476" w:name="_Toc26522_WPSOffice_Level3"/>
      <w:bookmarkStart w:id="477" w:name="_Toc21777"/>
      <w:bookmarkStart w:id="478" w:name="_Toc27503_WPSOffice_Level3"/>
      <w:bookmarkStart w:id="479" w:name="_Toc302723354"/>
      <w:bookmarkStart w:id="480" w:name="_Toc1198"/>
      <w:r>
        <w:rPr>
          <w:rFonts w:ascii="Times New Roman" w:hAnsi="Times New Roman" w:cs="Times New Roman"/>
          <w:b/>
          <w:bCs/>
          <w:color w:val="000000" w:themeColor="text1"/>
          <w:kern w:val="44"/>
          <w:sz w:val="24"/>
          <w:szCs w:val="24"/>
          <w14:textFill>
            <w14:solidFill>
              <w14:schemeClr w14:val="tx1"/>
            </w14:solidFill>
          </w14:textFill>
        </w:rPr>
        <w:t>5.2.1主要危险源及监控</w:t>
      </w:r>
      <w:bookmarkEnd w:id="470"/>
      <w:bookmarkEnd w:id="471"/>
      <w:bookmarkEnd w:id="472"/>
      <w:bookmarkEnd w:id="473"/>
      <w:bookmarkEnd w:id="474"/>
      <w:bookmarkEnd w:id="475"/>
      <w:bookmarkEnd w:id="476"/>
      <w:bookmarkEnd w:id="477"/>
      <w:bookmarkEnd w:id="478"/>
      <w:bookmarkEnd w:id="479"/>
      <w:bookmarkEnd w:id="480"/>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 xml:space="preserve">对加油站汽油储存及输送管网、防渗罐池、加油机，含油污水和生活污水，油泥、油渣、沾油消防沙等危险废物等风险源进行监控。应急救援办公室、安全员负责突发环境事件信息接收、报告、处理、统计分析，以及预警信息监控，并根据应急能力情况及可能发生的突发环境事件级别，有针对性的开展应急监控和监测工作。 </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481" w:name="_Toc14498"/>
      <w:r>
        <w:rPr>
          <w:rFonts w:ascii="Times New Roman" w:hAnsi="Times New Roman" w:cs="Times New Roman"/>
          <w:color w:val="000000" w:themeColor="text1"/>
          <w:kern w:val="0"/>
          <w:sz w:val="24"/>
          <w:szCs w:val="24"/>
          <w:lang w:val="zh-CN"/>
          <w14:textFill>
            <w14:solidFill>
              <w14:schemeClr w14:val="tx1"/>
            </w14:solidFill>
          </w14:textFill>
        </w:rPr>
        <w:t xml:space="preserve">（1）各部门在日常检查中发现，或经群众举报、新闻媒体报道等其它途径得到的重大环境事件隐患，必须立即报应急救援办公室以及时上报指挥领导小组。 </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 xml:space="preserve">（2）对重大环境事件隐患，无论属于哪个部门主管，发现后应立即向应急救援办公室报告以及时上报指挥领导小组。 </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（3）各部门应在上报信息的同时，指派有关人员对突发环境事件隐患的源头进行污染控制，以防止环境污染进一步扩大。</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482" w:name="_Toc20920"/>
      <w:bookmarkStart w:id="483" w:name="_Toc532817050"/>
      <w:bookmarkStart w:id="484" w:name="_Toc13664_WPSOffice_Level3"/>
      <w:bookmarkStart w:id="485" w:name="_Toc22725_WPSOffice_Level3"/>
      <w:bookmarkStart w:id="486" w:name="_Toc13699_WPSOffice_Level3"/>
      <w:bookmarkStart w:id="487" w:name="_Toc8742"/>
      <w:bookmarkStart w:id="488" w:name="_Toc11416_WPSOffice_Level3"/>
      <w:bookmarkStart w:id="489" w:name="_Toc20158_WPSOffice_Level3"/>
      <w:bookmarkStart w:id="490" w:name="_Toc5290"/>
      <w:r>
        <w:rPr>
          <w:rFonts w:ascii="Times New Roman" w:hAnsi="Times New Roman" w:cs="Times New Roman"/>
          <w:b/>
          <w:bCs/>
          <w:color w:val="000000" w:themeColor="text1"/>
          <w:kern w:val="44"/>
          <w:sz w:val="24"/>
          <w:szCs w:val="24"/>
          <w14:textFill>
            <w14:solidFill>
              <w14:schemeClr w14:val="tx1"/>
            </w14:solidFill>
          </w14:textFill>
        </w:rPr>
        <w:t>5.2.2危险目标周围可利用的安全、消防、个体防护的设备、器材</w:t>
      </w:r>
      <w:bookmarkEnd w:id="481"/>
      <w:bookmarkEnd w:id="482"/>
      <w:bookmarkEnd w:id="483"/>
      <w:bookmarkEnd w:id="484"/>
      <w:bookmarkEnd w:id="485"/>
      <w:bookmarkEnd w:id="486"/>
      <w:bookmarkEnd w:id="487"/>
      <w:bookmarkEnd w:id="488"/>
      <w:bookmarkEnd w:id="489"/>
      <w:bookmarkEnd w:id="490"/>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（1）加油站设置消防器材情况：设置的消防设施</w:t>
      </w:r>
      <w:r>
        <w:rPr>
          <w:rFonts w:ascii="Times New Roman" w:hAnsi="Times New Roman" w:cs="Times New Roman"/>
          <w:color w:val="000000" w:themeColor="text1"/>
          <w:sz w:val="24"/>
          <w:szCs w:val="24"/>
          <w:lang w:val="zh-CN"/>
          <w14:textFill>
            <w14:solidFill>
              <w14:schemeClr w14:val="tx1"/>
            </w14:solidFill>
          </w14:textFill>
        </w:rPr>
        <w:t>有手提式干粉灭火器</w:t>
      </w:r>
      <w:r>
        <w:rPr>
          <w:rFonts w:ascii="Times New Roman" w:hAnsi="Times New Roman" w:cs="Times New Roman"/>
          <w:color w:val="000000" w:themeColor="text1"/>
          <w:sz w:val="24"/>
          <w:szCs w:val="24"/>
          <w14:textFill>
            <w14:solidFill>
              <w14:schemeClr w14:val="tx1"/>
            </w14:solidFill>
          </w14:textFill>
        </w:rPr>
        <w:t>8具</w:t>
      </w:r>
      <w:r>
        <w:rPr>
          <w:rFonts w:ascii="Times New Roman" w:hAnsi="Times New Roman" w:cs="Times New Roman"/>
          <w:color w:val="000000" w:themeColor="text1"/>
          <w:sz w:val="24"/>
          <w:szCs w:val="24"/>
          <w:lang w:val="zh-CN"/>
          <w14:textFill>
            <w14:solidFill>
              <w14:schemeClr w14:val="tx1"/>
            </w14:solidFill>
          </w14:textFill>
        </w:rPr>
        <w:t>、推车式灭火器</w:t>
      </w:r>
      <w:r>
        <w:rPr>
          <w:rFonts w:ascii="Times New Roman" w:hAnsi="Times New Roman" w:cs="Times New Roman"/>
          <w:color w:val="000000" w:themeColor="text1"/>
          <w:sz w:val="24"/>
          <w:szCs w:val="24"/>
          <w14:textFill>
            <w14:solidFill>
              <w14:schemeClr w14:val="tx1"/>
            </w14:solidFill>
          </w14:textFill>
        </w:rPr>
        <w:t>3</w:t>
      </w:r>
      <w:r>
        <w:rPr>
          <w:rFonts w:ascii="Times New Roman" w:hAnsi="Times New Roman" w:cs="Times New Roman"/>
          <w:color w:val="000000" w:themeColor="text1"/>
          <w:sz w:val="24"/>
          <w:szCs w:val="24"/>
          <w:lang w:val="zh-CN"/>
          <w14:textFill>
            <w14:solidFill>
              <w14:schemeClr w14:val="tx1"/>
            </w14:solidFill>
          </w14:textFill>
        </w:rPr>
        <w:t>具，消防沙箱</w:t>
      </w:r>
      <w:r>
        <w:rPr>
          <w:rFonts w:ascii="Times New Roman" w:hAnsi="Times New Roman" w:cs="Times New Roman"/>
          <w:color w:val="000000" w:themeColor="text1"/>
          <w:sz w:val="24"/>
          <w:szCs w:val="24"/>
          <w14:textFill>
            <w14:solidFill>
              <w14:schemeClr w14:val="tx1"/>
            </w14:solidFill>
          </w14:textFill>
        </w:rPr>
        <w:t>1</w:t>
      </w:r>
      <w:r>
        <w:rPr>
          <w:rFonts w:ascii="Times New Roman" w:hAnsi="Times New Roman" w:cs="Times New Roman"/>
          <w:color w:val="000000" w:themeColor="text1"/>
          <w:sz w:val="24"/>
          <w:szCs w:val="24"/>
          <w:lang w:val="zh-CN"/>
          <w14:textFill>
            <w14:solidFill>
              <w14:schemeClr w14:val="tx1"/>
            </w14:solidFill>
          </w14:textFill>
        </w:rPr>
        <w:t>座、灭火毯</w:t>
      </w:r>
      <w:r>
        <w:rPr>
          <w:rFonts w:ascii="Times New Roman" w:hAnsi="Times New Roman" w:cs="Times New Roman"/>
          <w:color w:val="000000" w:themeColor="text1"/>
          <w:sz w:val="24"/>
          <w:szCs w:val="24"/>
          <w14:textFill>
            <w14:solidFill>
              <w14:schemeClr w14:val="tx1"/>
            </w14:solidFill>
          </w14:textFill>
        </w:rPr>
        <w:t>5块</w:t>
      </w:r>
      <w:r>
        <w:rPr>
          <w:rFonts w:ascii="Times New Roman" w:hAnsi="Times New Roman" w:cs="Times New Roman"/>
          <w:color w:val="000000" w:themeColor="text1"/>
          <w:sz w:val="24"/>
          <w:szCs w:val="24"/>
          <w:lang w:val="zh-CN"/>
          <w14:textFill>
            <w14:solidFill>
              <w14:schemeClr w14:val="tx1"/>
            </w14:solidFill>
          </w14:textFill>
        </w:rPr>
        <w:t>；</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加油人员劳动保护用品每月按规定进行发放。</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491" w:name="_Toc21297_WPSOffice_Level2"/>
      <w:bookmarkStart w:id="492" w:name="_Toc23390"/>
      <w:bookmarkStart w:id="493" w:name="_Toc532817051"/>
      <w:bookmarkStart w:id="494" w:name="_Toc21341_WPSOffice_Level2"/>
      <w:bookmarkStart w:id="495" w:name="_Toc19979_WPSOffice_Level2"/>
      <w:bookmarkStart w:id="496" w:name="_Toc11416_WPSOffice_Level2"/>
      <w:bookmarkStart w:id="497" w:name="_Toc9372"/>
      <w:bookmarkStart w:id="498" w:name="_Toc31572_WPSOffice_Level2"/>
      <w:bookmarkStart w:id="499" w:name="_Toc1209"/>
      <w:r>
        <w:rPr>
          <w:rFonts w:ascii="Times New Roman" w:hAnsi="Times New Roman" w:cs="Times New Roman"/>
          <w:b/>
          <w:bCs/>
          <w:color w:val="000000" w:themeColor="text1"/>
          <w:kern w:val="44"/>
          <w:sz w:val="24"/>
          <w:szCs w:val="24"/>
          <w14:textFill>
            <w14:solidFill>
              <w14:schemeClr w14:val="tx1"/>
            </w14:solidFill>
          </w14:textFill>
        </w:rPr>
        <w:t>5.3应急能力评估</w:t>
      </w:r>
      <w:bookmarkEnd w:id="491"/>
      <w:bookmarkEnd w:id="492"/>
      <w:bookmarkEnd w:id="493"/>
      <w:bookmarkEnd w:id="494"/>
      <w:bookmarkEnd w:id="495"/>
      <w:bookmarkEnd w:id="496"/>
      <w:bookmarkEnd w:id="497"/>
      <w:bookmarkEnd w:id="498"/>
      <w:bookmarkEnd w:id="499"/>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加油站主要危险装置和危险物质：油罐区、加油区，危险废物收集间，污水收集池；危险物质主要是加油站含油污水、油泥、油渣和生活污水、汽油。</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500" w:name="_Toc1381_WPSOffice_Level3"/>
      <w:bookmarkStart w:id="501" w:name="_Toc532817052"/>
      <w:bookmarkStart w:id="502" w:name="_Toc27782"/>
      <w:bookmarkStart w:id="503" w:name="_Toc17015"/>
      <w:bookmarkStart w:id="504" w:name="_Toc2823_WPSOffice_Level3"/>
      <w:bookmarkStart w:id="505" w:name="_Toc14989_WPSOffice_Level3"/>
      <w:bookmarkStart w:id="506" w:name="_Toc2870_WPSOffice_Level3"/>
      <w:bookmarkStart w:id="507" w:name="_Toc1786_WPSOffice_Level3"/>
      <w:bookmarkStart w:id="508" w:name="_Toc20343"/>
      <w:r>
        <w:rPr>
          <w:rFonts w:ascii="Times New Roman" w:hAnsi="Times New Roman" w:cs="Times New Roman"/>
          <w:b/>
          <w:bCs/>
          <w:color w:val="000000" w:themeColor="text1"/>
          <w:kern w:val="44"/>
          <w:sz w:val="24"/>
          <w:szCs w:val="24"/>
          <w14:textFill>
            <w14:solidFill>
              <w14:schemeClr w14:val="tx1"/>
            </w14:solidFill>
          </w14:textFill>
        </w:rPr>
        <w:t>5.3.1应急队伍、装备、物资</w:t>
      </w:r>
      <w:bookmarkEnd w:id="500"/>
      <w:bookmarkEnd w:id="501"/>
      <w:bookmarkEnd w:id="502"/>
      <w:bookmarkEnd w:id="503"/>
      <w:bookmarkEnd w:id="504"/>
      <w:bookmarkEnd w:id="505"/>
      <w:bookmarkEnd w:id="506"/>
      <w:bookmarkEnd w:id="507"/>
      <w:bookmarkEnd w:id="508"/>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中国石油天然气股份有限公司江西南昌启航加油站成立了突发环境事件应急领导小组，小组办公室设在加油站办公室。由站</w:t>
      </w:r>
      <w:r>
        <w:rPr>
          <w:rFonts w:hint="eastAsia" w:ascii="Times New Roman" w:hAnsi="Times New Roman" w:cs="Times New Roman"/>
          <w:color w:val="000000" w:themeColor="text1"/>
          <w:kern w:val="0"/>
          <w:sz w:val="24"/>
          <w:szCs w:val="24"/>
          <w14:textFill>
            <w14:solidFill>
              <w14:schemeClr w14:val="tx1"/>
            </w14:solidFill>
          </w14:textFill>
        </w:rPr>
        <w:t>经理</w:t>
      </w:r>
      <w:r>
        <w:rPr>
          <w:rFonts w:ascii="Times New Roman" w:hAnsi="Times New Roman" w:cs="Times New Roman"/>
          <w:color w:val="000000" w:themeColor="text1"/>
          <w:kern w:val="0"/>
          <w:sz w:val="24"/>
          <w:szCs w:val="24"/>
          <w14:textFill>
            <w14:solidFill>
              <w14:schemeClr w14:val="tx1"/>
            </w14:solidFill>
          </w14:textFill>
        </w:rPr>
        <w:t>任组长，</w:t>
      </w:r>
      <w:r>
        <w:rPr>
          <w:rFonts w:hint="eastAsia" w:ascii="Times New Roman" w:hAnsi="Times New Roman" w:cs="Times New Roman"/>
          <w:color w:val="000000" w:themeColor="text1"/>
          <w:kern w:val="0"/>
          <w:sz w:val="24"/>
          <w:szCs w:val="24"/>
          <w14:textFill>
            <w14:solidFill>
              <w14:schemeClr w14:val="tx1"/>
            </w14:solidFill>
          </w14:textFill>
        </w:rPr>
        <w:t>前厅主管</w:t>
      </w:r>
      <w:r>
        <w:rPr>
          <w:rFonts w:ascii="Times New Roman" w:hAnsi="Times New Roman" w:cs="Times New Roman"/>
          <w:color w:val="000000" w:themeColor="text1"/>
          <w:kern w:val="0"/>
          <w:sz w:val="24"/>
          <w:szCs w:val="24"/>
          <w14:textFill>
            <w14:solidFill>
              <w14:schemeClr w14:val="tx1"/>
            </w14:solidFill>
          </w14:textFill>
        </w:rPr>
        <w:t>为副组长，组员由加油站各部门负责人组成。</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突发环境事件应急领导小组根据加油站环境污染源实际情况，分别设立应急办公室、后勤物资保障组。</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应急物资与装备配备情况：</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（1）加油站设置消防器材情况：设置的消防设施有</w:t>
      </w:r>
      <w:r>
        <w:rPr>
          <w:rFonts w:hint="eastAsia" w:ascii="Times New Roman" w:hAnsi="Times New Roman" w:cs="Times New Roman"/>
          <w:color w:val="000000" w:themeColor="text1"/>
          <w:kern w:val="0"/>
          <w:sz w:val="24"/>
          <w:szCs w:val="24"/>
          <w14:textFill>
            <w14:solidFill>
              <w14:schemeClr w14:val="tx1"/>
            </w14:solidFill>
          </w14:textFill>
        </w:rPr>
        <w:t>推车式干粉灭火器</w:t>
      </w:r>
      <w:r>
        <w:rPr>
          <w:rFonts w:ascii="Times New Roman" w:hAnsi="Times New Roman" w:cs="Times New Roman"/>
          <w:color w:val="000000" w:themeColor="text1"/>
          <w:kern w:val="0"/>
          <w:sz w:val="24"/>
          <w:szCs w:val="24"/>
          <w14:textFill>
            <w14:solidFill>
              <w14:schemeClr w14:val="tx1"/>
            </w14:solidFill>
          </w14:textFill>
        </w:rPr>
        <w:t>3</w:t>
      </w:r>
      <w:r>
        <w:rPr>
          <w:rFonts w:hint="eastAsia" w:ascii="Times New Roman" w:hAnsi="Times New Roman" w:cs="Times New Roman"/>
          <w:color w:val="000000" w:themeColor="text1"/>
          <w:kern w:val="0"/>
          <w:sz w:val="24"/>
          <w:szCs w:val="24"/>
          <w14:textFill>
            <w14:solidFill>
              <w14:schemeClr w14:val="tx1"/>
            </w14:solidFill>
          </w14:textFill>
        </w:rPr>
        <w:t>台</w:t>
      </w:r>
      <w:r>
        <w:rPr>
          <w:rFonts w:ascii="Times New Roman" w:hAnsi="Times New Roman" w:cs="Times New Roman"/>
          <w:color w:val="000000" w:themeColor="text1"/>
          <w:kern w:val="0"/>
          <w:sz w:val="24"/>
          <w:szCs w:val="24"/>
          <w14:textFill>
            <w14:solidFill>
              <w14:schemeClr w14:val="tx1"/>
            </w14:solidFill>
          </w14:textFill>
        </w:rPr>
        <w:t>、</w:t>
      </w:r>
      <w:r>
        <w:rPr>
          <w:rFonts w:hint="eastAsia" w:ascii="Times New Roman" w:hAnsi="Times New Roman" w:cs="Times New Roman"/>
          <w:color w:val="000000" w:themeColor="text1"/>
          <w:kern w:val="0"/>
          <w:sz w:val="24"/>
          <w:szCs w:val="24"/>
          <w14:textFill>
            <w14:solidFill>
              <w14:schemeClr w14:val="tx1"/>
            </w14:solidFill>
          </w14:textFill>
        </w:rPr>
        <w:t>手提式灭火器8具</w:t>
      </w:r>
      <w:r>
        <w:rPr>
          <w:rFonts w:ascii="Times New Roman" w:hAnsi="Times New Roman" w:cs="Times New Roman"/>
          <w:color w:val="000000" w:themeColor="text1"/>
          <w:kern w:val="0"/>
          <w:sz w:val="24"/>
          <w:szCs w:val="24"/>
          <w14:textFill>
            <w14:solidFill>
              <w14:schemeClr w14:val="tx1"/>
            </w14:solidFill>
          </w14:textFill>
        </w:rPr>
        <w:t>，消防沙</w:t>
      </w:r>
      <w:r>
        <w:rPr>
          <w:rFonts w:hint="eastAsia"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14:textFill>
            <w14:solidFill>
              <w14:schemeClr w14:val="tx1"/>
            </w14:solidFill>
          </w14:textFill>
        </w:rPr>
        <w:t>m</w:t>
      </w:r>
      <w:r>
        <w:rPr>
          <w:rFonts w:ascii="Times New Roman" w:hAnsi="Times New Roman" w:cs="Times New Roman"/>
          <w:color w:val="000000" w:themeColor="text1"/>
          <w:kern w:val="0"/>
          <w:sz w:val="24"/>
          <w:szCs w:val="24"/>
          <w:vertAlign w:val="superscript"/>
          <w14:textFill>
            <w14:solidFill>
              <w14:schemeClr w14:val="tx1"/>
            </w14:solidFill>
          </w14:textFill>
        </w:rPr>
        <w:t>3</w:t>
      </w:r>
      <w:r>
        <w:rPr>
          <w:rFonts w:ascii="Times New Roman" w:hAnsi="Times New Roman" w:cs="Times New Roman"/>
          <w:color w:val="000000" w:themeColor="text1"/>
          <w:kern w:val="0"/>
          <w:sz w:val="24"/>
          <w:szCs w:val="24"/>
          <w14:textFill>
            <w14:solidFill>
              <w14:schemeClr w14:val="tx1"/>
            </w14:solidFill>
          </w14:textFill>
        </w:rPr>
        <w:t>、灭火毯5块</w:t>
      </w:r>
      <w:r>
        <w:rPr>
          <w:rFonts w:hint="eastAsia" w:ascii="Times New Roman" w:hAnsi="Times New Roman" w:cs="Times New Roman"/>
          <w:color w:val="000000" w:themeColor="text1"/>
          <w:kern w:val="0"/>
          <w:sz w:val="24"/>
          <w:szCs w:val="24"/>
          <w14:textFill>
            <w14:solidFill>
              <w14:schemeClr w14:val="tx1"/>
            </w14:solidFill>
          </w14:textFill>
        </w:rPr>
        <w:t>、吸油毡5块</w:t>
      </w:r>
      <w:r>
        <w:rPr>
          <w:rFonts w:ascii="Times New Roman" w:hAnsi="Times New Roman" w:cs="Times New Roman"/>
          <w:color w:val="000000" w:themeColor="text1"/>
          <w:kern w:val="0"/>
          <w:sz w:val="24"/>
          <w:szCs w:val="24"/>
          <w14:textFill>
            <w14:solidFill>
              <w14:schemeClr w14:val="tx1"/>
            </w14:solidFill>
          </w14:textFill>
        </w:rPr>
        <w:t>；</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（2）加油人员劳动保护用品每月按规定进行发放。</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通讯保障：加油站设有固定电话、移动电话。</w:t>
      </w:r>
    </w:p>
    <w:p>
      <w:pPr>
        <w:keepNext/>
        <w:keepLines/>
        <w:spacing w:before="240" w:beforeLines="100" w:after="240" w:afterLines="100" w:line="500" w:lineRule="exact"/>
        <w:jc w:val="left"/>
        <w:outlineLvl w:val="2"/>
        <w:rPr>
          <w:rFonts w:ascii="Times New Roman" w:hAnsi="Times New Roman" w:cs="Times New Roman"/>
          <w:b/>
          <w:bCs/>
          <w:color w:val="000000" w:themeColor="text1"/>
          <w:kern w:val="44"/>
          <w:sz w:val="24"/>
          <w:szCs w:val="24"/>
          <w14:textFill>
            <w14:solidFill>
              <w14:schemeClr w14:val="tx1"/>
            </w14:solidFill>
          </w14:textFill>
        </w:rPr>
      </w:pPr>
      <w:bookmarkStart w:id="509" w:name="_Toc22942"/>
      <w:bookmarkStart w:id="510" w:name="_Toc9787_WPSOffice_Level3"/>
      <w:bookmarkStart w:id="511" w:name="_Toc17746_WPSOffice_Level3"/>
      <w:bookmarkStart w:id="512" w:name="_Toc20896_WPSOffice_Level3"/>
      <w:bookmarkStart w:id="513" w:name="_Toc5166"/>
      <w:bookmarkStart w:id="514" w:name="_Toc16787_WPSOffice_Level3"/>
      <w:bookmarkStart w:id="515" w:name="_Toc31572_WPSOffice_Level3"/>
      <w:bookmarkStart w:id="516" w:name="_Toc532817053"/>
      <w:bookmarkStart w:id="517" w:name="_Toc28079"/>
      <w:r>
        <w:rPr>
          <w:rFonts w:ascii="Times New Roman" w:hAnsi="Times New Roman" w:cs="Times New Roman"/>
          <w:b/>
          <w:bCs/>
          <w:color w:val="000000" w:themeColor="text1"/>
          <w:kern w:val="44"/>
          <w:sz w:val="24"/>
          <w:szCs w:val="24"/>
          <w14:textFill>
            <w14:solidFill>
              <w14:schemeClr w14:val="tx1"/>
            </w14:solidFill>
          </w14:textFill>
        </w:rPr>
        <w:t>5.3.2评估结论</w:t>
      </w:r>
      <w:bookmarkEnd w:id="509"/>
      <w:bookmarkEnd w:id="510"/>
      <w:bookmarkEnd w:id="511"/>
      <w:bookmarkEnd w:id="512"/>
      <w:bookmarkEnd w:id="513"/>
      <w:bookmarkEnd w:id="514"/>
      <w:bookmarkEnd w:id="515"/>
      <w:bookmarkEnd w:id="516"/>
      <w:bookmarkEnd w:id="517"/>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在全面调查和客观分析加油站主要事故风险、应急队伍、装备、物资等应急资源状况的基础上，针对可能发生的事故类型，详细检查了应急能力，加油站管理人员和员工已从事加油业务经营多年，对加油站经营过程中危险因素及事故处理经验丰富，现应急能力可满足应急救援工作的需要。在今后的应急管理工作中应做好以下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加强组织建设。一是成立加油站应急管理办公室。明确具体负责人负责此项工作，并抽调专（兼）职工作人员，协调办理应急管理日常事务。加油员及相关部门明确承担应急管理工作的具体办事机构。同时，成立相应的应急队伍。二是建立健全了管理制度。加油站建立领导带班和值班制度，严格实行24小时值班。员工加强学习，熟悉预案内容和管理规程，进一步明确工作职责。</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做好突发环境事件预防和处置。一是强化信息报送工作。各班员工按照要求，及时上报信息。二是建立风险隐患排查责任制。定期组织力量开展风险隐患排查工作，全面掌握加油站区域各类风险隐患情况，建立分级、分类管理制度，层层落实责任制。</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加强应急演练和队伍建设。建立以安全环保员、应急救援办公室、物资保障后勤组为应急救援的骨干力量，加强培训和演练，增强应急意识，提高避险和应急自救能力。围绕重点区域和薄弱环节，推进应急管理建设，开展应急管理宣传教育、人员培训、预案演练，提高加油站领导干部指挥水平和管理人员应急救援的专业技能。加强应急体系建设工作的督促检查，确保各项工作规范运作，落实到位。重点加强对加油人员的宣传、教育与培训工作，通过宣传、教育与培训，让加油站全体加油人员了解预案内容，懂得应急程序，掌握相关知识，提高应急能力。</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（4）加强预案体系建设。继续高度重视应急预案的编制工作，注重提高预案质量，通过演练不断补充完善各类应急预案，增强预案的科学性、可操作性和实用性。</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5）加大资金投入，促进应急体系建设。从加强监测预警、应急指挥、应急队伍和后勤保障系统建设入手，加大资金投入，提高应急管理水平。一是从加强应急管理体制、人员、通讯、物资、装备、救援队伍等方面入手，建立健全应急资源信息库，强化基础，为应急管理工作提供组织、物资、装备保障；二是建立和完善具有快速反应能力的专业化救援队伍，提高救援装备水平，增强应急反应和抢险救援能力。</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（6）设置事故应急池，确保事故废水（含油废水、消防废水）安全收集。</w:t>
      </w:r>
    </w:p>
    <w:p>
      <w:pPr>
        <w:keepNext/>
        <w:keepLines/>
        <w:spacing w:before="240" w:beforeLines="100" w:after="240" w:afterLines="100" w:line="500" w:lineRule="exact"/>
        <w:jc w:val="left"/>
        <w:outlineLvl w:val="1"/>
        <w:rPr>
          <w:rFonts w:ascii="Times New Roman" w:hAnsi="Times New Roman" w:cs="Times New Roman"/>
          <w:b/>
          <w:bCs/>
          <w:color w:val="000000" w:themeColor="text1"/>
          <w:kern w:val="44"/>
          <w:sz w:val="24"/>
          <w:szCs w:val="24"/>
          <w14:textFill>
            <w14:solidFill>
              <w14:schemeClr w14:val="tx1"/>
            </w14:solidFill>
          </w14:textFill>
        </w:rPr>
      </w:pPr>
      <w:bookmarkStart w:id="518" w:name="_Toc22164_WPSOffice_Level2"/>
      <w:bookmarkStart w:id="519" w:name="_Toc25316_WPSOffice_Level2"/>
      <w:bookmarkStart w:id="520" w:name="_Toc24754"/>
      <w:bookmarkStart w:id="521" w:name="_Toc532817054"/>
      <w:bookmarkStart w:id="522" w:name="_Toc5021_WPSOffice_Level2"/>
      <w:bookmarkStart w:id="523" w:name="_Toc14017_WPSOffice_Level2"/>
      <w:bookmarkStart w:id="524" w:name="_Toc30116_WPSOffice_Level2"/>
      <w:bookmarkStart w:id="525" w:name="_Toc27169"/>
      <w:r>
        <w:rPr>
          <w:rFonts w:ascii="Times New Roman" w:hAnsi="Times New Roman" w:cs="Times New Roman"/>
          <w:b/>
          <w:bCs/>
          <w:color w:val="000000" w:themeColor="text1"/>
          <w:kern w:val="44"/>
          <w:sz w:val="24"/>
          <w:szCs w:val="24"/>
          <w14:textFill>
            <w14:solidFill>
              <w14:schemeClr w14:val="tx1"/>
            </w14:solidFill>
          </w14:textFill>
        </w:rPr>
        <w:t>5.4预警行动</w:t>
      </w:r>
      <w:bookmarkEnd w:id="518"/>
      <w:bookmarkEnd w:id="519"/>
      <w:bookmarkEnd w:id="520"/>
      <w:bookmarkEnd w:id="521"/>
      <w:bookmarkEnd w:id="522"/>
      <w:bookmarkEnd w:id="523"/>
      <w:bookmarkEnd w:id="524"/>
      <w:bookmarkEnd w:id="525"/>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526" w:name="_Toc5021_WPSOffice_Level3"/>
      <w:bookmarkStart w:id="527" w:name="_Toc28860_WPSOffice_Level3"/>
      <w:bookmarkStart w:id="528" w:name="_Toc22164_WPSOffice_Level3"/>
      <w:bookmarkStart w:id="529" w:name="_Toc16676_WPSOffice_Level3"/>
      <w:bookmarkStart w:id="530" w:name="_Toc25798_WPSOffice_Level3"/>
      <w:bookmarkStart w:id="531" w:name="_Toc375668951"/>
      <w:r>
        <w:rPr>
          <w:rFonts w:ascii="Times New Roman" w:hAnsi="Times New Roman" w:cs="Times New Roman"/>
          <w:color w:val="000000" w:themeColor="text1"/>
          <w:kern w:val="0"/>
          <w:sz w:val="24"/>
          <w:szCs w:val="24"/>
          <w14:textFill>
            <w14:solidFill>
              <w14:schemeClr w14:val="tx1"/>
            </w14:solidFill>
          </w14:textFill>
        </w:rPr>
        <w:t>1、预警级别</w:t>
      </w:r>
      <w:bookmarkEnd w:id="526"/>
      <w:bookmarkEnd w:id="527"/>
      <w:bookmarkEnd w:id="528"/>
      <w:bookmarkEnd w:id="529"/>
      <w:bookmarkEnd w:id="530"/>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按照突发环境事件严重性、紧急程度和可能波及的范围，对突发环境污染事故的预警分为：不可控级预警（</w:t>
      </w:r>
      <w:r>
        <w:rPr>
          <w:rFonts w:hint="eastAsia" w:ascii="宋体" w:hAnsi="宋体" w:eastAsia="宋体" w:cs="宋体"/>
          <w:color w:val="000000" w:themeColor="text1"/>
          <w:kern w:val="0"/>
          <w:sz w:val="24"/>
          <w:szCs w:val="24"/>
          <w14:textFill>
            <w14:solidFill>
              <w14:schemeClr w14:val="tx1"/>
            </w14:solidFill>
          </w14:textFill>
        </w:rPr>
        <w:t>Ⅰ</w:t>
      </w:r>
      <w:r>
        <w:rPr>
          <w:rFonts w:ascii="Times New Roman" w:hAnsi="Times New Roman" w:cs="Times New Roman"/>
          <w:color w:val="000000" w:themeColor="text1"/>
          <w:kern w:val="0"/>
          <w:sz w:val="24"/>
          <w:szCs w:val="24"/>
          <w14:textFill>
            <w14:solidFill>
              <w14:schemeClr w14:val="tx1"/>
            </w14:solidFill>
          </w14:textFill>
        </w:rPr>
        <w:t>级-社会级）、可控级预警（</w:t>
      </w:r>
      <w:r>
        <w:rPr>
          <w:rFonts w:hint="eastAsia" w:ascii="宋体" w:hAnsi="宋体" w:eastAsia="宋体" w:cs="宋体"/>
          <w:color w:val="000000" w:themeColor="text1"/>
          <w:kern w:val="0"/>
          <w:sz w:val="24"/>
          <w:szCs w:val="24"/>
          <w14:textFill>
            <w14:solidFill>
              <w14:schemeClr w14:val="tx1"/>
            </w14:solidFill>
          </w14:textFill>
        </w:rPr>
        <w:t>Ⅱ</w:t>
      </w:r>
      <w:r>
        <w:rPr>
          <w:rFonts w:ascii="Times New Roman" w:hAnsi="Times New Roman" w:cs="Times New Roman"/>
          <w:color w:val="000000" w:themeColor="text1"/>
          <w:kern w:val="0"/>
          <w:sz w:val="24"/>
          <w:szCs w:val="24"/>
          <w14:textFill>
            <w14:solidFill>
              <w14:schemeClr w14:val="tx1"/>
            </w14:solidFill>
          </w14:textFill>
        </w:rPr>
        <w:t>级-加油站内部级）。根据事态的发展情况和采取措施的效果，预警可以升级、降级或解除。进入预警状态后，应当采取的措施：</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立即启动相关应急预案；</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发布预警公告；</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转移、撤离或者疏散可能受到危害的人员，并进行妥善安置；</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指令各环境应急救援队伍进入应急状态，应急总指挥随时掌 握并报告事态进展情况，如有需要外委南昌市环境监测站或其他单位进行应急监测；</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t>针对突发环境事故可能造成的危害，封闭、隔离或者限制使用有关场所，中止可能导致危害扩大的行为和活动；</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t>调集环境应急所需物资和装备，确保应急保障工作。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532" w:name="_Toc19245_WPSOffice_Level3"/>
      <w:bookmarkStart w:id="533" w:name="_Toc24276_WPSOffice_Level3"/>
      <w:bookmarkStart w:id="534" w:name="_Toc22106_WPSOffice_Level3"/>
      <w:bookmarkStart w:id="535" w:name="_Toc11036_WPSOffice_Level3"/>
      <w:bookmarkStart w:id="536" w:name="_Toc17738_WPSOffice_Level3"/>
      <w:r>
        <w:rPr>
          <w:rFonts w:ascii="Times New Roman" w:hAnsi="Times New Roman" w:cs="Times New Roman"/>
          <w:color w:val="000000" w:themeColor="text1"/>
          <w:kern w:val="0"/>
          <w:sz w:val="24"/>
          <w:szCs w:val="24"/>
          <w14:textFill>
            <w14:solidFill>
              <w14:schemeClr w14:val="tx1"/>
            </w14:solidFill>
          </w14:textFill>
        </w:rPr>
        <w:t>2、预警行动</w:t>
      </w:r>
      <w:bookmarkEnd w:id="531"/>
      <w:bookmarkEnd w:id="532"/>
      <w:bookmarkEnd w:id="533"/>
      <w:bookmarkEnd w:id="534"/>
      <w:bookmarkEnd w:id="535"/>
      <w:bookmarkEnd w:id="536"/>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应急救援指挥部接到可能事故信息后，按照分级响应的原则及时研究确定应对方案，并通知加油站人员采取有效措施预防事故发生；当应急救援指挥部认为事故较大，有可能超出加油站处置能力时，及时向南昌市应急办等报告，及时研究应对方案，采取预警行动。</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为能及时联系和尽快掌握发生事故的状况，组长、副组长的电话必须24h开机，以保持信息畅通，及时掌握事故动态，以便尽快赶赴事故现场进行指挥和做出正确的决策。</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537" w:name="_Toc8805_WPSOffice_Level3"/>
      <w:bookmarkStart w:id="538" w:name="_Toc13894_WPSOffice_Level3"/>
      <w:bookmarkStart w:id="539" w:name="_Toc24668_WPSOffice_Level3"/>
      <w:bookmarkStart w:id="540" w:name="_Toc25432_WPSOffice_Level3"/>
      <w:bookmarkStart w:id="541" w:name="_Toc145_WPSOffice_Level3"/>
      <w:r>
        <w:rPr>
          <w:rFonts w:ascii="Times New Roman" w:hAnsi="Times New Roman" w:cs="Times New Roman"/>
          <w:color w:val="000000" w:themeColor="text1"/>
          <w:kern w:val="0"/>
          <w:sz w:val="24"/>
          <w:szCs w:val="24"/>
          <w14:textFill>
            <w14:solidFill>
              <w14:schemeClr w14:val="tx1"/>
            </w14:solidFill>
          </w14:textFill>
        </w:rPr>
        <w:t>3、预警信息</w:t>
      </w:r>
      <w:bookmarkEnd w:id="537"/>
      <w:bookmarkEnd w:id="538"/>
      <w:bookmarkEnd w:id="539"/>
      <w:bookmarkEnd w:id="540"/>
      <w:bookmarkEnd w:id="541"/>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预警信息包括突发环境事件的类型、预警级别、起始时间、可能影响范围、警示事项、应采取的措施和发布机关等。主要发布途径有电视台、广播、各类公共显示屏、短信息、互联网、内外部有线电话和无线通信等。预警公告内容详见表5-1。</w:t>
      </w:r>
    </w:p>
    <w:p>
      <w:pPr>
        <w:spacing w:line="360" w:lineRule="auto"/>
        <w:jc w:val="center"/>
        <w:rPr>
          <w:rFonts w:ascii="Times New Roman" w:hAnsi="Times New Roman" w:cs="Times New Roman"/>
          <w:b/>
          <w:bCs/>
          <w:color w:val="000000" w:themeColor="text1"/>
          <w:szCs w:val="21"/>
          <w14:textFill>
            <w14:solidFill>
              <w14:schemeClr w14:val="tx1"/>
            </w14:solidFill>
          </w14:textFill>
        </w:rPr>
      </w:pPr>
      <w:r>
        <w:rPr>
          <w:rFonts w:ascii="Times New Roman" w:hAnsi="Times New Roman" w:cs="Times New Roman"/>
          <w:b/>
          <w:bCs/>
          <w:color w:val="000000" w:themeColor="text1"/>
          <w:szCs w:val="21"/>
          <w14:textFill>
            <w14:solidFill>
              <w14:schemeClr w14:val="tx1"/>
            </w14:solidFill>
          </w14:textFill>
        </w:rPr>
        <w:t>表5-1  公司突发事件预警公告</w:t>
      </w:r>
    </w:p>
    <w:tbl>
      <w:tblPr>
        <w:tblStyle w:val="16"/>
        <w:tblW w:w="8299"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2765"/>
        <w:gridCol w:w="2767"/>
        <w:gridCol w:w="2767"/>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序号</w:t>
            </w:r>
          </w:p>
        </w:tc>
        <w:tc>
          <w:tcPr>
            <w:tcW w:w="2767" w:type="dxa"/>
            <w:tcBorders>
              <w:tl2br w:val="nil"/>
              <w:tr2bl w:val="nil"/>
            </w:tcBorders>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项目</w:t>
            </w:r>
          </w:p>
        </w:tc>
        <w:tc>
          <w:tcPr>
            <w:tcW w:w="2767" w:type="dxa"/>
            <w:tcBorders>
              <w:tl2br w:val="nil"/>
              <w:tr2bl w:val="nil"/>
            </w:tcBorders>
            <w:vAlign w:val="center"/>
          </w:tcPr>
          <w:p>
            <w:pPr>
              <w:jc w:val="center"/>
              <w:rPr>
                <w:rFonts w:ascii="Times New Roman" w:hAnsi="Times New Roman" w:cs="Times New Roman"/>
                <w:b/>
                <w:color w:val="000000" w:themeColor="text1"/>
                <w:szCs w:val="21"/>
                <w14:textFill>
                  <w14:solidFill>
                    <w14:schemeClr w14:val="tx1"/>
                  </w14:solidFill>
                </w14:textFill>
              </w:rPr>
            </w:pPr>
            <w:r>
              <w:rPr>
                <w:rFonts w:ascii="Times New Roman" w:hAnsi="Times New Roman" w:cs="Times New Roman"/>
                <w:b/>
                <w:color w:val="000000" w:themeColor="text1"/>
                <w:szCs w:val="21"/>
                <w14:textFill>
                  <w14:solidFill>
                    <w14:schemeClr w14:val="tx1"/>
                  </w14:solidFill>
                </w14:textFill>
              </w:rPr>
              <w:t>公告内容</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突发环境事件的类型</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2</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预警级别</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3</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预警区域或场所</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4</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预警起始时间</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5</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可能影响范围</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6</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警示事项</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7</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应采取的措施</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35"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8</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发布机关</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44" w:hRule="atLeast"/>
          <w:jc w:val="center"/>
        </w:trPr>
        <w:tc>
          <w:tcPr>
            <w:tcW w:w="2765"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9</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备注</w:t>
            </w:r>
          </w:p>
        </w:tc>
        <w:tc>
          <w:tcPr>
            <w:tcW w:w="2767" w:type="dxa"/>
            <w:tcBorders>
              <w:tl2br w:val="nil"/>
              <w:tr2bl w:val="nil"/>
            </w:tcBorders>
            <w:vAlign w:val="center"/>
          </w:tcPr>
          <w:p>
            <w:pPr>
              <w:jc w:val="center"/>
              <w:rPr>
                <w:rFonts w:ascii="Times New Roman" w:hAnsi="Times New Roman" w:cs="Times New Roman"/>
                <w:color w:val="000000" w:themeColor="text1"/>
                <w:szCs w:val="21"/>
                <w14:textFill>
                  <w14:solidFill>
                    <w14:schemeClr w14:val="tx1"/>
                  </w14:solidFill>
                </w14:textFill>
              </w:rPr>
            </w:pPr>
          </w:p>
        </w:tc>
      </w:tr>
    </w:tbl>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542" w:name="_Toc3603_WPSOffice_Level3"/>
      <w:bookmarkStart w:id="543" w:name="_Toc18397_WPSOffice_Level3"/>
      <w:bookmarkStart w:id="544" w:name="_Toc4341_WPSOffice_Level3"/>
      <w:bookmarkStart w:id="545" w:name="_Toc25049_WPSOffice_Level3"/>
      <w:bookmarkStart w:id="546" w:name="_Toc13933_WPSOffice_Level3"/>
      <w:r>
        <w:rPr>
          <w:rFonts w:ascii="Times New Roman" w:hAnsi="Times New Roman" w:cs="Times New Roman"/>
          <w:color w:val="000000" w:themeColor="text1"/>
          <w:kern w:val="0"/>
          <w:sz w:val="24"/>
          <w:szCs w:val="24"/>
          <w14:textFill>
            <w14:solidFill>
              <w14:schemeClr w14:val="tx1"/>
            </w14:solidFill>
          </w14:textFill>
        </w:rPr>
        <w:t>4、预警的发布和解除</w:t>
      </w:r>
      <w:bookmarkEnd w:id="542"/>
      <w:bookmarkEnd w:id="543"/>
      <w:bookmarkEnd w:id="544"/>
      <w:bookmarkEnd w:id="545"/>
      <w:bookmarkEnd w:id="546"/>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547" w:name="_Toc256847798"/>
      <w:bookmarkStart w:id="548" w:name="_Toc256847697"/>
      <w:r>
        <w:rPr>
          <w:rFonts w:ascii="Times New Roman" w:hAnsi="Times New Roman" w:cs="Times New Roman"/>
          <w:color w:val="000000" w:themeColor="text1"/>
          <w:kern w:val="0"/>
          <w:sz w:val="24"/>
          <w:szCs w:val="24"/>
          <w14:textFill>
            <w14:solidFill>
              <w14:schemeClr w14:val="tx1"/>
            </w14:solidFill>
          </w14:textFill>
        </w:rPr>
        <w:t>预警信息的发布一般通过紧急会议、电话、短信系统、网络等方式进行，预警信息包括突发事件的类别、预警级别、起始时间、可能影响范围、警示事项、应采取的措施和发布单位等。</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达到</w:t>
      </w:r>
      <w:r>
        <w:rPr>
          <w:rFonts w:hint="eastAsia" w:ascii="宋体" w:hAnsi="宋体" w:eastAsia="宋体" w:cs="宋体"/>
          <w:color w:val="000000" w:themeColor="text1"/>
          <w:kern w:val="0"/>
          <w:sz w:val="24"/>
          <w:szCs w:val="24"/>
          <w14:textFill>
            <w14:solidFill>
              <w14:schemeClr w14:val="tx1"/>
            </w14:solidFill>
          </w14:textFill>
        </w:rPr>
        <w:t>Ⅰ</w:t>
      </w:r>
      <w:r>
        <w:rPr>
          <w:rFonts w:ascii="Times New Roman" w:hAnsi="Times New Roman" w:cs="Times New Roman"/>
          <w:color w:val="000000" w:themeColor="text1"/>
          <w:kern w:val="0"/>
          <w:sz w:val="24"/>
          <w:szCs w:val="24"/>
          <w14:textFill>
            <w14:solidFill>
              <w14:schemeClr w14:val="tx1"/>
            </w14:solidFill>
          </w14:textFill>
        </w:rPr>
        <w:t>级预警标准的，由应急总指挥部确认预警级别、预警范围，并发布预警信息；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达到</w:t>
      </w:r>
      <w:r>
        <w:rPr>
          <w:rFonts w:hint="eastAsia" w:ascii="宋体" w:hAnsi="宋体" w:eastAsia="宋体" w:cs="宋体"/>
          <w:color w:val="000000" w:themeColor="text1"/>
          <w:kern w:val="0"/>
          <w:sz w:val="24"/>
          <w:szCs w:val="24"/>
          <w14:textFill>
            <w14:solidFill>
              <w14:schemeClr w14:val="tx1"/>
            </w14:solidFill>
          </w14:textFill>
        </w:rPr>
        <w:t>Ⅱ</w:t>
      </w:r>
      <w:r>
        <w:rPr>
          <w:rFonts w:ascii="Times New Roman" w:hAnsi="Times New Roman" w:cs="Times New Roman"/>
          <w:color w:val="000000" w:themeColor="text1"/>
          <w:kern w:val="0"/>
          <w:sz w:val="24"/>
          <w:szCs w:val="24"/>
          <w14:textFill>
            <w14:solidFill>
              <w14:schemeClr w14:val="tx1"/>
            </w14:solidFill>
          </w14:textFill>
        </w:rPr>
        <w:t>级预警标准的，由应急指挥组确认预警级别、预警范围，并发布预警信息；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构成预警条件已经消除时，由公司应急总指挥部下达预警结束指令。</w:t>
      </w:r>
      <w:bookmarkEnd w:id="547"/>
      <w:bookmarkEnd w:id="548"/>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549" w:name="_Toc20861_WPSOffice_Level2"/>
      <w:bookmarkStart w:id="550" w:name="_Toc17738_WPSOffice_Level2"/>
      <w:bookmarkStart w:id="551" w:name="_Toc18893"/>
      <w:bookmarkStart w:id="552" w:name="_Toc30192_WPSOffice_Level2"/>
      <w:bookmarkStart w:id="553" w:name="_Toc555"/>
      <w:bookmarkStart w:id="554" w:name="_Toc10893_WPSOffice_Level2"/>
      <w:bookmarkStart w:id="555" w:name="_Toc3780_WPSOffice_Level2"/>
      <w:bookmarkStart w:id="556" w:name="_Toc14381"/>
      <w:r>
        <w:rPr>
          <w:rFonts w:ascii="Times New Roman" w:hAnsi="Times New Roman" w:cs="Times New Roman"/>
          <w:b/>
          <w:bCs/>
          <w:color w:val="000000" w:themeColor="text1"/>
          <w:sz w:val="24"/>
          <w:szCs w:val="24"/>
          <w14:textFill>
            <w14:solidFill>
              <w14:schemeClr w14:val="tx1"/>
            </w14:solidFill>
          </w14:textFill>
        </w:rPr>
        <w:t>5.5报警、通讯联络方式</w:t>
      </w:r>
      <w:bookmarkEnd w:id="549"/>
      <w:bookmarkEnd w:id="550"/>
      <w:bookmarkEnd w:id="551"/>
      <w:bookmarkEnd w:id="552"/>
      <w:bookmarkEnd w:id="553"/>
      <w:bookmarkEnd w:id="554"/>
      <w:bookmarkEnd w:id="555"/>
      <w:bookmarkEnd w:id="556"/>
    </w:p>
    <w:p>
      <w:pPr>
        <w:keepNext/>
        <w:keepLines/>
        <w:spacing w:before="120" w:beforeLines="50" w:after="120" w:afterLines="5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557" w:name="_Toc74_WPSOffice_Level3"/>
      <w:bookmarkStart w:id="558" w:name="_Toc10151"/>
      <w:bookmarkStart w:id="559" w:name="_Toc5742_WPSOffice_Level3"/>
      <w:bookmarkStart w:id="560" w:name="_Toc2964_WPSOffice_Level3"/>
      <w:bookmarkStart w:id="561" w:name="_Toc26300"/>
      <w:bookmarkStart w:id="562" w:name="_Toc25148_WPSOffice_Level3"/>
      <w:bookmarkStart w:id="563" w:name="_Toc10893_WPSOffice_Level3"/>
      <w:bookmarkStart w:id="564" w:name="_Toc27094"/>
      <w:r>
        <w:rPr>
          <w:rFonts w:ascii="Times New Roman" w:hAnsi="Times New Roman" w:cs="Times New Roman"/>
          <w:b/>
          <w:color w:val="000000" w:themeColor="text1"/>
          <w:sz w:val="24"/>
          <w:szCs w:val="24"/>
          <w14:textFill>
            <w14:solidFill>
              <w14:schemeClr w14:val="tx1"/>
            </w14:solidFill>
          </w14:textFill>
        </w:rPr>
        <w:t>5.5.1事故报警与救援程序</w:t>
      </w:r>
      <w:bookmarkEnd w:id="557"/>
      <w:bookmarkEnd w:id="558"/>
      <w:bookmarkEnd w:id="559"/>
      <w:bookmarkEnd w:id="560"/>
      <w:bookmarkEnd w:id="561"/>
      <w:bookmarkEnd w:id="562"/>
      <w:bookmarkEnd w:id="563"/>
      <w:bookmarkEnd w:id="564"/>
    </w:p>
    <w:p>
      <w:pPr>
        <w:spacing w:after="120" w:afterLines="50"/>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color w:val="000000" w:themeColor="text1"/>
          <w:sz w:val="28"/>
          <w:szCs w:val="24"/>
          <w14:textFill>
            <w14:solidFill>
              <w14:schemeClr w14:val="tx1"/>
            </w14:solidFill>
          </w14:textFill>
        </w:rPr>
        <w:drawing>
          <wp:anchor distT="0" distB="0" distL="114300" distR="114300" simplePos="0" relativeHeight="251644928" behindDoc="0" locked="0" layoutInCell="1" allowOverlap="1">
            <wp:simplePos x="0" y="0"/>
            <wp:positionH relativeFrom="column">
              <wp:posOffset>69850</wp:posOffset>
            </wp:positionH>
            <wp:positionV relativeFrom="paragraph">
              <wp:posOffset>25400</wp:posOffset>
            </wp:positionV>
            <wp:extent cx="5209540" cy="5846445"/>
            <wp:effectExtent l="0" t="0" r="10160" b="1905"/>
            <wp:wrapTopAndBottom/>
            <wp:docPr id="41" name="图片 4" descr="C:\Users\ADMINI~1\AppData\Local\Temp\ksohtml\wps316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descr="C:\Users\ADMINI~1\AppData\Local\Temp\ksohtml\wps3169.tmp.png"/>
                    <pic:cNvPicPr>
                      <a:picLocks noChangeAspect="1"/>
                    </pic:cNvPicPr>
                  </pic:nvPicPr>
                  <pic:blipFill>
                    <a:blip r:embed="rId21" cstate="print"/>
                    <a:srcRect l="-1450"/>
                    <a:stretch>
                      <a:fillRect/>
                    </a:stretch>
                  </pic:blipFill>
                  <pic:spPr>
                    <a:xfrm>
                      <a:off x="0" y="0"/>
                      <a:ext cx="5209540" cy="5846445"/>
                    </a:xfrm>
                    <a:prstGeom prst="rect">
                      <a:avLst/>
                    </a:prstGeom>
                    <a:noFill/>
                    <a:ln>
                      <a:noFill/>
                    </a:ln>
                  </pic:spPr>
                </pic:pic>
              </a:graphicData>
            </a:graphic>
          </wp:anchor>
        </w:drawing>
      </w:r>
      <w:r>
        <w:rPr>
          <w:rFonts w:ascii="Times New Roman" w:hAnsi="Times New Roman" w:cs="Times New Roman"/>
          <w:b/>
          <w:color w:val="000000" w:themeColor="text1"/>
          <w:sz w:val="24"/>
          <w:szCs w:val="24"/>
          <w14:textFill>
            <w14:solidFill>
              <w14:schemeClr w14:val="tx1"/>
            </w14:solidFill>
          </w14:textFill>
        </w:rPr>
        <w:t>图5-1  应急响应工作流程图</w:t>
      </w:r>
    </w:p>
    <w:p>
      <w:pPr>
        <w:rPr>
          <w:rFonts w:ascii="Times New Roman" w:hAnsi="Times New Roman" w:cs="Times New Roman"/>
          <w:color w:val="000000" w:themeColor="text1"/>
          <w:sz w:val="28"/>
          <w:szCs w:val="20"/>
          <w14:textFill>
            <w14:solidFill>
              <w14:schemeClr w14:val="tx1"/>
            </w14:solidFill>
          </w14:textFill>
        </w:rPr>
      </w:pP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凡符合下列情况之一的，由应急领导小组组长宣布启动</w:t>
      </w:r>
      <w:r>
        <w:rPr>
          <w:rFonts w:ascii="Times New Roman" w:hAnsi="Times New Roman" w:cs="Times New Roman"/>
          <w:color w:val="000000" w:themeColor="text1"/>
          <w:spacing w:val="-10"/>
          <w:kern w:val="0"/>
          <w:sz w:val="24"/>
          <w:szCs w:val="24"/>
          <w:lang w:val="zh-CN"/>
          <w14:textFill>
            <w14:solidFill>
              <w14:schemeClr w14:val="tx1"/>
            </w14:solidFill>
          </w14:textFill>
        </w:rPr>
        <w:t>I</w:t>
      </w:r>
      <w:r>
        <w:rPr>
          <w:rFonts w:ascii="Times New Roman" w:hAnsi="Times New Roman" w:cs="Times New Roman"/>
          <w:color w:val="000000" w:themeColor="text1"/>
          <w:kern w:val="0"/>
          <w:sz w:val="24"/>
          <w:szCs w:val="24"/>
          <w:lang w:val="zh-CN"/>
          <w14:textFill>
            <w14:solidFill>
              <w14:schemeClr w14:val="tx1"/>
            </w14:solidFill>
          </w14:textFill>
        </w:rPr>
        <w:t>级应急预案：</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发生或可能发生I级及以上突发环境事件；</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发生</w:t>
      </w:r>
      <w:r>
        <w:rPr>
          <w:rFonts w:ascii="Times New Roman" w:hAnsi="Times New Roman" w:cs="Times New Roman"/>
          <w:color w:val="000000" w:themeColor="text1"/>
          <w:spacing w:val="-10"/>
          <w:kern w:val="0"/>
          <w:sz w:val="24"/>
          <w:szCs w:val="24"/>
          <w:lang w:val="zh-CN"/>
          <w14:textFill>
            <w14:solidFill>
              <w14:schemeClr w14:val="tx1"/>
            </w14:solidFill>
          </w14:textFill>
        </w:rPr>
        <w:t>II</w:t>
      </w: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spacing w:val="-10"/>
          <w:kern w:val="0"/>
          <w:sz w:val="24"/>
          <w:szCs w:val="24"/>
          <w:lang w:val="zh-CN"/>
          <w14:textFill>
            <w14:solidFill>
              <w14:schemeClr w14:val="tx1"/>
            </w14:solidFill>
          </w14:textFill>
        </w:rPr>
        <w:t>III</w:t>
      </w:r>
      <w:r>
        <w:rPr>
          <w:rFonts w:ascii="Times New Roman" w:hAnsi="Times New Roman" w:cs="Times New Roman"/>
          <w:color w:val="000000" w:themeColor="text1"/>
          <w:kern w:val="0"/>
          <w:sz w:val="24"/>
          <w:szCs w:val="24"/>
          <w:lang w:val="zh-CN"/>
          <w14:textFill>
            <w14:solidFill>
              <w14:schemeClr w14:val="tx1"/>
            </w14:solidFill>
          </w14:textFill>
        </w:rPr>
        <w:t>级突发事件，事件部门请求全公司给予支援或帮助；</w:t>
      </w:r>
    </w:p>
    <w:p>
      <w:pPr>
        <w:spacing w:line="500" w:lineRule="exact"/>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③</w:t>
      </w:r>
      <w:r>
        <w:rPr>
          <w:rFonts w:ascii="Times New Roman" w:hAnsi="Times New Roman" w:cs="Times New Roman"/>
          <w:color w:val="000000" w:themeColor="text1"/>
          <w:kern w:val="0"/>
          <w:sz w:val="24"/>
          <w:szCs w:val="24"/>
          <w:lang w:val="zh-CN"/>
          <w14:textFill>
            <w14:solidFill>
              <w14:schemeClr w14:val="tx1"/>
            </w14:solidFill>
          </w14:textFill>
        </w:rPr>
        <w:t>应地方政府应急联动要求。</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凡符合下列情况之一的，由部门经理宣布启动</w:t>
      </w:r>
      <w:r>
        <w:rPr>
          <w:rFonts w:ascii="Times New Roman" w:hAnsi="Times New Roman" w:cs="Times New Roman"/>
          <w:color w:val="000000" w:themeColor="text1"/>
          <w:spacing w:val="-10"/>
          <w:kern w:val="0"/>
          <w:sz w:val="24"/>
          <w:szCs w:val="24"/>
          <w:lang w:val="zh-CN"/>
          <w14:textFill>
            <w14:solidFill>
              <w14:schemeClr w14:val="tx1"/>
            </w14:solidFill>
          </w14:textFill>
        </w:rPr>
        <w:t>II</w:t>
      </w:r>
      <w:r>
        <w:rPr>
          <w:rFonts w:ascii="Times New Roman" w:hAnsi="Times New Roman" w:cs="Times New Roman"/>
          <w:color w:val="000000" w:themeColor="text1"/>
          <w:kern w:val="0"/>
          <w:sz w:val="24"/>
          <w:szCs w:val="24"/>
          <w:lang w:val="zh-CN"/>
          <w14:textFill>
            <w14:solidFill>
              <w14:schemeClr w14:val="tx1"/>
            </w14:solidFill>
          </w14:textFill>
        </w:rPr>
        <w:t>级应急预案：</w:t>
      </w:r>
    </w:p>
    <w:p>
      <w:pPr>
        <w:spacing w:line="500" w:lineRule="exact"/>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发生</w:t>
      </w:r>
      <w:r>
        <w:rPr>
          <w:rFonts w:ascii="Times New Roman" w:hAnsi="Times New Roman" w:cs="Times New Roman"/>
          <w:color w:val="000000" w:themeColor="text1"/>
          <w:spacing w:val="-10"/>
          <w:kern w:val="0"/>
          <w:sz w:val="24"/>
          <w:szCs w:val="24"/>
          <w:lang w:val="zh-CN"/>
          <w14:textFill>
            <w14:solidFill>
              <w14:schemeClr w14:val="tx1"/>
            </w14:solidFill>
          </w14:textFill>
        </w:rPr>
        <w:t>II</w:t>
      </w: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spacing w:val="-10"/>
          <w:kern w:val="0"/>
          <w:sz w:val="24"/>
          <w:szCs w:val="24"/>
          <w:lang w:val="zh-CN"/>
          <w14:textFill>
            <w14:solidFill>
              <w14:schemeClr w14:val="tx1"/>
            </w14:solidFill>
          </w14:textFill>
        </w:rPr>
        <w:t>III</w:t>
      </w:r>
      <w:r>
        <w:rPr>
          <w:rFonts w:ascii="Times New Roman" w:hAnsi="Times New Roman" w:cs="Times New Roman"/>
          <w:color w:val="000000" w:themeColor="text1"/>
          <w:kern w:val="0"/>
          <w:sz w:val="24"/>
          <w:szCs w:val="24"/>
          <w:lang w:val="zh-CN"/>
          <w14:textFill>
            <w14:solidFill>
              <w14:schemeClr w14:val="tx1"/>
            </w14:solidFill>
          </w14:textFill>
        </w:rPr>
        <w:t>级突发事件；</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应公司应急联动要求。</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配合有关部门应急响应</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当公司启动</w:t>
      </w:r>
      <w:r>
        <w:rPr>
          <w:rFonts w:ascii="Times New Roman" w:hAnsi="Times New Roman" w:cs="Times New Roman"/>
          <w:color w:val="000000" w:themeColor="text1"/>
          <w:spacing w:val="-10"/>
          <w:kern w:val="0"/>
          <w:sz w:val="24"/>
          <w:szCs w:val="24"/>
          <w:lang w:val="zh-CN"/>
          <w14:textFill>
            <w14:solidFill>
              <w14:schemeClr w14:val="tx1"/>
            </w14:solidFill>
          </w14:textFill>
        </w:rPr>
        <w:t>I</w:t>
      </w:r>
      <w:r>
        <w:rPr>
          <w:rFonts w:ascii="Times New Roman" w:hAnsi="Times New Roman" w:cs="Times New Roman"/>
          <w:color w:val="000000" w:themeColor="text1"/>
          <w:kern w:val="0"/>
          <w:sz w:val="24"/>
          <w:szCs w:val="24"/>
          <w:lang w:val="zh-CN"/>
          <w14:textFill>
            <w14:solidFill>
              <w14:schemeClr w14:val="tx1"/>
            </w14:solidFill>
          </w14:textFill>
        </w:rPr>
        <w:t>级应急响应时，</w:t>
      </w:r>
      <w:r>
        <w:rPr>
          <w:rFonts w:ascii="Times New Roman" w:hAnsi="Times New Roman" w:cs="Times New Roman"/>
          <w:color w:val="000000" w:themeColor="text1"/>
          <w:kern w:val="0"/>
          <w:sz w:val="24"/>
          <w:szCs w:val="24"/>
          <w14:textFill>
            <w14:solidFill>
              <w14:schemeClr w14:val="tx1"/>
            </w14:solidFill>
          </w14:textFill>
        </w:rPr>
        <w:t>南昌市</w:t>
      </w:r>
      <w:r>
        <w:rPr>
          <w:rFonts w:ascii="Times New Roman" w:hAnsi="Times New Roman" w:cs="Times New Roman"/>
          <w:color w:val="000000" w:themeColor="text1"/>
          <w:kern w:val="0"/>
          <w:sz w:val="24"/>
          <w:szCs w:val="24"/>
          <w:lang w:val="zh-CN"/>
          <w14:textFill>
            <w14:solidFill>
              <w14:schemeClr w14:val="tx1"/>
            </w14:solidFill>
          </w14:textFill>
        </w:rPr>
        <w:t>环保局、</w:t>
      </w:r>
      <w:r>
        <w:rPr>
          <w:rFonts w:ascii="Times New Roman" w:hAnsi="Times New Roman" w:cs="Times New Roman"/>
          <w:color w:val="000000" w:themeColor="text1"/>
          <w:kern w:val="0"/>
          <w:sz w:val="24"/>
          <w:szCs w:val="24"/>
          <w14:textFill>
            <w14:solidFill>
              <w14:schemeClr w14:val="tx1"/>
            </w14:solidFill>
          </w14:textFill>
        </w:rPr>
        <w:t>南昌市</w:t>
      </w:r>
      <w:r>
        <w:rPr>
          <w:rFonts w:ascii="Times New Roman" w:hAnsi="Times New Roman" w:cs="Times New Roman"/>
          <w:color w:val="000000" w:themeColor="text1"/>
          <w:kern w:val="0"/>
          <w:sz w:val="24"/>
          <w:szCs w:val="24"/>
          <w:lang w:val="zh-CN"/>
          <w14:textFill>
            <w14:solidFill>
              <w14:schemeClr w14:val="tx1"/>
            </w14:solidFill>
          </w14:textFill>
        </w:rPr>
        <w:t>人民政府启动环境应急预案，派遣工作小组到达现场参与救援指挥，公司应急指挥权交由</w:t>
      </w:r>
      <w:r>
        <w:rPr>
          <w:rFonts w:ascii="Times New Roman" w:hAnsi="Times New Roman" w:cs="Times New Roman"/>
          <w:color w:val="000000" w:themeColor="text1"/>
          <w:kern w:val="0"/>
          <w:sz w:val="24"/>
          <w:szCs w:val="24"/>
          <w14:textFill>
            <w14:solidFill>
              <w14:schemeClr w14:val="tx1"/>
            </w14:solidFill>
          </w14:textFill>
        </w:rPr>
        <w:t>南昌市</w:t>
      </w:r>
      <w:r>
        <w:rPr>
          <w:rFonts w:ascii="Times New Roman" w:hAnsi="Times New Roman" w:cs="Times New Roman"/>
          <w:color w:val="000000" w:themeColor="text1"/>
          <w:kern w:val="0"/>
          <w:sz w:val="24"/>
          <w:szCs w:val="24"/>
          <w:lang w:val="zh-CN"/>
          <w14:textFill>
            <w14:solidFill>
              <w14:schemeClr w14:val="tx1"/>
            </w14:solidFill>
          </w14:textFill>
        </w:rPr>
        <w:t>环保局或</w:t>
      </w:r>
      <w:r>
        <w:rPr>
          <w:rFonts w:ascii="Times New Roman" w:hAnsi="Times New Roman" w:cs="Times New Roman"/>
          <w:color w:val="000000" w:themeColor="text1"/>
          <w:kern w:val="0"/>
          <w:sz w:val="24"/>
          <w:szCs w:val="24"/>
          <w14:textFill>
            <w14:solidFill>
              <w14:schemeClr w14:val="tx1"/>
            </w14:solidFill>
          </w14:textFill>
        </w:rPr>
        <w:t>南昌市</w:t>
      </w:r>
      <w:r>
        <w:rPr>
          <w:rFonts w:ascii="Times New Roman" w:hAnsi="Times New Roman" w:cs="Times New Roman"/>
          <w:color w:val="000000" w:themeColor="text1"/>
          <w:kern w:val="0"/>
          <w:sz w:val="24"/>
          <w:szCs w:val="24"/>
          <w:lang w:val="zh-CN"/>
          <w14:textFill>
            <w14:solidFill>
              <w14:schemeClr w14:val="tx1"/>
            </w14:solidFill>
          </w14:textFill>
        </w:rPr>
        <w:t>人民政府，公司应急小组成员应服从指挥，全力配合应急行动，应急物资也交由指挥部统一指挥调配。</w:t>
      </w:r>
    </w:p>
    <w:p>
      <w:pPr>
        <w:keepNext/>
        <w:keepLines/>
        <w:spacing w:after="120" w:afterLines="5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565" w:name="_Toc17930"/>
      <w:bookmarkStart w:id="566" w:name="_Toc22205_WPSOffice_Level3"/>
      <w:bookmarkStart w:id="567" w:name="_Toc1412_WPSOffice_Level3"/>
      <w:bookmarkStart w:id="568" w:name="_Toc19919_WPSOffice_Level3"/>
      <w:bookmarkStart w:id="569" w:name="_Toc15556_WPSOffice_Level3"/>
      <w:bookmarkStart w:id="570" w:name="_Toc641_WPSOffice_Level3"/>
      <w:bookmarkStart w:id="571" w:name="_Toc4000"/>
      <w:r>
        <w:rPr>
          <w:rFonts w:ascii="Times New Roman" w:hAnsi="Times New Roman" w:cs="Times New Roman"/>
          <w:b/>
          <w:color w:val="000000" w:themeColor="text1"/>
          <w:sz w:val="24"/>
          <w:szCs w:val="24"/>
          <w14:textFill>
            <w14:solidFill>
              <w14:schemeClr w14:val="tx1"/>
            </w14:solidFill>
          </w14:textFill>
        </w:rPr>
        <w:t>5.5.1 报警联络方式</w:t>
      </w:r>
      <w:bookmarkEnd w:id="565"/>
      <w:bookmarkEnd w:id="566"/>
      <w:bookmarkEnd w:id="567"/>
      <w:bookmarkEnd w:id="568"/>
      <w:bookmarkEnd w:id="569"/>
      <w:bookmarkEnd w:id="570"/>
      <w:bookmarkEnd w:id="571"/>
      <w:bookmarkStart w:id="572" w:name="_Toc330049734"/>
    </w:p>
    <w:p>
      <w:pPr>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电话或口头通知各部门及相关人员，实行电话值班制，现场人员要第一时间拨打值班长、站长和应急救援办公室电话。值班长接到报告后，应立即向应急救援指挥部领导汇报。</w:t>
      </w:r>
    </w:p>
    <w:p>
      <w:pPr>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相关人员联系方式详见附表：应急救援通信录。</w:t>
      </w:r>
    </w:p>
    <w:p>
      <w:pPr>
        <w:keepNext/>
        <w:keepLines/>
        <w:spacing w:after="120" w:afterLines="5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573" w:name="_Toc11026_WPSOffice_Level3"/>
      <w:bookmarkStart w:id="574" w:name="_Toc14371_WPSOffice_Level3"/>
      <w:bookmarkStart w:id="575" w:name="_Toc30907"/>
      <w:bookmarkStart w:id="576" w:name="_Toc12119_WPSOffice_Level3"/>
      <w:bookmarkStart w:id="577" w:name="_Toc22280"/>
      <w:bookmarkStart w:id="578" w:name="_Toc21642_WPSOffice_Level3"/>
      <w:bookmarkStart w:id="579" w:name="_Toc1353_WPSOffice_Level3"/>
      <w:bookmarkStart w:id="580" w:name="_Toc25360"/>
      <w:bookmarkStart w:id="581" w:name="_Toc862"/>
      <w:r>
        <w:rPr>
          <w:rFonts w:ascii="Times New Roman" w:hAnsi="Times New Roman" w:cs="Times New Roman"/>
          <w:b/>
          <w:color w:val="000000" w:themeColor="text1"/>
          <w:sz w:val="24"/>
          <w:szCs w:val="24"/>
          <w14:textFill>
            <w14:solidFill>
              <w14:schemeClr w14:val="tx1"/>
            </w14:solidFill>
          </w14:textFill>
        </w:rPr>
        <w:t>5.5.2 内部通讯方式</w:t>
      </w:r>
      <w:bookmarkEnd w:id="572"/>
      <w:bookmarkEnd w:id="573"/>
      <w:bookmarkEnd w:id="574"/>
      <w:bookmarkEnd w:id="575"/>
      <w:bookmarkEnd w:id="576"/>
      <w:bookmarkEnd w:id="577"/>
      <w:bookmarkEnd w:id="578"/>
      <w:bookmarkEnd w:id="579"/>
      <w:bookmarkEnd w:id="580"/>
      <w:bookmarkEnd w:id="581"/>
    </w:p>
    <w:p>
      <w:pPr>
        <w:widowControl/>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（1）加油站值班室24小时有人值班，要求值班人员熟悉危险目标位置和发生危险事故的应急处理方式。</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加油站值班电话：0791-82135313</w:t>
      </w:r>
    </w:p>
    <w:p>
      <w:pPr>
        <w:spacing w:line="360" w:lineRule="auto"/>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（2）24小时有效的内部通讯联络手段</w:t>
      </w:r>
    </w:p>
    <w:p>
      <w:pPr>
        <w:widowControl/>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内部联系电话：总经理电话：看附件5</w:t>
      </w:r>
    </w:p>
    <w:p>
      <w:pPr>
        <w:widowControl/>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加油站站长电话：看附件5</w:t>
      </w:r>
    </w:p>
    <w:p>
      <w:pPr>
        <w:widowControl/>
        <w:spacing w:line="360" w:lineRule="auto"/>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安全员、应急小组电话：看附件5</w:t>
      </w:r>
    </w:p>
    <w:p>
      <w:pPr>
        <w:keepNext/>
        <w:keepLines/>
        <w:spacing w:after="120" w:afterLines="5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582" w:name="_Toc8076_WPSOffice_Level3"/>
      <w:bookmarkStart w:id="583" w:name="_Toc7301_WPSOffice_Level3"/>
      <w:bookmarkStart w:id="584" w:name="_Toc22024"/>
      <w:bookmarkStart w:id="585" w:name="_Toc6831_WPSOffice_Level3"/>
      <w:bookmarkStart w:id="586" w:name="_Toc14964_WPSOffice_Level3"/>
      <w:bookmarkStart w:id="587" w:name="_Toc7595_WPSOffice_Level3"/>
      <w:bookmarkStart w:id="588" w:name="_Toc30850"/>
      <w:r>
        <w:rPr>
          <w:rFonts w:ascii="Times New Roman" w:hAnsi="Times New Roman" w:cs="Times New Roman"/>
          <w:b/>
          <w:color w:val="000000" w:themeColor="text1"/>
          <w:sz w:val="24"/>
          <w:szCs w:val="24"/>
          <w14:textFill>
            <w14:solidFill>
              <w14:schemeClr w14:val="tx1"/>
            </w14:solidFill>
          </w14:textFill>
        </w:rPr>
        <w:t>5.5.3 外部通讯方式</w:t>
      </w:r>
      <w:bookmarkEnd w:id="582"/>
      <w:bookmarkEnd w:id="583"/>
      <w:bookmarkEnd w:id="584"/>
      <w:bookmarkEnd w:id="585"/>
      <w:bookmarkEnd w:id="586"/>
      <w:bookmarkEnd w:id="587"/>
      <w:bookmarkEnd w:id="588"/>
    </w:p>
    <w:p>
      <w:pPr>
        <w:widowControl/>
        <w:spacing w:line="360" w:lineRule="auto"/>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当发生突发环境事件超出公司应急救援力量，需要外界支援时，在公司加油站应急办公室的统一安排下向南昌市</w:t>
      </w:r>
      <w:r>
        <w:rPr>
          <w:rFonts w:ascii="Times New Roman" w:hAnsi="Times New Roman" w:cs="Times New Roman"/>
          <w:color w:val="000000" w:themeColor="text1"/>
          <w:kern w:val="0"/>
          <w:sz w:val="24"/>
          <w:szCs w:val="24"/>
          <w14:textFill>
            <w14:solidFill>
              <w14:schemeClr w14:val="tx1"/>
            </w14:solidFill>
          </w14:textFill>
        </w:rPr>
        <w:t>环保局</w:t>
      </w:r>
      <w:r>
        <w:rPr>
          <w:rFonts w:ascii="Times New Roman" w:hAnsi="Times New Roman" w:cs="Times New Roman"/>
          <w:color w:val="000000" w:themeColor="text1"/>
          <w:kern w:val="0"/>
          <w:sz w:val="24"/>
          <w:szCs w:val="24"/>
          <w:lang w:val="zh-CN"/>
          <w14:textFill>
            <w14:solidFill>
              <w14:schemeClr w14:val="tx1"/>
            </w14:solidFill>
          </w14:textFill>
        </w:rPr>
        <w:t>、南昌市</w:t>
      </w:r>
      <w:r>
        <w:rPr>
          <w:rFonts w:ascii="Times New Roman" w:hAnsi="Times New Roman" w:cs="Times New Roman"/>
          <w:color w:val="000000" w:themeColor="text1"/>
          <w:kern w:val="0"/>
          <w:sz w:val="24"/>
          <w:szCs w:val="24"/>
          <w14:textFill>
            <w14:solidFill>
              <w14:schemeClr w14:val="tx1"/>
            </w14:solidFill>
          </w14:textFill>
        </w:rPr>
        <w:t>安监局</w:t>
      </w:r>
      <w:r>
        <w:rPr>
          <w:rFonts w:ascii="Times New Roman" w:hAnsi="Times New Roman" w:cs="Times New Roman"/>
          <w:color w:val="000000" w:themeColor="text1"/>
          <w:kern w:val="0"/>
          <w:sz w:val="24"/>
          <w:szCs w:val="24"/>
          <w:lang w:val="zh-CN"/>
          <w14:textFill>
            <w14:solidFill>
              <w14:schemeClr w14:val="tx1"/>
            </w14:solidFill>
          </w14:textFill>
        </w:rPr>
        <w:t>等相关单位求救，请求外界支援。</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医疗急救电话：120     消防应急电话：119</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南昌市人民政府应急办电话：</w:t>
      </w:r>
      <w:r>
        <w:rPr>
          <w:rFonts w:ascii="Times New Roman" w:hAnsi="Times New Roman" w:cs="Times New Roman"/>
          <w:color w:val="000000" w:themeColor="text1"/>
          <w:kern w:val="0"/>
          <w:sz w:val="24"/>
          <w:szCs w:val="24"/>
          <w:lang w:val="zh-CN"/>
          <w14:textFill>
            <w14:solidFill>
              <w14:schemeClr w14:val="tx1"/>
            </w14:solidFill>
          </w14:textFill>
        </w:rPr>
        <w:t>0791-85712189</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南昌市环境保护局电话：079</w:t>
      </w:r>
      <w:r>
        <w:rPr>
          <w:rFonts w:ascii="Times New Roman" w:hAnsi="Times New Roman" w:cs="Times New Roman"/>
          <w:color w:val="000000" w:themeColor="text1"/>
          <w:kern w:val="0"/>
          <w:sz w:val="24"/>
          <w:szCs w:val="24"/>
          <w:lang w:val="zh-CN"/>
          <w14:textFill>
            <w14:solidFill>
              <w14:schemeClr w14:val="tx1"/>
            </w14:solidFill>
          </w14:textFill>
        </w:rPr>
        <w:t>1</w:t>
      </w:r>
      <w:r>
        <w:rPr>
          <w:rFonts w:hint="eastAsia"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lang w:val="zh-CN"/>
          <w14:textFill>
            <w14:solidFill>
              <w14:schemeClr w14:val="tx1"/>
            </w14:solidFill>
          </w14:textFill>
        </w:rPr>
        <w:t xml:space="preserve"> 85735802</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南昌市安全监督管理局电话：</w:t>
      </w:r>
      <w:r>
        <w:rPr>
          <w:rFonts w:ascii="Times New Roman" w:hAnsi="Times New Roman" w:cs="Times New Roman"/>
          <w:color w:val="000000" w:themeColor="text1"/>
          <w:kern w:val="0"/>
          <w:sz w:val="24"/>
          <w:szCs w:val="24"/>
          <w:lang w:val="zh-CN"/>
          <w14:textFill>
            <w14:solidFill>
              <w14:schemeClr w14:val="tx1"/>
            </w14:solidFill>
          </w14:textFill>
        </w:rPr>
        <w:t>0791-83986158</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南昌市安全生产应急指挥中心</w:t>
      </w:r>
      <w:r>
        <w:rPr>
          <w:rFonts w:ascii="Times New Roman" w:hAnsi="Times New Roman" w:cs="Times New Roman"/>
          <w:color w:val="000000" w:themeColor="text1"/>
          <w:kern w:val="0"/>
          <w:sz w:val="24"/>
          <w:szCs w:val="24"/>
          <w:lang w:val="zh-CN"/>
          <w14:textFill>
            <w14:solidFill>
              <w14:schemeClr w14:val="tx1"/>
            </w14:solidFill>
          </w14:textFill>
        </w:rPr>
        <w:t>：0791-85257110</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w:t>
      </w:r>
      <w:r>
        <w:rPr>
          <w:rFonts w:ascii="Times New Roman" w:hAnsi="Times New Roman" w:cs="Times New Roman"/>
          <w:color w:val="000000" w:themeColor="text1"/>
          <w:kern w:val="0"/>
          <w:sz w:val="24"/>
          <w:szCs w:val="24"/>
          <w:lang w:val="zh-CN"/>
          <w14:textFill>
            <w14:solidFill>
              <w14:schemeClr w14:val="tx1"/>
            </w14:solidFill>
          </w14:textFill>
        </w:rPr>
        <w:t>应急救援中心：0791-85257098</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危险化学品事故南昌抢救中心：</w:t>
      </w:r>
      <w:r>
        <w:rPr>
          <w:rFonts w:ascii="Times New Roman" w:hAnsi="Times New Roman" w:cs="Times New Roman"/>
          <w:color w:val="000000" w:themeColor="text1"/>
          <w:kern w:val="0"/>
          <w:sz w:val="24"/>
          <w:szCs w:val="24"/>
          <w:lang w:val="zh-CN"/>
          <w14:textFill>
            <w14:solidFill>
              <w14:schemeClr w14:val="tx1"/>
            </w14:solidFill>
          </w14:textFill>
        </w:rPr>
        <w:t>0791-83859062</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南昌市消防大队电话：</w:t>
      </w:r>
      <w:r>
        <w:rPr>
          <w:rFonts w:ascii="Times New Roman" w:hAnsi="Times New Roman" w:cs="Times New Roman"/>
          <w:color w:val="000000" w:themeColor="text1"/>
          <w:kern w:val="0"/>
          <w:sz w:val="24"/>
          <w:szCs w:val="24"/>
          <w:lang w:val="zh-CN"/>
          <w14:textFill>
            <w14:solidFill>
              <w14:schemeClr w14:val="tx1"/>
            </w14:solidFill>
          </w14:textFill>
        </w:rPr>
        <w:t>0791-5738119</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南昌市人民医院：</w:t>
      </w:r>
      <w:r>
        <w:rPr>
          <w:rFonts w:ascii="Times New Roman" w:hAnsi="Times New Roman" w:cs="Times New Roman"/>
          <w:color w:val="000000" w:themeColor="text1"/>
          <w:kern w:val="0"/>
          <w:sz w:val="24"/>
          <w:szCs w:val="24"/>
          <w:lang w:val="zh-CN"/>
          <w14:textFill>
            <w14:solidFill>
              <w14:schemeClr w14:val="tx1"/>
            </w14:solidFill>
          </w14:textFill>
        </w:rPr>
        <w:t>0791-85712198</w:t>
      </w:r>
      <w:r>
        <w:rPr>
          <w:rFonts w:hint="eastAsia" w:ascii="Times New Roman" w:hAnsi="Times New Roman" w:cs="Times New Roman"/>
          <w:color w:val="000000" w:themeColor="text1"/>
          <w:kern w:val="0"/>
          <w:sz w:val="24"/>
          <w:szCs w:val="24"/>
          <w:lang w:val="zh-CN"/>
          <w14:textFill>
            <w14:solidFill>
              <w14:schemeClr w14:val="tx1"/>
            </w14:solidFill>
          </w14:textFill>
        </w:rPr>
        <w:t xml:space="preserve">  </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南昌市疾控中心：</w:t>
      </w:r>
      <w:r>
        <w:rPr>
          <w:rFonts w:ascii="Times New Roman" w:hAnsi="Times New Roman" w:cs="Times New Roman"/>
          <w:color w:val="000000" w:themeColor="text1"/>
          <w:kern w:val="0"/>
          <w:sz w:val="24"/>
          <w:szCs w:val="24"/>
          <w:lang w:val="zh-CN"/>
          <w14:textFill>
            <w14:solidFill>
              <w14:schemeClr w14:val="tx1"/>
            </w14:solidFill>
          </w14:textFill>
        </w:rPr>
        <w:t>0791-85712234</w:t>
      </w:r>
    </w:p>
    <w:p>
      <w:pPr>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周边通讯方式</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瑶湖公园     徐梦婷   18579056817</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小张洗车房   小张     13576085009</w:t>
      </w:r>
    </w:p>
    <w:p>
      <w:pPr>
        <w:spacing w:line="360" w:lineRule="auto"/>
        <w:ind w:firstLine="480" w:firstLineChars="200"/>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Times New Roman" w:hAnsi="Times New Roman" w:cs="Times New Roman"/>
          <w:color w:val="000000" w:themeColor="text1"/>
          <w:kern w:val="0"/>
          <w:sz w:val="24"/>
          <w:szCs w:val="24"/>
          <w:lang w:val="zh-CN"/>
          <w14:textFill>
            <w14:solidFill>
              <w14:schemeClr w14:val="tx1"/>
            </w14:solidFill>
          </w14:textFill>
        </w:rPr>
        <w:t xml:space="preserve">麻丘派出所            </w:t>
      </w:r>
      <w:r>
        <w:rPr>
          <w:rFonts w:ascii="Times New Roman" w:hAnsi="Times New Roman" w:cs="Times New Roman"/>
          <w:color w:val="000000" w:themeColor="text1"/>
          <w:kern w:val="0"/>
          <w:sz w:val="24"/>
          <w:szCs w:val="24"/>
          <w:lang w:val="zh-CN"/>
          <w14:textFill>
            <w14:solidFill>
              <w14:schemeClr w14:val="tx1"/>
            </w14:solidFill>
          </w14:textFill>
        </w:rPr>
        <w:t>0791-</w:t>
      </w:r>
      <w:r>
        <w:rPr>
          <w:rFonts w:hint="eastAsia" w:ascii="Times New Roman" w:hAnsi="Times New Roman" w:cs="Times New Roman"/>
          <w:color w:val="000000" w:themeColor="text1"/>
          <w:kern w:val="0"/>
          <w:sz w:val="24"/>
          <w:szCs w:val="24"/>
          <w:lang w:val="zh-CN"/>
          <w14:textFill>
            <w14:solidFill>
              <w14:schemeClr w14:val="tx1"/>
            </w14:solidFill>
          </w14:textFill>
        </w:rPr>
        <w:t>88258738</w:t>
      </w:r>
    </w:p>
    <w:p>
      <w:pPr>
        <w:widowControl/>
        <w:jc w:val="left"/>
        <w:rPr>
          <w:rFonts w:ascii="Times New Roman" w:hAnsi="Times New Roman" w:eastAsia="宋体" w:cs="Times New Roman"/>
          <w:szCs w:val="24"/>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589" w:name="_Toc16693"/>
      <w:bookmarkStart w:id="590" w:name="_Toc26023_WPSOffice_Level1"/>
      <w:bookmarkStart w:id="591" w:name="_Toc32390_WPSOffice_Level1"/>
      <w:bookmarkStart w:id="592" w:name="_Toc25774_WPSOffice_Level1"/>
      <w:bookmarkStart w:id="593" w:name="_Toc30698"/>
      <w:bookmarkStart w:id="594" w:name="_Toc10055_WPSOffice_Level1"/>
      <w:bookmarkStart w:id="595" w:name="_Toc16384"/>
      <w:bookmarkStart w:id="596" w:name="_Toc23590_WPSOffice_Level1"/>
      <w:bookmarkStart w:id="597" w:name="_Toc26866"/>
      <w:r>
        <w:rPr>
          <w:rFonts w:ascii="Times New Roman" w:hAnsi="Times New Roman" w:cs="Times New Roman"/>
          <w:b/>
          <w:bCs/>
          <w:color w:val="000000" w:themeColor="text1"/>
          <w:kern w:val="44"/>
          <w:sz w:val="30"/>
          <w:szCs w:val="30"/>
          <w14:textFill>
            <w14:solidFill>
              <w14:schemeClr w14:val="tx1"/>
            </w14:solidFill>
          </w14:textFill>
        </w:rPr>
        <w:t>6、信息报告与通报</w:t>
      </w:r>
      <w:bookmarkEnd w:id="589"/>
      <w:bookmarkEnd w:id="590"/>
      <w:bookmarkEnd w:id="591"/>
      <w:bookmarkEnd w:id="592"/>
      <w:bookmarkEnd w:id="593"/>
      <w:bookmarkEnd w:id="594"/>
      <w:bookmarkEnd w:id="595"/>
      <w:bookmarkEnd w:id="596"/>
      <w:bookmarkEnd w:id="597"/>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598" w:name="_Toc10668"/>
      <w:bookmarkStart w:id="599" w:name="_Toc2415"/>
      <w:bookmarkStart w:id="600" w:name="_Toc4116_WPSOffice_Level2"/>
      <w:bookmarkStart w:id="601" w:name="_Toc32611_WPSOffice_Level2"/>
      <w:bookmarkStart w:id="602" w:name="_Toc25432_WPSOffice_Level2"/>
      <w:bookmarkStart w:id="603" w:name="_Toc29421_WPSOffice_Level2"/>
      <w:bookmarkStart w:id="604" w:name="_Toc27634"/>
      <w:bookmarkStart w:id="605" w:name="_Toc3301"/>
      <w:bookmarkStart w:id="606" w:name="_Toc32390_WPSOffice_Level2"/>
      <w:bookmarkStart w:id="607" w:name="_Toc9528"/>
      <w:r>
        <w:rPr>
          <w:rFonts w:ascii="Times New Roman" w:hAnsi="Times New Roman" w:cs="Times New Roman"/>
          <w:b/>
          <w:bCs/>
          <w:color w:val="000000" w:themeColor="text1"/>
          <w:sz w:val="24"/>
          <w:szCs w:val="24"/>
          <w14:textFill>
            <w14:solidFill>
              <w14:schemeClr w14:val="tx1"/>
            </w14:solidFill>
          </w14:textFill>
        </w:rPr>
        <w:t>6.1信息报告</w:t>
      </w:r>
      <w:bookmarkEnd w:id="598"/>
      <w:bookmarkEnd w:id="599"/>
      <w:bookmarkEnd w:id="600"/>
      <w:bookmarkEnd w:id="601"/>
      <w:bookmarkEnd w:id="602"/>
      <w:bookmarkEnd w:id="603"/>
      <w:bookmarkEnd w:id="604"/>
      <w:bookmarkEnd w:id="605"/>
      <w:bookmarkEnd w:id="606"/>
      <w:bookmarkEnd w:id="607"/>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608" w:name="_Toc21921_WPSOffice_Level3"/>
      <w:bookmarkStart w:id="609" w:name="_Toc11584"/>
      <w:bookmarkStart w:id="610" w:name="_Toc32479"/>
      <w:bookmarkStart w:id="611" w:name="_Toc10182_WPSOffice_Level3"/>
      <w:bookmarkStart w:id="612" w:name="_Toc32390_WPSOffice_Level3"/>
      <w:bookmarkStart w:id="613" w:name="_Toc30549_WPSOffice_Level3"/>
      <w:bookmarkStart w:id="614" w:name="_Toc18827"/>
      <w:bookmarkStart w:id="615" w:name="_Toc17886_WPSOffice_Level3"/>
      <w:bookmarkStart w:id="616" w:name="_Toc4112"/>
      <w:r>
        <w:rPr>
          <w:rFonts w:ascii="Times New Roman" w:hAnsi="Times New Roman" w:cs="Times New Roman"/>
          <w:b/>
          <w:color w:val="000000" w:themeColor="text1"/>
          <w:sz w:val="24"/>
          <w:szCs w:val="24"/>
          <w14:textFill>
            <w14:solidFill>
              <w14:schemeClr w14:val="tx1"/>
            </w14:solidFill>
          </w14:textFill>
        </w:rPr>
        <w:t>6.1.1信息报告程序</w:t>
      </w:r>
      <w:bookmarkEnd w:id="608"/>
      <w:bookmarkEnd w:id="609"/>
      <w:bookmarkEnd w:id="610"/>
      <w:bookmarkEnd w:id="611"/>
      <w:bookmarkEnd w:id="612"/>
      <w:bookmarkEnd w:id="613"/>
      <w:bookmarkEnd w:id="614"/>
      <w:bookmarkEnd w:id="615"/>
      <w:bookmarkEnd w:id="616"/>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现场操作人员或现场环保安全检查时如发现危险源出现异常情况，有可能导致事故发生，应立即以口头大声呼叫或拨打电话的方式向加油站负责人或公司应急领导小组办公室通报。应急领导小组办公室设立24小时应急值守电话：</w:t>
      </w:r>
      <w:r>
        <w:rPr>
          <w:rFonts w:hint="eastAsia" w:ascii="Times New Roman" w:hAnsi="Times New Roman" w:cs="Times New Roman"/>
          <w:color w:val="000000" w:themeColor="text1"/>
          <w:kern w:val="0"/>
          <w:sz w:val="24"/>
          <w:szCs w:val="24"/>
          <w14:textFill>
            <w14:solidFill>
              <w14:schemeClr w14:val="tx1"/>
            </w14:solidFill>
          </w14:textFill>
        </w:rPr>
        <w:t>0791-87601828</w:t>
      </w:r>
      <w:r>
        <w:rPr>
          <w:rFonts w:ascii="Times New Roman" w:hAnsi="Times New Roman" w:cs="Times New Roman"/>
          <w:color w:val="000000" w:themeColor="text1"/>
          <w:kern w:val="0"/>
          <w:sz w:val="24"/>
          <w:szCs w:val="24"/>
          <w14:textFill>
            <w14:solidFill>
              <w14:schemeClr w14:val="tx1"/>
            </w14:solidFill>
          </w14:textFill>
        </w:rPr>
        <w:t xml:space="preserve"> </w:t>
      </w: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一旦环境事故发生，值守人员应做记录后，立即报告应急领导小组办公室主管领导。</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应急救援办公室对可能酿成环境污染事故的，应立即报告加油站应急指挥部，总指挥及时召集指挥部全体成员研究事件发展的可能程度及应对行动，并通知有关部门、各应急救援小组采取应急行动。</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应急指挥部接到可能导致环境事故的信息后，应按照分级响应的原则及时研究确定应对方案，并通知有关部门、现场人员采取有效措施预防事故发生。</w:t>
      </w:r>
    </w:p>
    <w:p>
      <w:pPr>
        <w:spacing w:line="500" w:lineRule="exact"/>
        <w:ind w:firstLine="480" w:firstLineChars="200"/>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当应急指挥部认为事故较大，有可能超出本级应急处置能力时，应当在</w:t>
      </w:r>
      <w:r>
        <w:rPr>
          <w:rFonts w:ascii="Times New Roman" w:hAnsi="Times New Roman" w:cs="Times New Roman"/>
          <w:color w:val="000000" w:themeColor="text1"/>
          <w:kern w:val="0"/>
          <w:sz w:val="24"/>
          <w:szCs w:val="24"/>
          <w:u w:val="single"/>
          <w14:textFill>
            <w14:solidFill>
              <w14:schemeClr w14:val="tx1"/>
            </w14:solidFill>
          </w14:textFill>
        </w:rPr>
        <w:t>1小时内</w:t>
      </w:r>
      <w:r>
        <w:rPr>
          <w:rFonts w:ascii="Times New Roman" w:hAnsi="Times New Roman" w:cs="Times New Roman"/>
          <w:color w:val="000000" w:themeColor="text1"/>
          <w:kern w:val="0"/>
          <w:sz w:val="24"/>
          <w:szCs w:val="24"/>
          <w14:textFill>
            <w14:solidFill>
              <w14:schemeClr w14:val="tx1"/>
            </w14:solidFill>
          </w14:textFill>
        </w:rPr>
        <w:t>及时向南昌市环保局报告，及时研究应对方案，采取行动。</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617" w:name="_Toc10370_WPSOffice_Level3"/>
      <w:bookmarkStart w:id="618" w:name="_Toc26484_WPSOffice_Level3"/>
      <w:bookmarkStart w:id="619" w:name="_Toc29635"/>
      <w:bookmarkStart w:id="620" w:name="_Toc25204_WPSOffice_Level3"/>
      <w:bookmarkStart w:id="621" w:name="_Toc14482_WPSOffice_Level3"/>
      <w:bookmarkStart w:id="622" w:name="_Toc23885"/>
      <w:bookmarkStart w:id="623" w:name="_Toc17839"/>
      <w:bookmarkStart w:id="624" w:name="_Toc21623_WPSOffice_Level3"/>
      <w:bookmarkStart w:id="625" w:name="_Toc22332"/>
      <w:r>
        <w:rPr>
          <w:rFonts w:ascii="Times New Roman" w:hAnsi="Times New Roman" w:cs="Times New Roman"/>
          <w:b/>
          <w:color w:val="000000" w:themeColor="text1"/>
          <w:sz w:val="24"/>
          <w:szCs w:val="24"/>
          <w14:textFill>
            <w14:solidFill>
              <w14:schemeClr w14:val="tx1"/>
            </w14:solidFill>
          </w14:textFill>
        </w:rPr>
        <w:t>6.1.2事故报告内容</w:t>
      </w:r>
      <w:bookmarkEnd w:id="617"/>
      <w:bookmarkEnd w:id="618"/>
      <w:bookmarkEnd w:id="619"/>
      <w:bookmarkEnd w:id="620"/>
      <w:bookmarkEnd w:id="621"/>
      <w:bookmarkEnd w:id="622"/>
      <w:bookmarkEnd w:id="623"/>
      <w:bookmarkEnd w:id="624"/>
      <w:bookmarkEnd w:id="625"/>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突发环境事件的报告分为初报、续报和处理结果报告三类。初报从发现事件后起</w:t>
      </w:r>
      <w:r>
        <w:rPr>
          <w:rFonts w:ascii="Times New Roman" w:hAnsi="Times New Roman" w:cs="Times New Roman"/>
          <w:color w:val="000000" w:themeColor="text1"/>
          <w:kern w:val="0"/>
          <w:sz w:val="24"/>
          <w:szCs w:val="24"/>
          <w:u w:val="single"/>
          <w14:textFill>
            <w14:solidFill>
              <w14:schemeClr w14:val="tx1"/>
            </w14:solidFill>
          </w14:textFill>
        </w:rPr>
        <w:t>1小时内</w:t>
      </w:r>
      <w:r>
        <w:rPr>
          <w:rFonts w:ascii="Times New Roman" w:hAnsi="Times New Roman" w:cs="Times New Roman"/>
          <w:color w:val="000000" w:themeColor="text1"/>
          <w:kern w:val="0"/>
          <w:sz w:val="24"/>
          <w:szCs w:val="24"/>
          <w14:textFill>
            <w14:solidFill>
              <w14:schemeClr w14:val="tx1"/>
            </w14:solidFill>
          </w14:textFill>
        </w:rPr>
        <w:t>上报；续报在查清有关基本情况后随时上报；处理结果报告在事件处理完毕后立即上报。</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初报可用电话直接报告，主要内容包括：环境事件的类型、发生时间、地点、污染源、主要污染物质、人员受害情况、事件潜在的危害程度、转化方式趋向等初步情况。</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续报可通过网络或书面报告，在初报的基础上报告有关确切数据，事件发生的原因、过程、进展情况及采取的应急措施等基本情况。</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处理结果报告采用书面报告，处理结果报告在初报和续报的基础上，报告处理事件的措施、过程和结果，事件潜在或间接的危害、社会影响、处理后的遗留问题，参加处理工作的有关部门和工作内容，出具有关危害与损失的证明文件等详细情况。</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内部信息报告的形式和要求，以及事件信息的通报流程。</w:t>
      </w:r>
    </w:p>
    <w:p>
      <w:pPr>
        <w:spacing w:line="500" w:lineRule="exact"/>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报告形式包括电话报告及书面报告，内部信息报告内容主要包括：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（1）发生污染事故所属环保监控区域，具体地点、具体时间及设备、设施；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（2）事故类型：火灾爆炸、中毒、危险源泄漏；</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（3）发生污染事件原因及应急措施或方法；</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（4）有无人员伤亡及被困人员；</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（5）上报时限：立即上报</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（6）污染事件通报流程：直接上报突发环境应急小组办公室。</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26" w:name="_Toc24638"/>
      <w:bookmarkStart w:id="627" w:name="_Toc13624_WPSOffice_Level2"/>
      <w:bookmarkStart w:id="628" w:name="_Toc20317_WPSOffice_Level2"/>
      <w:bookmarkStart w:id="629" w:name="_Toc5838"/>
      <w:bookmarkStart w:id="630" w:name="_Toc3184"/>
      <w:bookmarkStart w:id="631" w:name="_Toc18397_WPSOffice_Level2"/>
      <w:bookmarkStart w:id="632" w:name="_Toc10370_WPSOffice_Level2"/>
      <w:bookmarkStart w:id="633" w:name="_Toc25863_WPSOffice_Level2"/>
      <w:bookmarkStart w:id="634" w:name="_Toc30353"/>
      <w:r>
        <w:rPr>
          <w:rFonts w:ascii="Times New Roman" w:hAnsi="Times New Roman" w:cs="Times New Roman"/>
          <w:b/>
          <w:bCs/>
          <w:color w:val="000000" w:themeColor="text1"/>
          <w:sz w:val="24"/>
          <w:szCs w:val="24"/>
          <w14:textFill>
            <w14:solidFill>
              <w14:schemeClr w14:val="tx1"/>
            </w14:solidFill>
          </w14:textFill>
        </w:rPr>
        <w:t>6.2信息上报</w:t>
      </w:r>
      <w:bookmarkEnd w:id="626"/>
      <w:bookmarkEnd w:id="627"/>
      <w:bookmarkEnd w:id="628"/>
      <w:bookmarkEnd w:id="629"/>
      <w:bookmarkEnd w:id="630"/>
      <w:bookmarkEnd w:id="631"/>
      <w:bookmarkEnd w:id="632"/>
      <w:bookmarkEnd w:id="633"/>
      <w:bookmarkEnd w:id="63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若发生重特大污染事件，突发环境事件应急领导小组必须在</w:t>
      </w:r>
      <w:r>
        <w:rPr>
          <w:rFonts w:ascii="Times New Roman" w:hAnsi="Times New Roman" w:cs="Times New Roman"/>
          <w:color w:val="000000" w:themeColor="text1"/>
          <w:kern w:val="0"/>
          <w:sz w:val="24"/>
          <w:szCs w:val="24"/>
          <w:u w:val="single"/>
          <w:lang w:val="zh-CN"/>
          <w14:textFill>
            <w14:solidFill>
              <w14:schemeClr w14:val="tx1"/>
            </w14:solidFill>
          </w14:textFill>
        </w:rPr>
        <w:t>1小时内</w:t>
      </w:r>
      <w:r>
        <w:rPr>
          <w:rFonts w:ascii="Times New Roman" w:hAnsi="Times New Roman" w:cs="Times New Roman"/>
          <w:color w:val="000000" w:themeColor="text1"/>
          <w:kern w:val="0"/>
          <w:sz w:val="24"/>
          <w:szCs w:val="24"/>
          <w:lang w:val="zh-CN"/>
          <w14:textFill>
            <w14:solidFill>
              <w14:schemeClr w14:val="tx1"/>
            </w14:solidFill>
          </w14:textFill>
        </w:rPr>
        <w:t>报告上级领导部门。</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35" w:name="_Toc27503_WPSOffice_Level2"/>
      <w:bookmarkStart w:id="636" w:name="_Toc4553_WPSOffice_Level2"/>
      <w:bookmarkStart w:id="637" w:name="_Toc24996"/>
      <w:bookmarkStart w:id="638" w:name="_Toc23381"/>
      <w:bookmarkStart w:id="639" w:name="_Toc5742_WPSOffice_Level2"/>
      <w:bookmarkStart w:id="640" w:name="_Toc16888"/>
      <w:bookmarkStart w:id="641" w:name="_Toc26522_WPSOffice_Level2"/>
      <w:bookmarkStart w:id="642" w:name="_Toc21119_WPSOffice_Level2"/>
      <w:bookmarkStart w:id="643" w:name="_Toc22069"/>
      <w:r>
        <w:rPr>
          <w:rFonts w:ascii="Times New Roman" w:hAnsi="Times New Roman" w:cs="Times New Roman"/>
          <w:b/>
          <w:bCs/>
          <w:color w:val="000000" w:themeColor="text1"/>
          <w:sz w:val="24"/>
          <w:szCs w:val="24"/>
          <w14:textFill>
            <w14:solidFill>
              <w14:schemeClr w14:val="tx1"/>
            </w14:solidFill>
          </w14:textFill>
        </w:rPr>
        <w:t>6.3信息传递</w:t>
      </w:r>
      <w:bookmarkEnd w:id="635"/>
      <w:bookmarkEnd w:id="636"/>
      <w:bookmarkEnd w:id="637"/>
      <w:bookmarkEnd w:id="638"/>
      <w:bookmarkEnd w:id="639"/>
      <w:bookmarkEnd w:id="640"/>
      <w:bookmarkEnd w:id="641"/>
      <w:bookmarkEnd w:id="642"/>
      <w:bookmarkEnd w:id="643"/>
    </w:p>
    <w:p>
      <w:pPr>
        <w:spacing w:before="100" w:after="100"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应急领导小组负责人启动本预案后，同时采取有效措施，防止事故扩大，减少人员伤亡和财产损失。在影响到加油站以外的相关村庄居民时，要在第一时间向周边村庄居民传递可能发生的灾害，通知周边居民疏散。加油站负责人负责信息传递和解释工作。</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44" w:name="_Toc19919_WPSOffice_Level2"/>
      <w:bookmarkStart w:id="645" w:name="_Toc11908"/>
      <w:bookmarkStart w:id="646" w:name="_Toc30541"/>
      <w:bookmarkStart w:id="647" w:name="_Toc13699_WPSOffice_Level2"/>
      <w:bookmarkStart w:id="648" w:name="_Toc13664_WPSOffice_Level2"/>
      <w:bookmarkStart w:id="649" w:name="_Toc22725_WPSOffice_Level2"/>
      <w:bookmarkStart w:id="650" w:name="_Toc28126_WPSOffice_Level2"/>
      <w:bookmarkStart w:id="651" w:name="_Toc27086"/>
      <w:bookmarkStart w:id="652" w:name="_Toc9944"/>
      <w:r>
        <w:rPr>
          <w:rFonts w:ascii="Times New Roman" w:hAnsi="Times New Roman" w:cs="Times New Roman"/>
          <w:b/>
          <w:bCs/>
          <w:color w:val="000000" w:themeColor="text1"/>
          <w:sz w:val="24"/>
          <w:szCs w:val="24"/>
          <w14:textFill>
            <w14:solidFill>
              <w14:schemeClr w14:val="tx1"/>
            </w14:solidFill>
          </w14:textFill>
        </w:rPr>
        <w:t>6.4 信息发布</w:t>
      </w:r>
      <w:bookmarkEnd w:id="644"/>
      <w:bookmarkEnd w:id="645"/>
      <w:bookmarkEnd w:id="646"/>
      <w:bookmarkEnd w:id="647"/>
      <w:bookmarkEnd w:id="648"/>
      <w:bookmarkEnd w:id="649"/>
      <w:bookmarkEnd w:id="650"/>
      <w:bookmarkEnd w:id="651"/>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（1）公司应急领导小组组织信息发布，负责说明有关事故处理完毕后的调查结果、采取的措施、善后处理的安排及预防改进措施等。</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（2）在信息发布过程中，信息发布组应严格遵守国家法律法规规定，实事求是、客观公正、及时准确地报道事故发生、发展过程。</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（3）公司对外新闻发言人由应急救援指挥部指定。</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（4）所有对外发布的报道，须报请公司应急救援指挥部审定后方可在媒体上发布。</w:t>
      </w:r>
    </w:p>
    <w:p>
      <w:pPr>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653" w:name="_Toc20556_WPSOffice_Level1"/>
      <w:bookmarkStart w:id="654" w:name="_Toc2221_WPSOffice_Level1"/>
      <w:bookmarkStart w:id="655" w:name="_Toc6079"/>
      <w:bookmarkStart w:id="656" w:name="_Toc20703"/>
      <w:bookmarkStart w:id="657" w:name="_Toc14468_WPSOffice_Level1"/>
      <w:bookmarkStart w:id="658" w:name="_Toc18206"/>
      <w:bookmarkStart w:id="659" w:name="_Toc31867_WPSOffice_Level1"/>
      <w:bookmarkStart w:id="660" w:name="_Toc21536_WPSOffice_Level1"/>
      <w:bookmarkStart w:id="661" w:name="_Toc5416"/>
      <w:r>
        <w:rPr>
          <w:rFonts w:ascii="Times New Roman" w:hAnsi="Times New Roman" w:cs="Times New Roman"/>
          <w:b/>
          <w:bCs/>
          <w:color w:val="000000" w:themeColor="text1"/>
          <w:kern w:val="44"/>
          <w:sz w:val="30"/>
          <w:szCs w:val="30"/>
          <w14:textFill>
            <w14:solidFill>
              <w14:schemeClr w14:val="tx1"/>
            </w14:solidFill>
          </w14:textFill>
        </w:rPr>
        <w:t>7、应急响应与措施</w:t>
      </w:r>
      <w:bookmarkEnd w:id="653"/>
      <w:bookmarkEnd w:id="654"/>
      <w:bookmarkEnd w:id="655"/>
      <w:bookmarkEnd w:id="656"/>
      <w:bookmarkEnd w:id="657"/>
      <w:bookmarkEnd w:id="658"/>
      <w:bookmarkEnd w:id="659"/>
      <w:bookmarkEnd w:id="660"/>
      <w:bookmarkEnd w:id="661"/>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62" w:name="_Toc13754"/>
      <w:bookmarkStart w:id="663" w:name="_Toc29833"/>
      <w:bookmarkStart w:id="664" w:name="_Toc1602"/>
      <w:bookmarkStart w:id="665" w:name="_Toc1786_WPSOffice_Level2"/>
      <w:bookmarkStart w:id="666" w:name="_Toc14989_WPSOffice_Level2"/>
      <w:bookmarkStart w:id="667" w:name="_Toc2823_WPSOffice_Level2"/>
      <w:bookmarkStart w:id="668" w:name="_Toc6730"/>
      <w:bookmarkStart w:id="669" w:name="_Toc14371_WPSOffice_Level2"/>
      <w:bookmarkStart w:id="670" w:name="_Toc31867_WPSOffice_Level2"/>
      <w:bookmarkStart w:id="671" w:name="_Toc10138"/>
      <w:bookmarkStart w:id="672" w:name="_Toc19885"/>
      <w:r>
        <w:rPr>
          <w:rFonts w:ascii="Times New Roman" w:hAnsi="Times New Roman" w:cs="Times New Roman"/>
          <w:b/>
          <w:bCs/>
          <w:color w:val="000000" w:themeColor="text1"/>
          <w:sz w:val="24"/>
          <w:szCs w:val="24"/>
          <w14:textFill>
            <w14:solidFill>
              <w14:schemeClr w14:val="tx1"/>
            </w14:solidFill>
          </w14:textFill>
        </w:rPr>
        <w:t>7.1分级响应</w:t>
      </w:r>
      <w:bookmarkEnd w:id="662"/>
      <w:r>
        <w:rPr>
          <w:rFonts w:ascii="Times New Roman" w:hAnsi="Times New Roman" w:cs="Times New Roman"/>
          <w:b/>
          <w:bCs/>
          <w:color w:val="000000" w:themeColor="text1"/>
          <w:sz w:val="24"/>
          <w:szCs w:val="24"/>
          <w14:textFill>
            <w14:solidFill>
              <w14:schemeClr w14:val="tx1"/>
            </w14:solidFill>
          </w14:textFill>
        </w:rPr>
        <w:t>机制</w:t>
      </w:r>
      <w:bookmarkEnd w:id="663"/>
      <w:bookmarkEnd w:id="664"/>
      <w:bookmarkEnd w:id="665"/>
      <w:bookmarkEnd w:id="666"/>
      <w:bookmarkEnd w:id="667"/>
      <w:bookmarkEnd w:id="668"/>
      <w:bookmarkEnd w:id="669"/>
      <w:bookmarkEnd w:id="670"/>
      <w:bookmarkEnd w:id="671"/>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突发环境事件应急响应坚持以突发环境事件应急领导小组统一领导，按照环境保护片区负责制，各个加油员、相关部门为单位支持的原则。按突发环境事件的可控性、严重程度和影响范围，突发环境事件的应急响应分不可控（不可控响应-当地政府）、可控（可控响应-加油站内部）两级。超出加油站应急处置能力时，应及时启动不可控应急响应、请求当地相关政府部门支援。</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fldChar w:fldCharType="begin"/>
      </w:r>
      <w:r>
        <w:rPr>
          <w:rFonts w:ascii="Times New Roman" w:hAnsi="Times New Roman" w:cs="Times New Roman"/>
          <w:b/>
          <w:color w:val="000000" w:themeColor="text1"/>
          <w:kern w:val="0"/>
          <w:sz w:val="24"/>
          <w:szCs w:val="24"/>
          <w:lang w:val="zh-CN"/>
          <w14:textFill>
            <w14:solidFill>
              <w14:schemeClr w14:val="tx1"/>
            </w14:solidFill>
          </w14:textFill>
        </w:rPr>
        <w:instrText xml:space="preserve"> = 1 \* GB2 \* MERGEFORMAT </w:instrText>
      </w:r>
      <w:r>
        <w:rPr>
          <w:rFonts w:ascii="Times New Roman" w:hAnsi="Times New Roman" w:cs="Times New Roman"/>
          <w:b/>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b/>
          <w:color w:val="000000" w:themeColor="text1"/>
          <w:kern w:val="0"/>
          <w:sz w:val="24"/>
          <w:szCs w:val="24"/>
          <w:lang w:val="zh-CN"/>
          <w14:textFill>
            <w14:solidFill>
              <w14:schemeClr w14:val="tx1"/>
            </w14:solidFill>
          </w14:textFill>
        </w:rPr>
        <w:t>⑴</w:t>
      </w:r>
      <w:r>
        <w:rPr>
          <w:rFonts w:ascii="Times New Roman" w:hAnsi="Times New Roman" w:cs="Times New Roman"/>
          <w:b/>
          <w:color w:val="000000" w:themeColor="text1"/>
          <w:kern w:val="0"/>
          <w:sz w:val="24"/>
          <w:szCs w:val="24"/>
          <w:lang w:val="zh-CN"/>
          <w14:textFill>
            <w14:solidFill>
              <w14:schemeClr w14:val="tx1"/>
            </w14:solidFill>
          </w14:textFill>
        </w:rPr>
        <w:fldChar w:fldCharType="end"/>
      </w:r>
      <w:r>
        <w:rPr>
          <w:rFonts w:ascii="Times New Roman" w:hAnsi="Times New Roman" w:cs="Times New Roman"/>
          <w:b/>
          <w:color w:val="000000" w:themeColor="text1"/>
          <w:kern w:val="0"/>
          <w:sz w:val="24"/>
          <w:szCs w:val="24"/>
          <w:lang w:val="zh-CN"/>
          <w14:textFill>
            <w14:solidFill>
              <w14:schemeClr w14:val="tx1"/>
            </w14:solidFill>
          </w14:textFill>
        </w:rPr>
        <w:t>不可控预警：</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为已发生火灾、爆炸和危险源大面积泄漏事故，且危险源流出或扩散到周边社区、企业，公司已没有能力控制，由加油站应急领导小组在1小时内报告当地相关政府部门，请求支援、启动</w:t>
      </w:r>
      <w:r>
        <w:rPr>
          <w:rFonts w:hint="eastAsia" w:ascii="宋体" w:hAnsi="宋体" w:eastAsia="宋体" w:cs="宋体"/>
          <w:color w:val="000000" w:themeColor="text1"/>
          <w:kern w:val="0"/>
          <w:sz w:val="24"/>
          <w:szCs w:val="24"/>
          <w:lang w:val="zh-CN"/>
          <w14:textFill>
            <w14:solidFill>
              <w14:schemeClr w14:val="tx1"/>
            </w14:solidFill>
          </w14:textFill>
        </w:rPr>
        <w:t>Ⅰ</w:t>
      </w:r>
      <w:r>
        <w:rPr>
          <w:rFonts w:ascii="Times New Roman" w:hAnsi="Times New Roman" w:cs="Times New Roman"/>
          <w:color w:val="000000" w:themeColor="text1"/>
          <w:kern w:val="0"/>
          <w:sz w:val="24"/>
          <w:szCs w:val="24"/>
          <w:lang w:val="zh-CN"/>
          <w14:textFill>
            <w14:solidFill>
              <w14:schemeClr w14:val="tx1"/>
            </w14:solidFill>
          </w14:textFill>
        </w:rPr>
        <w:t>级应急救援预案。</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fldChar w:fldCharType="begin"/>
      </w:r>
      <w:r>
        <w:rPr>
          <w:rFonts w:ascii="Times New Roman" w:hAnsi="Times New Roman" w:cs="Times New Roman"/>
          <w:b/>
          <w:color w:val="000000" w:themeColor="text1"/>
          <w:kern w:val="0"/>
          <w:sz w:val="24"/>
          <w:szCs w:val="24"/>
          <w:lang w:val="zh-CN"/>
          <w14:textFill>
            <w14:solidFill>
              <w14:schemeClr w14:val="tx1"/>
            </w14:solidFill>
          </w14:textFill>
        </w:rPr>
        <w:instrText xml:space="preserve"> = 2 \* GB2 \* MERGEFORMAT </w:instrText>
      </w:r>
      <w:r>
        <w:rPr>
          <w:rFonts w:ascii="Times New Roman" w:hAnsi="Times New Roman" w:cs="Times New Roman"/>
          <w:b/>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b/>
          <w:color w:val="000000" w:themeColor="text1"/>
          <w:kern w:val="0"/>
          <w:sz w:val="24"/>
          <w:szCs w:val="24"/>
          <w:lang w:val="zh-CN"/>
          <w14:textFill>
            <w14:solidFill>
              <w14:schemeClr w14:val="tx1"/>
            </w14:solidFill>
          </w14:textFill>
        </w:rPr>
        <w:t>⑵</w:t>
      </w:r>
      <w:r>
        <w:rPr>
          <w:rFonts w:ascii="Times New Roman" w:hAnsi="Times New Roman" w:cs="Times New Roman"/>
          <w:b/>
          <w:color w:val="000000" w:themeColor="text1"/>
          <w:kern w:val="0"/>
          <w:sz w:val="24"/>
          <w:szCs w:val="24"/>
          <w:lang w:val="zh-CN"/>
          <w14:textFill>
            <w14:solidFill>
              <w14:schemeClr w14:val="tx1"/>
            </w14:solidFill>
          </w14:textFill>
        </w:rPr>
        <w:fldChar w:fldCharType="end"/>
      </w:r>
      <w:r>
        <w:rPr>
          <w:rFonts w:ascii="Times New Roman" w:hAnsi="Times New Roman" w:cs="Times New Roman"/>
          <w:b/>
          <w:color w:val="000000" w:themeColor="text1"/>
          <w:kern w:val="0"/>
          <w:sz w:val="24"/>
          <w:szCs w:val="24"/>
          <w:lang w:val="zh-CN"/>
          <w14:textFill>
            <w14:solidFill>
              <w14:schemeClr w14:val="tx1"/>
            </w14:solidFill>
          </w14:textFill>
        </w:rPr>
        <w:t>可控预警：</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a</w:t>
      </w:r>
      <w:r>
        <w:rPr>
          <w:rFonts w:ascii="Times New Roman" w:hAnsi="Times New Roman" w:cs="Times New Roman"/>
          <w:color w:val="000000" w:themeColor="text1"/>
          <w:kern w:val="0"/>
          <w:sz w:val="24"/>
          <w:szCs w:val="24"/>
          <w:lang w:val="zh-CN"/>
          <w14:textFill>
            <w14:solidFill>
              <w14:schemeClr w14:val="tx1"/>
            </w14:solidFill>
          </w14:textFill>
        </w:rPr>
        <w:t>、为已发生火灾、爆炸和危险源大面积泄漏事故，但危险源没有流出或扩散到周边社区、企业，由公司加油站应急领导小组组织实施应急救援，加油站内部各应急小组现场处置。</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b</w:t>
      </w:r>
      <w:r>
        <w:rPr>
          <w:rFonts w:ascii="Times New Roman" w:hAnsi="Times New Roman" w:cs="Times New Roman"/>
          <w:color w:val="000000" w:themeColor="text1"/>
          <w:kern w:val="0"/>
          <w:sz w:val="24"/>
          <w:szCs w:val="24"/>
          <w:lang w:val="zh-CN"/>
          <w14:textFill>
            <w14:solidFill>
              <w14:schemeClr w14:val="tx1"/>
            </w14:solidFill>
          </w14:textFill>
        </w:rPr>
        <w:t>、为已发生火灾和危险源泄漏，在短时间内可以处置控制未对周边企业和社区产生影响的突发环境事故时，由班组应急小组组织实施应急救援，及时报告加油站应急领导小组，做好协调工作。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c、</w:t>
      </w: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设备、设施故障，将会导致</w:t>
      </w:r>
      <w:r>
        <w:rPr>
          <w:rFonts w:ascii="Times New Roman" w:hAnsi="Times New Roman" w:cs="Times New Roman"/>
          <w:color w:val="000000" w:themeColor="text1"/>
          <w:kern w:val="0"/>
          <w:sz w:val="24"/>
          <w:szCs w:val="24"/>
          <w14:textFill>
            <w14:solidFill>
              <w14:schemeClr w14:val="tx1"/>
            </w14:solidFill>
          </w14:textFill>
        </w:rPr>
        <w:t>危险源</w:t>
      </w:r>
      <w:r>
        <w:rPr>
          <w:rFonts w:ascii="Times New Roman" w:hAnsi="Times New Roman" w:cs="Times New Roman"/>
          <w:color w:val="000000" w:themeColor="text1"/>
          <w:kern w:val="0"/>
          <w:sz w:val="24"/>
          <w:szCs w:val="24"/>
          <w:lang w:val="zh-CN"/>
          <w14:textFill>
            <w14:solidFill>
              <w14:schemeClr w14:val="tx1"/>
            </w14:solidFill>
          </w14:textFill>
        </w:rPr>
        <w:t>泄漏、火灾、爆炸等环境安全事故的；</w:t>
      </w: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现场发现存在泄漏或火灾迹象的；</w:t>
      </w: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③</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遇雷雨、极端气候、汛涝等恶劣气候；</w:t>
      </w: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④</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其他异常现象等，由加油站班组及时应急处置，同时报告加油站应急办公室，做好应急协调工作。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hint="eastAsia" w:ascii="宋体" w:hAnsi="宋体" w:eastAsia="宋体" w:cs="宋体"/>
          <w:b/>
          <w:color w:val="000000" w:themeColor="text1"/>
          <w:kern w:val="0"/>
          <w:sz w:val="24"/>
          <w:szCs w:val="24"/>
          <w14:textFill>
            <w14:solidFill>
              <w14:schemeClr w14:val="tx1"/>
            </w14:solidFill>
          </w14:textFill>
        </w:rPr>
        <w:t>⑶</w:t>
      </w:r>
      <w:r>
        <w:rPr>
          <w:rFonts w:ascii="Times New Roman" w:hAnsi="Times New Roman" w:cs="Times New Roman"/>
          <w:b/>
          <w:color w:val="000000" w:themeColor="text1"/>
          <w:kern w:val="0"/>
          <w:sz w:val="24"/>
          <w:szCs w:val="24"/>
          <w:lang w:val="zh-CN"/>
          <w14:textFill>
            <w14:solidFill>
              <w14:schemeClr w14:val="tx1"/>
            </w14:solidFill>
          </w14:textFill>
        </w:rPr>
        <w:t>分级响应条件：</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加油站危险事故的类别主要有：油品泄漏、</w:t>
      </w:r>
      <w:r>
        <w:rPr>
          <w:rFonts w:ascii="Times New Roman" w:hAnsi="Times New Roman" w:cs="Times New Roman"/>
          <w:color w:val="000000" w:themeColor="text1"/>
          <w:kern w:val="0"/>
          <w:sz w:val="24"/>
          <w:szCs w:val="24"/>
          <w14:textFill>
            <w14:solidFill>
              <w14:schemeClr w14:val="tx1"/>
            </w14:solidFill>
          </w14:textFill>
        </w:rPr>
        <w:t>火灾中毒、环境污染等</w:t>
      </w:r>
      <w:r>
        <w:rPr>
          <w:rFonts w:ascii="Times New Roman" w:hAnsi="Times New Roman" w:cs="Times New Roman"/>
          <w:color w:val="000000" w:themeColor="text1"/>
          <w:kern w:val="0"/>
          <w:sz w:val="24"/>
          <w:szCs w:val="24"/>
          <w:lang w:val="zh-CN"/>
          <w14:textFill>
            <w14:solidFill>
              <w14:schemeClr w14:val="tx1"/>
            </w14:solidFill>
          </w14:textFill>
        </w:rPr>
        <w:t>。前一种多是由于操作人员在工作中操作不当引起，涉及范围较小，而后两种不发生则已，一旦发生引起几种共同发生的机率十分大，危害程度极高，波及范围十分广，必须在1小时内向南昌市环境保护局、当地政府相关部门请求应急救援。</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73" w:name="_Toc9787_WPSOffice_Level2"/>
      <w:bookmarkStart w:id="674" w:name="_Toc17746_WPSOffice_Level2"/>
      <w:bookmarkStart w:id="675" w:name="_Toc20896_WPSOffice_Level2"/>
      <w:bookmarkStart w:id="676" w:name="_Toc27495"/>
      <w:bookmarkStart w:id="677" w:name="_Toc22434"/>
      <w:bookmarkStart w:id="678" w:name="_Toc9848_WPSOffice_Level2"/>
      <w:bookmarkStart w:id="679" w:name="_Toc2629"/>
      <w:bookmarkStart w:id="680" w:name="_Toc6831_WPSOffice_Level2"/>
      <w:bookmarkStart w:id="681" w:name="_Toc7664"/>
      <w:r>
        <w:rPr>
          <w:rFonts w:ascii="Times New Roman" w:hAnsi="Times New Roman" w:cs="Times New Roman"/>
          <w:b/>
          <w:bCs/>
          <w:color w:val="000000" w:themeColor="text1"/>
          <w:sz w:val="24"/>
          <w:szCs w:val="24"/>
          <w14:textFill>
            <w14:solidFill>
              <w14:schemeClr w14:val="tx1"/>
            </w14:solidFill>
          </w14:textFill>
        </w:rPr>
        <w:t>7.2响应</w:t>
      </w:r>
      <w:bookmarkEnd w:id="672"/>
      <w:r>
        <w:rPr>
          <w:rFonts w:ascii="Times New Roman" w:hAnsi="Times New Roman" w:cs="Times New Roman"/>
          <w:b/>
          <w:bCs/>
          <w:color w:val="000000" w:themeColor="text1"/>
          <w:sz w:val="24"/>
          <w:szCs w:val="24"/>
          <w14:textFill>
            <w14:solidFill>
              <w14:schemeClr w14:val="tx1"/>
            </w14:solidFill>
          </w14:textFill>
        </w:rPr>
        <w:t>程序</w:t>
      </w:r>
      <w:bookmarkEnd w:id="673"/>
      <w:bookmarkEnd w:id="674"/>
      <w:bookmarkEnd w:id="675"/>
      <w:bookmarkEnd w:id="676"/>
      <w:bookmarkEnd w:id="677"/>
      <w:bookmarkEnd w:id="678"/>
      <w:bookmarkEnd w:id="679"/>
      <w:bookmarkEnd w:id="680"/>
      <w:bookmarkEnd w:id="681"/>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分区预警，分区重点控制，主要包括以下内容：</w:t>
      </w:r>
    </w:p>
    <w:p>
      <w:pPr>
        <w:pStyle w:val="14"/>
        <w:spacing w:before="0" w:beforeAutospacing="0" w:after="0" w:afterAutospacing="0" w:line="500" w:lineRule="exact"/>
        <w:ind w:firstLine="480" w:firstLineChars="200"/>
        <w:rPr>
          <w:rFonts w:ascii="Times New Roman" w:hAnsi="Times New Roman" w:eastAsiaTheme="minorEastAsia"/>
          <w:color w:val="000000" w:themeColor="text1"/>
          <w:szCs w:val="24"/>
          <w:lang w:val="zh-CN"/>
          <w14:textFill>
            <w14:solidFill>
              <w14:schemeClr w14:val="tx1"/>
            </w14:solidFill>
          </w14:textFill>
        </w:rPr>
      </w:pPr>
      <w:r>
        <w:rPr>
          <w:rFonts w:ascii="Times New Roman" w:hAnsi="Times New Roman" w:eastAsiaTheme="minorEastAsia"/>
          <w:color w:val="000000" w:themeColor="text1"/>
          <w:szCs w:val="24"/>
          <w:lang w:val="zh-CN"/>
          <w14:textFill>
            <w14:solidFill>
              <w14:schemeClr w14:val="tx1"/>
            </w14:solidFill>
          </w14:textFill>
        </w:rPr>
        <w:t>加油站突发环境事件主要包括汽油泄漏、含油废水泄漏、危险废物不安全处置等，响应流程如下：</w:t>
      </w:r>
    </w:p>
    <w:p>
      <w:pPr>
        <w:overflowPunct w:val="0"/>
        <w:topLinePunct/>
        <w:spacing w:line="360" w:lineRule="auto"/>
        <w:ind w:firstLine="496" w:firstLineChars="200"/>
        <w:rPr>
          <w:rFonts w:ascii="Times New Roman" w:hAnsi="Times New Roman" w:cs="Times New Roman"/>
          <w:color w:val="000000" w:themeColor="text1"/>
          <w:spacing w:val="4"/>
          <w:sz w:val="24"/>
          <w:szCs w:val="24"/>
          <w14:textFill>
            <w14:solidFill>
              <w14:schemeClr w14:val="tx1"/>
            </w14:solidFill>
          </w14:textFill>
        </w:rPr>
      </w:pPr>
      <w:r>
        <w:rPr>
          <w:rFonts w:ascii="Times New Roman" w:hAnsi="Times New Roman" w:cs="Times New Roman"/>
          <w:color w:val="000000" w:themeColor="text1"/>
          <w:spacing w:val="4"/>
          <w:sz w:val="24"/>
          <w:szCs w:val="24"/>
          <w14:textFill>
            <w14:solidFill>
              <w14:schemeClr w14:val="tx1"/>
            </w14:solidFill>
          </w14:textFill>
        </w:rPr>
        <mc:AlternateContent>
          <mc:Choice Requires="wpg">
            <w:drawing>
              <wp:anchor distT="0" distB="0" distL="114300" distR="114300" simplePos="0" relativeHeight="251646976" behindDoc="0" locked="0" layoutInCell="1" allowOverlap="1">
                <wp:simplePos x="0" y="0"/>
                <wp:positionH relativeFrom="column">
                  <wp:posOffset>1610995</wp:posOffset>
                </wp:positionH>
                <wp:positionV relativeFrom="paragraph">
                  <wp:posOffset>67310</wp:posOffset>
                </wp:positionV>
                <wp:extent cx="2758440" cy="4202430"/>
                <wp:effectExtent l="27305" t="4445" r="33655" b="22225"/>
                <wp:wrapTopAndBottom/>
                <wp:docPr id="42" name="组合 42"/>
                <wp:cNvGraphicFramePr/>
                <a:graphic xmlns:a="http://schemas.openxmlformats.org/drawingml/2006/main">
                  <a:graphicData uri="http://schemas.microsoft.com/office/word/2010/wordprocessingGroup">
                    <wpg:wgp>
                      <wpg:cNvGrpSpPr/>
                      <wpg:grpSpPr>
                        <a:xfrm>
                          <a:off x="0" y="0"/>
                          <a:ext cx="2758440" cy="4202430"/>
                          <a:chOff x="0" y="0"/>
                          <a:chExt cx="4344" cy="6618"/>
                        </a:xfrm>
                        <a:effectLst/>
                      </wpg:grpSpPr>
                      <wps:wsp>
                        <wps:cNvPr id="43" name="流程图: 过程 24"/>
                        <wps:cNvSpPr/>
                        <wps:spPr>
                          <a:xfrm>
                            <a:off x="1398" y="0"/>
                            <a:ext cx="1524" cy="8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突发环境污染事件</w:t>
                              </w:r>
                            </w:p>
                          </w:txbxContent>
                        </wps:txbx>
                        <wps:bodyPr upright="1"/>
                      </wps:wsp>
                      <wps:wsp>
                        <wps:cNvPr id="44" name="下箭头 25"/>
                        <wps:cNvSpPr/>
                        <wps:spPr>
                          <a:xfrm>
                            <a:off x="2089" y="870"/>
                            <a:ext cx="143" cy="503"/>
                          </a:xfrm>
                          <a:prstGeom prst="downArrow">
                            <a:avLst>
                              <a:gd name="adj1" fmla="val 50000"/>
                              <a:gd name="adj2" fmla="val 87920"/>
                            </a:avLst>
                          </a:prstGeom>
                          <a:solidFill>
                            <a:srgbClr val="FFFFFF"/>
                          </a:solidFill>
                          <a:ln w="9525" cap="flat" cmpd="sng">
                            <a:solidFill>
                              <a:srgbClr val="000000"/>
                            </a:solidFill>
                            <a:prstDash val="solid"/>
                            <a:miter/>
                            <a:headEnd type="none" w="med" len="med"/>
                            <a:tailEnd type="none" w="med" len="med"/>
                          </a:ln>
                          <a:effectLst/>
                        </wps:spPr>
                        <wps:bodyPr upright="1"/>
                      </wps:wsp>
                      <wps:wsp>
                        <wps:cNvPr id="45" name="流程图: 过程 29"/>
                        <wps:cNvSpPr/>
                        <wps:spPr>
                          <a:xfrm>
                            <a:off x="1340" y="1373"/>
                            <a:ext cx="1641" cy="502"/>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Times New Roman" w:hAnsi="Times New Roman" w:eastAsia="Times New Roman" w:cs="Times New Roman"/>
                                  <w:szCs w:val="20"/>
                                </w:rPr>
                              </w:pPr>
                              <w:r>
                                <w:rPr>
                                  <w:rFonts w:hint="eastAsia" w:ascii="Times New Roman" w:hAnsi="Times New Roman" w:eastAsia="仿宋" w:cs="Times New Roman"/>
                                  <w:szCs w:val="20"/>
                                </w:rPr>
                                <w:t>应急领导小组</w:t>
                              </w:r>
                            </w:p>
                          </w:txbxContent>
                        </wps:txbx>
                        <wps:bodyPr upright="1"/>
                      </wps:wsp>
                      <wps:wsp>
                        <wps:cNvPr id="46" name="下箭头 32"/>
                        <wps:cNvSpPr/>
                        <wps:spPr>
                          <a:xfrm>
                            <a:off x="2089" y="1875"/>
                            <a:ext cx="143" cy="502"/>
                          </a:xfrm>
                          <a:prstGeom prst="downArrow">
                            <a:avLst>
                              <a:gd name="adj1" fmla="val 50000"/>
                              <a:gd name="adj2" fmla="val 87745"/>
                            </a:avLst>
                          </a:prstGeom>
                          <a:solidFill>
                            <a:srgbClr val="FFFFFF"/>
                          </a:solidFill>
                          <a:ln w="9525" cap="flat" cmpd="sng">
                            <a:solidFill>
                              <a:srgbClr val="000000"/>
                            </a:solidFill>
                            <a:prstDash val="solid"/>
                            <a:miter/>
                            <a:headEnd type="none" w="med" len="med"/>
                            <a:tailEnd type="none" w="med" len="med"/>
                          </a:ln>
                          <a:effectLst/>
                        </wps:spPr>
                        <wps:bodyPr upright="1"/>
                      </wps:wsp>
                      <wps:wsp>
                        <wps:cNvPr id="47" name="流程图: 过程 33"/>
                        <wps:cNvSpPr/>
                        <wps:spPr>
                          <a:xfrm>
                            <a:off x="3862" y="2848"/>
                            <a:ext cx="469" cy="1373"/>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应急监测</w:t>
                              </w:r>
                            </w:p>
                          </w:txbxContent>
                        </wps:txbx>
                        <wps:bodyPr upright="1"/>
                      </wps:wsp>
                      <wps:wsp>
                        <wps:cNvPr id="48" name="直接箭头连接符 34"/>
                        <wps:cNvCnPr/>
                        <wps:spPr>
                          <a:xfrm>
                            <a:off x="117" y="2395"/>
                            <a:ext cx="4052" cy="0"/>
                          </a:xfrm>
                          <a:prstGeom prst="straightConnector1">
                            <a:avLst/>
                          </a:prstGeom>
                          <a:ln w="9525" cap="flat" cmpd="sng">
                            <a:solidFill>
                              <a:srgbClr val="000000"/>
                            </a:solidFill>
                            <a:prstDash val="solid"/>
                            <a:headEnd type="none" w="med" len="med"/>
                            <a:tailEnd type="none" w="med" len="med"/>
                          </a:ln>
                          <a:effectLst/>
                        </wps:spPr>
                        <wps:bodyPr/>
                      </wps:wsp>
                      <wps:wsp>
                        <wps:cNvPr id="49" name="下箭头 35"/>
                        <wps:cNvSpPr/>
                        <wps:spPr>
                          <a:xfrm>
                            <a:off x="66" y="2369"/>
                            <a:ext cx="143" cy="486"/>
                          </a:xfrm>
                          <a:prstGeom prst="downArrow">
                            <a:avLst>
                              <a:gd name="adj1" fmla="val 50000"/>
                              <a:gd name="adj2" fmla="val 84949"/>
                            </a:avLst>
                          </a:prstGeom>
                          <a:solidFill>
                            <a:srgbClr val="FFFFFF"/>
                          </a:solidFill>
                          <a:ln w="9525" cap="flat" cmpd="sng">
                            <a:solidFill>
                              <a:srgbClr val="000000"/>
                            </a:solidFill>
                            <a:prstDash val="solid"/>
                            <a:miter/>
                            <a:headEnd type="none" w="med" len="med"/>
                            <a:tailEnd type="none" w="med" len="med"/>
                          </a:ln>
                          <a:effectLst/>
                        </wps:spPr>
                        <wps:bodyPr upright="1"/>
                      </wps:wsp>
                      <wps:wsp>
                        <wps:cNvPr id="50" name="流程图: 过程 36"/>
                        <wps:cNvSpPr/>
                        <wps:spPr>
                          <a:xfrm>
                            <a:off x="0" y="2848"/>
                            <a:ext cx="469" cy="1373"/>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Times New Roman" w:hAnsi="Times New Roman" w:eastAsia="Times New Roman" w:cs="Times New Roman"/>
                                  <w:szCs w:val="20"/>
                                </w:rPr>
                              </w:pPr>
                              <w:r>
                                <w:rPr>
                                  <w:rFonts w:hint="eastAsia" w:ascii="Times New Roman" w:hAnsi="Times New Roman" w:eastAsia="仿宋" w:cs="Times New Roman"/>
                                  <w:szCs w:val="20"/>
                                </w:rPr>
                                <w:t>人员疏散</w:t>
                              </w:r>
                            </w:p>
                          </w:txbxContent>
                        </wps:txbx>
                        <wps:bodyPr upright="1"/>
                      </wps:wsp>
                      <wps:wsp>
                        <wps:cNvPr id="52" name="下箭头 37"/>
                        <wps:cNvSpPr/>
                        <wps:spPr>
                          <a:xfrm>
                            <a:off x="4064" y="2369"/>
                            <a:ext cx="143" cy="486"/>
                          </a:xfrm>
                          <a:prstGeom prst="downArrow">
                            <a:avLst>
                              <a:gd name="adj1" fmla="val 50000"/>
                              <a:gd name="adj2" fmla="val 84949"/>
                            </a:avLst>
                          </a:prstGeom>
                          <a:solidFill>
                            <a:srgbClr val="FFFFFF"/>
                          </a:solidFill>
                          <a:ln w="9525" cap="flat" cmpd="sng">
                            <a:solidFill>
                              <a:srgbClr val="000000"/>
                            </a:solidFill>
                            <a:prstDash val="solid"/>
                            <a:miter/>
                            <a:headEnd type="none" w="med" len="med"/>
                            <a:tailEnd type="none" w="med" len="med"/>
                          </a:ln>
                          <a:effectLst/>
                        </wps:spPr>
                        <wps:bodyPr upright="1"/>
                      </wps:wsp>
                      <wps:wsp>
                        <wps:cNvPr id="53" name="流程图: 合并 38"/>
                        <wps:cNvSpPr/>
                        <wps:spPr>
                          <a:xfrm>
                            <a:off x="0" y="4214"/>
                            <a:ext cx="4344" cy="790"/>
                          </a:xfrm>
                          <a:prstGeom prst="flowChartMerge">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故障排除</w:t>
                              </w:r>
                            </w:p>
                          </w:txbxContent>
                        </wps:txbx>
                        <wps:bodyPr upright="1"/>
                      </wps:wsp>
                      <wps:wsp>
                        <wps:cNvPr id="54" name="流程图: 过程 39"/>
                        <wps:cNvSpPr/>
                        <wps:spPr>
                          <a:xfrm>
                            <a:off x="1553" y="5010"/>
                            <a:ext cx="1223" cy="586"/>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Times New Roman" w:hAnsi="Times New Roman" w:eastAsia="Times New Roman" w:cs="Times New Roman"/>
                                  <w:szCs w:val="20"/>
                                </w:rPr>
                              </w:pPr>
                              <w:r>
                                <w:rPr>
                                  <w:rFonts w:hint="eastAsia" w:ascii="Times New Roman" w:hAnsi="Times New Roman" w:eastAsia="仿宋" w:cs="Times New Roman"/>
                                  <w:szCs w:val="20"/>
                                </w:rPr>
                                <w:t>解除预警</w:t>
                              </w:r>
                            </w:p>
                          </w:txbxContent>
                        </wps:txbx>
                        <wps:bodyPr upright="1"/>
                      </wps:wsp>
                      <wps:wsp>
                        <wps:cNvPr id="55" name="下箭头 40"/>
                        <wps:cNvSpPr/>
                        <wps:spPr>
                          <a:xfrm>
                            <a:off x="2109" y="5597"/>
                            <a:ext cx="143" cy="469"/>
                          </a:xfrm>
                          <a:prstGeom prst="downArrow">
                            <a:avLst>
                              <a:gd name="adj1" fmla="val 50000"/>
                              <a:gd name="adj2" fmla="val 81977"/>
                            </a:avLst>
                          </a:prstGeom>
                          <a:solidFill>
                            <a:srgbClr val="FFFFFF"/>
                          </a:solidFill>
                          <a:ln w="9525" cap="flat" cmpd="sng">
                            <a:solidFill>
                              <a:srgbClr val="000000"/>
                            </a:solidFill>
                            <a:prstDash val="solid"/>
                            <a:miter/>
                            <a:headEnd type="none" w="med" len="med"/>
                            <a:tailEnd type="none" w="med" len="med"/>
                          </a:ln>
                          <a:effectLst/>
                        </wps:spPr>
                        <wps:bodyPr upright="1"/>
                      </wps:wsp>
                      <wps:wsp>
                        <wps:cNvPr id="56" name="流程图: 过程 41"/>
                        <wps:cNvSpPr/>
                        <wps:spPr>
                          <a:xfrm>
                            <a:off x="1540" y="6049"/>
                            <a:ext cx="1223" cy="569"/>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Times New Roman" w:hAnsi="Times New Roman" w:eastAsia="Times New Roman" w:cs="Times New Roman"/>
                                  <w:szCs w:val="20"/>
                                </w:rPr>
                              </w:pPr>
                              <w:r>
                                <w:rPr>
                                  <w:rFonts w:hint="eastAsia" w:ascii="Times New Roman" w:hAnsi="Times New Roman" w:eastAsia="仿宋" w:cs="Times New Roman"/>
                                  <w:szCs w:val="20"/>
                                </w:rPr>
                                <w:t>建立台账</w:t>
                              </w:r>
                            </w:p>
                          </w:txbxContent>
                        </wps:txbx>
                        <wps:bodyPr upright="1"/>
                      </wps:wsp>
                    </wpg:wgp>
                  </a:graphicData>
                </a:graphic>
              </wp:anchor>
            </w:drawing>
          </mc:Choice>
          <mc:Fallback>
            <w:pict>
              <v:group id="_x0000_s1026" o:spid="_x0000_s1026" o:spt="203" style="position:absolute;left:0pt;margin-left:126.85pt;margin-top:5.3pt;height:330.9pt;width:217.2pt;mso-wrap-distance-bottom:0pt;mso-wrap-distance-top:0pt;z-index:251646976;mso-width-relative:page;mso-height-relative:page;" coordsize="4344,6618" o:gfxdata="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">
                <o:lock v:ext="edit" aspectratio="f"/>
                <v:shape id="流程图: 过程 24" o:spid="_x0000_s1026" o:spt="109" type="#_x0000_t109" style="position:absolute;left:1398;top:0;height:870;width:1524;" fillcolor="#FFFFFF" filled="t" stroked="t" coordsize="21600,21600" o:gfxdata="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IHAXr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突发环境污染事件</w:t>
                        </w:r>
                      </w:p>
                    </w:txbxContent>
                  </v:textbox>
                </v:shape>
                <v:shape id="下箭头 25" o:spid="_x0000_s1026" o:spt="67" type="#_x0000_t67" style="position:absolute;left:2089;top:870;height:503;width:143;" fillcolor="#FFFFFF" filled="t" stroked="t" coordsize="21600,21600" o:gfxdata="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KAsdrsAAADb&#10;AAAADwAAAAAAAAABACAAAAAiAAAAZHJzL2Rvd25yZXYueG1sUEsBAhQAFAAAAAgAh07iQDMvBZ47&#10;AAAAOQAAABAAAAAAAAAAAQAgAAAACgEAAGRycy9zaGFwZXhtbC54bWxQSwUGAAAAAAYABgBbAQAA&#10;tAMAAAAA&#10;" adj="16202,5400">
                  <v:fill on="t" focussize="0,0"/>
                  <v:stroke color="#000000" joinstyle="miter"/>
                  <v:imagedata o:title=""/>
                  <o:lock v:ext="edit" aspectratio="f"/>
                </v:shape>
                <v:shape id="流程图: 过程 29" o:spid="_x0000_s1026" o:spt="109" type="#_x0000_t109" style="position:absolute;left:1340;top:1373;height:502;width:1641;" fillcolor="#FFFFFF" filled="t" stroked="t" coordsize="21600,21600" o:gfxdata="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wk/bG/&#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应急领导小组</w:t>
                        </w:r>
                      </w:p>
                    </w:txbxContent>
                  </v:textbox>
                </v:shape>
                <v:shape id="下箭头 32" o:spid="_x0000_s1026" o:spt="67" type="#_x0000_t67" style="position:absolute;left:2089;top:1875;height:502;width:143;" fillcolor="#FFFFFF" filled="t" stroked="t" coordsize="21600,21600" o:gfxdata="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F5q8AAAA&#10;2wAAAA8AAAAAAAAAAQAgAAAAIgAAAGRycy9kb3ducmV2LnhtbFBLAQIUABQAAAAIAIdO4kAzLwWe&#10;OwAAADkAAAAQAAAAAAAAAAEAIAAAAAsBAABkcnMvc2hhcGV4bWwueG1sUEsFBgAAAAAGAAYAWwEA&#10;ALUDAAAAAA==&#10;" adj="16202,5400">
                  <v:fill on="t" focussize="0,0"/>
                  <v:stroke color="#000000" joinstyle="miter"/>
                  <v:imagedata o:title=""/>
                  <o:lock v:ext="edit" aspectratio="f"/>
                </v:shape>
                <v:shape id="流程图: 过程 33" o:spid="_x0000_s1026" o:spt="109" type="#_x0000_t109" style="position:absolute;left:3862;top:2848;height:1373;width:469;" fillcolor="#FFFFFF" filled="t" stroked="t" coordsize="21600,21600" o:gfxdata="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usZd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应急监测</w:t>
                        </w:r>
                      </w:p>
                    </w:txbxContent>
                  </v:textbox>
                </v:shape>
                <v:shape id="直接箭头连接符 34" o:spid="_x0000_s1026" o:spt="32" type="#_x0000_t32" style="position:absolute;left:117;top:2395;height:0;width:4052;" filled="f" stroked="t" coordsize="21600,21600" o:gfxdata="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jfV7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下箭头 35" o:spid="_x0000_s1026" o:spt="67" type="#_x0000_t67" style="position:absolute;left:66;top:2369;height:486;width:143;" fillcolor="#FFFFFF" filled="t" stroked="t" coordsize="21600,21600" o:gfxdata="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oYPougAAANsA&#10;AAAPAAAAAAAAAAEAIAAAACIAAABkcnMvZG93bnJldi54bWxQSwECFAAUAAAACACHTuJAMy8FnjsA&#10;AAA5AAAAEAAAAAAAAAABACAAAAAJAQAAZHJzL3NoYXBleG1sLnhtbFBLBQYAAAAABgAGAFsBAACz&#10;AwAAAAA=&#10;" adj="16202,5400">
                  <v:fill on="t" focussize="0,0"/>
                  <v:stroke color="#000000" joinstyle="miter"/>
                  <v:imagedata o:title=""/>
                  <o:lock v:ext="edit" aspectratio="f"/>
                </v:shape>
                <v:shape id="流程图: 过程 36" o:spid="_x0000_s1026" o:spt="109" type="#_x0000_t109" style="position:absolute;left:0;top:2848;height:1373;width:469;" fillcolor="#FFFFFF" filled="t" stroked="t" coordsize="21600,21600" o:gfxdata="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YrI9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人员疏散</w:t>
                        </w:r>
                      </w:p>
                    </w:txbxContent>
                  </v:textbox>
                </v:shape>
                <v:shape id="下箭头 37" o:spid="_x0000_s1026" o:spt="67" type="#_x0000_t67" style="position:absolute;left:4064;top:2369;height:486;width:143;" fillcolor="#FFFFFF" filled="t" stroked="t" coordsize="21600,21600" o:gfxdata="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ch0S8AAAA&#10;2wAAAA8AAAAAAAAAAQAgAAAAIgAAAGRycy9kb3ducmV2LnhtbFBLAQIUABQAAAAIAIdO4kAzLwWe&#10;OwAAADkAAAAQAAAAAAAAAAEAIAAAAAsBAABkcnMvc2hhcGV4bWwueG1sUEsFBgAAAAAGAAYAWwEA&#10;ALUDAAAAAA==&#10;" adj="16202,5400">
                  <v:fill on="t" focussize="0,0"/>
                  <v:stroke color="#000000" joinstyle="miter"/>
                  <v:imagedata o:title=""/>
                  <o:lock v:ext="edit" aspectratio="f"/>
                </v:shape>
                <v:shape id="流程图: 合并 38" o:spid="_x0000_s1026" o:spt="128" type="#_x0000_t128" style="position:absolute;left:0;top:4214;height:790;width:4344;" fillcolor="#FFFFFF" filled="t" stroked="t" coordsize="21600,21600" o:gfxdata="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mxdl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故障排除</w:t>
                        </w:r>
                      </w:p>
                    </w:txbxContent>
                  </v:textbox>
                </v:shape>
                <v:shape id="流程图: 过程 39" o:spid="_x0000_s1026" o:spt="109" type="#_x0000_t109" style="position:absolute;left:1553;top:5010;height:586;width:1223;" fillcolor="#FFFFFF" filled="t" stroked="t" coordsize="21600,21600" o:gfxdata="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xzv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解除预警</w:t>
                        </w:r>
                      </w:p>
                    </w:txbxContent>
                  </v:textbox>
                </v:shape>
                <v:shape id="下箭头 40" o:spid="_x0000_s1026" o:spt="67" type="#_x0000_t67" style="position:absolute;left:2109;top:5597;height:469;width:143;" fillcolor="#FFFFFF" filled="t" stroked="t" coordsize="21600,21600" o:gfxdata="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jUfMLsAAADb&#10;AAAADwAAAAAAAAABACAAAAAiAAAAZHJzL2Rvd25yZXYueG1sUEsBAhQAFAAAAAgAh07iQDMvBZ47&#10;AAAAOQAAABAAAAAAAAAAAQAgAAAACgEAAGRycy9zaGFwZXhtbC54bWxQSwUGAAAAAAYABgBbAQAA&#10;tAMAAAAA&#10;" adj="16202,5400">
                  <v:fill on="t" focussize="0,0"/>
                  <v:stroke color="#000000" joinstyle="miter"/>
                  <v:imagedata o:title=""/>
                  <o:lock v:ext="edit" aspectratio="f"/>
                </v:shape>
                <v:shape id="流程图: 过程 41" o:spid="_x0000_s1026" o:spt="109" type="#_x0000_t109" style="position:absolute;left:1540;top:6049;height:569;width:1223;" fillcolor="#FFFFFF" filled="t" stroked="t" coordsize="21600,21600" o:gfxdata="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v9Ru/&#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建立台账</w:t>
                        </w:r>
                      </w:p>
                    </w:txbxContent>
                  </v:textbox>
                </v:shape>
                <w10:wrap type="topAndBottom"/>
              </v:group>
            </w:pict>
          </mc:Fallback>
        </mc:AlternateContent>
      </w:r>
      <w:bookmarkStart w:id="682" w:name="_Toc21791"/>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683" w:name="_Toc25798_WPSOffice_Level2"/>
      <w:bookmarkStart w:id="684" w:name="_Toc16676_WPSOffice_Level2"/>
      <w:bookmarkStart w:id="685" w:name="_Toc31887"/>
      <w:bookmarkStart w:id="686" w:name="_Toc21921_WPSOffice_Level2"/>
      <w:bookmarkStart w:id="687" w:name="_Toc28860_WPSOffice_Level2"/>
      <w:bookmarkStart w:id="688" w:name="_Toc10109"/>
      <w:bookmarkStart w:id="689" w:name="_Toc31086_WPSOffice_Level2"/>
      <w:bookmarkStart w:id="690" w:name="_Toc23954"/>
      <w:r>
        <w:rPr>
          <w:rFonts w:ascii="Times New Roman" w:hAnsi="Times New Roman" w:cs="Times New Roman"/>
          <w:b/>
          <w:bCs/>
          <w:color w:val="000000" w:themeColor="text1"/>
          <w:sz w:val="24"/>
          <w:szCs w:val="24"/>
          <w14:textFill>
            <w14:solidFill>
              <w14:schemeClr w14:val="tx1"/>
            </w14:solidFill>
          </w14:textFill>
        </w:rPr>
        <w:t>7.3应急措施</w:t>
      </w:r>
      <w:bookmarkEnd w:id="682"/>
      <w:bookmarkEnd w:id="683"/>
      <w:bookmarkEnd w:id="684"/>
      <w:bookmarkEnd w:id="685"/>
      <w:bookmarkEnd w:id="686"/>
      <w:bookmarkEnd w:id="687"/>
      <w:bookmarkEnd w:id="688"/>
      <w:bookmarkEnd w:id="689"/>
      <w:bookmarkEnd w:id="690"/>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691" w:name="_Toc1204"/>
      <w:bookmarkStart w:id="692" w:name="_Toc304896938"/>
      <w:r>
        <w:rPr>
          <w:rFonts w:ascii="Times New Roman" w:hAnsi="Times New Roman" w:cs="Times New Roman"/>
          <w:color w:val="000000" w:themeColor="text1"/>
          <w:kern w:val="0"/>
          <w:sz w:val="24"/>
          <w:szCs w:val="24"/>
          <w:lang w:val="zh-CN"/>
          <w14:textFill>
            <w14:solidFill>
              <w14:schemeClr w14:val="tx1"/>
            </w14:solidFill>
          </w14:textFill>
        </w:rPr>
        <w:t>发生环境污染事件现场处置：</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要立即采取关闭、封堵、围挡、吸附、转移等措施，切断和控制污染源，防止污染蔓延扩散。做好有毒有害物质和消防废水、废液等的收集、清理和安全处置工作。定期组织对污染来源开展调查，确定污染物种类和污染范围，切断污染源。 </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应组织制订综合治污方案，采用监测和模拟等手段追踪污染气体扩散途径和范围；采取拦截、导流、疏浚等形式防止水体污染扩大；采取隔离、吸附、打捞、沉淀、消毒、去污洗消、临时收贮、微生物消解、转移异地处置、临时建设污染处置工程等方法处置污染物。</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加油站的危险废物经专用容器分类收集后，在收集间内暂存，全部委托有资质处置单位清运处置。</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危险废物的管理应符合危险废物集中处置的技术规范及危险废物专用包装物、容器标准和警示标示规定。在对所产生的废弃物进行初步的分类收集，禁止危险废物和其他生活垃圾混杂。及时收集本单位产生的危险废物，并按照类别分置于“三防”收集间暂存，按照国家危险废物相关管理要求收集、暂存、处置。危险废物收集间门上设有明显的危险废物警示标识，防止非工作人员进出、偷盗及不安全处置等行为发生。</w:t>
      </w:r>
    </w:p>
    <w:bookmarkEnd w:id="691"/>
    <w:bookmarkEnd w:id="692"/>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加油站经营的油品汽油是易燃易爆炸物品，发生泄漏时应急措施应注意事项：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（1）实施控制事故发展的装备、资源。</w:t>
      </w: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通信设备应使用无线电通信设备，危险区内禁止使用移动电话和对讲机等非防爆型通信工具。</w:t>
      </w: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消防装备和器材：灭火砂箱、灭火毯、二氧化碳灭火器、干粉灭火器、应急照明设备等。</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（2）救护人员使用的装备：正压式空气呼吸器、全封闭防化服或防静电消防服、防静电工作服、防护隔热服、避火服、防冻衬纱橡胶手套等。</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（3）现场处置、检测用设备：风向仪、不同规格带压堵漏卡具、夹具、高压注胶枪、手动高压油泵、防火花的专业施工工具及防爆电筒等。</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693" w:name="_Toc13104"/>
      <w:bookmarkStart w:id="694" w:name="_Toc6778"/>
      <w:r>
        <w:rPr>
          <w:rFonts w:hint="eastAsia" w:ascii="Times New Roman" w:hAnsi="Times New Roman" w:cs="Times New Roman"/>
          <w:b/>
          <w:color w:val="000000" w:themeColor="text1"/>
          <w:sz w:val="24"/>
          <w:szCs w:val="24"/>
          <w14:textFill>
            <w14:solidFill>
              <w14:schemeClr w14:val="tx1"/>
            </w14:solidFill>
          </w14:textFill>
        </w:rPr>
        <w:t>7.3.1 预案启动</w:t>
      </w:r>
      <w:bookmarkEnd w:id="693"/>
      <w:bookmarkEnd w:id="694"/>
    </w:p>
    <w:p>
      <w:pPr>
        <w:pStyle w:val="2"/>
        <w:ind w:firstLine="480"/>
        <w:rPr>
          <w:rFonts w:ascii="Times New Roman" w:hAnsi="Times New Roman" w:eastAsiaTheme="minorEastAsia"/>
          <w:color w:val="FF0000"/>
          <w:spacing w:val="0"/>
          <w:kern w:val="0"/>
          <w:szCs w:val="24"/>
          <w:lang w:val="zh-CN"/>
        </w:rPr>
      </w:pPr>
      <w:r>
        <w:rPr>
          <w:rFonts w:hint="eastAsia" w:ascii="Times New Roman" w:hAnsi="Times New Roman" w:eastAsiaTheme="minorEastAsia"/>
          <w:color w:val="FF0000"/>
          <w:spacing w:val="0"/>
          <w:kern w:val="0"/>
          <w:szCs w:val="24"/>
          <w:lang w:val="zh-CN"/>
        </w:rPr>
        <w:t>当加油站发生作业现场、油罐区跑、冒、滴、漏；</w:t>
      </w:r>
      <w:r>
        <w:rPr>
          <w:rFonts w:ascii="Times New Roman" w:hAnsi="Times New Roman" w:eastAsiaTheme="minorEastAsia"/>
          <w:color w:val="FF0000"/>
          <w:spacing w:val="0"/>
          <w:kern w:val="0"/>
          <w:szCs w:val="24"/>
          <w:lang w:val="zh-CN"/>
        </w:rPr>
        <w:t>加油、卸油现场火灾</w:t>
      </w:r>
      <w:r>
        <w:rPr>
          <w:rFonts w:hint="eastAsia" w:ascii="Times New Roman" w:hAnsi="Times New Roman" w:eastAsiaTheme="minorEastAsia"/>
          <w:color w:val="FF0000"/>
          <w:spacing w:val="0"/>
          <w:kern w:val="0"/>
          <w:szCs w:val="24"/>
          <w:lang w:val="zh-CN"/>
        </w:rPr>
        <w:t>；</w:t>
      </w:r>
      <w:r>
        <w:rPr>
          <w:rFonts w:ascii="Times New Roman" w:hAnsi="Times New Roman" w:eastAsiaTheme="minorEastAsia"/>
          <w:color w:val="FF0000"/>
          <w:spacing w:val="0"/>
          <w:kern w:val="0"/>
          <w:szCs w:val="24"/>
          <w:lang w:val="zh-CN"/>
        </w:rPr>
        <w:t>车辆火灾</w:t>
      </w:r>
      <w:r>
        <w:rPr>
          <w:rFonts w:hint="eastAsia" w:ascii="Times New Roman" w:hAnsi="Times New Roman" w:eastAsiaTheme="minorEastAsia"/>
          <w:color w:val="FF0000"/>
          <w:spacing w:val="0"/>
          <w:kern w:val="0"/>
          <w:szCs w:val="24"/>
          <w:lang w:val="zh-CN"/>
        </w:rPr>
        <w:t>；</w:t>
      </w:r>
      <w:r>
        <w:rPr>
          <w:rFonts w:ascii="Times New Roman" w:hAnsi="Times New Roman" w:eastAsiaTheme="minorEastAsia"/>
          <w:color w:val="FF0000"/>
          <w:spacing w:val="0"/>
          <w:kern w:val="0"/>
          <w:szCs w:val="24"/>
          <w:lang w:val="zh-CN"/>
        </w:rPr>
        <w:t>电器火灾</w:t>
      </w:r>
      <w:r>
        <w:rPr>
          <w:rFonts w:hint="eastAsia" w:ascii="Times New Roman" w:hAnsi="Times New Roman" w:eastAsiaTheme="minorEastAsia"/>
          <w:color w:val="FF0000"/>
          <w:spacing w:val="0"/>
          <w:kern w:val="0"/>
          <w:szCs w:val="24"/>
          <w:lang w:val="zh-CN"/>
        </w:rPr>
        <w:t>;</w:t>
      </w:r>
      <w:r>
        <w:rPr>
          <w:rFonts w:ascii="Times New Roman" w:hAnsi="Times New Roman" w:eastAsiaTheme="minorEastAsia"/>
          <w:color w:val="FF0000"/>
          <w:spacing w:val="0"/>
          <w:kern w:val="0"/>
          <w:szCs w:val="24"/>
          <w:lang w:val="zh-CN"/>
        </w:rPr>
        <w:t>人员中毒</w:t>
      </w:r>
      <w:r>
        <w:rPr>
          <w:rFonts w:hint="eastAsia" w:ascii="Times New Roman" w:hAnsi="Times New Roman" w:eastAsiaTheme="minorEastAsia"/>
          <w:color w:val="FF0000"/>
          <w:spacing w:val="0"/>
          <w:kern w:val="0"/>
          <w:szCs w:val="24"/>
          <w:lang w:val="zh-CN"/>
        </w:rPr>
        <w:t>;</w:t>
      </w:r>
      <w:r>
        <w:rPr>
          <w:rFonts w:ascii="Times New Roman" w:hAnsi="Times New Roman" w:eastAsiaTheme="minorEastAsia"/>
          <w:color w:val="FF0000"/>
          <w:spacing w:val="0"/>
          <w:kern w:val="0"/>
          <w:szCs w:val="24"/>
          <w:lang w:val="zh-CN"/>
        </w:rPr>
        <w:t>混油</w:t>
      </w:r>
      <w:r>
        <w:rPr>
          <w:rFonts w:hint="eastAsia" w:ascii="Times New Roman" w:hAnsi="Times New Roman" w:eastAsiaTheme="minorEastAsia"/>
          <w:color w:val="FF0000"/>
          <w:spacing w:val="0"/>
          <w:kern w:val="0"/>
          <w:szCs w:val="24"/>
          <w:lang w:val="zh-CN"/>
        </w:rPr>
        <w:t>;危废污染及火灾爆炸时本预案开始启动。本预案涉及的时间要害部位、关键装置、储存设施、输送管线、在工作场所内的运输油品的汽车等交通工具发生的以上各类事件。当时太扩大，加油站应急小组无法控制且危及应急人员生命安全时，应立即指挥现场全部人员撤离至安全区域警戒，等待分公司应急指挥中心和政府救援机构的到来，配合好抢险工作</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695" w:name="_Toc20596_WPSOffice_Level3"/>
      <w:bookmarkStart w:id="696" w:name="_Toc18070_WPSOffice_Level3"/>
      <w:bookmarkStart w:id="697" w:name="_Toc23370_WPSOffice_Level3"/>
      <w:bookmarkStart w:id="698" w:name="_Toc23529"/>
      <w:bookmarkStart w:id="699" w:name="_Toc8333_WPSOffice_Level3"/>
      <w:bookmarkStart w:id="700" w:name="_Toc27314_WPSOffice_Level3"/>
      <w:bookmarkStart w:id="701" w:name="_Toc2543"/>
      <w:bookmarkStart w:id="702" w:name="_Toc52"/>
      <w:bookmarkStart w:id="703" w:name="_Toc8296"/>
      <w:r>
        <w:rPr>
          <w:rFonts w:ascii="Times New Roman" w:hAnsi="Times New Roman" w:cs="Times New Roman"/>
          <w:b/>
          <w:color w:val="000000" w:themeColor="text1"/>
          <w:sz w:val="24"/>
          <w:szCs w:val="24"/>
          <w14:textFill>
            <w14:solidFill>
              <w14:schemeClr w14:val="tx1"/>
            </w14:solidFill>
          </w14:textFill>
        </w:rPr>
        <w:t>7.3.2 作业现场、油罐区跑、冒、滴、漏应急处理</w:t>
      </w:r>
      <w:bookmarkEnd w:id="695"/>
      <w:bookmarkEnd w:id="696"/>
      <w:bookmarkEnd w:id="697"/>
      <w:bookmarkEnd w:id="698"/>
      <w:bookmarkEnd w:id="699"/>
      <w:bookmarkEnd w:id="700"/>
      <w:bookmarkEnd w:id="701"/>
      <w:bookmarkEnd w:id="702"/>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 xml:space="preserve"> 事故发现者马上关闭油罐闸阀和罐车阀门，并切断站内电源开关，同时通知值班经理。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 xml:space="preserve"> 如跑、冒、漏出的油品数量较少，则值班经理组织站内应急组对现场已跑、冒、漏出的油品用沙土覆盖，待油品被充分吸收后将附有油迹的沙土放至指定的场所进行专业处理。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对跑、冒、漏出的油品数量较多时，视情况按响警铃及停止营业，对现场实施监控，全站进入戒备状态，严禁现场所有危害行为。值班经理组织应急组用沙土将油品团团围住，防止油品进一步外溢，后勤保障岗位取来消防器材放至事故现场，作好警戒、疏散工作，其他岗位按职责分工作业。加油现场车辆全部推出。</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对能够回收的油品，由值班经理安排应急组用不产生静电的容器进行回收。</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回收后，对无法回收的油品用沙土覆盖其表面，待其充分被吸收后将沙土清除干净，待油品被充分吸收后将附有油迹的沙土放至指定的场所进行专业处理。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6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 xml:space="preserve"> 如果量油口冒油，值班经理安排人员先将操作井周围用沙土围住，并取来消防器材放至周围，用不产生静电的容器将操作井内的油品进行回收到专业容器中，待沉淀2—10小时后，上层净油进行回罐，有杂质的油品放至专业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7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检查人孔操作井内及周围是否有残留油液，并检查是否有其他可能产生危险的隐患存在。</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8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⑧</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确认无误后，随即仔细查找跑、冒、漏油的事故根源，酌情处理：如属于计量失误，罐内油品数量已达到最大安全容量，须停止继续卸油作业。同时上报安全主管部门、联系公司总调度，由总调度安排将罐车内未卸完的油品进行移站处理；如属于管线与接卸油闸阀未密闭而造成的跑、冒、漏油应重新对管线进行连接，确保其密闭完好性。然后开启接卸油闸阀继续进行接卸油作业。如管线破损可用木楔、棉纱、纯棉拖把抹布等进行堵塞。</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）隔离疏散</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跑、冒、漏油事故严重时，马上关闭站内电源开关停止加油作业。并报告公安、消防部门，以便及时封堵附近的交通道路。加油站负责人及时组织人员进行现场警戒，疏散站内人员，推出站内车辆，检查并清除附近的一切火源、电源，禁止其他人员及车辆进入站内。并通知毗邻单位或居民，注意危险，禁用火种。</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3</w:t>
      </w:r>
      <w:r>
        <w:rPr>
          <w:rFonts w:ascii="Times New Roman" w:hAnsi="Times New Roman" w:cs="Times New Roman"/>
          <w:b/>
          <w:color w:val="000000" w:themeColor="text1"/>
          <w:kern w:val="0"/>
          <w:sz w:val="24"/>
          <w:szCs w:val="24"/>
          <w:lang w:val="zh-CN"/>
          <w14:textFill>
            <w14:solidFill>
              <w14:schemeClr w14:val="tx1"/>
            </w14:solidFill>
          </w14:textFill>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如在事故处理过程当中，有人员被油品沾染浸湿的时候，马上进行防火处理：夏天应立即用清水冲洗，更换衣物，避免附着在身体及衣物上的油品大量挥发成油蒸气从而引发明火，烧伤人员；冬天应脱下被浸湿的外套、鞋袜等衣物，过程中注意动作缓慢，以防产生静电和皮肤中毒，并及时更换衣服。</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4</w:t>
      </w:r>
      <w:r>
        <w:rPr>
          <w:rFonts w:ascii="Times New Roman" w:hAnsi="Times New Roman" w:cs="Times New Roman"/>
          <w:b/>
          <w:color w:val="000000" w:themeColor="text1"/>
          <w:kern w:val="0"/>
          <w:sz w:val="24"/>
          <w:szCs w:val="24"/>
          <w:lang w:val="zh-CN"/>
          <w14:textFill>
            <w14:solidFill>
              <w14:schemeClr w14:val="tx1"/>
            </w14:solidFill>
          </w14:textFill>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在处理事故的同时，首先应保证绝对禁止产生明火、静电的行为。其次，对充分吸收了油品的沙土要严格按照规定进行放置、处理，以免造成环境污染和额外事故。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704" w:name="_Toc16069"/>
      <w:bookmarkStart w:id="705" w:name="_Toc27528_WPSOffice_Level3"/>
      <w:bookmarkStart w:id="706" w:name="_Toc29892_WPSOffice_Level3"/>
      <w:bookmarkStart w:id="707" w:name="_Toc29406_WPSOffice_Level3"/>
      <w:bookmarkStart w:id="708" w:name="_Toc17114"/>
      <w:bookmarkStart w:id="709" w:name="_Toc5706_WPSOffice_Level3"/>
      <w:bookmarkStart w:id="710" w:name="_Toc16182_WPSOffice_Level3"/>
      <w:bookmarkStart w:id="711" w:name="_Toc31521"/>
      <w:r>
        <w:rPr>
          <w:rFonts w:ascii="Times New Roman" w:hAnsi="Times New Roman" w:cs="Times New Roman"/>
          <w:b/>
          <w:color w:val="000000" w:themeColor="text1"/>
          <w:sz w:val="24"/>
          <w:szCs w:val="24"/>
          <w14:textFill>
            <w14:solidFill>
              <w14:schemeClr w14:val="tx1"/>
            </w14:solidFill>
          </w14:textFill>
        </w:rPr>
        <w:t>7.3.3 加油、卸油现场火灾应急处理</w:t>
      </w:r>
      <w:bookmarkEnd w:id="704"/>
      <w:bookmarkEnd w:id="705"/>
      <w:bookmarkEnd w:id="706"/>
      <w:bookmarkEnd w:id="707"/>
      <w:bookmarkEnd w:id="708"/>
      <w:bookmarkEnd w:id="709"/>
      <w:bookmarkEnd w:id="710"/>
      <w:bookmarkEnd w:id="711"/>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事故发现者马上关闭油罐闸阀和罐车阀门，并通知值班经理。油站报警联络员及时按响警铃，应急组岗位人员在第一时间赶到现场，尽力扑灭初期火灾。</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值班经理要根据火势进行灭火指挥，当初期小火时，周边员工及驾驶员可迅速使用加油岛、卸油区放置的</w:t>
      </w:r>
      <w:r>
        <w:rPr>
          <w:rFonts w:hint="eastAsia" w:ascii="Times New Roman" w:hAnsi="Times New Roman" w:cs="Times New Roman"/>
          <w:color w:val="000000" w:themeColor="text1"/>
          <w:kern w:val="0"/>
          <w:sz w:val="24"/>
          <w:szCs w:val="24"/>
          <w:lang w:val="zh-CN"/>
          <w14:textFill>
            <w14:solidFill>
              <w14:schemeClr w14:val="tx1"/>
            </w14:solidFill>
          </w14:textFill>
        </w:rPr>
        <w:t>100kg</w:t>
      </w:r>
      <w:r>
        <w:rPr>
          <w:rFonts w:ascii="Times New Roman" w:hAnsi="Times New Roman" w:cs="Times New Roman"/>
          <w:color w:val="000000" w:themeColor="text1"/>
          <w:kern w:val="0"/>
          <w:sz w:val="24"/>
          <w:szCs w:val="24"/>
          <w:lang w:val="zh-CN"/>
          <w14:textFill>
            <w14:solidFill>
              <w14:schemeClr w14:val="tx1"/>
            </w14:solidFill>
          </w14:textFill>
        </w:rPr>
        <w:t>手推式灭火器和消防沙、消防毯等进行灭火。如火势扩大，后勤保障组员工及时取来</w:t>
      </w: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kg手提式灭火器参加扑救。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值班经理指派当班应急组员维持站内加油车辆及人员的秩序（必要时进行疏散），核算员视火势扑救情况报火警，并将现金、账簿和重要凭证放至保险柜后参加扑救工作。</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如火势继续扩大，灭火器无法扑灭，值班经理应该组织应急组员工撤离到消防栓处，连接好消防水带，用消防水枪远距离控制火势，以免造成人员烧伤。</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如火势已到不可控制的局面，值班经理应马上组织全体人员撤离火场，禁止任何人员、车辆进入加油站并立即疏散人群，指挥车辆撤离现场，并在站外安全区域等候消防车辆及消防人员的进场。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6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在消防灭火的同时，首先应保证自己的人身安全。当消防队赶到现场后，与消防队共同灭火，消防队按照灭火预定预案进行灭火。</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7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火灾扑灭后，迅速将有关情况上报安全主管部门。</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生火灾时，要保持镇定。视火情大小：火情小时，现场指挥要立即组织应急组人员对火势进行控制，尽快灭火。火势大到无法扑灭时，全体人员应迅速撤离到安全区域并保证自身安全，并由现场指挥清点人数。</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3</w:t>
      </w:r>
      <w:r>
        <w:rPr>
          <w:rFonts w:ascii="Times New Roman" w:hAnsi="Times New Roman" w:cs="Times New Roman"/>
          <w:b/>
          <w:color w:val="000000" w:themeColor="text1"/>
          <w:kern w:val="0"/>
          <w:sz w:val="24"/>
          <w:szCs w:val="24"/>
          <w:lang w:val="zh-CN"/>
          <w14:textFill>
            <w14:solidFill>
              <w14:schemeClr w14:val="tx1"/>
            </w14:solidFill>
          </w14:textFill>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4</w:t>
      </w:r>
      <w:r>
        <w:rPr>
          <w:rFonts w:ascii="Times New Roman" w:hAnsi="Times New Roman" w:cs="Times New Roman"/>
          <w:b/>
          <w:color w:val="000000" w:themeColor="text1"/>
          <w:kern w:val="0"/>
          <w:sz w:val="24"/>
          <w:szCs w:val="24"/>
          <w:lang w:val="zh-CN"/>
          <w14:textFill>
            <w14:solidFill>
              <w14:schemeClr w14:val="tx1"/>
            </w14:solidFill>
          </w14:textFill>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发生跑冒油品时不准立即启动车辆；在上风处布置好消防器材；检查附近火源并消除；禁止使用易产生火花的铁器进行回收作业；警戒疏散组人员负责通知附近单位和居民注意危险。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712" w:name="_Toc27359"/>
      <w:bookmarkStart w:id="713" w:name="_Toc8539_WPSOffice_Level3"/>
      <w:bookmarkStart w:id="714" w:name="_Toc31344_WPSOffice_Level3"/>
      <w:bookmarkStart w:id="715" w:name="_Toc30790_WPSOffice_Level3"/>
      <w:bookmarkStart w:id="716" w:name="_Toc21585_WPSOffice_Level3"/>
      <w:bookmarkStart w:id="717" w:name="_Toc18540_WPSOffice_Level3"/>
      <w:bookmarkStart w:id="718" w:name="_Toc28887"/>
      <w:bookmarkStart w:id="719" w:name="_Toc16825"/>
      <w:r>
        <w:rPr>
          <w:rFonts w:ascii="Times New Roman" w:hAnsi="Times New Roman" w:cs="Times New Roman"/>
          <w:b/>
          <w:color w:val="000000" w:themeColor="text1"/>
          <w:sz w:val="24"/>
          <w:szCs w:val="24"/>
          <w14:textFill>
            <w14:solidFill>
              <w14:schemeClr w14:val="tx1"/>
            </w14:solidFill>
          </w14:textFill>
        </w:rPr>
        <w:t>7.3.4车辆火灾应急处理</w:t>
      </w:r>
      <w:bookmarkEnd w:id="712"/>
      <w:bookmarkEnd w:id="713"/>
      <w:bookmarkEnd w:id="714"/>
      <w:bookmarkEnd w:id="715"/>
      <w:bookmarkEnd w:id="716"/>
      <w:bookmarkEnd w:id="717"/>
      <w:bookmarkEnd w:id="718"/>
      <w:bookmarkEnd w:id="719"/>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发生车辆着火时，应立即停止加油或卸油作业。</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事故发现者马上取来加油岛上的手提式灭火器，对准车辆着火部位进行喷射，当班加油员马上通知值班经理前来现场指挥、决策，同时核算员马上报火警。</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如火势扩大，其他员工应立即取来其他加油岛手提式灭火器以及</w:t>
      </w:r>
      <w:r>
        <w:rPr>
          <w:rFonts w:hint="eastAsia" w:ascii="Times New Roman" w:hAnsi="Times New Roman" w:cs="Times New Roman"/>
          <w:color w:val="000000" w:themeColor="text1"/>
          <w:kern w:val="0"/>
          <w:sz w:val="24"/>
          <w:szCs w:val="24"/>
          <w:lang w:val="zh-CN"/>
          <w14:textFill>
            <w14:solidFill>
              <w14:schemeClr w14:val="tx1"/>
            </w14:solidFill>
          </w14:textFill>
        </w:rPr>
        <w:t>100kg</w:t>
      </w:r>
      <w:r>
        <w:rPr>
          <w:rFonts w:ascii="Times New Roman" w:hAnsi="Times New Roman" w:cs="Times New Roman"/>
          <w:color w:val="000000" w:themeColor="text1"/>
          <w:kern w:val="0"/>
          <w:sz w:val="24"/>
          <w:szCs w:val="24"/>
          <w:lang w:val="zh-CN"/>
          <w14:textFill>
            <w14:solidFill>
              <w14:schemeClr w14:val="tx1"/>
            </w14:solidFill>
          </w14:textFill>
        </w:rPr>
        <w:t>手推式灭火器参加应急。</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继续扩大，灭火器无法减轻火势或扑灭时，值班经理应马上组织人员取来水枪、水带，连接好管线，使用消防水枪远距离控制火势，及早扑灭大火同时避免人员造成伤亡。如果大火无法扑灭，人员应立即撤离至安全地带。</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在消防灭火的同时，首先应保证自己的人身安全。</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6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火灾扑灭后，迅速将有关情况上报安全主管部门。并将损坏车辆推至离加油机或油罐较远的安全地带，以免引起站内油品着火。</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7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对于事故起因明确的情况下，加油站经理在公平、公正地原则下调查、了解事故原因，分清责任后作出处理意见：若是驾驶员自身造成的事故，要求该驾驶员对加油站所损坏的设备、物品以及消耗的灭火器材进行赔偿；若是由本站员工操作失误或违章操作造成的事故，则应由当事人承担事故责任并对双方损失进行赔偿。</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8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⑧</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在事故起因不明确的情况下，应上报上级安全主管部门，听候处理意见。若须对事故进行技术鉴定、分析时，应积极配合相关部门人员进行调查。</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9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⑨</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3</w:t>
      </w:r>
      <w:r>
        <w:rPr>
          <w:rFonts w:ascii="Times New Roman" w:hAnsi="Times New Roman" w:cs="Times New Roman"/>
          <w:b/>
          <w:color w:val="000000" w:themeColor="text1"/>
          <w:kern w:val="0"/>
          <w:sz w:val="24"/>
          <w:szCs w:val="24"/>
          <w:lang w:val="zh-CN"/>
          <w14:textFill>
            <w14:solidFill>
              <w14:schemeClr w14:val="tx1"/>
            </w14:solidFill>
          </w14:textFill>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720" w:name="_Toc29914_WPSOffice_Level3"/>
      <w:bookmarkStart w:id="721" w:name="_Toc311902763"/>
      <w:bookmarkStart w:id="722" w:name="_Toc19267_WPSOffice_Level3"/>
      <w:bookmarkStart w:id="723" w:name="_Toc1279_WPSOffice_Level3"/>
      <w:bookmarkStart w:id="724" w:name="_Toc26783_WPSOffice_Level3"/>
      <w:bookmarkStart w:id="725" w:name="_Toc26028_WPSOffice_Level3"/>
      <w:bookmarkStart w:id="726" w:name="_Toc31082"/>
      <w:bookmarkStart w:id="727" w:name="_Toc12319"/>
      <w:bookmarkStart w:id="728" w:name="_Toc21702"/>
      <w:r>
        <w:rPr>
          <w:rFonts w:ascii="Times New Roman" w:hAnsi="Times New Roman" w:cs="Times New Roman"/>
          <w:b/>
          <w:color w:val="000000" w:themeColor="text1"/>
          <w:sz w:val="24"/>
          <w:szCs w:val="24"/>
          <w14:textFill>
            <w14:solidFill>
              <w14:schemeClr w14:val="tx1"/>
            </w14:solidFill>
          </w14:textFill>
        </w:rPr>
        <w:t>7.3.5电器火灾应急处理</w:t>
      </w:r>
      <w:bookmarkEnd w:id="720"/>
      <w:bookmarkEnd w:id="721"/>
      <w:bookmarkEnd w:id="722"/>
      <w:bookmarkEnd w:id="723"/>
      <w:bookmarkEnd w:id="724"/>
      <w:bookmarkEnd w:id="725"/>
      <w:bookmarkEnd w:id="726"/>
      <w:bookmarkEnd w:id="727"/>
      <w:bookmarkEnd w:id="728"/>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发生电器火灾时，发现者马上取来离火场最近的手提式灭火器进行扑救。同时，大声疾呼，通知值班经理。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值班经理指派专人迅速跑至配电房切断电源。取来配电间放置的手提式二氧化碳灭火器或干粉灭火器，迅速回到火场并组织当班人员前来扑救。值班经理视如为二次配电则及时切断本站电源总闸，如是一次配电点着火，则与当地供电所联系，及时停止供电</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当班加油员和营业人员把火源周围的重要物品及可能引发更大火灾的可燃、易燃物移至安全地带。加油站经理指挥其他当班人员进行有效扑救，直到火情被完全控制。此时若火灾尚未扑灭，营业人员马上通知消防队前来救援。</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如火势继续扩大，用灭火器无法减轻或扑灭火势时，应将加油机、储油罐的量油口进行密闭处理，再疏散站内加油车辆、人员，禁止任何车辆、人员进站。</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如火势已到不可控制的局面，值班经理应马上组织人员撤离现场，并等候消防车辆及消防人员的进场。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6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火灾扑灭后，迅速将有关情况上报安全主管部门。</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7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加油站负责人速派专业维修人员到站对电气线路进行维修，恢复其正常的生产、生活。</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3</w:t>
      </w:r>
      <w:r>
        <w:rPr>
          <w:rFonts w:ascii="Times New Roman" w:hAnsi="Times New Roman" w:cs="Times New Roman"/>
          <w:b/>
          <w:color w:val="000000" w:themeColor="text1"/>
          <w:kern w:val="0"/>
          <w:sz w:val="24"/>
          <w:szCs w:val="24"/>
          <w:lang w:val="zh-CN"/>
          <w14:textFill>
            <w14:solidFill>
              <w14:schemeClr w14:val="tx1"/>
            </w14:solidFill>
          </w14:textFill>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4</w:t>
      </w:r>
      <w:r>
        <w:rPr>
          <w:rFonts w:ascii="Times New Roman" w:hAnsi="Times New Roman" w:cs="Times New Roman"/>
          <w:b/>
          <w:color w:val="000000" w:themeColor="text1"/>
          <w:kern w:val="0"/>
          <w:sz w:val="24"/>
          <w:szCs w:val="24"/>
          <w:lang w:val="zh-CN"/>
          <w14:textFill>
            <w14:solidFill>
              <w14:schemeClr w14:val="tx1"/>
            </w14:solidFill>
          </w14:textFill>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729" w:name="_Toc311902765"/>
      <w:bookmarkStart w:id="730" w:name="_Toc19541_WPSOffice_Level3"/>
      <w:bookmarkStart w:id="731" w:name="_Toc25446_WPSOffice_Level3"/>
      <w:bookmarkStart w:id="732" w:name="_Toc32046"/>
      <w:bookmarkStart w:id="733" w:name="_Toc9325_WPSOffice_Level3"/>
      <w:bookmarkStart w:id="734" w:name="_Toc3206_WPSOffice_Level3"/>
      <w:bookmarkStart w:id="735" w:name="_Toc383"/>
      <w:bookmarkStart w:id="736" w:name="_Toc16426_WPSOffice_Level3"/>
      <w:bookmarkStart w:id="737" w:name="_Toc80"/>
      <w:r>
        <w:rPr>
          <w:rFonts w:ascii="Times New Roman" w:hAnsi="Times New Roman" w:cs="Times New Roman"/>
          <w:b/>
          <w:color w:val="000000" w:themeColor="text1"/>
          <w:sz w:val="24"/>
          <w:szCs w:val="24"/>
          <w14:textFill>
            <w14:solidFill>
              <w14:schemeClr w14:val="tx1"/>
            </w14:solidFill>
          </w14:textFill>
        </w:rPr>
        <w:t>7.3.6人员中毒应急</w:t>
      </w:r>
      <w:bookmarkEnd w:id="729"/>
      <w:r>
        <w:rPr>
          <w:rFonts w:ascii="Times New Roman" w:hAnsi="Times New Roman" w:cs="Times New Roman"/>
          <w:b/>
          <w:color w:val="000000" w:themeColor="text1"/>
          <w:sz w:val="24"/>
          <w:szCs w:val="24"/>
          <w14:textFill>
            <w14:solidFill>
              <w14:schemeClr w14:val="tx1"/>
            </w14:solidFill>
          </w14:textFill>
        </w:rPr>
        <w:t>处理</w:t>
      </w:r>
      <w:bookmarkEnd w:id="730"/>
      <w:bookmarkEnd w:id="731"/>
      <w:bookmarkEnd w:id="732"/>
      <w:bookmarkEnd w:id="733"/>
      <w:bookmarkEnd w:id="734"/>
      <w:bookmarkEnd w:id="735"/>
      <w:bookmarkEnd w:id="736"/>
      <w:bookmarkEnd w:id="737"/>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现人员中毒，应立即组织员工进行救助。首先要打急救电话120给附近的医院。在等待医生来之前按急诊常规处理原则进行处理，以维持生命及避免毒物继续作用。尽可能的弄清楚所接触的毒物的情况：毒物种类、数量等。准确告诉医生，让医生能及时抢救。</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⑴</w:t>
      </w:r>
      <w:r>
        <w:rPr>
          <w:rFonts w:ascii="Times New Roman" w:hAnsi="Times New Roman" w:cs="Times New Roman"/>
          <w:color w:val="000000" w:themeColor="text1"/>
          <w:kern w:val="0"/>
          <w:sz w:val="24"/>
          <w:szCs w:val="24"/>
          <w:lang w:val="zh-CN"/>
          <w14:textFill>
            <w14:solidFill>
              <w14:schemeClr w14:val="tx1"/>
            </w14:solidFill>
          </w14:textFill>
        </w:rPr>
        <w:t xml:space="preserve"> 死亡：</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 xml:space="preserve"> 当发现者初步确定受伤人员已经死亡，应立即组织站内人员封锁现场，禁止一切人员破坏现场，同时停止营业并拨打报警电话和急救电话，等待警察和医护人员的到达，证实人员的合法死亡性。</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 xml:space="preserve"> 上报上级安全主管部门，协助警察和医护人员的现场、后续工作。</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③</w:t>
      </w:r>
      <w:r>
        <w:rPr>
          <w:rFonts w:ascii="Times New Roman" w:hAnsi="Times New Roman" w:cs="Times New Roman"/>
          <w:color w:val="000000" w:themeColor="text1"/>
          <w:kern w:val="0"/>
          <w:sz w:val="24"/>
          <w:szCs w:val="24"/>
          <w:lang w:val="zh-CN"/>
          <w14:textFill>
            <w14:solidFill>
              <w14:schemeClr w14:val="tx1"/>
            </w14:solidFill>
          </w14:textFill>
        </w:rPr>
        <w:t xml:space="preserve"> 在救人的同时，应保护现场。当医护及公安人员赶到现场后，协助医护人员共同抢救，与公安人员积极合作。待妥善处理好事件后，向上级安全主管部门汇报，由领导协商医疗费用的承担金额及善后处理。</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当发生人员中毒时，要保持镇定，视伤情种类而进行急救。情况严重时，现场指挥要立即通知急救中心并组织人员稳住伤员，尽可能缓和中毒伤情。禁止无关人员破坏现场，禁止围观人员堵塞道路及进、出站口。</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738" w:name="_Toc311902766"/>
      <w:bookmarkStart w:id="739" w:name="_Toc6733_WPSOffice_Level3"/>
      <w:bookmarkStart w:id="740" w:name="_Toc27623"/>
      <w:bookmarkStart w:id="741" w:name="_Toc24301"/>
      <w:bookmarkStart w:id="742" w:name="_Toc4447_WPSOffice_Level3"/>
      <w:bookmarkStart w:id="743" w:name="_Toc3337_WPSOffice_Level3"/>
      <w:bookmarkStart w:id="744" w:name="_Toc20073_WPSOffice_Level3"/>
      <w:bookmarkStart w:id="745" w:name="_Toc32717_WPSOffice_Level3"/>
      <w:bookmarkStart w:id="746" w:name="_Toc17419"/>
      <w:r>
        <w:rPr>
          <w:rFonts w:ascii="Times New Roman" w:hAnsi="Times New Roman" w:cs="Times New Roman"/>
          <w:b/>
          <w:color w:val="000000" w:themeColor="text1"/>
          <w:sz w:val="24"/>
          <w:szCs w:val="24"/>
          <w14:textFill>
            <w14:solidFill>
              <w14:schemeClr w14:val="tx1"/>
            </w14:solidFill>
          </w14:textFill>
        </w:rPr>
        <w:t>7.3.7混油应急</w:t>
      </w:r>
      <w:bookmarkEnd w:id="738"/>
      <w:r>
        <w:rPr>
          <w:rFonts w:ascii="Times New Roman" w:hAnsi="Times New Roman" w:cs="Times New Roman"/>
          <w:b/>
          <w:color w:val="000000" w:themeColor="text1"/>
          <w:sz w:val="24"/>
          <w:szCs w:val="24"/>
          <w14:textFill>
            <w14:solidFill>
              <w14:schemeClr w14:val="tx1"/>
            </w14:solidFill>
          </w14:textFill>
        </w:rPr>
        <w:t>处理</w:t>
      </w:r>
      <w:bookmarkEnd w:id="739"/>
      <w:bookmarkEnd w:id="740"/>
      <w:bookmarkEnd w:id="741"/>
      <w:bookmarkEnd w:id="742"/>
      <w:bookmarkEnd w:id="743"/>
      <w:bookmarkEnd w:id="744"/>
      <w:bookmarkEnd w:id="745"/>
      <w:bookmarkEnd w:id="746"/>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1</w:t>
      </w:r>
      <w:r>
        <w:rPr>
          <w:rFonts w:ascii="Times New Roman" w:hAnsi="Times New Roman" w:cs="Times New Roman"/>
          <w:b/>
          <w:color w:val="000000" w:themeColor="text1"/>
          <w:kern w:val="0"/>
          <w:sz w:val="24"/>
          <w:szCs w:val="24"/>
          <w:lang w:val="zh-CN"/>
          <w14:textFill>
            <w14:solidFill>
              <w14:schemeClr w14:val="tx1"/>
            </w14:solidFill>
          </w14:textFill>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油站计量员及监卸员发现卸油时混油，应马上关闭罐车卸油口闸阀及罐区卸油口闸阀，停止卸油作业。</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由计量员通知值班主管，由值班经理将事故上报上级安全主管部门，听候处理意见。</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当班主管通知当班员工停止相应的加油机的加油作业，并向客户做出合理解释。</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上级安全主管部门立即与油库取得联系，旋即派出空油罐车到站准备倒罐。</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上级主管部门人员、油站值班经理及计量员同时对已混油数量进行计量并作好相应记录，公司维修人员携带抽油泵等工具到站参加倒罐工作。</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6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抽出罐内混装油品后，应急组长依照公司指示安排对输油管线及加油机内的混装油品进行彻底清除。</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7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事故处理完毕后，由公司业务管理部门监督、油站值班经理及计量员重新计量原罐车内尚未卸完的油品数量，按正常的卸油作业程序将剩余油品卸入倒空的油罐中。</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8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⑧</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计量油罐内的油品数量，如低于最低容量时，应报知在场的主管领导并随即联系公司调度室增运同种油品。</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9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⑨</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待增运的同种油品到站卸入罐中后，随即排除加油机管线内的空气，恢复正常的加油作业。</w:t>
      </w:r>
    </w:p>
    <w:p>
      <w:pPr>
        <w:spacing w:line="500" w:lineRule="exact"/>
        <w:ind w:firstLine="482" w:firstLineChars="200"/>
        <w:jc w:val="left"/>
        <w:rPr>
          <w:rFonts w:ascii="Times New Roman" w:hAnsi="Times New Roman" w:cs="Times New Roman"/>
          <w:b/>
          <w:color w:val="000000" w:themeColor="text1"/>
          <w:kern w:val="0"/>
          <w:sz w:val="24"/>
          <w:szCs w:val="24"/>
          <w:lang w:val="zh-CN"/>
          <w14:textFill>
            <w14:solidFill>
              <w14:schemeClr w14:val="tx1"/>
            </w14:solidFill>
          </w14:textFill>
        </w:rPr>
      </w:pPr>
      <w:r>
        <w:rPr>
          <w:rFonts w:ascii="Times New Roman" w:hAnsi="Times New Roman" w:cs="Times New Roman"/>
          <w:b/>
          <w:color w:val="000000" w:themeColor="text1"/>
          <w:kern w:val="0"/>
          <w:sz w:val="24"/>
          <w:szCs w:val="24"/>
          <w:lang w:val="zh-CN"/>
          <w14:textFill>
            <w14:solidFill>
              <w14:schemeClr w14:val="tx1"/>
            </w14:solidFill>
          </w14:textFill>
        </w:rPr>
        <w:t>（</w:t>
      </w:r>
      <w:r>
        <w:rPr>
          <w:rFonts w:ascii="Times New Roman" w:hAnsi="Times New Roman" w:cs="Times New Roman"/>
          <w:b/>
          <w:color w:val="000000" w:themeColor="text1"/>
          <w:kern w:val="0"/>
          <w:sz w:val="24"/>
          <w:szCs w:val="24"/>
          <w14:textFill>
            <w14:solidFill>
              <w14:schemeClr w14:val="tx1"/>
            </w14:solidFill>
          </w14:textFill>
        </w:rPr>
        <w:t>2</w:t>
      </w:r>
      <w:r>
        <w:rPr>
          <w:rFonts w:ascii="Times New Roman" w:hAnsi="Times New Roman" w:cs="Times New Roman"/>
          <w:b/>
          <w:color w:val="000000" w:themeColor="text1"/>
          <w:kern w:val="0"/>
          <w:sz w:val="24"/>
          <w:szCs w:val="24"/>
          <w:lang w:val="zh-CN"/>
          <w14:textFill>
            <w14:solidFill>
              <w14:schemeClr w14:val="tx1"/>
            </w14:solidFill>
          </w14:textFill>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事故期间，除停止与发生混油事故的油罐管线连接的加油机作业外，其他加油机在不影响处理事故的基础上必须维持正常的加油作业。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lang w:val="zh-CN"/>
          <w14:textFill>
            <w14:solidFill>
              <w14:schemeClr w14:val="tx1"/>
            </w14:solidFill>
          </w14:textFill>
        </w:rPr>
      </w:pPr>
      <w:bookmarkStart w:id="747" w:name="_Toc5225"/>
      <w:bookmarkStart w:id="748" w:name="_Toc21871_WPSOffice_Level3"/>
      <w:bookmarkStart w:id="749" w:name="_Toc29972_WPSOffice_Level3"/>
      <w:bookmarkStart w:id="750" w:name="_Toc9664_WPSOffice_Level3"/>
      <w:bookmarkStart w:id="751" w:name="_Toc18459_WPSOffice_Level3"/>
      <w:bookmarkStart w:id="752" w:name="_Toc4239_WPSOffice_Level3"/>
      <w:bookmarkStart w:id="753" w:name="_Toc22816"/>
      <w:bookmarkStart w:id="754" w:name="_Toc2176"/>
      <w:r>
        <w:rPr>
          <w:rFonts w:ascii="Times New Roman" w:hAnsi="Times New Roman" w:cs="Times New Roman"/>
          <w:b/>
          <w:color w:val="000000" w:themeColor="text1"/>
          <w:sz w:val="24"/>
          <w:szCs w:val="24"/>
          <w14:textFill>
            <w14:solidFill>
              <w14:schemeClr w14:val="tx1"/>
            </w14:solidFill>
          </w14:textFill>
        </w:rPr>
        <w:t>7.3.8</w:t>
      </w:r>
      <w:r>
        <w:rPr>
          <w:rFonts w:ascii="Times New Roman" w:hAnsi="Times New Roman" w:cs="Times New Roman"/>
          <w:b/>
          <w:color w:val="000000" w:themeColor="text1"/>
          <w:sz w:val="24"/>
          <w:szCs w:val="24"/>
          <w:lang w:val="zh-CN"/>
          <w14:textFill>
            <w14:solidFill>
              <w14:schemeClr w14:val="tx1"/>
            </w14:solidFill>
          </w14:textFill>
        </w:rPr>
        <w:t>危险废物污染防范措施</w:t>
      </w:r>
      <w:bookmarkEnd w:id="747"/>
      <w:bookmarkEnd w:id="748"/>
      <w:bookmarkEnd w:id="749"/>
      <w:bookmarkEnd w:id="750"/>
      <w:bookmarkEnd w:id="751"/>
      <w:bookmarkEnd w:id="752"/>
      <w:bookmarkEnd w:id="753"/>
      <w:bookmarkEnd w:id="75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危险废物主要环境风险为管理不当导致未按规范存贮、运输过程发生事故对地表水体造成污染。为避免危险废物管理、运输等活动处置不当导致的环境风险，提出如下措施：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）危险废物暂存间必须做到防雨、防渗、防流失；</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）危险废物暂存间须设置明显的警示标识，加强管理，防止不安全处置；</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3</w:t>
      </w:r>
      <w:r>
        <w:rPr>
          <w:rFonts w:ascii="Times New Roman" w:hAnsi="Times New Roman" w:cs="Times New Roman"/>
          <w:color w:val="000000" w:themeColor="text1"/>
          <w:kern w:val="0"/>
          <w:sz w:val="24"/>
          <w:szCs w:val="24"/>
          <w:lang w:val="zh-CN"/>
          <w14:textFill>
            <w14:solidFill>
              <w14:schemeClr w14:val="tx1"/>
            </w14:solidFill>
          </w14:textFill>
        </w:rPr>
        <w:t>）危险废物应当标注废弃物标识，分类包装，分类堆放，并本着及时、方便、安全、快捷的原则，进行收集；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）禁止将危险废物混入其它废物或生活垃圾；</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lang w:val="zh-CN"/>
          <w14:textFill>
            <w14:solidFill>
              <w14:schemeClr w14:val="tx1"/>
            </w14:solidFill>
          </w14:textFill>
        </w:rPr>
        <w:t>依照危险废物转移联单制度填写和保存转移联单。</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（6）</w:t>
      </w:r>
      <w:r>
        <w:rPr>
          <w:rFonts w:ascii="Times New Roman" w:hAnsi="Times New Roman" w:cs="Times New Roman"/>
          <w:color w:val="000000" w:themeColor="text1"/>
          <w:kern w:val="0"/>
          <w:sz w:val="24"/>
          <w:szCs w:val="24"/>
          <w:lang w:val="zh-CN"/>
          <w14:textFill>
            <w14:solidFill>
              <w14:schemeClr w14:val="tx1"/>
            </w14:solidFill>
          </w14:textFill>
        </w:rPr>
        <w:t>危险废物运输车辆应符合相关规范、驾驶人员必须持证作业；</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（7）</w:t>
      </w:r>
      <w:r>
        <w:rPr>
          <w:rFonts w:ascii="Times New Roman" w:hAnsi="Times New Roman" w:cs="Times New Roman"/>
          <w:color w:val="000000" w:themeColor="text1"/>
          <w:kern w:val="0"/>
          <w:sz w:val="24"/>
          <w:szCs w:val="24"/>
          <w:lang w:val="zh-CN"/>
          <w14:textFill>
            <w14:solidFill>
              <w14:schemeClr w14:val="tx1"/>
            </w14:solidFill>
          </w14:textFill>
        </w:rPr>
        <w:t>制定科学的运输路线，运输路线须避开水沟等地表水体；</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（8）</w:t>
      </w:r>
      <w:r>
        <w:rPr>
          <w:rFonts w:ascii="Times New Roman" w:hAnsi="Times New Roman" w:cs="Times New Roman"/>
          <w:color w:val="000000" w:themeColor="text1"/>
          <w:kern w:val="0"/>
          <w:sz w:val="24"/>
          <w:szCs w:val="24"/>
          <w:lang w:val="zh-CN"/>
          <w14:textFill>
            <w14:solidFill>
              <w14:schemeClr w14:val="tx1"/>
            </w14:solidFill>
          </w14:textFill>
        </w:rPr>
        <w:t>制定突发环境事件应急预案，将危险废物运输事故列入应急预案风险源中，并制定应急措施。</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755" w:name="_Toc30822_WPSOffice_Level2"/>
      <w:bookmarkStart w:id="756" w:name="_Toc11036_WPSOffice_Level2"/>
      <w:bookmarkStart w:id="757" w:name="_Toc22106_WPSOffice_Level2"/>
      <w:bookmarkStart w:id="758" w:name="_Toc24276_WPSOffice_Level2"/>
      <w:bookmarkStart w:id="759" w:name="_Toc849"/>
      <w:bookmarkStart w:id="760" w:name="_Toc311902767"/>
      <w:bookmarkStart w:id="761" w:name="_Toc12018"/>
      <w:bookmarkStart w:id="762" w:name="_Toc26484_WPSOffice_Level2"/>
      <w:bookmarkStart w:id="763" w:name="_Toc10805"/>
      <w:bookmarkStart w:id="764" w:name="_Toc9250"/>
      <w:r>
        <w:rPr>
          <w:rFonts w:ascii="Times New Roman" w:hAnsi="Times New Roman" w:cs="Times New Roman"/>
          <w:b/>
          <w:bCs/>
          <w:color w:val="000000" w:themeColor="text1"/>
          <w:sz w:val="24"/>
          <w:szCs w:val="24"/>
          <w14:textFill>
            <w14:solidFill>
              <w14:schemeClr w14:val="tx1"/>
            </w14:solidFill>
          </w14:textFill>
        </w:rPr>
        <w:t>7.4 应急监测</w:t>
      </w:r>
      <w:bookmarkEnd w:id="755"/>
      <w:bookmarkEnd w:id="756"/>
      <w:bookmarkEnd w:id="757"/>
      <w:bookmarkEnd w:id="758"/>
      <w:bookmarkEnd w:id="759"/>
      <w:bookmarkEnd w:id="760"/>
      <w:bookmarkEnd w:id="761"/>
      <w:bookmarkEnd w:id="762"/>
      <w:bookmarkEnd w:id="763"/>
      <w:bookmarkEnd w:id="764"/>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发生突发环境事件时，公司应立即委托南昌市环境监测站对事故污染情况进行监测。根据事故实际情况，迅速确定监测方案（包括监测布点、频次、项目和方法等），及时开展应急监测工作，在尽可能短的时间内，用小型、便携仪器对污染物种类、浓度、污染范围及可能的危害做出判断，以便对事件及时、正确进行处理。</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应急监测是环境监测人员在事故现场，用小型、便携、简易、快速检测仪器和装置，在尽可能短的时间内对事故叙述内容：</w:t>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污染物质的种类；</w:t>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污染物质的浓度；</w:t>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污染的范围及可能造成的危害等作出判断的过程。实施应急监测是做好突发污染事故处置、处理的前提和关键。只有对污染事故的类型和污染状况作出准确的判断，才能对污染事故进行及时、正确的处理、处置和制定恢复措施提供科学的决策依据。可以说应急监测是事故应急处置与善后处理中始终依赖的基础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在制定应急监测方案时，应遵循的基本原则是：现场应急监测与实验室分析相结合，应急监测技术的先进性和现实可行性相结合，定性与定量、快速与准确相结合，环境要素的优先顺序为空气、地表水、地下水、土壤。</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①</w:t>
      </w:r>
      <w:r>
        <w:rPr>
          <w:rFonts w:ascii="Times New Roman" w:hAnsi="Times New Roman" w:cs="Times New Roman"/>
          <w:color w:val="FF0000"/>
          <w:kern w:val="0"/>
          <w:sz w:val="24"/>
          <w:szCs w:val="24"/>
        </w:rPr>
        <w:t>空气：</w:t>
      </w:r>
      <w:r>
        <w:rPr>
          <w:rFonts w:hint="eastAsia" w:ascii="Times New Roman" w:hAnsi="Times New Roman" w:cs="Times New Roman"/>
          <w:color w:val="FF0000"/>
          <w:kern w:val="0"/>
          <w:sz w:val="24"/>
          <w:szCs w:val="24"/>
        </w:rPr>
        <w:t>采样及分析方法：按照国家环保局编制的《环境监测技术规范》有关规定进行。仪器设备：可燃气体检测器。</w:t>
      </w:r>
      <w:r>
        <w:rPr>
          <w:rFonts w:ascii="Times New Roman" w:hAnsi="Times New Roman" w:cs="Times New Roman"/>
          <w:color w:val="FF0000"/>
          <w:kern w:val="0"/>
          <w:sz w:val="24"/>
          <w:szCs w:val="24"/>
        </w:rPr>
        <w:t>评价因子为SO2、NO2、TSP、PM10。对于应急监测采样器，应经常予以校正，以免情况紧急时没有时间进行校正。</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rPr>
        <w:t>检测因子：</w:t>
      </w:r>
      <w:r>
        <w:rPr>
          <w:rFonts w:ascii="Times New Roman" w:hAnsi="Times New Roman" w:cs="Times New Roman"/>
          <w:color w:val="FF0000"/>
          <w:kern w:val="0"/>
          <w:sz w:val="24"/>
          <w:szCs w:val="24"/>
        </w:rPr>
        <w:t>COD</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BOD5</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SS</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NH3-N</w:t>
      </w:r>
      <w:r>
        <w:rPr>
          <w:rFonts w:hint="eastAsia" w:ascii="Times New Roman" w:hAnsi="Times New Roman" w:cs="Times New Roman"/>
          <w:color w:val="FF0000"/>
          <w:kern w:val="0"/>
          <w:sz w:val="24"/>
          <w:szCs w:val="24"/>
        </w:rPr>
        <w:t>、石油类。</w:t>
      </w:r>
    </w:p>
    <w:p>
      <w:pPr>
        <w:spacing w:before="120" w:beforeLines="50"/>
        <w:ind w:firstLine="422"/>
        <w:rPr>
          <w:rFonts w:hAnsi="宋体"/>
          <w:b/>
          <w:color w:val="FF0000"/>
          <w:sz w:val="24"/>
        </w:rPr>
      </w:pPr>
      <w:r>
        <w:rPr>
          <w:rFonts w:hint="eastAsia" w:hAnsi="宋体"/>
          <w:b/>
          <w:color w:val="FF0000"/>
          <w:sz w:val="24"/>
        </w:rPr>
        <w:t>水质分析方法</w:t>
      </w:r>
    </w:p>
    <w:tbl>
      <w:tblPr>
        <w:tblStyle w:val="16"/>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070"/>
        <w:gridCol w:w="4141"/>
        <w:gridCol w:w="314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监测项目</w:t>
            </w:r>
          </w:p>
        </w:tc>
        <w:tc>
          <w:tcPr>
            <w:tcW w:w="2213"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监测方法</w:t>
            </w:r>
          </w:p>
        </w:tc>
        <w:tc>
          <w:tcPr>
            <w:tcW w:w="1681"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最低检出限（mg/L）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pH</w:t>
            </w:r>
          </w:p>
        </w:tc>
        <w:tc>
          <w:tcPr>
            <w:tcW w:w="2213" w:type="pct"/>
            <w:vAlign w:val="center"/>
          </w:tcPr>
          <w:p>
            <w:pPr>
              <w:jc w:val="center"/>
              <w:rPr>
                <w:rFonts w:eastAsia="仿宋"/>
                <w:color w:val="FF0000"/>
                <w:szCs w:val="21"/>
              </w:rPr>
            </w:pPr>
            <w:r>
              <w:rPr>
                <w:rFonts w:eastAsia="仿宋"/>
                <w:color w:val="FF0000"/>
                <w:szCs w:val="21"/>
              </w:rPr>
              <w:t>GB/T 6920-1986玻璃电极法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eastAsia="仿宋"/>
                <w:color w:val="FF0000"/>
                <w:szCs w:val="21"/>
              </w:rPr>
              <w:t>COD</w:t>
            </w:r>
          </w:p>
        </w:tc>
        <w:tc>
          <w:tcPr>
            <w:tcW w:w="2213" w:type="pct"/>
            <w:vAlign w:val="center"/>
          </w:tcPr>
          <w:p>
            <w:pPr>
              <w:adjustRightInd w:val="0"/>
              <w:snapToGrid w:val="0"/>
              <w:jc w:val="center"/>
              <w:rPr>
                <w:rFonts w:eastAsia="仿宋"/>
                <w:color w:val="FF0000"/>
                <w:szCs w:val="21"/>
              </w:rPr>
            </w:pPr>
            <w:r>
              <w:rPr>
                <w:rFonts w:eastAsia="仿宋"/>
                <w:color w:val="FF0000"/>
                <w:szCs w:val="21"/>
              </w:rPr>
              <w:t>GB/T 11914-1989重铬酸盐法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eastAsia="仿宋"/>
                <w:color w:val="FF0000"/>
                <w:szCs w:val="21"/>
              </w:rPr>
              <w:t>氨氮</w:t>
            </w:r>
          </w:p>
        </w:tc>
        <w:tc>
          <w:tcPr>
            <w:tcW w:w="2213" w:type="pct"/>
            <w:vAlign w:val="center"/>
          </w:tcPr>
          <w:p>
            <w:pPr>
              <w:adjustRightInd w:val="0"/>
              <w:snapToGrid w:val="0"/>
              <w:jc w:val="center"/>
              <w:rPr>
                <w:rFonts w:eastAsia="仿宋"/>
                <w:color w:val="FF0000"/>
                <w:szCs w:val="21"/>
              </w:rPr>
            </w:pPr>
            <w:r>
              <w:rPr>
                <w:rFonts w:eastAsia="仿宋"/>
                <w:color w:val="FF0000"/>
                <w:szCs w:val="21"/>
              </w:rPr>
              <w:t>HJ 535-2009纳氏试剂分光光度法</w:t>
            </w:r>
          </w:p>
        </w:tc>
        <w:tc>
          <w:tcPr>
            <w:tcW w:w="1681" w:type="pct"/>
            <w:vAlign w:val="center"/>
          </w:tcPr>
          <w:p>
            <w:pPr>
              <w:adjustRightInd w:val="0"/>
              <w:snapToGrid w:val="0"/>
              <w:jc w:val="center"/>
              <w:rPr>
                <w:rFonts w:eastAsia="仿宋"/>
                <w:color w:val="FF0000"/>
                <w:szCs w:val="21"/>
              </w:rPr>
            </w:pPr>
            <w:r>
              <w:rPr>
                <w:rFonts w:eastAsia="仿宋"/>
                <w:color w:val="FF0000"/>
                <w:szCs w:val="21"/>
              </w:rPr>
              <w:t>0.025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氟化物</w:t>
            </w:r>
          </w:p>
        </w:tc>
        <w:tc>
          <w:tcPr>
            <w:tcW w:w="2213" w:type="pct"/>
            <w:vAlign w:val="center"/>
          </w:tcPr>
          <w:p>
            <w:pPr>
              <w:adjustRightInd w:val="0"/>
              <w:snapToGrid w:val="0"/>
              <w:jc w:val="center"/>
              <w:rPr>
                <w:rFonts w:eastAsia="仿宋"/>
                <w:color w:val="FF0000"/>
                <w:szCs w:val="21"/>
              </w:rPr>
            </w:pPr>
            <w:r>
              <w:rPr>
                <w:rFonts w:eastAsia="仿宋"/>
                <w:color w:val="FF0000"/>
                <w:szCs w:val="21"/>
              </w:rPr>
              <w:t>GB7484-87</w:t>
            </w:r>
            <w:r>
              <w:rPr>
                <w:rFonts w:hint="eastAsia" w:eastAsia="仿宋"/>
                <w:color w:val="FF0000"/>
                <w:szCs w:val="21"/>
              </w:rPr>
              <w:t>离子选择电极法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磷酸盐</w:t>
            </w:r>
          </w:p>
        </w:tc>
        <w:tc>
          <w:tcPr>
            <w:tcW w:w="2213" w:type="pct"/>
            <w:vAlign w:val="center"/>
          </w:tcPr>
          <w:p>
            <w:pPr>
              <w:adjustRightInd w:val="0"/>
              <w:snapToGrid w:val="0"/>
              <w:jc w:val="center"/>
              <w:rPr>
                <w:rFonts w:eastAsia="仿宋"/>
                <w:color w:val="FF0000"/>
                <w:szCs w:val="21"/>
              </w:rPr>
            </w:pPr>
            <w:r>
              <w:rPr>
                <w:rFonts w:eastAsia="仿宋"/>
                <w:color w:val="FF0000"/>
                <w:szCs w:val="21"/>
              </w:rPr>
              <w:t>GB11893-89</w:t>
            </w:r>
            <w:r>
              <w:rPr>
                <w:rFonts w:hint="eastAsia" w:eastAsia="仿宋"/>
                <w:color w:val="FF0000"/>
                <w:szCs w:val="21"/>
              </w:rPr>
              <w:t>钼酸铵分光光度法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总镍</w:t>
            </w:r>
          </w:p>
        </w:tc>
        <w:tc>
          <w:tcPr>
            <w:tcW w:w="2213" w:type="pct"/>
            <w:vAlign w:val="center"/>
          </w:tcPr>
          <w:p>
            <w:pPr>
              <w:adjustRightInd w:val="0"/>
              <w:snapToGrid w:val="0"/>
              <w:jc w:val="center"/>
              <w:rPr>
                <w:rFonts w:eastAsia="仿宋"/>
                <w:color w:val="FF0000"/>
                <w:szCs w:val="21"/>
              </w:rPr>
            </w:pPr>
            <w:r>
              <w:rPr>
                <w:rFonts w:eastAsia="仿宋"/>
                <w:color w:val="FF0000"/>
                <w:szCs w:val="21"/>
              </w:rPr>
              <w:t>HJ/T63.1-2001</w:t>
            </w:r>
            <w:r>
              <w:rPr>
                <w:rFonts w:hint="eastAsia" w:eastAsia="仿宋"/>
                <w:color w:val="FF0000"/>
                <w:szCs w:val="21"/>
              </w:rPr>
              <w:t>火焰原子吸收法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bl>
    <w:p>
      <w:pPr>
        <w:spacing w:line="500" w:lineRule="exact"/>
        <w:ind w:firstLine="480" w:firstLineChars="200"/>
        <w:jc w:val="left"/>
      </w:pPr>
      <w:r>
        <w:rPr>
          <w:rFonts w:hint="eastAsia" w:ascii="宋体" w:hAnsi="宋体" w:eastAsia="宋体" w:cs="宋体"/>
          <w:kern w:val="0"/>
          <w:sz w:val="24"/>
          <w:szCs w:val="24"/>
        </w:rPr>
        <w:t>③</w:t>
      </w:r>
      <w:r>
        <w:rPr>
          <w:rFonts w:ascii="Times New Roman" w:hAnsi="Times New Roman" w:cs="Times New Roman"/>
          <w:kern w:val="0"/>
          <w:sz w:val="24"/>
          <w:szCs w:val="24"/>
        </w:rPr>
        <w:t>地下水：</w:t>
      </w:r>
      <w:r>
        <w:rPr>
          <w:rFonts w:ascii="Times New Roman" w:hAnsi="Times New Roman" w:cs="Times New Roman"/>
          <w:color w:val="FF0000"/>
          <w:sz w:val="24"/>
          <w:szCs w:val="24"/>
        </w:rPr>
        <w:t>监测因子：pH、COD</w:t>
      </w:r>
      <w:r>
        <w:rPr>
          <w:rFonts w:ascii="Times New Roman" w:hAnsi="Times New Roman" w:cs="Times New Roman"/>
          <w:color w:val="FF0000"/>
          <w:sz w:val="24"/>
          <w:szCs w:val="24"/>
          <w:vertAlign w:val="subscript"/>
        </w:rPr>
        <w:t>Mn</w:t>
      </w:r>
      <w:r>
        <w:rPr>
          <w:rFonts w:ascii="Times New Roman" w:hAnsi="Times New Roman" w:cs="Times New Roman"/>
          <w:color w:val="FF0000"/>
          <w:sz w:val="24"/>
          <w:szCs w:val="24"/>
        </w:rPr>
        <w:t>、氨氮、总硬度、溶解性总固体、</w:t>
      </w:r>
      <w:r>
        <w:rPr>
          <w:rFonts w:hint="eastAsia" w:ascii="Times New Roman" w:hAnsi="Times New Roman" w:cs="Times New Roman"/>
          <w:color w:val="FF0000"/>
          <w:sz w:val="24"/>
          <w:szCs w:val="24"/>
        </w:rPr>
        <w:t>石油类</w:t>
      </w:r>
      <w:r>
        <w:rPr>
          <w:rFonts w:ascii="Times New Roman" w:hAnsi="Times New Roman" w:cs="Times New Roman"/>
          <w:color w:val="FF0000"/>
          <w:sz w:val="24"/>
          <w:szCs w:val="24"/>
        </w:rPr>
        <w:t>、</w:t>
      </w:r>
      <w:r>
        <w:rPr>
          <w:rFonts w:hint="eastAsia" w:ascii="Times New Roman" w:hAnsi="Times New Roman" w:cs="Times New Roman"/>
          <w:color w:val="FF0000"/>
          <w:sz w:val="24"/>
          <w:szCs w:val="24"/>
        </w:rPr>
        <w:t>悬浮物</w:t>
      </w:r>
      <w:r>
        <w:rPr>
          <w:rFonts w:ascii="Times New Roman" w:hAnsi="Times New Roman" w:cs="Times New Roman"/>
          <w:color w:val="FF0000"/>
          <w:sz w:val="24"/>
          <w:szCs w:val="24"/>
        </w:rPr>
        <w:t>。</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65" w:name="_Toc21957_WPSOffice_Level3"/>
      <w:bookmarkStart w:id="766" w:name="_Toc24711_WPSOffice_Level3"/>
      <w:bookmarkStart w:id="767" w:name="_Toc19427_WPSOffice_Level3"/>
      <w:bookmarkStart w:id="768" w:name="_Toc30822_WPSOffice_Level3"/>
      <w:bookmarkStart w:id="769" w:name="_Toc18104_WPSOffice_Level3"/>
      <w:r>
        <w:rPr>
          <w:rFonts w:ascii="Times New Roman" w:hAnsi="Times New Roman" w:cs="Times New Roman"/>
          <w:b/>
          <w:color w:val="000000" w:themeColor="text1"/>
          <w:kern w:val="0"/>
          <w:sz w:val="24"/>
          <w:szCs w:val="24"/>
          <w14:textFill>
            <w14:solidFill>
              <w14:schemeClr w14:val="tx1"/>
            </w14:solidFill>
          </w14:textFill>
        </w:rPr>
        <w:t>（1）应急监测的响应程序</w:t>
      </w:r>
      <w:bookmarkEnd w:id="765"/>
      <w:bookmarkEnd w:id="766"/>
      <w:bookmarkEnd w:id="767"/>
      <w:bookmarkEnd w:id="768"/>
      <w:bookmarkEnd w:id="769"/>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接受应急监测任务，启动应急监测响应预案。</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了解现场情况，确定应急监测方法，准备监测器材、试剂和防护用品，同时做好实验室分析的准备。</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实施现场监测，快速报告结果。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进行初步综合分析，编写监测报告，提出跟踪监测和污染控制建议。</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t>实施跟踪监测，及时报告结果。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t>进行深入的综合分析，编写总结报告上报。</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70" w:name="_Toc26203_WPSOffice_Level3"/>
      <w:bookmarkStart w:id="771" w:name="_Toc19091_WPSOffice_Level3"/>
      <w:bookmarkStart w:id="772" w:name="_Toc8802_WPSOffice_Level3"/>
      <w:bookmarkStart w:id="773" w:name="_Toc9099_WPSOffice_Level3"/>
      <w:bookmarkStart w:id="774" w:name="_Toc3320_WPSOffice_Level3"/>
      <w:r>
        <w:rPr>
          <w:rFonts w:ascii="Times New Roman" w:hAnsi="Times New Roman" w:cs="Times New Roman"/>
          <w:b/>
          <w:color w:val="000000" w:themeColor="text1"/>
          <w:kern w:val="0"/>
          <w:sz w:val="24"/>
          <w:szCs w:val="24"/>
          <w14:textFill>
            <w14:solidFill>
              <w14:schemeClr w14:val="tx1"/>
            </w14:solidFill>
          </w14:textFill>
        </w:rPr>
        <w:t>（2）布点原则</w:t>
      </w:r>
      <w:bookmarkEnd w:id="770"/>
      <w:bookmarkEnd w:id="771"/>
      <w:bookmarkEnd w:id="772"/>
      <w:bookmarkEnd w:id="773"/>
      <w:bookmarkEnd w:id="774"/>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由于危险废物污染事故发生时，污染物的分布极不均匀，时空变化大，对各环境要素的污染程度不同，因此采样点位的选择对于准确判断污染物浓度分布、分布范围和程度极为重要，因此，点位的确定应考虑以下因素：</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事故的类型（泄漏、火灾、爆炸等）、严重程度与影响范围。</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事故发生的地点与人口分布情况。</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事故发生时的天气情况，尤其是风向、风速及其变化情况</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75" w:name="_Toc9104_WPSOffice_Level3"/>
      <w:bookmarkStart w:id="776" w:name="_Toc8887_WPSOffice_Level3"/>
      <w:bookmarkStart w:id="777" w:name="_Toc7199_WPSOffice_Level3"/>
      <w:bookmarkStart w:id="778" w:name="_Toc19191_WPSOffice_Level3"/>
      <w:bookmarkStart w:id="779" w:name="_Toc14492_WPSOffice_Level3"/>
      <w:r>
        <w:rPr>
          <w:rFonts w:ascii="Times New Roman" w:hAnsi="Times New Roman" w:cs="Times New Roman"/>
          <w:b/>
          <w:color w:val="000000" w:themeColor="text1"/>
          <w:kern w:val="0"/>
          <w:sz w:val="24"/>
          <w:szCs w:val="24"/>
          <w14:textFill>
            <w14:solidFill>
              <w14:schemeClr w14:val="tx1"/>
            </w14:solidFill>
          </w14:textFill>
        </w:rPr>
        <w:t>（3）布点方案</w:t>
      </w:r>
      <w:bookmarkEnd w:id="775"/>
      <w:bookmarkEnd w:id="776"/>
      <w:bookmarkEnd w:id="777"/>
      <w:bookmarkEnd w:id="778"/>
      <w:bookmarkEnd w:id="779"/>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本项目为加油站可以看出所涉及的危险化学品的泄漏会很大程度的危害到空气、地表水、地下水以及土壤，因此，可采用如下采样布点方案：</w:t>
      </w:r>
    </w:p>
    <w:p>
      <w:pPr>
        <w:spacing w:line="360" w:lineRule="auto"/>
        <w:ind w:firstLine="480" w:firstLineChars="200"/>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①</w:t>
      </w:r>
      <w:r>
        <w:rPr>
          <w:rFonts w:ascii="Times New Roman" w:hAnsi="Times New Roman" w:cs="Times New Roman"/>
          <w:color w:val="FF0000"/>
          <w:kern w:val="0"/>
          <w:sz w:val="24"/>
          <w:szCs w:val="24"/>
        </w:rPr>
        <w:t>空气：应尽可能在事故发生地就近采样，并以事故点为中心，根据事故发生地的地理特点、盛行风向及其他自然条件，在事故发生地下风向影响区域、掩体或低洼地等位置，按一定间隔的圆形布点采样，并根据污染物的特性在不同高度采样，同时在事故点的上风向适当位置布设对照点，在距事故发生地最近的居民住宅区布点采样，采样过程中应注意风向的变化，及时调整采样点位置。利用检气管快速监测污染物的种类和浓度范围，现场确定采样流量和采样时间。采样时，应同时记录气温、气压、风向和风速，采样总体积应换算成标准状态下的体积。</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rPr>
        <w:t>监测点位：发生水污染事故时，加油站排污口上游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米和下游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米各设一个监测点。应急监测时间和监测频次：按照事故持续时间决定监测时间，根据事故严重性决定监测频次。事故发生后尽快进行监测，随事故控制减弱，适当减少监测频次。事故发生</w:t>
      </w:r>
      <w:r>
        <w:rPr>
          <w:rFonts w:ascii="Times New Roman" w:hAnsi="Times New Roman" w:cs="Times New Roman"/>
          <w:color w:val="FF0000"/>
          <w:kern w:val="0"/>
          <w:sz w:val="24"/>
          <w:szCs w:val="24"/>
        </w:rPr>
        <w:t>1</w:t>
      </w:r>
      <w:r>
        <w:rPr>
          <w:rFonts w:hint="eastAsia" w:ascii="Times New Roman" w:hAnsi="Times New Roman" w:cs="Times New Roman"/>
          <w:color w:val="FF0000"/>
          <w:kern w:val="0"/>
          <w:sz w:val="24"/>
          <w:szCs w:val="24"/>
        </w:rPr>
        <w:t>小时内每</w:t>
      </w:r>
      <w:r>
        <w:rPr>
          <w:rFonts w:ascii="Times New Roman" w:hAnsi="Times New Roman" w:cs="Times New Roman"/>
          <w:color w:val="FF0000"/>
          <w:kern w:val="0"/>
          <w:sz w:val="24"/>
          <w:szCs w:val="24"/>
        </w:rPr>
        <w:t>15</w:t>
      </w:r>
      <w:r>
        <w:rPr>
          <w:rFonts w:hint="eastAsia" w:ascii="Times New Roman" w:hAnsi="Times New Roman" w:cs="Times New Roman"/>
          <w:color w:val="FF0000"/>
          <w:kern w:val="0"/>
          <w:sz w:val="24"/>
          <w:szCs w:val="24"/>
        </w:rPr>
        <w:t>分钟取样进行监测，事故后</w:t>
      </w:r>
      <w:r>
        <w:rPr>
          <w:rFonts w:ascii="Times New Roman" w:hAnsi="Times New Roman" w:cs="Times New Roman"/>
          <w:color w:val="FF0000"/>
          <w:kern w:val="0"/>
          <w:sz w:val="24"/>
          <w:szCs w:val="24"/>
        </w:rPr>
        <w:t>4</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10</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24</w:t>
      </w:r>
      <w:r>
        <w:rPr>
          <w:rFonts w:hint="eastAsia" w:ascii="Times New Roman" w:hAnsi="Times New Roman" w:cs="Times New Roman"/>
          <w:color w:val="FF0000"/>
          <w:kern w:val="0"/>
          <w:sz w:val="24"/>
          <w:szCs w:val="24"/>
        </w:rPr>
        <w:t>小时各监测一次。</w:t>
      </w:r>
      <w:r>
        <w:rPr>
          <w:rFonts w:ascii="Times New Roman" w:hAnsi="Times New Roman" w:cs="Times New Roman"/>
          <w:color w:val="FF0000"/>
          <w:kern w:val="0"/>
          <w:sz w:val="24"/>
          <w:szCs w:val="24"/>
        </w:rPr>
        <w:t>采样器具应洁净并应避免交叉感染，现场可采集平行双样，一份供现场快速测定，另一份现场立即交入保护剂，尽快送至实验室进行分析。若需要，可同时用专用采泥器或塑料铲采集事故发生地的沉积物样品密封装入塑料广口瓶中。</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地下水：应以事故发生地为中心，根据本地区地下水流向采用网格法或辐射法在周围2km内布设监测井采样，同进视地下水主要补给来源，在垂直于地下水流的上方向，设置对照监测井采样，在以地下水为饮用水源的取水处必须设置采样点。</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采样应避开井壁，采样瓶以均匀的速度沉入水中，使整个垂直断面的各层水样进入采样瓶。</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若用泵或直接从取水管采集水样时，应先排尽管内的积水后采集水样，同时要在事故发生地的上游采样一个对照样品。</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土壤：应以事故发生地为中心，在事故发生地及周围一定距离内的区域按一定的间隔圆形布点采样，并根据污染物的特性在不同深度采样，同时采集未受污染区域的样品作为对照样品。必要时还应采集事故地附近的作物样品。</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在相对开阔的污染区域采取垂直深10cm的表层土。一般在10m×10m范围内，采用梅花形布点方法或根据地形采用蛇形布点方法（采样点不少于5个）。</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将多点采集的土壤样品除去石块、草根等杂物，现场混合后取1-2kg样品装在塑料袋内密封。</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80" w:name="_Toc6567_WPSOffice_Level3"/>
      <w:bookmarkStart w:id="781" w:name="_Toc27729_WPSOffice_Level3"/>
      <w:bookmarkStart w:id="782" w:name="_Toc19551_WPSOffice_Level3"/>
      <w:bookmarkStart w:id="783" w:name="_Toc5610_WPSOffice_Level3"/>
      <w:bookmarkStart w:id="784" w:name="_Toc11577_WPSOffice_Level3"/>
      <w:r>
        <w:rPr>
          <w:rFonts w:ascii="Times New Roman" w:hAnsi="Times New Roman" w:cs="Times New Roman"/>
          <w:b/>
          <w:color w:val="000000" w:themeColor="text1"/>
          <w:kern w:val="0"/>
          <w:sz w:val="24"/>
          <w:szCs w:val="24"/>
          <w14:textFill>
            <w14:solidFill>
              <w14:schemeClr w14:val="tx1"/>
            </w14:solidFill>
          </w14:textFill>
        </w:rPr>
        <w:t>（4）应急监测数据的统计处理</w:t>
      </w:r>
      <w:bookmarkEnd w:id="780"/>
      <w:bookmarkEnd w:id="781"/>
      <w:bookmarkEnd w:id="782"/>
      <w:bookmarkEnd w:id="783"/>
      <w:bookmarkEnd w:id="784"/>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现场的原始记录</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要绘制事故现场的位置示意图，标出采样点位，记录发生时间，事故发生现场性状描述事故原因，事故持续时间，采样时间，必要的水文、气象参数，事故企业名称，联系方法，可能存在的污染物种类、流失量和影响范围。应在记录中按规定格式进行详细填写，监测任务完成后归档保存。</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原始记录的数据有误需要修改时，应在错误的数据上划上横线，再在错误的数据上方写上正确的数据，并在右下方盖章或签字，不准在原始记录上涂改或撕页。原始记录应有统一编号，个人不准擅自销毁。</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参加应急监测的人员必须持严肃认真的工作态度，对现场原始记录负责，做到及时记录信息，不应以回忆的方式填写。</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每次报出数据时前，原始记录上必须有测试人的签名。</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按常规的做法，监测数据汇总成表，经分析后编写成报告上报，需要一定的时间。为适应应急监测快速报告的需要，可采取边采样、边分析、边汇总、边报告的形式进行。</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现场监测记录是报告应急监测结果的重要依据之一，应按规范格式记录，保证信息的完整性，主要包括环境条件、分析项目、分析方法、分析日期、样品类型、仪器名称、仪器型号、仪器编号、测定结果、分析人员、校核人员、审核人员签名等。</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85" w:name="_Toc14653_WPSOffice_Level3"/>
      <w:bookmarkStart w:id="786" w:name="_Toc30299_WPSOffice_Level3"/>
      <w:bookmarkStart w:id="787" w:name="_Toc2978_WPSOffice_Level3"/>
      <w:bookmarkStart w:id="788" w:name="_Toc26198_WPSOffice_Level3"/>
      <w:bookmarkStart w:id="789" w:name="_Toc2865_WPSOffice_Level3"/>
      <w:r>
        <w:rPr>
          <w:rFonts w:ascii="Times New Roman" w:hAnsi="Times New Roman" w:cs="Times New Roman"/>
          <w:b/>
          <w:color w:val="000000" w:themeColor="text1"/>
          <w:kern w:val="0"/>
          <w:sz w:val="24"/>
          <w:szCs w:val="24"/>
          <w14:textFill>
            <w14:solidFill>
              <w14:schemeClr w14:val="tx1"/>
            </w14:solidFill>
          </w14:textFill>
        </w:rPr>
        <w:t>（5）应急监测报告内容</w:t>
      </w:r>
      <w:bookmarkEnd w:id="785"/>
      <w:bookmarkEnd w:id="786"/>
      <w:bookmarkEnd w:id="787"/>
      <w:bookmarkEnd w:id="788"/>
      <w:bookmarkEnd w:id="789"/>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监测报告速报、确报、最终确报几种形式。报告的手段可采用电话、传真、电子邮件、监测快报、简报、应急监测报告等方式进行。应根据现场情况和监测结果，编写现场监测报告并迅速上报同级环境保护主管部门和现场应急指挥中心。重大、特大污染事故除报当地环境保护行政主管部门及上一级环境监测站外，还应直接报中国环境监测总站。应急监测报告的主要内容包括：</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事故发生的时间，接到通知的时间，到达现场监测时间；</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事故发生的具体地点及周边的自然环境；</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事故发生的性质与类型；</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采样断面（点位）、监测频次、监测方法；</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t>污染事故的性质，主要污染物的种类、排放量、浓度及影响范围；</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⑥</w:t>
      </w:r>
      <w:r>
        <w:rPr>
          <w:rFonts w:ascii="Times New Roman" w:hAnsi="Times New Roman" w:cs="Times New Roman"/>
          <w:color w:val="000000" w:themeColor="text1"/>
          <w:kern w:val="0"/>
          <w:sz w:val="24"/>
          <w:szCs w:val="24"/>
          <w14:textFill>
            <w14:solidFill>
              <w14:schemeClr w14:val="tx1"/>
            </w14:solidFill>
          </w14:textFill>
        </w:rPr>
        <w:t>污染事故的危害与损失，包括人员伤亡、事故原因等；</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⑦</w:t>
      </w:r>
      <w:r>
        <w:rPr>
          <w:rFonts w:ascii="Times New Roman" w:hAnsi="Times New Roman" w:cs="Times New Roman"/>
          <w:color w:val="000000" w:themeColor="text1"/>
          <w:kern w:val="0"/>
          <w:sz w:val="24"/>
          <w:szCs w:val="24"/>
          <w14:textFill>
            <w14:solidFill>
              <w14:schemeClr w14:val="tx1"/>
            </w14:solidFill>
          </w14:textFill>
        </w:rPr>
        <w:t>简要说明污染物的危害特性及处理处置建议；</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⑧</w:t>
      </w:r>
      <w:r>
        <w:rPr>
          <w:rFonts w:ascii="Times New Roman" w:hAnsi="Times New Roman" w:cs="Times New Roman"/>
          <w:color w:val="000000" w:themeColor="text1"/>
          <w:kern w:val="0"/>
          <w:sz w:val="24"/>
          <w:szCs w:val="24"/>
          <w14:textFill>
            <w14:solidFill>
              <w14:schemeClr w14:val="tx1"/>
            </w14:solidFill>
          </w14:textFill>
        </w:rPr>
        <w:t>应急监测现场负责人签字。</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790" w:name="_Toc24668_WPSOffice_Level2"/>
      <w:bookmarkStart w:id="791" w:name="_Toc14329"/>
      <w:bookmarkStart w:id="792" w:name="_Toc29220"/>
      <w:bookmarkStart w:id="793" w:name="_Toc30299_WPSOffice_Level2"/>
      <w:bookmarkStart w:id="794" w:name="_Toc27314_WPSOffice_Level2"/>
      <w:bookmarkStart w:id="795" w:name="_Toc13894_WPSOffice_Level2"/>
      <w:bookmarkStart w:id="796" w:name="_Toc8805_WPSOffice_Level2"/>
      <w:bookmarkStart w:id="797" w:name="_Toc24179"/>
      <w:bookmarkStart w:id="798" w:name="_Toc3691"/>
      <w:r>
        <w:rPr>
          <w:rFonts w:ascii="Times New Roman" w:hAnsi="Times New Roman" w:cs="Times New Roman"/>
          <w:b/>
          <w:bCs/>
          <w:color w:val="000000" w:themeColor="text1"/>
          <w:sz w:val="24"/>
          <w:szCs w:val="24"/>
          <w14:textFill>
            <w14:solidFill>
              <w14:schemeClr w14:val="tx1"/>
            </w14:solidFill>
          </w14:textFill>
        </w:rPr>
        <w:t>7.5应急</w:t>
      </w:r>
      <w:bookmarkEnd w:id="703"/>
      <w:r>
        <w:rPr>
          <w:rFonts w:ascii="Times New Roman" w:hAnsi="Times New Roman" w:cs="Times New Roman"/>
          <w:b/>
          <w:bCs/>
          <w:color w:val="000000" w:themeColor="text1"/>
          <w:sz w:val="24"/>
          <w:szCs w:val="24"/>
          <w14:textFill>
            <w14:solidFill>
              <w14:schemeClr w14:val="tx1"/>
            </w14:solidFill>
          </w14:textFill>
        </w:rPr>
        <w:t>终止</w:t>
      </w:r>
      <w:bookmarkEnd w:id="790"/>
      <w:bookmarkEnd w:id="791"/>
      <w:bookmarkEnd w:id="792"/>
      <w:bookmarkEnd w:id="793"/>
      <w:bookmarkEnd w:id="794"/>
      <w:bookmarkEnd w:id="795"/>
      <w:bookmarkEnd w:id="796"/>
      <w:bookmarkEnd w:id="797"/>
      <w:bookmarkEnd w:id="798"/>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799" w:name="_Toc8279_WPSOffice_Level3"/>
      <w:bookmarkStart w:id="800" w:name="_Toc14712_WPSOffice_Level3"/>
      <w:bookmarkStart w:id="801" w:name="_Toc1655_WPSOffice_Level3"/>
      <w:bookmarkStart w:id="802" w:name="_Toc4323_WPSOffice_Level3"/>
      <w:bookmarkStart w:id="803" w:name="_Toc7943_WPSOffice_Level3"/>
      <w:r>
        <w:rPr>
          <w:rFonts w:ascii="Times New Roman" w:hAnsi="Times New Roman" w:cs="Times New Roman"/>
          <w:b/>
          <w:color w:val="000000" w:themeColor="text1"/>
          <w:kern w:val="0"/>
          <w:sz w:val="24"/>
          <w:szCs w:val="24"/>
          <w14:textFill>
            <w14:solidFill>
              <w14:schemeClr w14:val="tx1"/>
            </w14:solidFill>
          </w14:textFill>
        </w:rPr>
        <w:t>（1）应急终止条件</w:t>
      </w:r>
      <w:bookmarkEnd w:id="799"/>
      <w:bookmarkEnd w:id="800"/>
      <w:bookmarkEnd w:id="801"/>
      <w:bookmarkEnd w:id="802"/>
      <w:bookmarkEnd w:id="803"/>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符合下列条件之一的，即满足应急终止条件：</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事故现场得到控制，事故条件已经消除；</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污染源的泄漏或释放已降至规定限值以内；</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事故所造成的危害已经被彻底消除，无继发可能；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4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事故现场的各种专业应急处置行动已无继续的必要；</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5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采取了必要的防护措施以保护公众免受再次危害，并使事件可能引起的中长期影响趋于合理且尽量低的水平。</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804" w:name="_Toc16140_WPSOffice_Level3"/>
      <w:bookmarkStart w:id="805" w:name="_Toc28024_WPSOffice_Level3"/>
      <w:bookmarkStart w:id="806" w:name="_Toc28169_WPSOffice_Level3"/>
      <w:bookmarkStart w:id="807" w:name="_Toc9024_WPSOffice_Level3"/>
      <w:bookmarkStart w:id="808" w:name="_Toc10158_WPSOffice_Level3"/>
      <w:r>
        <w:rPr>
          <w:rFonts w:ascii="Times New Roman" w:hAnsi="Times New Roman" w:cs="Times New Roman"/>
          <w:b/>
          <w:color w:val="000000" w:themeColor="text1"/>
          <w:kern w:val="0"/>
          <w:sz w:val="24"/>
          <w:szCs w:val="24"/>
          <w14:textFill>
            <w14:solidFill>
              <w14:schemeClr w14:val="tx1"/>
            </w14:solidFill>
          </w14:textFill>
        </w:rPr>
        <w:t>（2）应急终止程序</w:t>
      </w:r>
      <w:bookmarkEnd w:id="804"/>
      <w:bookmarkEnd w:id="805"/>
      <w:bookmarkEnd w:id="806"/>
      <w:bookmarkEnd w:id="807"/>
      <w:bookmarkEnd w:id="808"/>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现场救援指挥部确认终止时机，或事件责任单位提出，经现场救援指挥部批准；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现场救援指挥部向所属各专业应急救援队伍下达应急终止命令；</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3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应急状态终止后，相关类别环境事件专业应急指挥部应根据公司有关指示和实际情况，继续进行环境监测和评价工作，直至其他补救措施无需继续进行为止。</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809" w:name="_Toc19554"/>
      <w:bookmarkStart w:id="810" w:name="_Toc29892_WPSOffice_Level2"/>
      <w:bookmarkStart w:id="811" w:name="_Toc19028_WPSOffice_Level2"/>
      <w:bookmarkStart w:id="812" w:name="_Toc5038"/>
      <w:bookmarkStart w:id="813" w:name="_Toc5278"/>
      <w:bookmarkStart w:id="814" w:name="_Toc25049_WPSOffice_Level2"/>
      <w:bookmarkStart w:id="815" w:name="_Toc3603_WPSOffice_Level2"/>
      <w:bookmarkStart w:id="816" w:name="_Toc13933_WPSOffice_Level2"/>
      <w:bookmarkStart w:id="817" w:name="_Toc28530"/>
      <w:r>
        <w:rPr>
          <w:rFonts w:ascii="Times New Roman" w:hAnsi="Times New Roman" w:cs="Times New Roman"/>
          <w:b/>
          <w:bCs/>
          <w:color w:val="000000" w:themeColor="text1"/>
          <w:sz w:val="24"/>
          <w:szCs w:val="24"/>
          <w14:textFill>
            <w14:solidFill>
              <w14:schemeClr w14:val="tx1"/>
            </w14:solidFill>
          </w14:textFill>
        </w:rPr>
        <w:t>7.6应急终止后的行动</w:t>
      </w:r>
      <w:bookmarkEnd w:id="809"/>
      <w:bookmarkEnd w:id="810"/>
      <w:bookmarkEnd w:id="811"/>
      <w:bookmarkEnd w:id="812"/>
      <w:bookmarkEnd w:id="813"/>
      <w:bookmarkEnd w:id="814"/>
      <w:bookmarkEnd w:id="815"/>
      <w:bookmarkEnd w:id="816"/>
      <w:bookmarkEnd w:id="817"/>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）环境应急指挥部指导有关部门及突发环境事件单位查找事件原因，防止类似问题的重复出现。</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）有关类别环境事件专业主管部门负责编制特别重大、重大环境事件总结报告，于应急终止后上报。</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3</w:t>
      </w:r>
      <w:r>
        <w:rPr>
          <w:rFonts w:ascii="Times New Roman" w:hAnsi="Times New Roman" w:cs="Times New Roman"/>
          <w:color w:val="000000" w:themeColor="text1"/>
          <w:kern w:val="0"/>
          <w:sz w:val="24"/>
          <w:szCs w:val="24"/>
          <w:lang w:val="zh-CN"/>
          <w14:textFill>
            <w14:solidFill>
              <w14:schemeClr w14:val="tx1"/>
            </w14:solidFill>
          </w14:textFill>
        </w:rPr>
        <w:t>）应急过程评价。由加油站应急救援办公室或当地环保部门组织有关专家，会同事发地相关部门组织实施。</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）根据实践经验，有关类别环境事件专业主管部门负责组织对应急预案进行评估，并及时修订环境应急预案。</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lang w:val="zh-CN"/>
          <w14:textFill>
            <w14:solidFill>
              <w14:schemeClr w14:val="tx1"/>
            </w14:solidFill>
          </w14:textFill>
        </w:rPr>
        <w:t>）参加应急行动的部门负责组织、指导环境应急队伍维护、保养应急仪器设备，使之始终保持良好的技术状态。</w:t>
      </w:r>
      <w:bookmarkStart w:id="818" w:name="_Toc20020"/>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lang w:val="zh-CN"/>
          <w14:textFill>
            <w14:solidFill>
              <w14:schemeClr w14:val="tx1"/>
            </w14:solidFill>
          </w14:textFill>
        </w:rPr>
      </w:pPr>
      <w:bookmarkStart w:id="819" w:name="_Toc4588"/>
      <w:bookmarkStart w:id="820" w:name="_Toc74_WPSOffice_Level2"/>
      <w:bookmarkStart w:id="821" w:name="_Toc9606"/>
      <w:bookmarkStart w:id="822" w:name="_Toc25148_WPSOffice_Level2"/>
      <w:bookmarkStart w:id="823" w:name="_Toc29776_WPSOffice_Level2"/>
      <w:bookmarkStart w:id="824" w:name="_Toc8539_WPSOffice_Level2"/>
      <w:bookmarkStart w:id="825" w:name="_Toc31093"/>
      <w:bookmarkStart w:id="826" w:name="_Toc2964_WPSOffice_Level2"/>
      <w:bookmarkStart w:id="827" w:name="_Toc9830"/>
      <w:r>
        <w:rPr>
          <w:rFonts w:ascii="Times New Roman" w:hAnsi="Times New Roman" w:cs="Times New Roman"/>
          <w:b/>
          <w:bCs/>
          <w:color w:val="000000" w:themeColor="text1"/>
          <w:sz w:val="24"/>
          <w:szCs w:val="24"/>
          <w14:textFill>
            <w14:solidFill>
              <w14:schemeClr w14:val="tx1"/>
            </w14:solidFill>
          </w14:textFill>
        </w:rPr>
        <w:t>7.7应急</w:t>
      </w:r>
      <w:bookmarkEnd w:id="819"/>
      <w:r>
        <w:rPr>
          <w:rFonts w:ascii="Times New Roman" w:hAnsi="Times New Roman" w:cs="Times New Roman"/>
          <w:b/>
          <w:bCs/>
          <w:color w:val="000000" w:themeColor="text1"/>
          <w:sz w:val="24"/>
          <w:szCs w:val="24"/>
          <w14:textFill>
            <w14:solidFill>
              <w14:schemeClr w14:val="tx1"/>
            </w14:solidFill>
          </w14:textFill>
        </w:rPr>
        <w:t>安全</w:t>
      </w:r>
      <w:bookmarkEnd w:id="820"/>
      <w:bookmarkEnd w:id="821"/>
      <w:bookmarkEnd w:id="822"/>
      <w:bookmarkEnd w:id="823"/>
      <w:bookmarkEnd w:id="824"/>
      <w:bookmarkEnd w:id="825"/>
      <w:bookmarkEnd w:id="826"/>
      <w:bookmarkEnd w:id="827"/>
    </w:p>
    <w:bookmarkEnd w:id="818"/>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828" w:name="_Toc29776_WPSOffice_Level3"/>
      <w:bookmarkStart w:id="829" w:name="_Toc2836"/>
      <w:bookmarkStart w:id="830" w:name="_Toc24015"/>
      <w:bookmarkStart w:id="831" w:name="_Toc12542"/>
      <w:bookmarkStart w:id="832" w:name="_Toc4102_WPSOffice_Level3"/>
      <w:bookmarkStart w:id="833" w:name="_Toc24098_WPSOffice_Level3"/>
      <w:bookmarkStart w:id="834" w:name="_Toc16150_WPSOffice_Level3"/>
      <w:bookmarkStart w:id="835" w:name="_Toc27451_WPSOffice_Level3"/>
      <w:bookmarkStart w:id="836" w:name="_Toc1633"/>
      <w:r>
        <w:rPr>
          <w:rFonts w:ascii="Times New Roman" w:hAnsi="Times New Roman" w:cs="Times New Roman"/>
          <w:b/>
          <w:color w:val="000000" w:themeColor="text1"/>
          <w:sz w:val="24"/>
          <w:szCs w:val="24"/>
          <w14:textFill>
            <w14:solidFill>
              <w14:schemeClr w14:val="tx1"/>
            </w14:solidFill>
          </w14:textFill>
        </w:rPr>
        <w:t>7.7.1应急人员的安全防护</w:t>
      </w:r>
      <w:bookmarkEnd w:id="828"/>
      <w:bookmarkEnd w:id="829"/>
      <w:bookmarkEnd w:id="830"/>
      <w:bookmarkEnd w:id="831"/>
      <w:bookmarkEnd w:id="832"/>
      <w:bookmarkEnd w:id="833"/>
      <w:bookmarkEnd w:id="834"/>
      <w:bookmarkEnd w:id="835"/>
      <w:bookmarkEnd w:id="83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突发环境事件应急领导小组统一购置环保安全现场处置人员相应的专业防护装备，分发各个环保安全人员保管。</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突发环境事件应急领导小组定期组织环保安全人员进行培训和演练，培训内容主要包括安全防护措施及现场处理，并对对应急人员出入事发现场程序进行演练。</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837" w:name="_Toc11037_WPSOffice_Level3"/>
      <w:bookmarkStart w:id="838" w:name="_Toc14134_WPSOffice_Level3"/>
      <w:bookmarkStart w:id="839" w:name="_Toc3235_WPSOffice_Level3"/>
      <w:bookmarkStart w:id="840" w:name="_Toc14826"/>
      <w:bookmarkStart w:id="841" w:name="_Toc14868"/>
      <w:bookmarkStart w:id="842" w:name="_Toc7757_WPSOffice_Level3"/>
      <w:bookmarkStart w:id="843" w:name="_Toc6595_WPSOffice_Level3"/>
      <w:bookmarkStart w:id="844" w:name="_Toc23752"/>
      <w:bookmarkStart w:id="845" w:name="_Toc24344"/>
      <w:r>
        <w:rPr>
          <w:rFonts w:ascii="Times New Roman" w:hAnsi="Times New Roman" w:cs="Times New Roman"/>
          <w:b/>
          <w:color w:val="000000" w:themeColor="text1"/>
          <w:sz w:val="24"/>
          <w:szCs w:val="24"/>
          <w14:textFill>
            <w14:solidFill>
              <w14:schemeClr w14:val="tx1"/>
            </w14:solidFill>
          </w14:textFill>
        </w:rPr>
        <w:t>7.7.2受灾群众的安全防护</w:t>
      </w:r>
      <w:bookmarkEnd w:id="837"/>
      <w:bookmarkEnd w:id="838"/>
      <w:bookmarkEnd w:id="839"/>
      <w:bookmarkEnd w:id="840"/>
      <w:bookmarkEnd w:id="841"/>
      <w:bookmarkEnd w:id="842"/>
      <w:bookmarkEnd w:id="843"/>
      <w:bookmarkEnd w:id="844"/>
      <w:bookmarkEnd w:id="845"/>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根据突发重大环境事件的性质、特点，及时告知周围群众并采取相应安全防护措施，请求上级部门进行支援。</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根据事发时当地的气象、地理环境、人员密集度等，确定群众疏散的方式，指定有关部门组织群众安全疏散撤离；</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在事发地安全边界以外，设立紧急避难场所。</w:t>
      </w:r>
    </w:p>
    <w:p>
      <w:pPr>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846" w:name="_Toc14446"/>
      <w:bookmarkStart w:id="847" w:name="_Toc7757_WPSOffice_Level1"/>
      <w:bookmarkStart w:id="848" w:name="_Toc15176"/>
      <w:bookmarkStart w:id="849" w:name="_Toc30056_WPSOffice_Level1"/>
      <w:bookmarkStart w:id="850" w:name="_Toc5273"/>
      <w:bookmarkStart w:id="851" w:name="_Toc2311"/>
      <w:bookmarkStart w:id="852" w:name="_Toc21755_WPSOffice_Level1"/>
      <w:bookmarkStart w:id="853" w:name="_Toc18784_WPSOffice_Level1"/>
      <w:bookmarkStart w:id="854" w:name="_Toc20158_WPSOffice_Level1"/>
      <w:bookmarkStart w:id="855" w:name="_Toc5484"/>
      <w:r>
        <w:rPr>
          <w:rFonts w:ascii="Times New Roman" w:hAnsi="Times New Roman" w:cs="Times New Roman"/>
          <w:b/>
          <w:bCs/>
          <w:color w:val="000000" w:themeColor="text1"/>
          <w:kern w:val="44"/>
          <w:sz w:val="30"/>
          <w:szCs w:val="30"/>
          <w14:textFill>
            <w14:solidFill>
              <w14:schemeClr w14:val="tx1"/>
            </w14:solidFill>
          </w14:textFill>
        </w:rPr>
        <w:t>8、保障</w:t>
      </w:r>
      <w:bookmarkEnd w:id="846"/>
      <w:r>
        <w:rPr>
          <w:rFonts w:ascii="Times New Roman" w:hAnsi="Times New Roman" w:cs="Times New Roman"/>
          <w:b/>
          <w:bCs/>
          <w:color w:val="000000" w:themeColor="text1"/>
          <w:kern w:val="44"/>
          <w:sz w:val="30"/>
          <w:szCs w:val="30"/>
          <w14:textFill>
            <w14:solidFill>
              <w14:schemeClr w14:val="tx1"/>
            </w14:solidFill>
          </w14:textFill>
        </w:rPr>
        <w:t>措施</w:t>
      </w:r>
      <w:bookmarkEnd w:id="847"/>
      <w:bookmarkEnd w:id="848"/>
      <w:bookmarkEnd w:id="849"/>
      <w:bookmarkEnd w:id="850"/>
      <w:bookmarkEnd w:id="851"/>
      <w:bookmarkEnd w:id="852"/>
      <w:bookmarkEnd w:id="853"/>
      <w:bookmarkEnd w:id="854"/>
      <w:bookmarkEnd w:id="855"/>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856" w:name="_Toc641_WPSOffice_Level2"/>
      <w:bookmarkStart w:id="857" w:name="_Toc18505_WPSOffice_Level2"/>
      <w:bookmarkStart w:id="858" w:name="_Toc30564"/>
      <w:bookmarkStart w:id="859" w:name="_Toc15556_WPSOffice_Level2"/>
      <w:bookmarkStart w:id="860" w:name="_Toc17795"/>
      <w:bookmarkStart w:id="861" w:name="_Toc26783_WPSOffice_Level2"/>
      <w:bookmarkStart w:id="862" w:name="_Toc30980"/>
      <w:bookmarkStart w:id="863" w:name="_Toc1412_WPSOffice_Level2"/>
      <w:bookmarkStart w:id="864" w:name="_Toc29112"/>
      <w:bookmarkStart w:id="865" w:name="_Toc304896961"/>
      <w:bookmarkStart w:id="866" w:name="_Toc24065"/>
      <w:r>
        <w:rPr>
          <w:rFonts w:ascii="Times New Roman" w:hAnsi="Times New Roman" w:cs="Times New Roman"/>
          <w:b/>
          <w:bCs/>
          <w:color w:val="000000" w:themeColor="text1"/>
          <w:sz w:val="24"/>
          <w:szCs w:val="24"/>
          <w14:textFill>
            <w14:solidFill>
              <w14:schemeClr w14:val="tx1"/>
            </w14:solidFill>
          </w14:textFill>
        </w:rPr>
        <w:t>8.1通信与信息保障</w:t>
      </w:r>
      <w:bookmarkEnd w:id="856"/>
      <w:bookmarkEnd w:id="857"/>
      <w:bookmarkEnd w:id="858"/>
      <w:bookmarkEnd w:id="859"/>
      <w:bookmarkEnd w:id="860"/>
      <w:bookmarkEnd w:id="861"/>
      <w:bookmarkEnd w:id="862"/>
      <w:bookmarkEnd w:id="863"/>
      <w:bookmarkEnd w:id="86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一旦发生事故，加油站内部使用加油站内部电话联系，外部使用移动电话、固定电话等。</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应急领导小组设置24小时应急电话，并有专人值守，各个应急领导小组成员电话务必24小时处于可以接通状态。联系方式见附件</w:t>
      </w:r>
      <w:r>
        <w:rPr>
          <w:rFonts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lang w:val="zh-CN"/>
          <w14:textFill>
            <w14:solidFill>
              <w14:schemeClr w14:val="tx1"/>
            </w14:solidFill>
          </w14:textFill>
        </w:rPr>
        <w:t>：</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867" w:name="_Toc12119_WPSOffice_Level2"/>
      <w:bookmarkStart w:id="868" w:name="_Toc28867"/>
      <w:bookmarkStart w:id="869" w:name="_Toc1353_WPSOffice_Level2"/>
      <w:bookmarkStart w:id="870" w:name="_Toc12250"/>
      <w:bookmarkStart w:id="871" w:name="_Toc29253_WPSOffice_Level2"/>
      <w:bookmarkStart w:id="872" w:name="_Toc11026_WPSOffice_Level2"/>
      <w:bookmarkStart w:id="873" w:name="_Toc25446_WPSOffice_Level2"/>
      <w:bookmarkStart w:id="874" w:name="_Toc5121"/>
      <w:bookmarkStart w:id="875" w:name="_Toc23790"/>
      <w:r>
        <w:rPr>
          <w:rFonts w:ascii="Times New Roman" w:hAnsi="Times New Roman" w:cs="Times New Roman"/>
          <w:b/>
          <w:bCs/>
          <w:color w:val="000000" w:themeColor="text1"/>
          <w:sz w:val="24"/>
          <w:szCs w:val="24"/>
          <w14:textFill>
            <w14:solidFill>
              <w14:schemeClr w14:val="tx1"/>
            </w14:solidFill>
          </w14:textFill>
        </w:rPr>
        <w:t>8.2应急队伍保障</w:t>
      </w:r>
      <w:bookmarkEnd w:id="865"/>
      <w:bookmarkEnd w:id="866"/>
      <w:bookmarkEnd w:id="867"/>
      <w:bookmarkEnd w:id="868"/>
      <w:bookmarkEnd w:id="869"/>
      <w:bookmarkEnd w:id="870"/>
      <w:bookmarkEnd w:id="871"/>
      <w:bookmarkEnd w:id="872"/>
      <w:bookmarkEnd w:id="873"/>
      <w:bookmarkEnd w:id="874"/>
      <w:bookmarkEnd w:id="875"/>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成立突发环境事件应急领导小组，分别对加油站废水、危险废物、汽油等储存区、加油区设立专门的环保管理队伍，设有环保应急后勤管理队伍；</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定期进行突发环保事件应急救援单项演练、综合演练；</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w:t>
      </w:r>
      <w:r>
        <w:rPr>
          <w:rFonts w:ascii="Times New Roman" w:hAnsi="Times New Roman" w:cs="Times New Roman"/>
          <w:color w:val="000000" w:themeColor="text1"/>
          <w:kern w:val="0"/>
          <w:sz w:val="24"/>
          <w:szCs w:val="24"/>
          <w:lang w:val="zh-CN"/>
          <w14:textFill>
            <w14:solidFill>
              <w14:schemeClr w14:val="tx1"/>
            </w14:solidFill>
          </w14:textFill>
        </w:rPr>
        <w:t>及时传达上级环保、安全及其他相关部门的要求及法律法规精神；</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有计划的向相关专家进行环保安全咨询服务。</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（5）</w:t>
      </w:r>
      <w:r>
        <w:rPr>
          <w:rFonts w:ascii="Times New Roman" w:hAnsi="Times New Roman" w:cs="Times New Roman"/>
          <w:color w:val="000000" w:themeColor="text1"/>
          <w:kern w:val="0"/>
          <w:sz w:val="24"/>
          <w:szCs w:val="24"/>
          <w:lang w:val="zh-CN"/>
          <w14:textFill>
            <w14:solidFill>
              <w14:schemeClr w14:val="tx1"/>
            </w14:solidFill>
          </w14:textFill>
        </w:rPr>
        <w:t>加大环保宣传力度。加油站为普及环境污染事件预防常识，编印、发放有毒有害物质污染公众防护宣传单，增强公众的防范意识和相关心理准备，提高公众的防范能力。</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876" w:name="_Toc9268"/>
      <w:bookmarkStart w:id="877" w:name="_Toc8076_WPSOffice_Level2"/>
      <w:bookmarkStart w:id="878" w:name="_Toc304896962"/>
      <w:bookmarkStart w:id="879" w:name="_Toc14964_WPSOffice_Level2"/>
      <w:bookmarkStart w:id="880" w:name="_Toc2057"/>
      <w:bookmarkStart w:id="881" w:name="_Toc6733_WPSOffice_Level2"/>
      <w:bookmarkStart w:id="882" w:name="_Toc7595_WPSOffice_Level2"/>
      <w:bookmarkStart w:id="883" w:name="_Toc23787"/>
      <w:bookmarkStart w:id="884" w:name="_Toc17206"/>
      <w:bookmarkStart w:id="885" w:name="_Toc19041_WPSOffice_Level2"/>
      <w:bookmarkStart w:id="886" w:name="_Toc24875"/>
      <w:r>
        <w:rPr>
          <w:rFonts w:ascii="Times New Roman" w:hAnsi="Times New Roman" w:cs="Times New Roman"/>
          <w:b/>
          <w:bCs/>
          <w:color w:val="000000" w:themeColor="text1"/>
          <w:sz w:val="24"/>
          <w:szCs w:val="24"/>
          <w14:textFill>
            <w14:solidFill>
              <w14:schemeClr w14:val="tx1"/>
            </w14:solidFill>
          </w14:textFill>
        </w:rPr>
        <w:t>8.3应急物资装备保障</w:t>
      </w:r>
      <w:bookmarkEnd w:id="876"/>
      <w:bookmarkEnd w:id="877"/>
      <w:bookmarkEnd w:id="878"/>
      <w:bookmarkEnd w:id="879"/>
      <w:bookmarkEnd w:id="880"/>
      <w:bookmarkEnd w:id="881"/>
      <w:bookmarkEnd w:id="882"/>
      <w:bookmarkEnd w:id="883"/>
      <w:bookmarkEnd w:id="884"/>
      <w:bookmarkEnd w:id="885"/>
      <w:bookmarkEnd w:id="88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）各环保队配有专门的环保安全防护器材，并由环保后勤保障组负责统一采购和发放；</w:t>
      </w:r>
      <w:r>
        <w:rPr>
          <w:rFonts w:ascii="Times New Roman" w:hAnsi="Times New Roman" w:cs="Times New Roman"/>
          <w:color w:val="000000" w:themeColor="text1"/>
          <w:kern w:val="0"/>
          <w:sz w:val="24"/>
          <w:szCs w:val="24"/>
          <w14:textFill>
            <w14:solidFill>
              <w14:schemeClr w14:val="tx1"/>
            </w14:solidFill>
          </w14:textFill>
        </w:rPr>
        <w:t>应急救援装备，物资药品（包括危险废物运输车辆的安全）、到期药品，器材及时更换，不足救援物资及时补齐，失效过期消防器材及时更换。</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w:t>
      </w: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）按相关规范要求，加油站内配置消防沙、灭火器器材；加油人员配备的防护用品等。</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（3）应急电源，照明，加油站自备照明：8个。</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887" w:name="_Toc30581_WPSOffice_Level3"/>
      <w:bookmarkStart w:id="888" w:name="_Toc26877_WPSOffice_Level3"/>
      <w:bookmarkStart w:id="889" w:name="_Toc24259_WPSOffice_Level3"/>
      <w:bookmarkStart w:id="890" w:name="_Toc7234_WPSOffice_Level3"/>
      <w:bookmarkStart w:id="891" w:name="_Toc3683_WPSOffice_Level3"/>
      <w:r>
        <w:rPr>
          <w:rFonts w:ascii="Times New Roman" w:hAnsi="Times New Roman" w:cs="Times New Roman"/>
          <w:color w:val="000000" w:themeColor="text1"/>
          <w:kern w:val="0"/>
          <w:sz w:val="24"/>
          <w:szCs w:val="24"/>
          <w14:textFill>
            <w14:solidFill>
              <w14:schemeClr w14:val="tx1"/>
            </w14:solidFill>
          </w14:textFill>
        </w:rPr>
        <w:t>（5）应急救援装备，物资，药品等。</w:t>
      </w:r>
      <w:bookmarkEnd w:id="887"/>
      <w:bookmarkEnd w:id="888"/>
      <w:bookmarkEnd w:id="889"/>
      <w:bookmarkEnd w:id="890"/>
      <w:bookmarkEnd w:id="891"/>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892" w:name="_Toc27581"/>
      <w:bookmarkStart w:id="893" w:name="_Toc304896963"/>
      <w:bookmarkStart w:id="894" w:name="_Toc10182_WPSOffice_Level2"/>
      <w:bookmarkStart w:id="895" w:name="_Toc29972_WPSOffice_Level2"/>
      <w:bookmarkStart w:id="896" w:name="_Toc30549_WPSOffice_Level2"/>
      <w:bookmarkStart w:id="897" w:name="_Toc9323"/>
      <w:bookmarkStart w:id="898" w:name="_Toc20124"/>
      <w:bookmarkStart w:id="899" w:name="_Toc12589"/>
      <w:bookmarkStart w:id="900" w:name="_Toc17982_WPSOffice_Level2"/>
      <w:bookmarkStart w:id="901" w:name="_Toc17886_WPSOffice_Level2"/>
      <w:bookmarkStart w:id="902" w:name="_Toc28750"/>
      <w:r>
        <w:rPr>
          <w:rFonts w:ascii="Times New Roman" w:hAnsi="Times New Roman" w:cs="Times New Roman"/>
          <w:b/>
          <w:bCs/>
          <w:color w:val="000000" w:themeColor="text1"/>
          <w:sz w:val="24"/>
          <w:szCs w:val="24"/>
          <w14:textFill>
            <w14:solidFill>
              <w14:schemeClr w14:val="tx1"/>
            </w14:solidFill>
          </w14:textFill>
        </w:rPr>
        <w:t>8.</w:t>
      </w:r>
      <w:bookmarkEnd w:id="892"/>
      <w:bookmarkEnd w:id="893"/>
      <w:r>
        <w:rPr>
          <w:rFonts w:ascii="Times New Roman" w:hAnsi="Times New Roman" w:cs="Times New Roman"/>
          <w:b/>
          <w:bCs/>
          <w:color w:val="000000" w:themeColor="text1"/>
          <w:sz w:val="24"/>
          <w:szCs w:val="24"/>
          <w14:textFill>
            <w14:solidFill>
              <w14:schemeClr w14:val="tx1"/>
            </w14:solidFill>
          </w14:textFill>
        </w:rPr>
        <w:t>4经费保障</w:t>
      </w:r>
      <w:bookmarkEnd w:id="894"/>
      <w:bookmarkEnd w:id="895"/>
      <w:bookmarkEnd w:id="896"/>
      <w:bookmarkEnd w:id="897"/>
      <w:bookmarkEnd w:id="898"/>
      <w:bookmarkEnd w:id="899"/>
      <w:bookmarkEnd w:id="900"/>
      <w:bookmarkEnd w:id="901"/>
      <w:bookmarkEnd w:id="902"/>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应急救援指挥部由公司加油站站长负责管理和协调，每年安排专项资金保障《突发环境事件应急预案》的实施；保证在事故应急救援中，交通运输、受伤人员医疗、现场事故处理和维修技术等各方面所需资金的充足和合理利用。</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903" w:name="_Toc7140"/>
      <w:bookmarkStart w:id="904" w:name="_Toc304896964"/>
      <w:bookmarkStart w:id="905" w:name="_Toc18104_WPSOffice_Level2"/>
      <w:bookmarkStart w:id="906" w:name="_Toc25204_WPSOffice_Level2"/>
      <w:bookmarkStart w:id="907" w:name="_Toc727"/>
      <w:bookmarkStart w:id="908" w:name="_Toc22001_WPSOffice_Level2"/>
      <w:bookmarkStart w:id="909" w:name="_Toc10390"/>
      <w:bookmarkStart w:id="910" w:name="_Toc21623_WPSOffice_Level2"/>
      <w:bookmarkStart w:id="911" w:name="_Toc32238"/>
      <w:bookmarkStart w:id="912" w:name="_Toc14482_WPSOffice_Level2"/>
      <w:bookmarkStart w:id="913" w:name="_Toc26374"/>
      <w:r>
        <w:rPr>
          <w:rFonts w:ascii="Times New Roman" w:hAnsi="Times New Roman" w:cs="Times New Roman"/>
          <w:b/>
          <w:bCs/>
          <w:color w:val="000000" w:themeColor="text1"/>
          <w:sz w:val="24"/>
          <w:szCs w:val="24"/>
          <w14:textFill>
            <w14:solidFill>
              <w14:schemeClr w14:val="tx1"/>
            </w14:solidFill>
          </w14:textFill>
        </w:rPr>
        <w:t>8.5应急技术</w:t>
      </w:r>
      <w:bookmarkEnd w:id="903"/>
      <w:bookmarkEnd w:id="904"/>
      <w:r>
        <w:rPr>
          <w:rFonts w:ascii="Times New Roman" w:hAnsi="Times New Roman" w:cs="Times New Roman"/>
          <w:b/>
          <w:bCs/>
          <w:color w:val="000000" w:themeColor="text1"/>
          <w:sz w:val="24"/>
          <w:szCs w:val="24"/>
          <w14:textFill>
            <w14:solidFill>
              <w14:schemeClr w14:val="tx1"/>
            </w14:solidFill>
          </w14:textFill>
        </w:rPr>
        <w:t>保障</w:t>
      </w:r>
      <w:bookmarkEnd w:id="905"/>
      <w:bookmarkEnd w:id="906"/>
      <w:bookmarkEnd w:id="907"/>
      <w:bookmarkEnd w:id="908"/>
      <w:bookmarkEnd w:id="909"/>
      <w:bookmarkEnd w:id="910"/>
      <w:bookmarkEnd w:id="911"/>
      <w:bookmarkEnd w:id="912"/>
      <w:bookmarkEnd w:id="913"/>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中国石油天然气股份有限公司江西南昌启航加油站</w:t>
      </w:r>
      <w:r>
        <w:rPr>
          <w:rFonts w:ascii="Times New Roman" w:hAnsi="Times New Roman" w:cs="Times New Roman"/>
          <w:color w:val="000000" w:themeColor="text1"/>
          <w:kern w:val="0"/>
          <w:sz w:val="24"/>
          <w:szCs w:val="24"/>
          <w:lang w:val="zh-CN"/>
          <w14:textFill>
            <w14:solidFill>
              <w14:schemeClr w14:val="tx1"/>
            </w14:solidFill>
          </w14:textFill>
        </w:rPr>
        <w:t>突发环境事件应急领导小组主要处理单位内部突发环境事件，随时投入应急的后续支援和提供技术支援，确保在启动预警前、事件发生后相关环境专家能迅速到位，为指挥决策提供服务。</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914" w:name="_Toc18070_WPSOffice_Level2"/>
      <w:bookmarkStart w:id="915" w:name="_Toc8333_WPSOffice_Level2"/>
      <w:bookmarkStart w:id="916" w:name="_Toc20536"/>
      <w:bookmarkStart w:id="917" w:name="_Toc20562"/>
      <w:bookmarkStart w:id="918" w:name="_Toc28731_WPSOffice_Level2"/>
      <w:bookmarkStart w:id="919" w:name="_Toc23370_WPSOffice_Level2"/>
      <w:bookmarkStart w:id="920" w:name="_Toc21894"/>
      <w:bookmarkStart w:id="921" w:name="_Toc19091_WPSOffice_Level2"/>
      <w:bookmarkStart w:id="922" w:name="_Toc28522"/>
      <w:r>
        <w:rPr>
          <w:rFonts w:ascii="Times New Roman" w:hAnsi="Times New Roman" w:cs="Times New Roman"/>
          <w:b/>
          <w:bCs/>
          <w:color w:val="000000" w:themeColor="text1"/>
          <w:sz w:val="24"/>
          <w:szCs w:val="24"/>
          <w14:textFill>
            <w14:solidFill>
              <w14:schemeClr w14:val="tx1"/>
            </w14:solidFill>
          </w14:textFill>
        </w:rPr>
        <w:t>8.6应急救援保障</w:t>
      </w:r>
      <w:bookmarkEnd w:id="914"/>
      <w:bookmarkEnd w:id="915"/>
      <w:bookmarkEnd w:id="916"/>
      <w:bookmarkEnd w:id="917"/>
      <w:bookmarkEnd w:id="918"/>
      <w:bookmarkEnd w:id="919"/>
      <w:bookmarkEnd w:id="920"/>
      <w:bookmarkEnd w:id="921"/>
      <w:bookmarkEnd w:id="922"/>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923" w:name="_Toc12178_WPSOffice_Level3"/>
      <w:bookmarkStart w:id="924" w:name="_Toc27762_WPSOffice_Level3"/>
      <w:bookmarkStart w:id="925" w:name="_Toc6017_WPSOffice_Level3"/>
      <w:bookmarkStart w:id="926" w:name="_Toc6711_WPSOffice_Level3"/>
      <w:bookmarkStart w:id="927" w:name="_Toc27419_WPSOffice_Level3"/>
      <w:r>
        <w:rPr>
          <w:rFonts w:ascii="Times New Roman" w:hAnsi="Times New Roman" w:cs="Times New Roman"/>
          <w:b/>
          <w:color w:val="000000" w:themeColor="text1"/>
          <w:kern w:val="0"/>
          <w:sz w:val="24"/>
          <w:szCs w:val="24"/>
          <w14:textFill>
            <w14:solidFill>
              <w14:schemeClr w14:val="tx1"/>
            </w14:solidFill>
          </w14:textFill>
        </w:rPr>
        <w:t>A、内部保障</w:t>
      </w:r>
      <w:bookmarkEnd w:id="923"/>
      <w:bookmarkEnd w:id="924"/>
      <w:bookmarkEnd w:id="925"/>
      <w:bookmarkEnd w:id="926"/>
      <w:bookmarkEnd w:id="927"/>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（1）确定应急救援队伍，包括抢修、现场救护、医疗、治安、消防、交通管理、通讯、供应、运输、后勤等人员。</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应急救援队伍以事故应急救援队办公室为龙头，安排各有关部门人员参加，针对事故现场设置应急办公室、物资后勤保障组等。</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（2）现场平面布置图、消防设施配置图、危险化学品安全技术说明书、气象资料等由加油站办公室负责收集，原件由资料员统一保管，复印件交办公室和副指挥长分别留存。</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（3）应急通信系统</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以电话联系为主，并派专人落实和实施</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总经理、站长电话、应急救援办公室负责人电话、物资后勤保障组负责人电话：看附件5</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928" w:name="_Toc24961_WPSOffice_Level3"/>
      <w:bookmarkStart w:id="929" w:name="_Toc391_WPSOffice_Level3"/>
      <w:bookmarkStart w:id="930" w:name="_Toc20936_WPSOffice_Level3"/>
      <w:bookmarkStart w:id="931" w:name="_Toc17778_WPSOffice_Level3"/>
      <w:bookmarkStart w:id="932" w:name="_Toc4695_WPSOffice_Level3"/>
      <w:r>
        <w:rPr>
          <w:rFonts w:ascii="Times New Roman" w:hAnsi="Times New Roman" w:cs="Times New Roman"/>
          <w:b/>
          <w:color w:val="000000" w:themeColor="text1"/>
          <w:kern w:val="0"/>
          <w:sz w:val="24"/>
          <w:szCs w:val="24"/>
          <w14:textFill>
            <w14:solidFill>
              <w14:schemeClr w14:val="tx1"/>
            </w14:solidFill>
          </w14:textFill>
        </w:rPr>
        <w:t>B、保障制度</w:t>
      </w:r>
      <w:bookmarkEnd w:id="928"/>
      <w:bookmarkEnd w:id="929"/>
      <w:bookmarkEnd w:id="930"/>
      <w:bookmarkEnd w:id="931"/>
      <w:bookmarkEnd w:id="932"/>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为了能在事故发生后，迅速、准确、有效地进行处理，必须制定好“突发环境事件应急救援预案”，做好应急救援的各项准备工作，对加油站全体职工进行经常性的应急救援常识教育，落实岗位责任制和各项规章制度；同时还应建立以下相应制度：</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（1）值班制度：建立24小时值班制度，夜间由行政值班负责，遇有问题及时处理。每班由值班长负责巡视检查、记录，发现异常情况及时向安全员汇报，值班人员全天打开手机，应对各种异常情况。</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（2）检查制度：每月由加油站应急救援指挥领导小组结合加油站环保工作，检查应急救援工作情况。发现问题及时整改。</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（3）例会制度：每季度由突发环境事件应急救援指挥领导小组组织召开一次指挥组成员和各救援队伍负责人会议，检查上季度工作，并针对存在的问题，积极采取有效措施，加以改进。</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（4）必须让每个班组的加油人员熟悉事故的处置方法，提高处置事故的能力，加油站综合性的演练由指挥部每年组织一次，对工作突出者要给予表彰和奖励。</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（5）培训制度</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事故应急救援队队员定期参加公司加油站内部同南昌市有关部门组织的应急救援培训，熟悉应急救援知识，熟练使用各种应急救援器材。</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bookmarkStart w:id="933" w:name="_Toc24424_WPSOffice_Level3"/>
      <w:bookmarkStart w:id="934" w:name="_Toc13812_WPSOffice_Level3"/>
      <w:bookmarkStart w:id="935" w:name="_Toc10794_WPSOffice_Level3"/>
      <w:bookmarkStart w:id="936" w:name="_Toc17459_WPSOffice_Level3"/>
      <w:bookmarkStart w:id="937" w:name="_Toc11258_WPSOffice_Level3"/>
      <w:r>
        <w:rPr>
          <w:rFonts w:ascii="Times New Roman" w:hAnsi="Times New Roman" w:cs="Times New Roman"/>
          <w:b/>
          <w:color w:val="000000" w:themeColor="text1"/>
          <w:kern w:val="0"/>
          <w:sz w:val="24"/>
          <w:szCs w:val="24"/>
          <w14:textFill>
            <w14:solidFill>
              <w14:schemeClr w14:val="tx1"/>
            </w14:solidFill>
          </w14:textFill>
        </w:rPr>
        <w:t>C、外部救援</w:t>
      </w:r>
      <w:bookmarkEnd w:id="933"/>
      <w:bookmarkEnd w:id="934"/>
      <w:bookmarkEnd w:id="935"/>
      <w:bookmarkEnd w:id="936"/>
      <w:bookmarkEnd w:id="937"/>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当加油站的抢险抢救力量不足或有可能危及社会安全时，救援小组立即向上级和友邻单位通报，必要时请求社会力量援助，社会援助队伍进入站区时，由救援小组指定专人联络，引导并告知安全注意事项及单位互助的方式。</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（2）请求政府协调应急救援力量。</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（3）应急救援信息咨询。</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938" w:name="_Toc22499"/>
      <w:bookmarkStart w:id="939" w:name="_Toc5706_WPSOffice_Level2"/>
      <w:bookmarkStart w:id="940" w:name="_Toc29406_WPSOffice_Level2"/>
      <w:bookmarkStart w:id="941" w:name="_Toc27528_WPSOffice_Level2"/>
      <w:bookmarkStart w:id="942" w:name="_Toc4615"/>
      <w:bookmarkStart w:id="943" w:name="_Toc13398"/>
      <w:bookmarkStart w:id="944" w:name="_Toc14492_WPSOffice_Level2"/>
      <w:bookmarkStart w:id="945" w:name="_Toc28208_WPSOffice_Level2"/>
      <w:bookmarkStart w:id="946" w:name="_Toc17866"/>
      <w:r>
        <w:rPr>
          <w:rFonts w:ascii="Times New Roman" w:hAnsi="Times New Roman" w:cs="Times New Roman"/>
          <w:b/>
          <w:bCs/>
          <w:color w:val="000000" w:themeColor="text1"/>
          <w:sz w:val="24"/>
          <w:szCs w:val="24"/>
          <w14:textFill>
            <w14:solidFill>
              <w14:schemeClr w14:val="tx1"/>
            </w14:solidFill>
          </w14:textFill>
        </w:rPr>
        <w:t>8.7次生灾害安全防护</w:t>
      </w:r>
      <w:bookmarkEnd w:id="938"/>
      <w:bookmarkEnd w:id="939"/>
      <w:bookmarkEnd w:id="940"/>
      <w:bookmarkEnd w:id="941"/>
      <w:bookmarkEnd w:id="942"/>
      <w:bookmarkEnd w:id="943"/>
      <w:bookmarkEnd w:id="944"/>
      <w:bookmarkEnd w:id="945"/>
      <w:bookmarkEnd w:id="946"/>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947" w:name="_Toc3242"/>
      <w:bookmarkStart w:id="948" w:name="_Toc6008_WPSOffice_Level3"/>
      <w:bookmarkStart w:id="949" w:name="_Toc30419"/>
      <w:bookmarkStart w:id="950" w:name="_Toc9958"/>
      <w:bookmarkStart w:id="951" w:name="_Toc10199_WPSOffice_Level3"/>
      <w:bookmarkStart w:id="952" w:name="_Toc21701_WPSOffice_Level3"/>
      <w:bookmarkStart w:id="953" w:name="_Toc28208_WPSOffice_Level3"/>
      <w:bookmarkStart w:id="954" w:name="_Toc14141_WPSOffice_Level3"/>
      <w:bookmarkStart w:id="955" w:name="_Toc5234"/>
      <w:r>
        <w:rPr>
          <w:rFonts w:ascii="Times New Roman" w:hAnsi="Times New Roman" w:cs="Times New Roman"/>
          <w:b/>
          <w:color w:val="000000" w:themeColor="text1"/>
          <w:sz w:val="24"/>
          <w:szCs w:val="24"/>
          <w14:textFill>
            <w14:solidFill>
              <w14:schemeClr w14:val="tx1"/>
            </w14:solidFill>
          </w14:textFill>
        </w:rPr>
        <w:t>8.7.1次生灾害类别</w:t>
      </w:r>
      <w:bookmarkEnd w:id="947"/>
      <w:bookmarkEnd w:id="948"/>
      <w:bookmarkEnd w:id="949"/>
      <w:bookmarkEnd w:id="950"/>
      <w:bookmarkEnd w:id="951"/>
      <w:bookmarkEnd w:id="952"/>
      <w:bookmarkEnd w:id="953"/>
      <w:bookmarkEnd w:id="954"/>
      <w:bookmarkEnd w:id="955"/>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由突发环境应急事件引起的次生灾害主要有：</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1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汽油、含油废水等泄漏引起的地表示、地下水水质污染、土壤污染；</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 2 \* GB3 \* MERGEFORMAT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危险废物油泥、油渣、沾油消防沙等不安全处置或随意丢弃，造成环境污染。</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956" w:name="_Toc28644"/>
      <w:bookmarkStart w:id="957" w:name="_Toc18052_WPSOffice_Level3"/>
      <w:bookmarkStart w:id="958" w:name="_Toc31083"/>
      <w:bookmarkStart w:id="959" w:name="_Toc23728_WPSOffice_Level3"/>
      <w:bookmarkStart w:id="960" w:name="_Toc6188_WPSOffice_Level3"/>
      <w:bookmarkStart w:id="961" w:name="_Toc6791_WPSOffice_Level3"/>
      <w:bookmarkStart w:id="962" w:name="_Toc3316"/>
      <w:bookmarkStart w:id="963" w:name="_Toc5001_WPSOffice_Level3"/>
      <w:bookmarkStart w:id="964" w:name="_Toc4563"/>
      <w:r>
        <w:rPr>
          <w:rFonts w:ascii="Times New Roman" w:hAnsi="Times New Roman" w:cs="Times New Roman"/>
          <w:b/>
          <w:color w:val="000000" w:themeColor="text1"/>
          <w:sz w:val="24"/>
          <w:szCs w:val="24"/>
          <w14:textFill>
            <w14:solidFill>
              <w14:schemeClr w14:val="tx1"/>
            </w14:solidFill>
          </w14:textFill>
        </w:rPr>
        <w:t>8.7.2安全防护措施</w:t>
      </w:r>
      <w:bookmarkEnd w:id="956"/>
      <w:bookmarkEnd w:id="957"/>
      <w:bookmarkEnd w:id="958"/>
      <w:bookmarkEnd w:id="959"/>
      <w:bookmarkEnd w:id="960"/>
      <w:bookmarkEnd w:id="961"/>
      <w:bookmarkEnd w:id="962"/>
      <w:bookmarkEnd w:id="963"/>
      <w:bookmarkEnd w:id="96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w:t>
      </w:r>
      <w:r>
        <w:rPr>
          <w:rFonts w:ascii="Times New Roman" w:hAnsi="Times New Roman" w:cs="Times New Roman"/>
          <w:color w:val="000000" w:themeColor="text1"/>
          <w:kern w:val="0"/>
          <w:sz w:val="24"/>
          <w:szCs w:val="24"/>
          <w:lang w:val="zh-CN"/>
          <w14:textFill>
            <w14:solidFill>
              <w14:schemeClr w14:val="tx1"/>
            </w14:solidFill>
          </w14:textFill>
        </w:rPr>
        <w:t>加强加油站危险源管理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定期对污水收集系统进行维护及检修；</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定期对危险废物收集间防雨、防渗、防流失检查和管理；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③</w:t>
      </w:r>
      <w:r>
        <w:rPr>
          <w:rFonts w:ascii="Times New Roman" w:hAnsi="Times New Roman" w:cs="Times New Roman"/>
          <w:color w:val="000000" w:themeColor="text1"/>
          <w:kern w:val="0"/>
          <w:sz w:val="24"/>
          <w:szCs w:val="24"/>
          <w:lang w:val="zh-CN"/>
          <w14:textFill>
            <w14:solidFill>
              <w14:schemeClr w14:val="tx1"/>
            </w14:solidFill>
          </w14:textFill>
        </w:rPr>
        <w:t>定期对事故池、污水收集池防渗检查；</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hint="eastAsia" w:ascii="宋体" w:hAnsi="宋体" w:eastAsia="宋体" w:cs="宋体"/>
          <w:color w:val="000000" w:themeColor="text1"/>
          <w:kern w:val="0"/>
          <w:sz w:val="24"/>
          <w:szCs w:val="24"/>
          <w:lang w:val="zh-CN"/>
          <w14:textFill>
            <w14:solidFill>
              <w14:schemeClr w14:val="tx1"/>
            </w14:solidFill>
          </w14:textFill>
        </w:rPr>
        <w:t>④</w:t>
      </w:r>
      <w:r>
        <w:rPr>
          <w:rFonts w:ascii="Times New Roman" w:hAnsi="Times New Roman" w:cs="Times New Roman"/>
          <w:color w:val="000000" w:themeColor="text1"/>
          <w:kern w:val="0"/>
          <w:sz w:val="24"/>
          <w:szCs w:val="24"/>
          <w:lang w:val="zh-CN"/>
          <w14:textFill>
            <w14:solidFill>
              <w14:schemeClr w14:val="tx1"/>
            </w14:solidFill>
          </w14:textFill>
        </w:rPr>
        <w:t>定期检查、检测油罐防渗层、输油管线、加油机，防止油品泄漏。</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w:t>
      </w:r>
      <w:r>
        <w:rPr>
          <w:rFonts w:ascii="Times New Roman" w:hAnsi="Times New Roman" w:cs="Times New Roman"/>
          <w:color w:val="000000" w:themeColor="text1"/>
          <w:kern w:val="0"/>
          <w:sz w:val="24"/>
          <w:szCs w:val="24"/>
          <w:lang w:val="zh-CN"/>
          <w14:textFill>
            <w14:solidFill>
              <w14:schemeClr w14:val="tx1"/>
            </w14:solidFill>
          </w14:textFill>
        </w:rPr>
        <w:t>制定加油站危险源管理制度、岗位责任制。</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w:t>
      </w:r>
      <w:r>
        <w:rPr>
          <w:rFonts w:ascii="Times New Roman" w:hAnsi="Times New Roman" w:cs="Times New Roman"/>
          <w:color w:val="000000" w:themeColor="text1"/>
          <w:kern w:val="0"/>
          <w:sz w:val="24"/>
          <w:szCs w:val="24"/>
          <w:lang w:val="zh-CN"/>
          <w14:textFill>
            <w14:solidFill>
              <w14:schemeClr w14:val="tx1"/>
            </w14:solidFill>
          </w14:textFill>
        </w:rPr>
        <w:t>定期组织应急预案演练。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w:t>
      </w:r>
      <w:r>
        <w:rPr>
          <w:rFonts w:ascii="Times New Roman" w:hAnsi="Times New Roman" w:cs="Times New Roman"/>
          <w:color w:val="000000" w:themeColor="text1"/>
          <w:kern w:val="0"/>
          <w:sz w:val="24"/>
          <w:szCs w:val="24"/>
          <w:lang w:val="zh-CN"/>
          <w14:textFill>
            <w14:solidFill>
              <w14:schemeClr w14:val="tx1"/>
            </w14:solidFill>
          </w14:textFill>
        </w:rPr>
        <w:t>加强加油人员应急相关知识培训。</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965" w:name="_Toc30790_WPSOffice_Level2"/>
      <w:bookmarkStart w:id="966" w:name="_Toc688"/>
      <w:bookmarkStart w:id="967" w:name="_Toc20176"/>
      <w:bookmarkStart w:id="968" w:name="_Toc1690"/>
      <w:bookmarkStart w:id="969" w:name="_Toc18540_WPSOffice_Level2"/>
      <w:bookmarkStart w:id="970" w:name="_Toc21585_WPSOffice_Level2"/>
      <w:bookmarkStart w:id="971" w:name="_Toc5610_WPSOffice_Level2"/>
      <w:bookmarkStart w:id="972" w:name="_Toc16937_WPSOffice_Level2"/>
      <w:bookmarkStart w:id="973" w:name="_Toc406"/>
      <w:r>
        <w:rPr>
          <w:rFonts w:ascii="Times New Roman" w:hAnsi="Times New Roman" w:cs="Times New Roman"/>
          <w:b/>
          <w:bCs/>
          <w:color w:val="000000" w:themeColor="text1"/>
          <w:sz w:val="24"/>
          <w:szCs w:val="24"/>
          <w14:textFill>
            <w14:solidFill>
              <w14:schemeClr w14:val="tx1"/>
            </w14:solidFill>
          </w14:textFill>
        </w:rPr>
        <w:t>8.8后期处置</w:t>
      </w:r>
      <w:bookmarkEnd w:id="965"/>
      <w:bookmarkEnd w:id="966"/>
      <w:bookmarkEnd w:id="967"/>
      <w:bookmarkEnd w:id="968"/>
      <w:bookmarkEnd w:id="969"/>
      <w:bookmarkEnd w:id="970"/>
      <w:bookmarkEnd w:id="971"/>
      <w:bookmarkEnd w:id="972"/>
      <w:bookmarkEnd w:id="973"/>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974" w:name="_Toc12426_WPSOffice_Level3"/>
      <w:bookmarkStart w:id="975" w:name="_Toc16937_WPSOffice_Level3"/>
      <w:bookmarkStart w:id="976" w:name="_Toc18094"/>
      <w:bookmarkStart w:id="977" w:name="_Toc1825_WPSOffice_Level3"/>
      <w:bookmarkStart w:id="978" w:name="_Toc5648_WPSOffice_Level3"/>
      <w:bookmarkStart w:id="979" w:name="_Toc26621_WPSOffice_Level3"/>
      <w:bookmarkStart w:id="980" w:name="_Toc10256"/>
      <w:bookmarkStart w:id="981" w:name="_Toc20167"/>
      <w:r>
        <w:rPr>
          <w:rFonts w:ascii="Times New Roman" w:hAnsi="Times New Roman" w:cs="Times New Roman"/>
          <w:b/>
          <w:color w:val="000000" w:themeColor="text1"/>
          <w:sz w:val="24"/>
          <w:szCs w:val="24"/>
          <w14:textFill>
            <w14:solidFill>
              <w14:schemeClr w14:val="tx1"/>
            </w14:solidFill>
          </w14:textFill>
        </w:rPr>
        <w:t>8.8.1善后处置</w:t>
      </w:r>
      <w:bookmarkEnd w:id="974"/>
      <w:bookmarkEnd w:id="975"/>
      <w:bookmarkEnd w:id="976"/>
      <w:bookmarkEnd w:id="977"/>
      <w:bookmarkEnd w:id="978"/>
      <w:bookmarkEnd w:id="979"/>
      <w:bookmarkEnd w:id="980"/>
      <w:bookmarkEnd w:id="981"/>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（1）污染监测与治理</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事故得到控制后，由应急救援办公室协调组织对事故现场及周边进行污染监测，确定现场有无污染物预留。加油站要组织相关专家或技术人员处理、分类或处置所收集的废物、被污染的土壤或地表水或其它材料。</w:t>
      </w:r>
    </w:p>
    <w:p>
      <w:pPr>
        <w:spacing w:line="500" w:lineRule="exact"/>
        <w:ind w:firstLine="482" w:firstLineChars="200"/>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（2）生产恢复</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加油站应急办公室应组织相关部门人员完成下列工作，做好恢复生产工作。</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（1）转移、处理、储存或以适当方式处置废弃材料；</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（2）做好应急设施、设备、器材污染消除、维护、更新等工作，以应对下次应急状态；</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（3）维护或更换相关应急设备；</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（4）清理或修复被污染场地。</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982" w:name="_Toc9715_WPSOffice_Level3"/>
      <w:bookmarkStart w:id="983" w:name="_Toc27072"/>
      <w:bookmarkStart w:id="984" w:name="_Toc6850_WPSOffice_Level3"/>
      <w:bookmarkStart w:id="985" w:name="_Toc10317"/>
      <w:bookmarkStart w:id="986" w:name="_Toc22374"/>
      <w:bookmarkStart w:id="987" w:name="_Toc27685_WPSOffice_Level3"/>
      <w:bookmarkStart w:id="988" w:name="_Toc20111_WPSOffice_Level3"/>
      <w:bookmarkStart w:id="989" w:name="_Toc25276_WPSOffice_Level3"/>
      <w:bookmarkStart w:id="990" w:name="_Toc21815"/>
      <w:r>
        <w:rPr>
          <w:rFonts w:ascii="Times New Roman" w:hAnsi="Times New Roman" w:cs="Times New Roman"/>
          <w:b/>
          <w:color w:val="000000" w:themeColor="text1"/>
          <w:sz w:val="24"/>
          <w:szCs w:val="24"/>
          <w14:textFill>
            <w14:solidFill>
              <w14:schemeClr w14:val="tx1"/>
            </w14:solidFill>
          </w14:textFill>
        </w:rPr>
        <w:t>8.8.2保险</w:t>
      </w:r>
      <w:bookmarkEnd w:id="982"/>
      <w:bookmarkEnd w:id="983"/>
      <w:bookmarkEnd w:id="984"/>
      <w:bookmarkEnd w:id="985"/>
      <w:bookmarkEnd w:id="986"/>
      <w:bookmarkEnd w:id="987"/>
      <w:bookmarkEnd w:id="988"/>
      <w:bookmarkEnd w:id="989"/>
      <w:bookmarkEnd w:id="990"/>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建立突发环境事件社会保险机制。对环境应急工作人员办理意外伤害保险。</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991" w:name="_Toc3538_WPSOffice_Level3"/>
      <w:bookmarkStart w:id="992" w:name="_Toc4464"/>
      <w:bookmarkStart w:id="993" w:name="_Toc13658_WPSOffice_Level3"/>
      <w:bookmarkStart w:id="994" w:name="_Toc5665_WPSOffice_Level3"/>
      <w:bookmarkStart w:id="995" w:name="_Toc18449"/>
      <w:bookmarkStart w:id="996" w:name="_Toc2489_WPSOffice_Level3"/>
      <w:bookmarkStart w:id="997" w:name="_Toc19924_WPSOffice_Level3"/>
      <w:bookmarkStart w:id="998" w:name="_Toc17924"/>
      <w:bookmarkStart w:id="999" w:name="_Toc28048"/>
      <w:r>
        <w:rPr>
          <w:rFonts w:ascii="Times New Roman" w:hAnsi="Times New Roman" w:cs="Times New Roman"/>
          <w:b/>
          <w:color w:val="000000" w:themeColor="text1"/>
          <w:sz w:val="24"/>
          <w:szCs w:val="24"/>
          <w14:textFill>
            <w14:solidFill>
              <w14:schemeClr w14:val="tx1"/>
            </w14:solidFill>
          </w14:textFill>
        </w:rPr>
        <w:t>8.8.3工作总结与评价</w:t>
      </w:r>
      <w:bookmarkEnd w:id="991"/>
      <w:bookmarkEnd w:id="992"/>
      <w:bookmarkEnd w:id="993"/>
      <w:bookmarkEnd w:id="994"/>
      <w:bookmarkEnd w:id="995"/>
      <w:bookmarkEnd w:id="996"/>
      <w:bookmarkEnd w:id="997"/>
      <w:bookmarkEnd w:id="998"/>
      <w:bookmarkEnd w:id="999"/>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（1）调查污染事故的发生原因和性质，评估出污染事故的危害范围和危险程度，查明人员伤亡情况，影响和损失评估、遗留待解决问题等。</w:t>
      </w:r>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应急过程的总结和改进建议：如应急预案是否科学合理，具有针对性、实用性；应急组织机构是否合理，应急队伍能力是否需要改进；响应程序是否与应急任务相匹配；采用的监测仪器、通信设备和车辆等能否满足应急响应工作的需要；采取的防护措施和方法是否得当；防护设备能否满足要求等。</w:t>
      </w:r>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（3）对管理工作进行总结，防止以后不发生类似环境事件，提出管理、具体操作等方面的改进措施。</w:t>
      </w:r>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（4）做好受灾人员的安置工作，组织有关专家对受灾范围进行中长期影响评估，并做出相应的补偿和对遭受污染的生态环境进行恢复的建议。</w:t>
      </w:r>
    </w:p>
    <w:p>
      <w:pPr>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1000" w:name="_Toc9242_WPSOffice_Level1"/>
      <w:bookmarkStart w:id="1001" w:name="_Toc25405"/>
      <w:bookmarkStart w:id="1002" w:name="_Toc2870_WPSOffice_Level1"/>
      <w:bookmarkStart w:id="1003" w:name="_Toc11689_WPSOffice_Level1"/>
      <w:bookmarkStart w:id="1004" w:name="_Toc16952"/>
      <w:bookmarkStart w:id="1005" w:name="_Toc23231_WPSOffice_Level1"/>
      <w:bookmarkStart w:id="1006" w:name="_Toc5665_WPSOffice_Level1"/>
      <w:bookmarkStart w:id="1007" w:name="_Toc116"/>
      <w:r>
        <w:rPr>
          <w:rFonts w:ascii="Times New Roman" w:hAnsi="Times New Roman" w:cs="Times New Roman"/>
          <w:b/>
          <w:bCs/>
          <w:color w:val="000000" w:themeColor="text1"/>
          <w:kern w:val="44"/>
          <w:sz w:val="30"/>
          <w:szCs w:val="30"/>
          <w14:textFill>
            <w14:solidFill>
              <w14:schemeClr w14:val="tx1"/>
            </w14:solidFill>
          </w14:textFill>
        </w:rPr>
        <w:t>9、培训与演练</w:t>
      </w:r>
      <w:bookmarkEnd w:id="1000"/>
      <w:bookmarkEnd w:id="1001"/>
      <w:bookmarkEnd w:id="1002"/>
      <w:bookmarkEnd w:id="1003"/>
      <w:bookmarkEnd w:id="1004"/>
      <w:bookmarkEnd w:id="1005"/>
      <w:bookmarkEnd w:id="1006"/>
      <w:bookmarkEnd w:id="1007"/>
    </w:p>
    <w:p>
      <w:pPr>
        <w:keepNext/>
        <w:keepLines/>
        <w:spacing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008" w:name="_Toc2865_WPSOffice_Level2"/>
      <w:bookmarkStart w:id="1009" w:name="_Toc4451"/>
      <w:bookmarkStart w:id="1010" w:name="_Toc29914_WPSOffice_Level2"/>
      <w:bookmarkStart w:id="1011" w:name="_Toc5143"/>
      <w:bookmarkStart w:id="1012" w:name="_Toc26028_WPSOffice_Level2"/>
      <w:bookmarkStart w:id="1013" w:name="_Toc19267_WPSOffice_Level2"/>
      <w:bookmarkStart w:id="1014" w:name="_Toc302723379"/>
      <w:bookmarkStart w:id="1015" w:name="_Toc215"/>
      <w:bookmarkStart w:id="1016" w:name="_Toc9041"/>
      <w:bookmarkStart w:id="1017" w:name="_Toc16414_WPSOffice_Level2"/>
      <w:bookmarkStart w:id="1018" w:name="_Toc22317"/>
      <w:r>
        <w:rPr>
          <w:rFonts w:ascii="Times New Roman" w:hAnsi="Times New Roman" w:cs="Times New Roman"/>
          <w:b/>
          <w:bCs/>
          <w:color w:val="000000" w:themeColor="text1"/>
          <w:sz w:val="24"/>
          <w:szCs w:val="24"/>
          <w14:textFill>
            <w14:solidFill>
              <w14:schemeClr w14:val="tx1"/>
            </w14:solidFill>
          </w14:textFill>
        </w:rPr>
        <w:t>9.1培训</w:t>
      </w:r>
      <w:bookmarkEnd w:id="1008"/>
      <w:bookmarkEnd w:id="1009"/>
      <w:bookmarkEnd w:id="1010"/>
      <w:bookmarkEnd w:id="1011"/>
      <w:bookmarkEnd w:id="1012"/>
      <w:bookmarkEnd w:id="1013"/>
      <w:bookmarkEnd w:id="1014"/>
      <w:bookmarkEnd w:id="1015"/>
      <w:bookmarkEnd w:id="1016"/>
      <w:bookmarkEnd w:id="1017"/>
      <w:bookmarkEnd w:id="1018"/>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为普及环境污染事件预防常识，应编印、发放加油站有毒有害物质污染公众防护宣传单，增强公众的防范意识和相关心理准备，提高公众的防范能力。同时，应急领导小组及各部门环保安全负责人定期安排环境事件专业技术人员日常培训和管理知识，鼓励全体员工积极参与环保安全培训和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应急救援办公室负责组织、指导应急预案的培训工作，各相关部门和应急救援专业组织负责人做好日常预案的学习培训，根据预案实施情况制定相应的培训计划，采取多种形式对应急预案人员进行应急知识和技能的培训。培训应做好记录和培训评估。</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培训时间为每半年进行一次。</w:t>
      </w:r>
    </w:p>
    <w:p>
      <w:pPr>
        <w:spacing w:line="500" w:lineRule="exact"/>
        <w:ind w:firstLine="532" w:firstLineChars="221"/>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应急人员的培训内容: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19" w:name="_Toc27162_WPSOffice_Level3"/>
      <w:bookmarkStart w:id="1020" w:name="_Toc7833_WPSOffice_Level3"/>
      <w:bookmarkStart w:id="1021" w:name="_Toc28274_WPSOffice_Level3"/>
      <w:bookmarkStart w:id="1022" w:name="_Toc11376_WPSOffice_Level3"/>
      <w:bookmarkStart w:id="1023" w:name="_Toc3495_WPSOffice_Level3"/>
      <w:bookmarkStart w:id="1024" w:name="_Toc24491_WPSOffice_Level3"/>
      <w:r>
        <w:rPr>
          <w:rFonts w:ascii="Times New Roman" w:hAnsi="Times New Roman" w:cs="Times New Roman"/>
          <w:color w:val="000000" w:themeColor="text1"/>
          <w:kern w:val="0"/>
          <w:sz w:val="24"/>
          <w:szCs w:val="24"/>
          <w:lang w:val="zh-CN"/>
          <w14:textFill>
            <w14:solidFill>
              <w14:schemeClr w14:val="tx1"/>
            </w14:solidFill>
          </w14:textFill>
        </w:rPr>
        <w:t>a、危险源重点部位的分布与事故风险；</w:t>
      </w:r>
      <w:bookmarkEnd w:id="1019"/>
      <w:bookmarkEnd w:id="1020"/>
      <w:bookmarkEnd w:id="1021"/>
      <w:bookmarkEnd w:id="1022"/>
      <w:bookmarkEnd w:id="1023"/>
      <w:bookmarkEnd w:id="102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25" w:name="_Toc2319_WPSOffice_Level3"/>
      <w:bookmarkStart w:id="1026" w:name="_Toc25681_WPSOffice_Level3"/>
      <w:bookmarkStart w:id="1027" w:name="_Toc14183_WPSOffice_Level3"/>
      <w:bookmarkStart w:id="1028" w:name="_Toc10601_WPSOffice_Level3"/>
      <w:bookmarkStart w:id="1029" w:name="_Toc5143_WPSOffice_Level3"/>
      <w:bookmarkStart w:id="1030" w:name="_Toc16754_WPSOffice_Level3"/>
      <w:r>
        <w:rPr>
          <w:rFonts w:ascii="Times New Roman" w:hAnsi="Times New Roman" w:cs="Times New Roman"/>
          <w:color w:val="000000" w:themeColor="text1"/>
          <w:kern w:val="0"/>
          <w:sz w:val="24"/>
          <w:szCs w:val="24"/>
          <w:lang w:val="zh-CN"/>
          <w14:textFill>
            <w14:solidFill>
              <w14:schemeClr w14:val="tx1"/>
            </w14:solidFill>
          </w14:textFill>
        </w:rPr>
        <w:t>b、事故报警与报告程序、方式；</w:t>
      </w:r>
      <w:bookmarkEnd w:id="1025"/>
      <w:bookmarkEnd w:id="1026"/>
      <w:bookmarkEnd w:id="1027"/>
      <w:bookmarkEnd w:id="1028"/>
      <w:bookmarkEnd w:id="1029"/>
      <w:bookmarkEnd w:id="1030"/>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31" w:name="_Toc5892_WPSOffice_Level3"/>
      <w:bookmarkStart w:id="1032" w:name="_Toc10341_WPSOffice_Level3"/>
      <w:bookmarkStart w:id="1033" w:name="_Toc19684_WPSOffice_Level3"/>
      <w:bookmarkStart w:id="1034" w:name="_Toc20153_WPSOffice_Level3"/>
      <w:bookmarkStart w:id="1035" w:name="_Toc21899_WPSOffice_Level3"/>
      <w:bookmarkStart w:id="1036" w:name="_Toc17071_WPSOffice_Level3"/>
      <w:r>
        <w:rPr>
          <w:rFonts w:ascii="Times New Roman" w:hAnsi="Times New Roman" w:cs="Times New Roman"/>
          <w:color w:val="000000" w:themeColor="text1"/>
          <w:kern w:val="0"/>
          <w:sz w:val="24"/>
          <w:szCs w:val="24"/>
          <w:lang w:val="zh-CN"/>
          <w14:textFill>
            <w14:solidFill>
              <w14:schemeClr w14:val="tx1"/>
            </w14:solidFill>
          </w14:textFill>
        </w:rPr>
        <w:t>c、火灾、泄漏的抢险处置措施；</w:t>
      </w:r>
      <w:bookmarkEnd w:id="1031"/>
      <w:bookmarkEnd w:id="1032"/>
      <w:bookmarkEnd w:id="1033"/>
      <w:bookmarkEnd w:id="1034"/>
      <w:bookmarkEnd w:id="1035"/>
      <w:bookmarkEnd w:id="103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37" w:name="_Toc23059_WPSOffice_Level3"/>
      <w:bookmarkStart w:id="1038" w:name="_Toc29588_WPSOffice_Level3"/>
      <w:bookmarkStart w:id="1039" w:name="_Toc30119_WPSOffice_Level3"/>
      <w:bookmarkStart w:id="1040" w:name="_Toc16132_WPSOffice_Level3"/>
      <w:bookmarkStart w:id="1041" w:name="_Toc15891_WPSOffice_Level3"/>
      <w:bookmarkStart w:id="1042" w:name="_Toc29739_WPSOffice_Level3"/>
      <w:r>
        <w:rPr>
          <w:rFonts w:ascii="Times New Roman" w:hAnsi="Times New Roman" w:cs="Times New Roman"/>
          <w:color w:val="000000" w:themeColor="text1"/>
          <w:kern w:val="0"/>
          <w:sz w:val="24"/>
          <w:szCs w:val="24"/>
          <w:lang w:val="zh-CN"/>
          <w14:textFill>
            <w14:solidFill>
              <w14:schemeClr w14:val="tx1"/>
            </w14:solidFill>
          </w14:textFill>
        </w:rPr>
        <w:t>d、各种应急设备设施及防护用品的使用与正确佩戴；</w:t>
      </w:r>
      <w:bookmarkEnd w:id="1037"/>
      <w:bookmarkEnd w:id="1038"/>
      <w:bookmarkEnd w:id="1039"/>
      <w:bookmarkEnd w:id="1040"/>
      <w:bookmarkEnd w:id="1041"/>
      <w:bookmarkEnd w:id="1042"/>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43" w:name="_Toc11350_WPSOffice_Level3"/>
      <w:bookmarkStart w:id="1044" w:name="_Toc6404_WPSOffice_Level3"/>
      <w:bookmarkStart w:id="1045" w:name="_Toc25532_WPSOffice_Level3"/>
      <w:bookmarkStart w:id="1046" w:name="_Toc5704_WPSOffice_Level3"/>
      <w:bookmarkStart w:id="1047" w:name="_Toc26639_WPSOffice_Level3"/>
      <w:bookmarkStart w:id="1048" w:name="_Toc19888_WPSOffice_Level3"/>
      <w:r>
        <w:rPr>
          <w:rFonts w:ascii="Times New Roman" w:hAnsi="Times New Roman" w:cs="Times New Roman"/>
          <w:color w:val="000000" w:themeColor="text1"/>
          <w:kern w:val="0"/>
          <w:sz w:val="24"/>
          <w:szCs w:val="24"/>
          <w:lang w:val="zh-CN"/>
          <w14:textFill>
            <w14:solidFill>
              <w14:schemeClr w14:val="tx1"/>
            </w14:solidFill>
          </w14:textFill>
        </w:rPr>
        <w:t>e、应急疏散程序与事故现场的保护；</w:t>
      </w:r>
      <w:bookmarkEnd w:id="1043"/>
      <w:bookmarkEnd w:id="1044"/>
      <w:bookmarkEnd w:id="1045"/>
      <w:bookmarkEnd w:id="1046"/>
      <w:bookmarkEnd w:id="1047"/>
      <w:bookmarkEnd w:id="1048"/>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49" w:name="_Toc3720_WPSOffice_Level3"/>
      <w:bookmarkStart w:id="1050" w:name="_Toc24859_WPSOffice_Level3"/>
      <w:bookmarkStart w:id="1051" w:name="_Toc4568_WPSOffice_Level3"/>
      <w:bookmarkStart w:id="1052" w:name="_Toc11286_WPSOffice_Level3"/>
      <w:bookmarkStart w:id="1053" w:name="_Toc19464_WPSOffice_Level3"/>
      <w:bookmarkStart w:id="1054" w:name="_Toc4174_WPSOffice_Level3"/>
      <w:r>
        <w:rPr>
          <w:rFonts w:ascii="Times New Roman" w:hAnsi="Times New Roman" w:cs="Times New Roman"/>
          <w:color w:val="000000" w:themeColor="text1"/>
          <w:kern w:val="0"/>
          <w:sz w:val="24"/>
          <w:szCs w:val="24"/>
          <w:lang w:val="zh-CN"/>
          <w14:textFill>
            <w14:solidFill>
              <w14:schemeClr w14:val="tx1"/>
            </w14:solidFill>
          </w14:textFill>
        </w:rPr>
        <w:t>f、医疗急救知识与技能。</w:t>
      </w:r>
      <w:bookmarkEnd w:id="1049"/>
      <w:bookmarkEnd w:id="1050"/>
      <w:bookmarkEnd w:id="1051"/>
      <w:bookmarkEnd w:id="1052"/>
      <w:bookmarkEnd w:id="1053"/>
      <w:bookmarkEnd w:id="1054"/>
    </w:p>
    <w:p>
      <w:pPr>
        <w:spacing w:line="500" w:lineRule="exact"/>
        <w:ind w:firstLine="532" w:firstLineChars="221"/>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员工与公众的培训内容：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55" w:name="_Toc31229_WPSOffice_Level3"/>
      <w:bookmarkStart w:id="1056" w:name="_Toc7021_WPSOffice_Level3"/>
      <w:bookmarkStart w:id="1057" w:name="_Toc9716_WPSOffice_Level3"/>
      <w:bookmarkStart w:id="1058" w:name="_Toc4620_WPSOffice_Level3"/>
      <w:bookmarkStart w:id="1059" w:name="_Toc29047_WPSOffice_Level3"/>
      <w:bookmarkStart w:id="1060" w:name="_Toc990_WPSOffice_Level3"/>
      <w:r>
        <w:rPr>
          <w:rFonts w:ascii="Times New Roman" w:hAnsi="Times New Roman" w:cs="Times New Roman"/>
          <w:color w:val="000000" w:themeColor="text1"/>
          <w:kern w:val="0"/>
          <w:sz w:val="24"/>
          <w:szCs w:val="24"/>
          <w:lang w:val="zh-CN"/>
          <w14:textFill>
            <w14:solidFill>
              <w14:schemeClr w14:val="tx1"/>
            </w14:solidFill>
          </w14:textFill>
        </w:rPr>
        <w:t>a、可能的重大危险事故及后果；</w:t>
      </w:r>
      <w:bookmarkEnd w:id="1055"/>
      <w:bookmarkEnd w:id="1056"/>
      <w:bookmarkEnd w:id="1057"/>
      <w:bookmarkEnd w:id="1058"/>
      <w:bookmarkEnd w:id="1059"/>
      <w:bookmarkEnd w:id="1060"/>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61" w:name="_Toc19101_WPSOffice_Level3"/>
      <w:bookmarkStart w:id="1062" w:name="_Toc15368_WPSOffice_Level3"/>
      <w:bookmarkStart w:id="1063" w:name="_Toc28464_WPSOffice_Level3"/>
      <w:bookmarkStart w:id="1064" w:name="_Toc26744_WPSOffice_Level3"/>
      <w:bookmarkStart w:id="1065" w:name="_Toc28705_WPSOffice_Level3"/>
      <w:bookmarkStart w:id="1066" w:name="_Toc18661_WPSOffice_Level3"/>
      <w:r>
        <w:rPr>
          <w:rFonts w:ascii="Times New Roman" w:hAnsi="Times New Roman" w:cs="Times New Roman"/>
          <w:color w:val="000000" w:themeColor="text1"/>
          <w:kern w:val="0"/>
          <w:sz w:val="24"/>
          <w:szCs w:val="24"/>
          <w:lang w:val="zh-CN"/>
          <w14:textFill>
            <w14:solidFill>
              <w14:schemeClr w14:val="tx1"/>
            </w14:solidFill>
          </w14:textFill>
        </w:rPr>
        <w:t>b、事故报警与报告；</w:t>
      </w:r>
      <w:bookmarkEnd w:id="1061"/>
      <w:bookmarkEnd w:id="1062"/>
      <w:bookmarkEnd w:id="1063"/>
      <w:bookmarkEnd w:id="1064"/>
      <w:bookmarkEnd w:id="1065"/>
      <w:bookmarkEnd w:id="106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67" w:name="_Toc4107_WPSOffice_Level3"/>
      <w:bookmarkStart w:id="1068" w:name="_Toc29831_WPSOffice_Level3"/>
      <w:bookmarkStart w:id="1069" w:name="_Toc12514_WPSOffice_Level3"/>
      <w:bookmarkStart w:id="1070" w:name="_Toc9841_WPSOffice_Level3"/>
      <w:bookmarkStart w:id="1071" w:name="_Toc32167_WPSOffice_Level3"/>
      <w:bookmarkStart w:id="1072" w:name="_Toc26117_WPSOffice_Level3"/>
      <w:r>
        <w:rPr>
          <w:rFonts w:ascii="Times New Roman" w:hAnsi="Times New Roman" w:cs="Times New Roman"/>
          <w:color w:val="000000" w:themeColor="text1"/>
          <w:kern w:val="0"/>
          <w:sz w:val="24"/>
          <w:szCs w:val="24"/>
          <w:lang w:val="zh-CN"/>
          <w14:textFill>
            <w14:solidFill>
              <w14:schemeClr w14:val="tx1"/>
            </w14:solidFill>
          </w14:textFill>
        </w:rPr>
        <w:t>c、灭火器的使用与基本灭火方法；</w:t>
      </w:r>
      <w:bookmarkEnd w:id="1067"/>
      <w:bookmarkEnd w:id="1068"/>
      <w:bookmarkEnd w:id="1069"/>
      <w:bookmarkEnd w:id="1070"/>
      <w:bookmarkEnd w:id="1071"/>
      <w:bookmarkEnd w:id="1072"/>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73" w:name="_Toc20582_WPSOffice_Level3"/>
      <w:bookmarkStart w:id="1074" w:name="_Toc347_WPSOffice_Level3"/>
      <w:bookmarkStart w:id="1075" w:name="_Toc18483_WPSOffice_Level3"/>
      <w:bookmarkStart w:id="1076" w:name="_Toc12821_WPSOffice_Level3"/>
      <w:bookmarkStart w:id="1077" w:name="_Toc4097_WPSOffice_Level3"/>
      <w:bookmarkStart w:id="1078" w:name="_Toc2509_WPSOffice_Level3"/>
      <w:r>
        <w:rPr>
          <w:rFonts w:ascii="Times New Roman" w:hAnsi="Times New Roman" w:cs="Times New Roman"/>
          <w:color w:val="000000" w:themeColor="text1"/>
          <w:kern w:val="0"/>
          <w:sz w:val="24"/>
          <w:szCs w:val="24"/>
          <w:lang w:val="zh-CN"/>
          <w14:textFill>
            <w14:solidFill>
              <w14:schemeClr w14:val="tx1"/>
            </w14:solidFill>
          </w14:textFill>
        </w:rPr>
        <w:t>d、泄漏处理与化学品基本防护知识；</w:t>
      </w:r>
      <w:bookmarkEnd w:id="1073"/>
      <w:bookmarkEnd w:id="1074"/>
      <w:bookmarkEnd w:id="1075"/>
      <w:bookmarkEnd w:id="1076"/>
      <w:bookmarkEnd w:id="1077"/>
      <w:bookmarkEnd w:id="1078"/>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79" w:name="_Toc4963_WPSOffice_Level3"/>
      <w:bookmarkStart w:id="1080" w:name="_Toc29007_WPSOffice_Level3"/>
      <w:bookmarkStart w:id="1081" w:name="_Toc19861_WPSOffice_Level3"/>
      <w:bookmarkStart w:id="1082" w:name="_Toc7460_WPSOffice_Level3"/>
      <w:bookmarkStart w:id="1083" w:name="_Toc14845_WPSOffice_Level3"/>
      <w:bookmarkStart w:id="1084" w:name="_Toc30926_WPSOffice_Level3"/>
      <w:r>
        <w:rPr>
          <w:rFonts w:ascii="Times New Roman" w:hAnsi="Times New Roman" w:cs="Times New Roman"/>
          <w:color w:val="000000" w:themeColor="text1"/>
          <w:kern w:val="0"/>
          <w:sz w:val="24"/>
          <w:szCs w:val="24"/>
          <w:lang w:val="zh-CN"/>
          <w14:textFill>
            <w14:solidFill>
              <w14:schemeClr w14:val="tx1"/>
            </w14:solidFill>
          </w14:textFill>
        </w:rPr>
        <w:t>e、疏散撤离的组织、方法和程序；</w:t>
      </w:r>
      <w:bookmarkEnd w:id="1079"/>
      <w:bookmarkEnd w:id="1080"/>
      <w:bookmarkEnd w:id="1081"/>
      <w:bookmarkEnd w:id="1082"/>
      <w:bookmarkEnd w:id="1083"/>
      <w:bookmarkEnd w:id="1084"/>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85" w:name="_Toc11899_WPSOffice_Level3"/>
      <w:bookmarkStart w:id="1086" w:name="_Toc12273_WPSOffice_Level3"/>
      <w:bookmarkStart w:id="1087" w:name="_Toc4411_WPSOffice_Level3"/>
      <w:bookmarkStart w:id="1088" w:name="_Toc15876_WPSOffice_Level3"/>
      <w:bookmarkStart w:id="1089" w:name="_Toc17521_WPSOffice_Level3"/>
      <w:bookmarkStart w:id="1090" w:name="_Toc25066_WPSOffice_Level3"/>
      <w:r>
        <w:rPr>
          <w:rFonts w:ascii="Times New Roman" w:hAnsi="Times New Roman" w:cs="Times New Roman"/>
          <w:color w:val="000000" w:themeColor="text1"/>
          <w:kern w:val="0"/>
          <w:sz w:val="24"/>
          <w:szCs w:val="24"/>
          <w:lang w:val="zh-CN"/>
          <w14:textFill>
            <w14:solidFill>
              <w14:schemeClr w14:val="tx1"/>
            </w14:solidFill>
          </w14:textFill>
        </w:rPr>
        <w:t>f、自救和互救的基本常识。</w:t>
      </w:r>
      <w:bookmarkEnd w:id="1085"/>
      <w:bookmarkEnd w:id="1086"/>
      <w:bookmarkEnd w:id="1087"/>
      <w:bookmarkEnd w:id="1088"/>
      <w:bookmarkEnd w:id="1089"/>
      <w:bookmarkEnd w:id="1090"/>
    </w:p>
    <w:p>
      <w:pPr>
        <w:spacing w:line="500" w:lineRule="exact"/>
        <w:ind w:firstLine="532" w:firstLineChars="221"/>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应急培训要求：</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91" w:name="_Toc25594_WPSOffice_Level3"/>
      <w:bookmarkStart w:id="1092" w:name="_Toc28710_WPSOffice_Level3"/>
      <w:bookmarkStart w:id="1093" w:name="_Toc12249_WPSOffice_Level3"/>
      <w:bookmarkStart w:id="1094" w:name="_Toc18179_WPSOffice_Level3"/>
      <w:bookmarkStart w:id="1095" w:name="_Toc29251_WPSOffice_Level3"/>
      <w:bookmarkStart w:id="1096" w:name="_Toc23500_WPSOffice_Level3"/>
      <w:r>
        <w:rPr>
          <w:rFonts w:ascii="Times New Roman" w:hAnsi="Times New Roman" w:cs="Times New Roman"/>
          <w:color w:val="000000" w:themeColor="text1"/>
          <w:kern w:val="0"/>
          <w:sz w:val="24"/>
          <w:szCs w:val="24"/>
          <w:lang w:val="zh-CN"/>
          <w14:textFill>
            <w14:solidFill>
              <w14:schemeClr w14:val="tx1"/>
            </w14:solidFill>
          </w14:textFill>
        </w:rPr>
        <w:t>a、针对性：针对可能的事故及承担的应急职责不同人员予以不同的培训内容；</w:t>
      </w:r>
      <w:bookmarkEnd w:id="1091"/>
      <w:bookmarkEnd w:id="1092"/>
      <w:bookmarkEnd w:id="1093"/>
      <w:bookmarkEnd w:id="1094"/>
      <w:bookmarkEnd w:id="1095"/>
      <w:bookmarkEnd w:id="109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097" w:name="_Toc1342_WPSOffice_Level3"/>
      <w:bookmarkStart w:id="1098" w:name="_Toc31561_WPSOffice_Level3"/>
      <w:bookmarkStart w:id="1099" w:name="_Toc19174_WPSOffice_Level3"/>
      <w:bookmarkStart w:id="1100" w:name="_Toc8234_WPSOffice_Level3"/>
      <w:bookmarkStart w:id="1101" w:name="_Toc765_WPSOffice_Level3"/>
      <w:bookmarkStart w:id="1102" w:name="_Toc3574_WPSOffice_Level3"/>
      <w:r>
        <w:rPr>
          <w:rFonts w:ascii="Times New Roman" w:hAnsi="Times New Roman" w:cs="Times New Roman"/>
          <w:color w:val="000000" w:themeColor="text1"/>
          <w:kern w:val="0"/>
          <w:sz w:val="24"/>
          <w:szCs w:val="24"/>
          <w:lang w:val="zh-CN"/>
          <w14:textFill>
            <w14:solidFill>
              <w14:schemeClr w14:val="tx1"/>
            </w14:solidFill>
          </w14:textFill>
        </w:rPr>
        <w:t>b、周期性：公司级的培训一般每年一次，部门与功能性培训每季度一次；</w:t>
      </w:r>
      <w:bookmarkEnd w:id="1097"/>
      <w:bookmarkEnd w:id="1098"/>
      <w:bookmarkEnd w:id="1099"/>
      <w:bookmarkEnd w:id="1100"/>
      <w:bookmarkEnd w:id="1101"/>
      <w:bookmarkEnd w:id="1102"/>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03" w:name="_Toc13259_WPSOffice_Level3"/>
      <w:bookmarkStart w:id="1104" w:name="_Toc1858_WPSOffice_Level3"/>
      <w:bookmarkStart w:id="1105" w:name="_Toc14323_WPSOffice_Level3"/>
      <w:bookmarkStart w:id="1106" w:name="_Toc2996_WPSOffice_Level3"/>
      <w:bookmarkStart w:id="1107" w:name="_Toc5329_WPSOffice_Level3"/>
      <w:bookmarkStart w:id="1108" w:name="_Toc17474_WPSOffice_Level3"/>
      <w:r>
        <w:rPr>
          <w:rFonts w:ascii="Times New Roman" w:hAnsi="Times New Roman" w:cs="Times New Roman"/>
          <w:color w:val="000000" w:themeColor="text1"/>
          <w:kern w:val="0"/>
          <w:sz w:val="24"/>
          <w:szCs w:val="24"/>
          <w:lang w:val="zh-CN"/>
          <w14:textFill>
            <w14:solidFill>
              <w14:schemeClr w14:val="tx1"/>
            </w14:solidFill>
          </w14:textFill>
        </w:rPr>
        <w:t>c、真实性:培训应贴近实际应急活动。</w:t>
      </w:r>
      <w:bookmarkEnd w:id="1103"/>
      <w:bookmarkEnd w:id="1104"/>
      <w:bookmarkEnd w:id="1105"/>
      <w:bookmarkEnd w:id="1106"/>
      <w:bookmarkEnd w:id="1107"/>
      <w:bookmarkEnd w:id="1108"/>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109" w:name="_Toc302723380"/>
      <w:bookmarkStart w:id="1110" w:name="_Toc6244"/>
      <w:bookmarkStart w:id="1111" w:name="_Toc14712_WPSOffice_Level2"/>
      <w:bookmarkStart w:id="1112" w:name="_Toc28710_WPSOffice_Level2"/>
      <w:bookmarkStart w:id="1113" w:name="_Toc14323_WPSOffice_Level2"/>
      <w:bookmarkStart w:id="1114" w:name="_Toc13359"/>
      <w:bookmarkStart w:id="1115" w:name="_Toc3206_WPSOffice_Level2"/>
      <w:bookmarkStart w:id="1116" w:name="_Toc16426_WPSOffice_Level2"/>
      <w:bookmarkStart w:id="1117" w:name="_Toc10777"/>
      <w:bookmarkStart w:id="1118" w:name="_Toc17229"/>
      <w:bookmarkStart w:id="1119" w:name="_Toc31562"/>
      <w:r>
        <w:rPr>
          <w:rFonts w:ascii="Times New Roman" w:hAnsi="Times New Roman" w:cs="Times New Roman"/>
          <w:b/>
          <w:bCs/>
          <w:color w:val="000000" w:themeColor="text1"/>
          <w:sz w:val="24"/>
          <w:szCs w:val="24"/>
          <w14:textFill>
            <w14:solidFill>
              <w14:schemeClr w14:val="tx1"/>
            </w14:solidFill>
          </w14:textFill>
        </w:rPr>
        <w:t>9.2</w:t>
      </w:r>
      <w:bookmarkEnd w:id="1109"/>
      <w:bookmarkEnd w:id="1110"/>
      <w:r>
        <w:rPr>
          <w:rFonts w:ascii="Times New Roman" w:hAnsi="Times New Roman" w:cs="Times New Roman"/>
          <w:b/>
          <w:bCs/>
          <w:color w:val="000000" w:themeColor="text1"/>
          <w:sz w:val="24"/>
          <w:szCs w:val="24"/>
          <w14:textFill>
            <w14:solidFill>
              <w14:schemeClr w14:val="tx1"/>
            </w14:solidFill>
          </w14:textFill>
        </w:rPr>
        <w:t>演练</w:t>
      </w:r>
      <w:bookmarkEnd w:id="1111"/>
      <w:bookmarkEnd w:id="1112"/>
      <w:bookmarkEnd w:id="1113"/>
      <w:bookmarkEnd w:id="1114"/>
      <w:bookmarkEnd w:id="1115"/>
      <w:bookmarkEnd w:id="1116"/>
      <w:bookmarkEnd w:id="1117"/>
      <w:bookmarkEnd w:id="1118"/>
      <w:bookmarkEnd w:id="1119"/>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为检验应急计划的有效性、应急准备的完善性、应急响应能力的适应性和应急人员的协同性，定期对所涉及的内容和范围的不同，进行单项演练、综合演练和应急领导小组组织进行的联合演练。演练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单项演练：由部门负责人组织，对部门内部的突发环境污染事故进行专业培训及演练，演练内容为突发环境安全事件为可控级响应时采取的环保安全救援行动。每半年不低于一次。</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联合演练：由应急领导小组组织实施，参与部门及人员包括部门、应急办公室全体人员，演练内容包括加油站内突发环境安全事件为可控级响应及不可控级响应时的环保安全救援行动。联合演练周期为每年不得少于一次。</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具体演练内容：</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20" w:name="_Toc20513_WPSOffice_Level3"/>
      <w:bookmarkStart w:id="1121" w:name="_Toc12887_WPSOffice_Level3"/>
      <w:bookmarkStart w:id="1122" w:name="_Toc28463_WPSOffice_Level3"/>
      <w:bookmarkStart w:id="1123" w:name="_Toc9870_WPSOffice_Level3"/>
      <w:bookmarkStart w:id="1124" w:name="_Toc17979_WPSOffice_Level3"/>
      <w:bookmarkStart w:id="1125" w:name="_Toc25071_WPSOffice_Level3"/>
      <w:r>
        <w:rPr>
          <w:rFonts w:hint="eastAsia" w:ascii="宋体" w:hAnsi="宋体" w:eastAsia="宋体" w:cs="宋体"/>
          <w:color w:val="000000" w:themeColor="text1"/>
          <w:kern w:val="0"/>
          <w:sz w:val="24"/>
          <w:szCs w:val="24"/>
          <w:lang w:val="zh-CN"/>
          <w14:textFill>
            <w14:solidFill>
              <w14:schemeClr w14:val="tx1"/>
            </w14:solidFill>
          </w14:textFill>
        </w:rPr>
        <w:t>①</w:t>
      </w:r>
      <w:r>
        <w:rPr>
          <w:rFonts w:ascii="Times New Roman" w:hAnsi="Times New Roman" w:cs="Times New Roman"/>
          <w:color w:val="000000" w:themeColor="text1"/>
          <w:kern w:val="0"/>
          <w:sz w:val="24"/>
          <w:szCs w:val="24"/>
          <w:lang w:val="zh-CN"/>
          <w14:textFill>
            <w14:solidFill>
              <w14:schemeClr w14:val="tx1"/>
            </w14:solidFill>
          </w14:textFill>
        </w:rPr>
        <w:t xml:space="preserve"> 消防灭火演练；</w:t>
      </w:r>
      <w:bookmarkEnd w:id="1120"/>
      <w:bookmarkEnd w:id="1121"/>
      <w:bookmarkEnd w:id="1122"/>
      <w:bookmarkEnd w:id="1123"/>
      <w:bookmarkEnd w:id="1124"/>
      <w:bookmarkEnd w:id="1125"/>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26" w:name="_Toc3052_WPSOffice_Level3"/>
      <w:bookmarkStart w:id="1127" w:name="_Toc27516_WPSOffice_Level3"/>
      <w:bookmarkStart w:id="1128" w:name="_Toc250_WPSOffice_Level3"/>
      <w:bookmarkStart w:id="1129" w:name="_Toc1624_WPSOffice_Level3"/>
      <w:bookmarkStart w:id="1130" w:name="_Toc19151_WPSOffice_Level3"/>
      <w:bookmarkStart w:id="1131" w:name="_Toc27359_WPSOffice_Level3"/>
      <w:r>
        <w:rPr>
          <w:rFonts w:hint="eastAsia" w:ascii="宋体" w:hAnsi="宋体" w:eastAsia="宋体" w:cs="宋体"/>
          <w:color w:val="000000" w:themeColor="text1"/>
          <w:kern w:val="0"/>
          <w:sz w:val="24"/>
          <w:szCs w:val="24"/>
          <w:lang w:val="zh-CN"/>
          <w14:textFill>
            <w14:solidFill>
              <w14:schemeClr w14:val="tx1"/>
            </w14:solidFill>
          </w14:textFill>
        </w:rPr>
        <w:t>②</w:t>
      </w:r>
      <w:r>
        <w:rPr>
          <w:rFonts w:ascii="Times New Roman" w:hAnsi="Times New Roman" w:cs="Times New Roman"/>
          <w:color w:val="000000" w:themeColor="text1"/>
          <w:kern w:val="0"/>
          <w:sz w:val="24"/>
          <w:szCs w:val="24"/>
          <w:lang w:val="zh-CN"/>
          <w14:textFill>
            <w14:solidFill>
              <w14:schemeClr w14:val="tx1"/>
            </w14:solidFill>
          </w14:textFill>
        </w:rPr>
        <w:t xml:space="preserve"> 泄露事故演练；</w:t>
      </w:r>
      <w:bookmarkEnd w:id="1126"/>
      <w:bookmarkEnd w:id="1127"/>
      <w:bookmarkEnd w:id="1128"/>
      <w:bookmarkEnd w:id="1129"/>
      <w:bookmarkEnd w:id="1130"/>
      <w:bookmarkEnd w:id="1131"/>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32" w:name="_Toc26516_WPSOffice_Level3"/>
      <w:bookmarkStart w:id="1133" w:name="_Toc26518_WPSOffice_Level3"/>
      <w:bookmarkStart w:id="1134" w:name="_Toc16650_WPSOffice_Level3"/>
      <w:bookmarkStart w:id="1135" w:name="_Toc17580_WPSOffice_Level3"/>
      <w:bookmarkStart w:id="1136" w:name="_Toc13800_WPSOffice_Level3"/>
      <w:bookmarkStart w:id="1137" w:name="_Toc11526_WPSOffice_Level3"/>
      <w:r>
        <w:rPr>
          <w:rFonts w:hint="eastAsia" w:ascii="宋体" w:hAnsi="宋体" w:eastAsia="宋体" w:cs="宋体"/>
          <w:color w:val="000000" w:themeColor="text1"/>
          <w:kern w:val="0"/>
          <w:sz w:val="24"/>
          <w:szCs w:val="24"/>
          <w:lang w:val="zh-CN"/>
          <w14:textFill>
            <w14:solidFill>
              <w14:schemeClr w14:val="tx1"/>
            </w14:solidFill>
          </w14:textFill>
        </w:rPr>
        <w:t>③</w:t>
      </w:r>
      <w:r>
        <w:rPr>
          <w:rFonts w:ascii="Times New Roman" w:hAnsi="Times New Roman" w:cs="Times New Roman"/>
          <w:color w:val="000000" w:themeColor="text1"/>
          <w:kern w:val="0"/>
          <w:sz w:val="24"/>
          <w:szCs w:val="24"/>
          <w:lang w:val="zh-CN"/>
          <w14:textFill>
            <w14:solidFill>
              <w14:schemeClr w14:val="tx1"/>
            </w14:solidFill>
          </w14:textFill>
        </w:rPr>
        <w:t xml:space="preserve"> 报警及通信演练；</w:t>
      </w:r>
      <w:bookmarkEnd w:id="1132"/>
      <w:bookmarkEnd w:id="1133"/>
      <w:bookmarkEnd w:id="1134"/>
      <w:bookmarkEnd w:id="1135"/>
      <w:bookmarkEnd w:id="1136"/>
      <w:bookmarkEnd w:id="1137"/>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38" w:name="_Toc10260_WPSOffice_Level3"/>
      <w:bookmarkStart w:id="1139" w:name="_Toc6170_WPSOffice_Level3"/>
      <w:bookmarkStart w:id="1140" w:name="_Toc1932_WPSOffice_Level3"/>
      <w:bookmarkStart w:id="1141" w:name="_Toc15856_WPSOffice_Level3"/>
      <w:bookmarkStart w:id="1142" w:name="_Toc24548_WPSOffice_Level3"/>
      <w:bookmarkStart w:id="1143" w:name="_Toc11718_WPSOffice_Level3"/>
      <w:r>
        <w:rPr>
          <w:rFonts w:hint="eastAsia" w:ascii="宋体" w:hAnsi="宋体" w:eastAsia="宋体" w:cs="宋体"/>
          <w:color w:val="000000" w:themeColor="text1"/>
          <w:kern w:val="0"/>
          <w:sz w:val="24"/>
          <w:szCs w:val="24"/>
          <w:lang w:val="zh-CN"/>
          <w14:textFill>
            <w14:solidFill>
              <w14:schemeClr w14:val="tx1"/>
            </w14:solidFill>
          </w14:textFill>
        </w:rPr>
        <w:t>④</w:t>
      </w:r>
      <w:r>
        <w:rPr>
          <w:rFonts w:ascii="Times New Roman" w:hAnsi="Times New Roman" w:cs="Times New Roman"/>
          <w:color w:val="000000" w:themeColor="text1"/>
          <w:kern w:val="0"/>
          <w:sz w:val="24"/>
          <w:szCs w:val="24"/>
          <w:lang w:val="zh-CN"/>
          <w14:textFill>
            <w14:solidFill>
              <w14:schemeClr w14:val="tx1"/>
            </w14:solidFill>
          </w14:textFill>
        </w:rPr>
        <w:t xml:space="preserve"> 人员疏散和交通管制演练；</w:t>
      </w:r>
      <w:bookmarkEnd w:id="1138"/>
      <w:bookmarkEnd w:id="1139"/>
      <w:bookmarkEnd w:id="1140"/>
      <w:bookmarkEnd w:id="1141"/>
      <w:bookmarkEnd w:id="1142"/>
      <w:bookmarkEnd w:id="1143"/>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44" w:name="_Toc18484_WPSOffice_Level3"/>
      <w:bookmarkStart w:id="1145" w:name="_Toc2529_WPSOffice_Level3"/>
      <w:bookmarkStart w:id="1146" w:name="_Toc17249_WPSOffice_Level3"/>
      <w:bookmarkStart w:id="1147" w:name="_Toc25753_WPSOffice_Level3"/>
      <w:bookmarkStart w:id="1148" w:name="_Toc2635_WPSOffice_Level3"/>
      <w:bookmarkStart w:id="1149" w:name="_Toc32185_WPSOffice_Level3"/>
      <w:r>
        <w:rPr>
          <w:rFonts w:hint="eastAsia" w:ascii="宋体" w:hAnsi="宋体" w:eastAsia="宋体" w:cs="宋体"/>
          <w:color w:val="000000" w:themeColor="text1"/>
          <w:kern w:val="0"/>
          <w:sz w:val="24"/>
          <w:szCs w:val="24"/>
          <w:lang w:val="zh-CN"/>
          <w14:textFill>
            <w14:solidFill>
              <w14:schemeClr w14:val="tx1"/>
            </w14:solidFill>
          </w14:textFill>
        </w:rPr>
        <w:t>⑤</w:t>
      </w:r>
      <w:r>
        <w:rPr>
          <w:rFonts w:ascii="Times New Roman" w:hAnsi="Times New Roman" w:cs="Times New Roman"/>
          <w:color w:val="000000" w:themeColor="text1"/>
          <w:kern w:val="0"/>
          <w:sz w:val="24"/>
          <w:szCs w:val="24"/>
          <w:lang w:val="zh-CN"/>
          <w14:textFill>
            <w14:solidFill>
              <w14:schemeClr w14:val="tx1"/>
            </w14:solidFill>
          </w14:textFill>
        </w:rPr>
        <w:t xml:space="preserve"> 情况通报演练；</w:t>
      </w:r>
      <w:bookmarkEnd w:id="1144"/>
      <w:bookmarkEnd w:id="1145"/>
      <w:bookmarkEnd w:id="1146"/>
      <w:bookmarkEnd w:id="1147"/>
      <w:bookmarkEnd w:id="1148"/>
      <w:bookmarkEnd w:id="1149"/>
    </w:p>
    <w:p>
      <w:pPr>
        <w:spacing w:line="500" w:lineRule="exact"/>
        <w:ind w:firstLine="120" w:firstLineChars="5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50" w:name="_Toc4628_WPSOffice_Level3"/>
      <w:bookmarkStart w:id="1151" w:name="_Toc1901_WPSOffice_Level3"/>
      <w:bookmarkStart w:id="1152" w:name="_Toc4378_WPSOffice_Level3"/>
      <w:bookmarkStart w:id="1153" w:name="_Toc25773_WPSOffice_Level3"/>
      <w:bookmarkStart w:id="1154" w:name="_Toc5741_WPSOffice_Level3"/>
      <w:bookmarkStart w:id="1155" w:name="_Toc13277_WPSOffice_Level3"/>
      <w:r>
        <w:rPr>
          <w:rFonts w:ascii="Times New Roman" w:hAnsi="Times New Roman" w:cs="Times New Roman"/>
          <w:color w:val="000000" w:themeColor="text1"/>
          <w:kern w:val="0"/>
          <w:sz w:val="24"/>
          <w:szCs w:val="24"/>
          <w:lang w:val="zh-CN"/>
          <w14:textFill>
            <w14:solidFill>
              <w14:schemeClr w14:val="tx1"/>
            </w14:solidFill>
          </w14:textFill>
        </w:rPr>
        <w:t xml:space="preserve">   </w:t>
      </w:r>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w:instrText>
      </w:r>
      <w:r>
        <w:rPr>
          <w:rFonts w:hint="eastAsia" w:ascii="Times New Roman" w:hAnsi="Times New Roman" w:cs="Times New Roman"/>
          <w:color w:val="000000" w:themeColor="text1"/>
          <w:kern w:val="0"/>
          <w:sz w:val="24"/>
          <w:szCs w:val="24"/>
          <w:lang w:val="zh-CN"/>
          <w14:textFill>
            <w14:solidFill>
              <w14:schemeClr w14:val="tx1"/>
            </w14:solidFill>
          </w14:textFill>
        </w:rPr>
        <w:instrText xml:space="preserve">= 6 \* GB3</w:instrText>
      </w:r>
      <w:r>
        <w:rPr>
          <w:rFonts w:ascii="Times New Roman" w:hAnsi="Times New Roman" w:cs="Times New Roman"/>
          <w:color w:val="000000" w:themeColor="text1"/>
          <w:kern w:val="0"/>
          <w:sz w:val="24"/>
          <w:szCs w:val="24"/>
          <w:lang w:val="zh-CN"/>
          <w14:textFill>
            <w14:solidFill>
              <w14:schemeClr w14:val="tx1"/>
            </w14:solidFill>
          </w14:textFill>
        </w:rPr>
        <w:instrText xml:space="preserve">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Times New Roman" w:hAnsi="Times New Roman" w:cs="Times New Roman"/>
          <w:color w:val="000000" w:themeColor="text1"/>
          <w:kern w:val="0"/>
          <w:sz w:val="24"/>
          <w:szCs w:val="24"/>
          <w:lang w:val="zh-CN"/>
          <w14:textFill>
            <w14:solidFill>
              <w14:schemeClr w14:val="tx1"/>
            </w14:solidFill>
          </w14:textFill>
        </w:rPr>
        <w:t>⑥</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 xml:space="preserve"> 各类应急设施的使用技能演练；</w:t>
      </w:r>
      <w:bookmarkEnd w:id="1150"/>
      <w:bookmarkEnd w:id="1151"/>
      <w:bookmarkEnd w:id="1152"/>
      <w:bookmarkEnd w:id="1153"/>
      <w:bookmarkEnd w:id="1154"/>
      <w:bookmarkEnd w:id="1155"/>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bookmarkStart w:id="1156" w:name="_Toc23384_WPSOffice_Level3"/>
      <w:bookmarkStart w:id="1157" w:name="_Toc24026_WPSOffice_Level3"/>
      <w:bookmarkStart w:id="1158" w:name="_Toc29965_WPSOffice_Level3"/>
      <w:bookmarkStart w:id="1159" w:name="_Toc8088_WPSOffice_Level3"/>
      <w:bookmarkStart w:id="1160" w:name="_Toc13407_WPSOffice_Level3"/>
      <w:bookmarkStart w:id="1161" w:name="_Toc27318_WPSOffice_Level3"/>
      <w:r>
        <w:rPr>
          <w:rFonts w:ascii="Times New Roman" w:hAnsi="Times New Roman" w:cs="Times New Roman"/>
          <w:color w:val="000000" w:themeColor="text1"/>
          <w:kern w:val="0"/>
          <w:sz w:val="24"/>
          <w:szCs w:val="24"/>
          <w:lang w:val="zh-CN"/>
          <w14:textFill>
            <w14:solidFill>
              <w14:schemeClr w14:val="tx1"/>
            </w14:solidFill>
          </w14:textFill>
        </w:rPr>
        <w:fldChar w:fldCharType="begin"/>
      </w:r>
      <w:r>
        <w:rPr>
          <w:rFonts w:ascii="Times New Roman" w:hAnsi="Times New Roman" w:cs="Times New Roman"/>
          <w:color w:val="000000" w:themeColor="text1"/>
          <w:kern w:val="0"/>
          <w:sz w:val="24"/>
          <w:szCs w:val="24"/>
          <w:lang w:val="zh-CN"/>
          <w14:textFill>
            <w14:solidFill>
              <w14:schemeClr w14:val="tx1"/>
            </w14:solidFill>
          </w14:textFill>
        </w:rPr>
        <w:instrText xml:space="preserve"> </w:instrText>
      </w:r>
      <w:r>
        <w:rPr>
          <w:rFonts w:hint="eastAsia" w:ascii="Times New Roman" w:hAnsi="Times New Roman" w:cs="Times New Roman"/>
          <w:color w:val="000000" w:themeColor="text1"/>
          <w:kern w:val="0"/>
          <w:sz w:val="24"/>
          <w:szCs w:val="24"/>
          <w:lang w:val="zh-CN"/>
          <w14:textFill>
            <w14:solidFill>
              <w14:schemeClr w14:val="tx1"/>
            </w14:solidFill>
          </w14:textFill>
        </w:rPr>
        <w:instrText xml:space="preserve">= 7 \* GB3</w:instrText>
      </w:r>
      <w:r>
        <w:rPr>
          <w:rFonts w:ascii="Times New Roman" w:hAnsi="Times New Roman" w:cs="Times New Roman"/>
          <w:color w:val="000000" w:themeColor="text1"/>
          <w:kern w:val="0"/>
          <w:sz w:val="24"/>
          <w:szCs w:val="24"/>
          <w:lang w:val="zh-CN"/>
          <w14:textFill>
            <w14:solidFill>
              <w14:schemeClr w14:val="tx1"/>
            </w14:solidFill>
          </w14:textFill>
        </w:rPr>
        <w:instrText xml:space="preserve"> </w:instrText>
      </w:r>
      <w:r>
        <w:rPr>
          <w:rFonts w:ascii="Times New Roman" w:hAnsi="Times New Roman" w:cs="Times New Roman"/>
          <w:color w:val="000000" w:themeColor="text1"/>
          <w:kern w:val="0"/>
          <w:sz w:val="24"/>
          <w:szCs w:val="24"/>
          <w:lang w:val="zh-CN"/>
          <w14:textFill>
            <w14:solidFill>
              <w14:schemeClr w14:val="tx1"/>
            </w14:solidFill>
          </w14:textFill>
        </w:rPr>
        <w:fldChar w:fldCharType="separate"/>
      </w:r>
      <w:r>
        <w:rPr>
          <w:rFonts w:hint="eastAsia" w:ascii="Times New Roman" w:hAnsi="Times New Roman" w:cs="Times New Roman"/>
          <w:color w:val="000000" w:themeColor="text1"/>
          <w:kern w:val="0"/>
          <w:sz w:val="24"/>
          <w:szCs w:val="24"/>
          <w:lang w:val="zh-CN"/>
          <w14:textFill>
            <w14:solidFill>
              <w14:schemeClr w14:val="tx1"/>
            </w14:solidFill>
          </w14:textFill>
        </w:rPr>
        <w:t>⑦</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模拟各类事件的快速反应演练等。</w:t>
      </w:r>
      <w:bookmarkEnd w:id="1156"/>
      <w:bookmarkEnd w:id="1157"/>
      <w:bookmarkEnd w:id="1158"/>
      <w:bookmarkEnd w:id="1159"/>
      <w:bookmarkEnd w:id="1160"/>
      <w:bookmarkEnd w:id="1161"/>
    </w:p>
    <w:p>
      <w:pPr>
        <w:ind w:firstLine="480"/>
        <w:rPr>
          <w:lang w:val="zh-CN"/>
        </w:rPr>
      </w:pPr>
      <w:r>
        <w:rPr>
          <w:rFonts w:hint="eastAsia"/>
          <w:lang w:val="zh-CN"/>
        </w:rPr>
        <w:t xml:space="preserve">   </w:t>
      </w: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80"/>
        <w:rPr>
          <w:lang w:val="zh-CN"/>
        </w:rPr>
      </w:pPr>
      <w:r>
        <w:drawing>
          <wp:inline distT="0" distB="0" distL="0" distR="0">
            <wp:extent cx="5565775" cy="3707765"/>
            <wp:effectExtent l="0" t="0" r="0" b="6985"/>
            <wp:docPr id="67" name="图片 67" descr="J:\加油站修改\演练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J:\加油站修改\演练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569991" cy="3711131"/>
                    </a:xfrm>
                    <a:prstGeom prst="rect">
                      <a:avLst/>
                    </a:prstGeom>
                    <a:noFill/>
                    <a:ln>
                      <a:noFill/>
                    </a:ln>
                  </pic:spPr>
                </pic:pic>
              </a:graphicData>
            </a:graphic>
          </wp:inline>
        </w:drawing>
      </w:r>
    </w:p>
    <w:p>
      <w:pPr>
        <w:jc w:val="center"/>
        <w:rPr>
          <w:rFonts w:ascii="Times New Roman" w:hAnsi="Times New Roman" w:cs="Times New Roman"/>
          <w:b/>
          <w:color w:val="000000" w:themeColor="text1"/>
          <w:kern w:val="0"/>
          <w:sz w:val="24"/>
          <w:szCs w:val="24"/>
          <w:lang w:val="zh-CN"/>
          <w14:textFill>
            <w14:solidFill>
              <w14:schemeClr w14:val="tx1"/>
            </w14:solidFill>
          </w14:textFill>
        </w:rPr>
      </w:pPr>
      <w:r>
        <w:rPr>
          <w:rFonts w:hint="eastAsia" w:ascii="Times New Roman" w:hAnsi="Times New Roman" w:cs="Times New Roman"/>
          <w:b/>
          <w:color w:val="000000" w:themeColor="text1"/>
          <w:kern w:val="0"/>
          <w:sz w:val="24"/>
          <w:szCs w:val="24"/>
          <w:lang w:val="zh-CN"/>
          <w14:textFill>
            <w14:solidFill>
              <w14:schemeClr w14:val="tx1"/>
            </w14:solidFill>
          </w14:textFill>
        </w:rPr>
        <w:t>图9-1 应急</w:t>
      </w:r>
      <w:r>
        <w:rPr>
          <w:rFonts w:ascii="Times New Roman" w:hAnsi="Times New Roman" w:cs="Times New Roman"/>
          <w:b/>
          <w:color w:val="000000" w:themeColor="text1"/>
          <w:kern w:val="0"/>
          <w:sz w:val="24"/>
          <w:szCs w:val="24"/>
          <w:lang w:val="zh-CN"/>
          <w14:textFill>
            <w14:solidFill>
              <w14:schemeClr w14:val="tx1"/>
            </w14:solidFill>
          </w14:textFill>
        </w:rPr>
        <w:t>演练图</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162" w:name="_Toc765_WPSOffice_Level2"/>
      <w:bookmarkStart w:id="1163" w:name="_Toc29254"/>
      <w:bookmarkStart w:id="1164" w:name="_Toc3337_WPSOffice_Level2"/>
      <w:bookmarkStart w:id="1165" w:name="_Toc2006_WPSOffice_Level2"/>
      <w:bookmarkStart w:id="1166" w:name="_Toc302723381"/>
      <w:bookmarkStart w:id="1167" w:name="_Toc4447_WPSOffice_Level2"/>
      <w:bookmarkStart w:id="1168" w:name="_Toc32593"/>
      <w:bookmarkStart w:id="1169" w:name="_Toc9024_WPSOffice_Level2"/>
      <w:bookmarkStart w:id="1170" w:name="_Toc21906"/>
      <w:bookmarkStart w:id="1171" w:name="_Toc27975"/>
      <w:bookmarkStart w:id="1172" w:name="_Toc21196"/>
      <w:r>
        <w:rPr>
          <w:rFonts w:ascii="Times New Roman" w:hAnsi="Times New Roman" w:cs="Times New Roman"/>
          <w:b/>
          <w:bCs/>
          <w:color w:val="000000" w:themeColor="text1"/>
          <w:sz w:val="24"/>
          <w:szCs w:val="24"/>
          <w14:textFill>
            <w14:solidFill>
              <w14:schemeClr w14:val="tx1"/>
            </w14:solidFill>
          </w14:textFill>
        </w:rPr>
        <w:t>9.3记录与考核</w:t>
      </w:r>
      <w:bookmarkEnd w:id="1162"/>
      <w:bookmarkEnd w:id="1163"/>
      <w:bookmarkEnd w:id="1164"/>
      <w:bookmarkEnd w:id="1165"/>
      <w:bookmarkEnd w:id="1166"/>
      <w:bookmarkEnd w:id="1167"/>
      <w:bookmarkEnd w:id="1168"/>
      <w:bookmarkEnd w:id="1169"/>
      <w:bookmarkEnd w:id="1170"/>
      <w:bookmarkEnd w:id="1171"/>
      <w:bookmarkEnd w:id="1172"/>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随着应急救援相关法律法规的制定、修改和完善，或者应急过程中发现存在的问题和出现新的情况，要做好相关记录和考核，及时修订完善本预案。</w:t>
      </w:r>
    </w:p>
    <w:p>
      <w:pPr>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46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1173" w:name="_Toc18959_WPSOffice_Level1"/>
      <w:bookmarkStart w:id="1174" w:name="_Toc12754_WPSOffice_Level1"/>
      <w:bookmarkStart w:id="1175" w:name="_Toc5341_WPSOffice_Level1"/>
      <w:bookmarkStart w:id="1176" w:name="_Toc28710_WPSOffice_Level1"/>
      <w:bookmarkStart w:id="1177" w:name="_Toc5400"/>
      <w:bookmarkStart w:id="1178" w:name="_Toc5642"/>
      <w:bookmarkStart w:id="1179" w:name="_Toc31572_WPSOffice_Level1"/>
      <w:bookmarkStart w:id="1180" w:name="_Toc2729"/>
      <w:r>
        <w:rPr>
          <w:rFonts w:ascii="Times New Roman" w:hAnsi="Times New Roman" w:cs="Times New Roman"/>
          <w:b/>
          <w:bCs/>
          <w:color w:val="000000" w:themeColor="text1"/>
          <w:kern w:val="44"/>
          <w:sz w:val="30"/>
          <w:szCs w:val="30"/>
          <w14:textFill>
            <w14:solidFill>
              <w14:schemeClr w14:val="tx1"/>
            </w14:solidFill>
          </w14:textFill>
        </w:rPr>
        <w:t>10、奖惩</w:t>
      </w:r>
      <w:bookmarkEnd w:id="1173"/>
      <w:bookmarkEnd w:id="1174"/>
      <w:bookmarkEnd w:id="1175"/>
      <w:bookmarkEnd w:id="1176"/>
      <w:bookmarkEnd w:id="1177"/>
      <w:bookmarkEnd w:id="1178"/>
      <w:bookmarkEnd w:id="1179"/>
      <w:bookmarkEnd w:id="1180"/>
    </w:p>
    <w:p>
      <w:pPr>
        <w:keepNext/>
        <w:keepLines/>
        <w:spacing w:before="120" w:beforeLines="50" w:after="120" w:afterLines="50" w:line="46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181" w:name="_Toc23503_WPSOffice_Level2"/>
      <w:bookmarkStart w:id="1182" w:name="_Toc29036"/>
      <w:bookmarkStart w:id="1183" w:name="_Toc5329_WPSOffice_Level2"/>
      <w:bookmarkStart w:id="1184" w:name="_Toc21871_WPSOffice_Level2"/>
      <w:bookmarkStart w:id="1185" w:name="_Toc27451_WPSOffice_Level2"/>
      <w:bookmarkStart w:id="1186" w:name="_Toc12646"/>
      <w:bookmarkStart w:id="1187" w:name="_Toc12311"/>
      <w:bookmarkStart w:id="1188" w:name="_Toc9664_WPSOffice_Level2"/>
      <w:bookmarkStart w:id="1189" w:name="_Toc18968"/>
      <w:r>
        <w:rPr>
          <w:rFonts w:ascii="Times New Roman" w:hAnsi="Times New Roman" w:cs="Times New Roman"/>
          <w:b/>
          <w:bCs/>
          <w:color w:val="000000" w:themeColor="text1"/>
          <w:sz w:val="24"/>
          <w:szCs w:val="24"/>
          <w14:textFill>
            <w14:solidFill>
              <w14:schemeClr w14:val="tx1"/>
            </w14:solidFill>
          </w14:textFill>
        </w:rPr>
        <w:t>10.1事故应急救援工作实行奖励制</w:t>
      </w:r>
      <w:bookmarkEnd w:id="1181"/>
      <w:bookmarkEnd w:id="1182"/>
      <w:bookmarkEnd w:id="1183"/>
      <w:bookmarkEnd w:id="1184"/>
      <w:bookmarkEnd w:id="1185"/>
      <w:bookmarkEnd w:id="1186"/>
      <w:bookmarkEnd w:id="1187"/>
      <w:bookmarkEnd w:id="1188"/>
      <w:bookmarkEnd w:id="1189"/>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在突发环境事件应急救援工作中，有下列事迹之一的单位和个人，应依据有关规定给予奖励：</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（1）出色完成突发环境事件应急处置任务，成绩显著的；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（2）对防止或挽救突发环境事件有功，使国家、集体、和人民群众的生命财产免受或者减少损失的；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（3）对事件应急准备与响应提出重大建议，实施效果显著的；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（4）有其他特殊贡献的。</w:t>
      </w:r>
    </w:p>
    <w:p>
      <w:pPr>
        <w:keepNext/>
        <w:keepLines/>
        <w:spacing w:before="120" w:beforeLines="50" w:after="120" w:afterLines="50" w:line="46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190" w:name="_Toc11110"/>
      <w:bookmarkStart w:id="1191" w:name="_Toc24711_WPSOffice_Level2"/>
      <w:bookmarkStart w:id="1192" w:name="_Toc10451"/>
      <w:bookmarkStart w:id="1193" w:name="_Toc1483_WPSOffice_Level2"/>
      <w:bookmarkStart w:id="1194" w:name="_Toc17979_WPSOffice_Level2"/>
      <w:bookmarkStart w:id="1195" w:name="_Toc6595_WPSOffice_Level2"/>
      <w:bookmarkStart w:id="1196" w:name="_Toc19427_WPSOffice_Level2"/>
      <w:bookmarkStart w:id="1197" w:name="_Toc10702"/>
      <w:bookmarkStart w:id="1198" w:name="_Toc12324"/>
      <w:r>
        <w:rPr>
          <w:rFonts w:ascii="Times New Roman" w:hAnsi="Times New Roman" w:cs="Times New Roman"/>
          <w:b/>
          <w:bCs/>
          <w:color w:val="000000" w:themeColor="text1"/>
          <w:sz w:val="24"/>
          <w:szCs w:val="24"/>
          <w14:textFill>
            <w14:solidFill>
              <w14:schemeClr w14:val="tx1"/>
            </w14:solidFill>
          </w14:textFill>
        </w:rPr>
        <w:t>10.2事故应急救援工作实行责任追究制</w:t>
      </w:r>
      <w:bookmarkEnd w:id="1190"/>
      <w:bookmarkEnd w:id="1191"/>
      <w:bookmarkEnd w:id="1192"/>
      <w:bookmarkEnd w:id="1193"/>
      <w:bookmarkEnd w:id="1194"/>
      <w:bookmarkEnd w:id="1195"/>
      <w:bookmarkEnd w:id="1196"/>
      <w:bookmarkEnd w:id="1197"/>
      <w:bookmarkEnd w:id="1198"/>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在突发环境事件应急工作中，有下列行为之一的，按照有关法律和规定，对有关责任人员视情节和危害后果，由其所在单位或者上级机关给予行政处分；其中，对国家公务员和</w:t>
      </w:r>
      <w:r>
        <w:fldChar w:fldCharType="begin"/>
      </w:r>
      <w:r>
        <w:instrText xml:space="preserve"> HYPERLINK "http://baike.baidu.com/view/59836.htm" </w:instrText>
      </w:r>
      <w:r>
        <w:fldChar w:fldCharType="separate"/>
      </w:r>
      <w:r>
        <w:rPr>
          <w:rFonts w:ascii="Times New Roman" w:hAnsi="Times New Roman" w:cs="Times New Roman"/>
          <w:color w:val="000000" w:themeColor="text1"/>
          <w:kern w:val="0"/>
          <w:sz w:val="24"/>
          <w:szCs w:val="24"/>
          <w:lang w:val="zh-CN"/>
          <w14:textFill>
            <w14:solidFill>
              <w14:schemeClr w14:val="tx1"/>
            </w14:solidFill>
          </w14:textFill>
        </w:rPr>
        <w:t>国家行政机关</w:t>
      </w:r>
      <w:r>
        <w:rPr>
          <w:rFonts w:ascii="Times New Roman" w:hAnsi="Times New Roman" w:cs="Times New Roman"/>
          <w:color w:val="000000" w:themeColor="text1"/>
          <w:kern w:val="0"/>
          <w:sz w:val="24"/>
          <w:szCs w:val="24"/>
          <w:lang w:val="zh-CN"/>
          <w14:textFill>
            <w14:solidFill>
              <w14:schemeClr w14:val="tx1"/>
            </w14:solidFill>
          </w14:textFill>
        </w:rPr>
        <w:fldChar w:fldCharType="end"/>
      </w:r>
      <w:r>
        <w:rPr>
          <w:rFonts w:ascii="Times New Roman" w:hAnsi="Times New Roman" w:cs="Times New Roman"/>
          <w:color w:val="000000" w:themeColor="text1"/>
          <w:kern w:val="0"/>
          <w:sz w:val="24"/>
          <w:szCs w:val="24"/>
          <w:lang w:val="zh-CN"/>
          <w14:textFill>
            <w14:solidFill>
              <w14:schemeClr w14:val="tx1"/>
            </w14:solidFill>
          </w14:textFill>
        </w:rPr>
        <w:t>任命的其他人员，分别由任免机关或者监察机关给予行政处分；构成犯罪的，由司法机关依法追究刑事责任：</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（1）不认真履行环保法律、法规，而引发环境事件的；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（2）不按照规定制定突发环境事件应急预案，拒绝承担突发环境事件应急准备义务的；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（3）不按规定报告、通报突发环境事件真实情况的；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（4）拒不执行突发环境事件应急预案，不服从命令和指挥，或者在事件应急响应时临阵脱逃的；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（5）盗窃、贪污、挪用环境事件应急工作资金、装备和物资的；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（6）阻碍环境事件应急工作人员依法执行职务或者进行破坏活动的；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（7）散布谣言，扰乱社会秩序的；</w:t>
      </w:r>
    </w:p>
    <w:p>
      <w:pPr>
        <w:spacing w:line="46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（8）有其他对环境事件应急工作造成危害行为的。</w:t>
      </w:r>
    </w:p>
    <w:p>
      <w:pPr>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1199" w:name="_Toc6417_WPSOffice_Level1"/>
      <w:bookmarkStart w:id="1200" w:name="_Toc765_WPSOffice_Level1"/>
      <w:bookmarkStart w:id="1201" w:name="_Toc21948"/>
      <w:bookmarkStart w:id="1202" w:name="_Toc32460"/>
      <w:bookmarkStart w:id="1203" w:name="_Toc28012"/>
      <w:bookmarkStart w:id="1204" w:name="_Toc5021_WPSOffice_Level1"/>
      <w:bookmarkStart w:id="1205" w:name="_Toc2484"/>
      <w:bookmarkStart w:id="1206" w:name="_Toc8689_WPSOffice_Level1"/>
      <w:bookmarkStart w:id="1207" w:name="_Toc12232_WPSOffice_Level1"/>
      <w:bookmarkStart w:id="1208" w:name="_Toc17573"/>
      <w:r>
        <w:rPr>
          <w:rFonts w:ascii="Times New Roman" w:hAnsi="Times New Roman" w:cs="Times New Roman"/>
          <w:b/>
          <w:bCs/>
          <w:color w:val="000000" w:themeColor="text1"/>
          <w:kern w:val="44"/>
          <w:sz w:val="30"/>
          <w:szCs w:val="30"/>
          <w14:textFill>
            <w14:solidFill>
              <w14:schemeClr w14:val="tx1"/>
            </w14:solidFill>
          </w14:textFill>
        </w:rPr>
        <w:t>11、预案的评审、备案、发布和更新</w:t>
      </w:r>
      <w:bookmarkEnd w:id="1199"/>
      <w:bookmarkEnd w:id="1200"/>
      <w:bookmarkEnd w:id="1201"/>
      <w:bookmarkEnd w:id="1202"/>
      <w:bookmarkEnd w:id="1203"/>
      <w:bookmarkEnd w:id="1204"/>
      <w:bookmarkEnd w:id="1205"/>
      <w:bookmarkEnd w:id="1206"/>
      <w:bookmarkEnd w:id="1207"/>
      <w:bookmarkEnd w:id="1208"/>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209" w:name="_Toc9099_WPSOffice_Level2"/>
      <w:bookmarkStart w:id="1210" w:name="_Toc4771"/>
      <w:bookmarkStart w:id="1211" w:name="_Toc30581_WPSOffice_Level2"/>
      <w:bookmarkStart w:id="1212" w:name="_Toc18661"/>
      <w:bookmarkStart w:id="1213" w:name="_Toc26203_WPSOffice_Level2"/>
      <w:bookmarkStart w:id="1214" w:name="_Toc26826"/>
      <w:bookmarkStart w:id="1215" w:name="_Toc12232_WPSOffice_Level2"/>
      <w:bookmarkStart w:id="1216" w:name="_Toc27516_WPSOffice_Level2"/>
      <w:bookmarkStart w:id="1217" w:name="_Toc22566"/>
      <w:bookmarkStart w:id="1218" w:name="_Toc302723384"/>
      <w:r>
        <w:rPr>
          <w:rFonts w:ascii="Times New Roman" w:hAnsi="Times New Roman" w:cs="Times New Roman"/>
          <w:b/>
          <w:bCs/>
          <w:color w:val="000000" w:themeColor="text1"/>
          <w:sz w:val="24"/>
          <w:szCs w:val="24"/>
          <w14:textFill>
            <w14:solidFill>
              <w14:schemeClr w14:val="tx1"/>
            </w14:solidFill>
          </w14:textFill>
        </w:rPr>
        <w:t>11.1预案评审</w:t>
      </w:r>
      <w:bookmarkEnd w:id="1209"/>
      <w:bookmarkEnd w:id="1210"/>
      <w:bookmarkEnd w:id="1211"/>
      <w:bookmarkEnd w:id="1212"/>
      <w:bookmarkEnd w:id="1213"/>
      <w:bookmarkEnd w:id="1214"/>
      <w:bookmarkEnd w:id="1215"/>
      <w:bookmarkEnd w:id="1216"/>
      <w:bookmarkEnd w:id="1217"/>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应急预案评审由加油站应急办公室根据演练结果及其他信息，每年组织一次内部评审，三年组织一次回顾性评估，进行修订，以确保预案的持续适宜性，评审时间和评审方式视具体情况而定。</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219" w:name="_Toc27762_WPSOffice_Level2"/>
      <w:bookmarkStart w:id="1220" w:name="_Toc22980_WPSOffice_Level2"/>
      <w:bookmarkStart w:id="1221" w:name="_Toc15775"/>
      <w:bookmarkStart w:id="1222" w:name="_Toc30295"/>
      <w:bookmarkStart w:id="1223" w:name="_Toc17580_WPSOffice_Level2"/>
      <w:bookmarkStart w:id="1224" w:name="_Toc9104_WPSOffice_Level2"/>
      <w:bookmarkStart w:id="1225" w:name="_Toc8887_WPSOffice_Level2"/>
      <w:bookmarkStart w:id="1226" w:name="_Toc23929"/>
      <w:bookmarkStart w:id="1227" w:name="_Toc31690"/>
      <w:r>
        <w:rPr>
          <w:rFonts w:ascii="Times New Roman" w:hAnsi="Times New Roman" w:cs="Times New Roman"/>
          <w:b/>
          <w:bCs/>
          <w:color w:val="000000" w:themeColor="text1"/>
          <w:sz w:val="24"/>
          <w:szCs w:val="24"/>
          <w14:textFill>
            <w14:solidFill>
              <w14:schemeClr w14:val="tx1"/>
            </w14:solidFill>
          </w14:textFill>
        </w:rPr>
        <w:t>11.2预案备案</w:t>
      </w:r>
      <w:bookmarkEnd w:id="1219"/>
      <w:bookmarkEnd w:id="1220"/>
      <w:bookmarkEnd w:id="1221"/>
      <w:bookmarkEnd w:id="1222"/>
      <w:bookmarkEnd w:id="1223"/>
      <w:bookmarkEnd w:id="1224"/>
      <w:bookmarkEnd w:id="1225"/>
      <w:bookmarkEnd w:id="1226"/>
      <w:bookmarkEnd w:id="1227"/>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加油站应将最新版本突发环境应急预案报当地政府环境保护局或应急管理部门备案。</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228" w:name="_Toc27729_WPSOffice_Level2"/>
      <w:bookmarkStart w:id="1229" w:name="_Toc15856_WPSOffice_Level2"/>
      <w:bookmarkStart w:id="1230" w:name="_Toc9855"/>
      <w:bookmarkStart w:id="1231" w:name="_Toc11577_WPSOffice_Level2"/>
      <w:bookmarkStart w:id="1232" w:name="_Toc307"/>
      <w:bookmarkStart w:id="1233" w:name="_Toc960_WPSOffice_Level2"/>
      <w:bookmarkStart w:id="1234" w:name="_Toc17778_WPSOffice_Level2"/>
      <w:bookmarkStart w:id="1235" w:name="_Toc2501"/>
      <w:bookmarkStart w:id="1236" w:name="_Toc17108"/>
      <w:r>
        <w:rPr>
          <w:rFonts w:ascii="Times New Roman" w:hAnsi="Times New Roman" w:cs="Times New Roman"/>
          <w:b/>
          <w:bCs/>
          <w:color w:val="000000" w:themeColor="text1"/>
          <w:sz w:val="24"/>
          <w:szCs w:val="24"/>
          <w14:textFill>
            <w14:solidFill>
              <w14:schemeClr w14:val="tx1"/>
            </w14:solidFill>
          </w14:textFill>
        </w:rPr>
        <w:t>11.3预案发布与发放</w:t>
      </w:r>
      <w:bookmarkEnd w:id="1228"/>
      <w:bookmarkEnd w:id="1229"/>
      <w:bookmarkEnd w:id="1230"/>
      <w:bookmarkEnd w:id="1231"/>
      <w:bookmarkEnd w:id="1232"/>
      <w:bookmarkEnd w:id="1233"/>
      <w:bookmarkEnd w:id="1234"/>
      <w:bookmarkEnd w:id="1235"/>
      <w:bookmarkEnd w:id="1236"/>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1）加油站突发环境应急预案经加油站应急办公室组织评审后，由总经理签署发布；</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2）应急办公室负责对应急预案的统一管理；</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3）办公室负责预案的管理发放，发放应建立发放记录，并及时对已发放预案进行更新，确保各部门获得最新版本的应急预案；</w:t>
      </w:r>
    </w:p>
    <w:p>
      <w:pPr>
        <w:spacing w:line="500" w:lineRule="exact"/>
        <w:ind w:firstLine="480" w:firstLineChars="200"/>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t>4）应发放到应急指挥小组成员和各部门主要负责人及岗位。</w:t>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237" w:name="_Toc2978_WPSOffice_Level2"/>
      <w:bookmarkStart w:id="1238" w:name="_Toc6510"/>
      <w:bookmarkStart w:id="1239" w:name="_Toc25753_WPSOffice_Level2"/>
      <w:bookmarkStart w:id="1240" w:name="_Toc26198_WPSOffice_Level2"/>
      <w:bookmarkStart w:id="1241" w:name="_Toc27547"/>
      <w:bookmarkStart w:id="1242" w:name="_Toc11258_WPSOffice_Level2"/>
      <w:bookmarkStart w:id="1243" w:name="_Toc11709_WPSOffice_Level2"/>
      <w:bookmarkStart w:id="1244" w:name="_Toc25927"/>
      <w:bookmarkStart w:id="1245" w:name="_Toc12930"/>
      <w:r>
        <w:rPr>
          <w:rFonts w:ascii="Times New Roman" w:hAnsi="Times New Roman" w:cs="Times New Roman"/>
          <w:b/>
          <w:bCs/>
          <w:color w:val="000000" w:themeColor="text1"/>
          <w:sz w:val="24"/>
          <w:szCs w:val="24"/>
          <w14:textFill>
            <w14:solidFill>
              <w14:schemeClr w14:val="tx1"/>
            </w14:solidFill>
          </w14:textFill>
        </w:rPr>
        <w:t>11.4应急预案的修订</w:t>
      </w:r>
      <w:bookmarkEnd w:id="1237"/>
      <w:bookmarkEnd w:id="1238"/>
      <w:bookmarkEnd w:id="1239"/>
      <w:bookmarkEnd w:id="1240"/>
      <w:bookmarkEnd w:id="1241"/>
      <w:bookmarkEnd w:id="1242"/>
      <w:bookmarkEnd w:id="1243"/>
      <w:bookmarkEnd w:id="1244"/>
      <w:bookmarkEnd w:id="1245"/>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随着应急救援相关法律法规的制定、修改和完善，或者应急救援和演练过程中发现存在的问题和出现新的情况，及时修订完善本预案。</w:t>
      </w:r>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应急预案评审由加油站应急办公室根据每年演练结果及其他信息，每年组织一次内部评审，三年组织一次回顾性评估，进行预案修订更新，以确保预案的持续适宜性，评审时间和评审方式视具体情况而定。</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1246" w:name="_Toc32167"/>
      <w:bookmarkStart w:id="1247" w:name="_Toc10897_WPSOffice_Level3"/>
      <w:bookmarkStart w:id="1248" w:name="_Toc567_WPSOffice_Level3"/>
      <w:bookmarkStart w:id="1249" w:name="_Toc22457_WPSOffice_Level3"/>
      <w:bookmarkStart w:id="1250" w:name="_Toc17585_WPSOffice_Level3"/>
      <w:bookmarkStart w:id="1251" w:name="_Toc29507"/>
      <w:bookmarkStart w:id="1252" w:name="_Toc26932_WPSOffice_Level3"/>
      <w:bookmarkStart w:id="1253" w:name="_Toc17671"/>
      <w:r>
        <w:rPr>
          <w:rFonts w:ascii="Times New Roman" w:hAnsi="Times New Roman" w:cs="Times New Roman"/>
          <w:b/>
          <w:color w:val="000000" w:themeColor="text1"/>
          <w:sz w:val="24"/>
          <w:szCs w:val="24"/>
          <w14:textFill>
            <w14:solidFill>
              <w14:schemeClr w14:val="tx1"/>
            </w14:solidFill>
          </w14:textFill>
        </w:rPr>
        <w:t>11.4.1应急预案在下列情况下，应对应急预案及时修订</w:t>
      </w:r>
      <w:bookmarkEnd w:id="1246"/>
      <w:bookmarkEnd w:id="1247"/>
      <w:bookmarkEnd w:id="1248"/>
      <w:bookmarkEnd w:id="1249"/>
      <w:bookmarkEnd w:id="1250"/>
      <w:bookmarkEnd w:id="1251"/>
      <w:bookmarkEnd w:id="1252"/>
      <w:bookmarkEnd w:id="1253"/>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1</w:t>
      </w:r>
      <w:r>
        <w:rPr>
          <w:rFonts w:ascii="Times New Roman" w:hAnsi="Times New Roman" w:cs="Times New Roman"/>
          <w:color w:val="000000" w:themeColor="text1"/>
          <w:sz w:val="24"/>
          <w:szCs w:val="24"/>
          <w:lang w:val="zh-CN"/>
          <w14:textFill>
            <w14:solidFill>
              <w14:schemeClr w14:val="tx1"/>
            </w14:solidFill>
          </w14:textFill>
        </w:rPr>
        <w:t>）危险源发生变化（包括危险源种类、数量、位置）；</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2</w:t>
      </w:r>
      <w:r>
        <w:rPr>
          <w:rFonts w:ascii="Times New Roman" w:hAnsi="Times New Roman" w:cs="Times New Roman"/>
          <w:color w:val="000000" w:themeColor="text1"/>
          <w:sz w:val="24"/>
          <w:szCs w:val="24"/>
          <w:lang w:val="zh-CN"/>
          <w14:textFill>
            <w14:solidFill>
              <w14:schemeClr w14:val="tx1"/>
            </w14:solidFill>
          </w14:textFill>
        </w:rPr>
        <w:t>）应急机构或人员发生变化；</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（3）环境应急监测预警及报告机制、应对流程和措施、应急保障措施发生重大变化的；</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4</w:t>
      </w:r>
      <w:r>
        <w:rPr>
          <w:rFonts w:ascii="Times New Roman" w:hAnsi="Times New Roman" w:cs="Times New Roman"/>
          <w:color w:val="000000" w:themeColor="text1"/>
          <w:sz w:val="24"/>
          <w:szCs w:val="24"/>
          <w:lang w:val="zh-CN"/>
          <w14:textFill>
            <w14:solidFill>
              <w14:schemeClr w14:val="tx1"/>
            </w14:solidFill>
          </w14:textFill>
        </w:rPr>
        <w:t>）应急装备、设施发生变化；</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5</w:t>
      </w:r>
      <w:r>
        <w:rPr>
          <w:rFonts w:ascii="Times New Roman" w:hAnsi="Times New Roman" w:cs="Times New Roman"/>
          <w:color w:val="000000" w:themeColor="text1"/>
          <w:sz w:val="24"/>
          <w:szCs w:val="24"/>
          <w:lang w:val="zh-CN"/>
          <w14:textFill>
            <w14:solidFill>
              <w14:schemeClr w14:val="tx1"/>
            </w14:solidFill>
          </w14:textFill>
        </w:rPr>
        <w:t>）应急演练评价中发生存在不符合项；</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6</w:t>
      </w:r>
      <w:r>
        <w:rPr>
          <w:rFonts w:ascii="Times New Roman" w:hAnsi="Times New Roman" w:cs="Times New Roman"/>
          <w:color w:val="000000" w:themeColor="text1"/>
          <w:sz w:val="24"/>
          <w:szCs w:val="24"/>
          <w:lang w:val="zh-CN"/>
          <w14:textFill>
            <w14:solidFill>
              <w14:schemeClr w14:val="tx1"/>
            </w14:solidFill>
          </w14:textFill>
        </w:rPr>
        <w:t>）法律、法规发生变化。</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1254" w:name="_Toc25272"/>
      <w:bookmarkStart w:id="1255" w:name="_Toc15648_WPSOffice_Level3"/>
      <w:bookmarkStart w:id="1256" w:name="_Toc16811"/>
      <w:bookmarkStart w:id="1257" w:name="_Toc17253_WPSOffice_Level3"/>
      <w:bookmarkStart w:id="1258" w:name="_Toc59_WPSOffice_Level3"/>
      <w:bookmarkStart w:id="1259" w:name="_Toc7372_WPSOffice_Level3"/>
      <w:bookmarkStart w:id="1260" w:name="_Toc438_WPSOffice_Level3"/>
      <w:bookmarkStart w:id="1261" w:name="_Toc6396"/>
      <w:r>
        <w:rPr>
          <w:rFonts w:ascii="Times New Roman" w:hAnsi="Times New Roman" w:cs="Times New Roman"/>
          <w:b/>
          <w:color w:val="000000" w:themeColor="text1"/>
          <w:sz w:val="24"/>
          <w:szCs w:val="24"/>
          <w14:textFill>
            <w14:solidFill>
              <w14:schemeClr w14:val="tx1"/>
            </w14:solidFill>
          </w14:textFill>
        </w:rPr>
        <w:t>11.4.2应急预案更改、修订程序</w:t>
      </w:r>
      <w:bookmarkEnd w:id="1254"/>
      <w:bookmarkEnd w:id="1255"/>
      <w:bookmarkEnd w:id="1256"/>
      <w:bookmarkEnd w:id="1257"/>
      <w:bookmarkEnd w:id="1258"/>
      <w:bookmarkEnd w:id="1259"/>
      <w:bookmarkEnd w:id="1260"/>
      <w:bookmarkEnd w:id="1261"/>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应急预案的修订由加油站应急办公室根据上述情况的变化和原因向加油站上级公司提出申请，说明修改原因，经授权后组织修订，并将修改的文件传递给相关部门。</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预案修订应建立修改记录（包括修改日期、页码、内容、修改人）</w:t>
      </w:r>
    </w:p>
    <w:p>
      <w:pPr>
        <w:keepNext/>
        <w:keepLines/>
        <w:spacing w:before="240" w:after="240" w:line="500" w:lineRule="exact"/>
        <w:jc w:val="left"/>
        <w:outlineLvl w:val="2"/>
        <w:rPr>
          <w:rFonts w:ascii="Times New Roman" w:hAnsi="Times New Roman" w:cs="Times New Roman"/>
          <w:b/>
          <w:color w:val="000000" w:themeColor="text1"/>
          <w:sz w:val="24"/>
          <w:szCs w:val="24"/>
          <w14:textFill>
            <w14:solidFill>
              <w14:schemeClr w14:val="tx1"/>
            </w14:solidFill>
          </w14:textFill>
        </w:rPr>
      </w:pPr>
      <w:bookmarkStart w:id="1262" w:name="_Toc5963"/>
      <w:bookmarkStart w:id="1263" w:name="_Toc3757"/>
      <w:bookmarkStart w:id="1264" w:name="_Toc6008_WPSOffice_Level2"/>
      <w:bookmarkStart w:id="1265" w:name="_Toc4323_WPSOffice_Level2"/>
      <w:bookmarkStart w:id="1266" w:name="_Toc5741_WPSOffice_Level2"/>
      <w:bookmarkStart w:id="1267" w:name="_Toc7943_WPSOffice_Level2"/>
      <w:bookmarkStart w:id="1268" w:name="_Toc32088"/>
      <w:bookmarkStart w:id="1269" w:name="_Toc11186_WPSOffice_Level2"/>
      <w:bookmarkStart w:id="1270" w:name="_Toc10751"/>
      <w:r>
        <w:rPr>
          <w:rFonts w:ascii="Times New Roman" w:hAnsi="Times New Roman" w:cs="Times New Roman"/>
          <w:b/>
          <w:color w:val="000000" w:themeColor="text1"/>
          <w:sz w:val="24"/>
          <w:szCs w:val="24"/>
          <w14:textFill>
            <w14:solidFill>
              <w14:schemeClr w14:val="tx1"/>
            </w14:solidFill>
          </w14:textFill>
        </w:rPr>
        <w:t>11.5 预案签署和解释</w:t>
      </w:r>
      <w:bookmarkEnd w:id="1262"/>
      <w:bookmarkEnd w:id="1263"/>
      <w:bookmarkEnd w:id="1264"/>
      <w:bookmarkEnd w:id="1265"/>
      <w:bookmarkEnd w:id="1266"/>
      <w:bookmarkEnd w:id="1267"/>
      <w:bookmarkEnd w:id="1268"/>
      <w:bookmarkEnd w:id="1269"/>
      <w:bookmarkEnd w:id="1270"/>
    </w:p>
    <w:p>
      <w:pPr>
        <w:autoSpaceDN w:val="0"/>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中国石油天然气股份有限公司江西南昌启航加油站编制并实施的《突发环境事件应急预案》是依据环保要求及相关法律法规编制，由中国石油天然气股份有限公司江西南昌启航加油站分公司总经理签署，实施部门为中国石油天然气股份有限公司江西南昌启航加油站突发环境事件应急领导小组，最总解释权归属中国石油天然气股份有限公司江西南昌启航加油站突发环境事件应急领导小组。</w:t>
      </w:r>
    </w:p>
    <w:bookmarkEnd w:id="1218"/>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271" w:name="_Toc4248"/>
      <w:bookmarkStart w:id="1272" w:name="_Toc302723385"/>
      <w:bookmarkStart w:id="1273" w:name="_Toc23728_WPSOffice_Level2"/>
      <w:bookmarkStart w:id="1274" w:name="_Toc29965_WPSOffice_Level2"/>
      <w:bookmarkStart w:id="1275" w:name="_Toc10158_WPSOffice_Level2"/>
      <w:bookmarkStart w:id="1276" w:name="_Toc17197"/>
      <w:bookmarkStart w:id="1277" w:name="_Toc21934_WPSOffice_Level2"/>
      <w:bookmarkStart w:id="1278" w:name="_Toc14049"/>
      <w:bookmarkStart w:id="1279" w:name="_Toc16140_WPSOffice_Level2"/>
      <w:bookmarkStart w:id="1280" w:name="_Toc17082"/>
      <w:bookmarkStart w:id="1281" w:name="_Toc516"/>
      <w:r>
        <w:rPr>
          <w:rFonts w:ascii="Times New Roman" w:hAnsi="Times New Roman" w:cs="Times New Roman"/>
          <w:b/>
          <w:bCs/>
          <w:color w:val="000000" w:themeColor="text1"/>
          <w:sz w:val="24"/>
          <w:szCs w:val="24"/>
          <w14:textFill>
            <w14:solidFill>
              <w14:schemeClr w14:val="tx1"/>
            </w14:solidFill>
          </w14:textFill>
        </w:rPr>
        <w:t>11.6预案的实施</w:t>
      </w:r>
      <w:bookmarkEnd w:id="1271"/>
      <w:bookmarkEnd w:id="1272"/>
      <w:bookmarkEnd w:id="1273"/>
      <w:bookmarkEnd w:id="1274"/>
      <w:bookmarkEnd w:id="1275"/>
      <w:bookmarkEnd w:id="1276"/>
      <w:bookmarkEnd w:id="1277"/>
      <w:bookmarkEnd w:id="1278"/>
      <w:bookmarkEnd w:id="1279"/>
      <w:bookmarkEnd w:id="1280"/>
      <w:bookmarkEnd w:id="1281"/>
    </w:p>
    <w:p>
      <w:pPr>
        <w:widowControl/>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bookmarkStart w:id="1282" w:name="_Toc13712"/>
      <w:r>
        <w:rPr>
          <w:rFonts w:ascii="Times New Roman" w:hAnsi="Times New Roman" w:cs="Times New Roman"/>
          <w:color w:val="000000" w:themeColor="text1"/>
          <w:kern w:val="0"/>
          <w:sz w:val="24"/>
          <w:szCs w:val="24"/>
          <w14:textFill>
            <w14:solidFill>
              <w14:schemeClr w14:val="tx1"/>
            </w14:solidFill>
          </w14:textFill>
        </w:rPr>
        <w:t>中国石油天然气股份有限公司江西南昌启航加油站编制并实施的《中国石油天然气股份有限公司江西南昌启航加油站突发环境事件应急预案》具体实施部门为中国石油天然气股份有限公司江西南昌启航加油站突发环境事件应急领导小组。由公司总经理签署发布之日实施。</w:t>
      </w:r>
      <w:bookmarkEnd w:id="1282"/>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预案签署人：</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实施时间：2019年11月4日</w:t>
      </w:r>
    </w:p>
    <w:p>
      <w:pPr>
        <w:spacing w:line="500" w:lineRule="exact"/>
        <w:ind w:firstLine="480"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实施部门：突发环境事件应急领导小组</w:t>
      </w:r>
    </w:p>
    <w:p>
      <w:pPr>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br w:type="page"/>
      </w:r>
    </w:p>
    <w:p>
      <w:pPr>
        <w:keepNext/>
        <w:keepLines/>
        <w:spacing w:before="240" w:beforeLines="100" w:after="240" w:afterLines="100" w:line="500" w:lineRule="exact"/>
        <w:jc w:val="center"/>
        <w:outlineLvl w:val="0"/>
        <w:rPr>
          <w:rFonts w:ascii="Times New Roman" w:hAnsi="Times New Roman" w:cs="Times New Roman"/>
          <w:b/>
          <w:bCs/>
          <w:color w:val="000000" w:themeColor="text1"/>
          <w:kern w:val="44"/>
          <w:sz w:val="30"/>
          <w:szCs w:val="30"/>
          <w14:textFill>
            <w14:solidFill>
              <w14:schemeClr w14:val="tx1"/>
            </w14:solidFill>
          </w14:textFill>
        </w:rPr>
      </w:pPr>
      <w:bookmarkStart w:id="1283" w:name="_Toc5329_WPSOffice_Level1"/>
      <w:bookmarkStart w:id="1284" w:name="_Toc12126_WPSOffice_Level1"/>
      <w:bookmarkStart w:id="1285" w:name="_Toc11112"/>
      <w:bookmarkStart w:id="1286" w:name="_Toc11189"/>
      <w:bookmarkStart w:id="1287" w:name="_Toc32683_WPSOffice_Level1"/>
      <w:bookmarkStart w:id="1288" w:name="_Toc14967"/>
      <w:bookmarkStart w:id="1289" w:name="_Toc9309_WPSOffice_Level1"/>
      <w:bookmarkStart w:id="1290" w:name="_Toc17738_WPSOffice_Level1"/>
      <w:bookmarkStart w:id="1291" w:name="_Toc955"/>
      <w:r>
        <w:rPr>
          <w:rFonts w:ascii="Times New Roman" w:hAnsi="Times New Roman" w:cs="Times New Roman"/>
          <w:b/>
          <w:bCs/>
          <w:color w:val="000000" w:themeColor="text1"/>
          <w:kern w:val="44"/>
          <w:sz w:val="30"/>
          <w:szCs w:val="30"/>
          <w14:textFill>
            <w14:solidFill>
              <w14:schemeClr w14:val="tx1"/>
            </w14:solidFill>
          </w14:textFill>
        </w:rPr>
        <w:t>12、附 则-名词术语、定义</w:t>
      </w:r>
      <w:bookmarkEnd w:id="1283"/>
      <w:bookmarkEnd w:id="1284"/>
      <w:bookmarkEnd w:id="1285"/>
      <w:bookmarkEnd w:id="1286"/>
      <w:bookmarkEnd w:id="1287"/>
      <w:bookmarkEnd w:id="1288"/>
      <w:bookmarkEnd w:id="1289"/>
      <w:bookmarkEnd w:id="1290"/>
      <w:bookmarkEnd w:id="1291"/>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环境事件：</w:t>
      </w:r>
      <w:r>
        <w:rPr>
          <w:rFonts w:ascii="Times New Roman" w:hAnsi="Times New Roman" w:cs="Times New Roman"/>
          <w:color w:val="000000" w:themeColor="text1"/>
          <w:kern w:val="0"/>
          <w:sz w:val="24"/>
          <w:szCs w:val="24"/>
          <w14:textFill>
            <w14:solidFill>
              <w14:schemeClr w14:val="tx1"/>
            </w14:solidFill>
          </w14:textFill>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突发环境事件：</w:t>
      </w:r>
      <w:r>
        <w:rPr>
          <w:rFonts w:ascii="Times New Roman" w:hAnsi="Times New Roman" w:cs="Times New Roman"/>
          <w:color w:val="000000" w:themeColor="text1"/>
          <w:kern w:val="0"/>
          <w:sz w:val="24"/>
          <w:szCs w:val="24"/>
          <w14:textFill>
            <w14:solidFill>
              <w14:schemeClr w14:val="tx1"/>
            </w14:solidFill>
          </w14:textFill>
        </w:rPr>
        <w:t>是指由于污染物排放或自然灾害、</w:t>
      </w:r>
      <w:r>
        <w:fldChar w:fldCharType="begin"/>
      </w:r>
      <w:r>
        <w:instrText xml:space="preserve"> HYPERLINK "http://baike.sogou.com/lemma/ShowInnerLink.htm?lemmaId=72563125&amp;ss_c=ssc.citiao.link"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生产安全事故</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等因素，导致污染物或</w:t>
      </w:r>
      <w:r>
        <w:fldChar w:fldCharType="begin"/>
      </w:r>
      <w:r>
        <w:instrText xml:space="preserve"> HYPERLINK "http://baike.sogou.com/lemma/ShowInnerLink.htm?lemmaId=19915&amp;ss_c=ssc.citiao.link"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放射性物质</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等有毒有害物质进入大气、水体、土壤等环境介质，突然造成或可能造成</w:t>
      </w:r>
      <w:r>
        <w:fldChar w:fldCharType="begin"/>
      </w:r>
      <w:r>
        <w:instrText xml:space="preserve"> HYPERLINK "http://baike.sogou.com/lemma/ShowInnerLink.htm?lemmaId=6555677&amp;ss_c=ssc.citiao.link"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环境质量</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下降，危及公众身体健康和财产安全，或造成生态环境破坏，或造成重大社会影响，需要采取紧急措施予以应对的事件，主要包括</w:t>
      </w:r>
      <w:r>
        <w:fldChar w:fldCharType="begin"/>
      </w:r>
      <w:r>
        <w:instrText xml:space="preserve"> HYPERLINK "http://baike.sogou.com/lemma/ShowInnerLink.htm?lemmaId=37146&amp;ss_c=ssc.citiao.link"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大气污染</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w:t>
      </w:r>
      <w:r>
        <w:fldChar w:fldCharType="begin"/>
      </w:r>
      <w:r>
        <w:instrText xml:space="preserve"> HYPERLINK "http://baike.sogou.com/lemma/ShowInnerLink.htm?lemmaId=310679&amp;ss_c=ssc.citiao.link"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水体污染</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w:t>
      </w:r>
      <w:r>
        <w:fldChar w:fldCharType="begin"/>
      </w:r>
      <w:r>
        <w:instrText xml:space="preserve"> HYPERLINK "http://baike.sogou.com/lemma/ShowInnerLink.htm?lemmaId=259400&amp;ss_c=ssc.citiao.link" \t "http://baike.sogou.com/_blank"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土壤污染</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等突发性环境污染事件和辐射污染事件。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环境应急：</w:t>
      </w:r>
      <w:r>
        <w:rPr>
          <w:rFonts w:ascii="Times New Roman" w:hAnsi="Times New Roman" w:cs="Times New Roman"/>
          <w:color w:val="000000" w:themeColor="text1"/>
          <w:kern w:val="0"/>
          <w:sz w:val="24"/>
          <w:szCs w:val="24"/>
          <w14:textFill>
            <w14:solidFill>
              <w14:schemeClr w14:val="tx1"/>
            </w14:solidFill>
          </w14:textFill>
        </w:rPr>
        <w:t>针对可能或已发生的突发环境事件需要立即采取某些超出正常工作程序的行动，以避免事件发生或减轻事件后果的状态，也称为紧急状态；同时也泛指立即采取超出正常工作程序的行动。</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预案分类：</w:t>
      </w:r>
      <w:r>
        <w:rPr>
          <w:rFonts w:ascii="Times New Roman" w:hAnsi="Times New Roman" w:cs="Times New Roman"/>
          <w:color w:val="000000" w:themeColor="text1"/>
          <w:kern w:val="0"/>
          <w:sz w:val="24"/>
          <w:szCs w:val="24"/>
          <w14:textFill>
            <w14:solidFill>
              <w14:schemeClr w14:val="tx1"/>
            </w14:solidFill>
          </w14:textFill>
        </w:rPr>
        <w:t>根据突发环境事件的发生过程、性质和机理，突发环境事件主要分为三类：突发环境污染事件、生物物种安全环境事件和辐射环境污染事件。突发环境污染事件包括重点流域、敏感水域水环境污染事件；重点城市光化学烟雾污染事件；危险化学品、废弃化学品污染事件；海上石油勘探开发溢油事件；突发船舶污染事件等。生物物种安全环境事件主要是指生物物种受到不当采集、猎杀、走私、非法携带出入境或合作交换、工程建设危害以及</w:t>
      </w:r>
      <w:r>
        <w:fldChar w:fldCharType="begin"/>
      </w:r>
      <w:r>
        <w:instrText xml:space="preserve"> HYPERLINK "http://baike.baidu.com/view/264755.htm"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外来入侵物种</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对生物多样性造成损失和对生态环境造成威胁和危害事件；辐射环境污染事件包括</w:t>
      </w:r>
      <w:r>
        <w:fldChar w:fldCharType="begin"/>
      </w:r>
      <w:r>
        <w:instrText xml:space="preserve"> HYPERLINK "http://baike.baidu.com/view/357582.htm" </w:instrText>
      </w:r>
      <w:r>
        <w:fldChar w:fldCharType="separate"/>
      </w:r>
      <w:r>
        <w:rPr>
          <w:rFonts w:ascii="Times New Roman" w:hAnsi="Times New Roman" w:cs="Times New Roman"/>
          <w:color w:val="000000" w:themeColor="text1"/>
          <w:kern w:val="0"/>
          <w:sz w:val="24"/>
          <w:szCs w:val="24"/>
          <w14:textFill>
            <w14:solidFill>
              <w14:schemeClr w14:val="tx1"/>
            </w14:solidFill>
          </w14:textFill>
        </w:rPr>
        <w:t>放射性同位素</w:t>
      </w:r>
      <w:r>
        <w:rPr>
          <w:rFonts w:ascii="Times New Roman" w:hAnsi="Times New Roman" w:cs="Times New Roman"/>
          <w:color w:val="000000" w:themeColor="text1"/>
          <w:kern w:val="0"/>
          <w:sz w:val="24"/>
          <w:szCs w:val="24"/>
          <w14:textFill>
            <w14:solidFill>
              <w14:schemeClr w14:val="tx1"/>
            </w14:solidFill>
          </w14:textFill>
        </w:rPr>
        <w:fldChar w:fldCharType="end"/>
      </w:r>
      <w:r>
        <w:rPr>
          <w:rFonts w:ascii="Times New Roman" w:hAnsi="Times New Roman" w:cs="Times New Roman"/>
          <w:color w:val="000000" w:themeColor="text1"/>
          <w:kern w:val="0"/>
          <w:sz w:val="24"/>
          <w:szCs w:val="24"/>
          <w14:textFill>
            <w14:solidFill>
              <w14:schemeClr w14:val="tx1"/>
            </w14:solidFill>
          </w14:textFill>
        </w:rPr>
        <w:t>、放射源、辐射装置、放射性废物辐射污染事件。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泄漏处理：</w:t>
      </w:r>
      <w:r>
        <w:rPr>
          <w:rFonts w:ascii="Times New Roman" w:hAnsi="Times New Roman" w:cs="Times New Roman"/>
          <w:color w:val="000000" w:themeColor="text1"/>
          <w:kern w:val="0"/>
          <w:sz w:val="24"/>
          <w:szCs w:val="24"/>
          <w14:textFill>
            <w14:solidFill>
              <w14:schemeClr w14:val="tx1"/>
            </w14:solidFill>
          </w14:textFill>
        </w:rPr>
        <w:t>泄漏处理是指对危险化学品、危险废物、放射性物质、有毒气体等污染源因事件发生泄漏时的所采取的应急处置措施。泄漏处理要及时、得当，避免重大事件的发生。泄漏处理一般分为泄漏源控制和泄漏物处置两部分。</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应急监测：</w:t>
      </w:r>
      <w:r>
        <w:rPr>
          <w:rFonts w:ascii="Times New Roman" w:hAnsi="Times New Roman" w:cs="Times New Roman"/>
          <w:color w:val="000000" w:themeColor="text1"/>
          <w:kern w:val="0"/>
          <w:sz w:val="24"/>
          <w:szCs w:val="24"/>
          <w14:textFill>
            <w14:solidFill>
              <w14:schemeClr w14:val="tx1"/>
            </w14:solidFill>
          </w14:textFill>
        </w:rPr>
        <w:t>环境应急情况下，为发现和查明环境污染情况和污染范围而进行的环境监测。包括定点监测和动态监测。</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应急演习：</w:t>
      </w:r>
      <w:r>
        <w:rPr>
          <w:rFonts w:ascii="Times New Roman" w:hAnsi="Times New Roman" w:cs="Times New Roman"/>
          <w:color w:val="000000" w:themeColor="text1"/>
          <w:kern w:val="0"/>
          <w:sz w:val="24"/>
          <w:szCs w:val="24"/>
          <w14:textFill>
            <w14:solidFill>
              <w14:schemeClr w14:val="tx1"/>
            </w14:solidFill>
          </w14:textFill>
        </w:rPr>
        <w:t>为检验应急计划的有效性、应急准备的完善性、应急响应能力的适应性和应急人员的协同性而进行的一种模拟应急响应的实践活动，根据所涉及的内容和</w:t>
      </w:r>
      <w:r>
        <w:rPr>
          <w:rFonts w:hint="eastAsia" w:ascii="Times New Roman" w:hAnsi="Times New Roman" w:cs="Times New Roman"/>
          <w:color w:val="000000" w:themeColor="text1"/>
          <w:kern w:val="0"/>
          <w:sz w:val="24"/>
          <w:szCs w:val="24"/>
          <w14:textFill>
            <w14:solidFill>
              <w14:schemeClr w14:val="tx1"/>
            </w14:solidFill>
          </w14:textFill>
        </w:rPr>
        <w:t>范围</w:t>
      </w:r>
      <w:r>
        <w:rPr>
          <w:rFonts w:ascii="Times New Roman" w:hAnsi="Times New Roman" w:cs="Times New Roman"/>
          <w:color w:val="000000" w:themeColor="text1"/>
          <w:kern w:val="0"/>
          <w:sz w:val="24"/>
          <w:szCs w:val="24"/>
          <w14:textFill>
            <w14:solidFill>
              <w14:schemeClr w14:val="tx1"/>
            </w14:solidFill>
          </w14:textFill>
        </w:rPr>
        <w:t>的不同，可分为单项演习（演练）、综合演习和指挥中心、现场应急组织联合进行的联合演习。</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突发环境事件应急预案：</w:t>
      </w:r>
      <w:r>
        <w:rPr>
          <w:rFonts w:ascii="Times New Roman" w:hAnsi="Times New Roman" w:cs="Times New Roman"/>
          <w:color w:val="000000" w:themeColor="text1"/>
          <w:kern w:val="0"/>
          <w:sz w:val="24"/>
          <w:szCs w:val="24"/>
          <w14:textFill>
            <w14:solidFill>
              <w14:schemeClr w14:val="tx1"/>
            </w14:solidFill>
          </w14:textFill>
        </w:rPr>
        <w:t>是指针对可能发生的突发环境事件，为确保迅速、有序、高效地开展应急处置，减少人员伤亡和经济损失而预先制定的计划或方案。</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环境风险：</w:t>
      </w:r>
      <w:r>
        <w:rPr>
          <w:rFonts w:ascii="Times New Roman" w:hAnsi="Times New Roman" w:cs="Times New Roman"/>
          <w:color w:val="000000" w:themeColor="text1"/>
          <w:kern w:val="0"/>
          <w:sz w:val="24"/>
          <w:szCs w:val="24"/>
          <w14:textFill>
            <w14:solidFill>
              <w14:schemeClr w14:val="tx1"/>
            </w14:solidFill>
          </w14:textFill>
        </w:rPr>
        <w:t>是指突发环境事件对环境（或健康）的危险程度。</w:t>
      </w:r>
    </w:p>
    <w:p>
      <w:pPr>
        <w:widowControl/>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危险源：</w:t>
      </w:r>
      <w:r>
        <w:rPr>
          <w:rFonts w:ascii="Times New Roman" w:hAnsi="Times New Roman" w:cs="Times New Roman"/>
          <w:color w:val="000000" w:themeColor="text1"/>
          <w:kern w:val="0"/>
          <w:sz w:val="24"/>
          <w:szCs w:val="24"/>
          <w14:textFill>
            <w14:solidFill>
              <w14:schemeClr w14:val="tx1"/>
            </w14:solidFill>
          </w14:textFill>
        </w:rPr>
        <w:t>是指可能导致伤害或疾病、财产损失、环境破坏或这些情况组合的根源或状态。</w:t>
      </w:r>
    </w:p>
    <w:p>
      <w:pPr>
        <w:spacing w:line="500" w:lineRule="exact"/>
        <w:ind w:firstLine="482" w:firstLineChars="200"/>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环境敏感点：</w:t>
      </w:r>
      <w:r>
        <w:rPr>
          <w:rFonts w:ascii="Times New Roman" w:hAnsi="Times New Roman" w:cs="Times New Roman"/>
          <w:color w:val="000000" w:themeColor="text1"/>
          <w:kern w:val="0"/>
          <w:sz w:val="24"/>
          <w:szCs w:val="24"/>
          <w14:textFill>
            <w14:solidFill>
              <w14:schemeClr w14:val="tx1"/>
            </w14:solidFill>
          </w14:textFill>
        </w:rPr>
        <w:t>参照《建设项目环境影响评价分类管理名录》中“环境敏感区”的定义。</w:t>
      </w:r>
    </w:p>
    <w:p>
      <w:pPr>
        <w:pStyle w:val="2"/>
        <w:ind w:firstLine="496"/>
        <w:rPr>
          <w:rFonts w:ascii="Times New Roman" w:hAnsi="Times New Roman"/>
        </w:rPr>
      </w:pPr>
    </w:p>
    <w:p>
      <w:pPr>
        <w:keepNext/>
        <w:keepLines/>
        <w:spacing w:before="360" w:beforeLines="150" w:line="320" w:lineRule="exact"/>
        <w:ind w:left="608" w:hanging="608" w:hangingChars="202"/>
        <w:outlineLvl w:val="0"/>
        <w:rPr>
          <w:rFonts w:ascii="Times New Roman" w:hAnsi="Times New Roman" w:cs="Times New Roman"/>
          <w:b/>
          <w:bCs/>
          <w:color w:val="000000" w:themeColor="text1"/>
          <w:kern w:val="44"/>
          <w:sz w:val="30"/>
          <w:szCs w:val="30"/>
          <w14:textFill>
            <w14:solidFill>
              <w14:schemeClr w14:val="tx1"/>
            </w14:solidFill>
          </w14:textFill>
        </w:rPr>
        <w:sectPr>
          <w:footerReference r:id="rId6" w:type="default"/>
          <w:pgSz w:w="11920" w:h="16840"/>
          <w:pgMar w:top="1100" w:right="1200" w:bottom="280" w:left="1580" w:header="878" w:footer="1081" w:gutter="0"/>
          <w:cols w:space="720" w:num="1"/>
        </w:sectPr>
      </w:pPr>
      <w:bookmarkStart w:id="1292" w:name="_Toc10663_WPSOffice_Level1"/>
      <w:bookmarkStart w:id="1293" w:name="_Toc29772_WPSOffice_Level1"/>
      <w:bookmarkStart w:id="1294" w:name="_Toc21391"/>
      <w:bookmarkStart w:id="1295" w:name="_Toc9398"/>
    </w:p>
    <w:p>
      <w:pPr>
        <w:keepNext/>
        <w:keepLines/>
        <w:spacing w:before="360" w:beforeLines="150" w:line="320" w:lineRule="exact"/>
        <w:ind w:left="608" w:hanging="608" w:hangingChars="202"/>
        <w:outlineLvl w:val="0"/>
        <w:rPr>
          <w:rFonts w:ascii="Times New Roman" w:hAnsi="Times New Roman" w:cs="Times New Roman"/>
          <w:b/>
          <w:bCs/>
          <w:color w:val="000000" w:themeColor="text1"/>
          <w:kern w:val="44"/>
          <w:sz w:val="30"/>
          <w:szCs w:val="30"/>
          <w14:textFill>
            <w14:solidFill>
              <w14:schemeClr w14:val="tx1"/>
            </w14:solidFill>
          </w14:textFill>
        </w:rPr>
      </w:pPr>
      <w:bookmarkStart w:id="1296" w:name="_Toc10928_WPSOffice_Level1"/>
      <w:bookmarkStart w:id="1297" w:name="_Toc25432_WPSOffice_Level1"/>
      <w:bookmarkStart w:id="1298" w:name="_Toc17979_WPSOffice_Level1"/>
      <w:bookmarkStart w:id="1299" w:name="_Toc8306"/>
      <w:r>
        <w:rPr>
          <w:rFonts w:ascii="Times New Roman" w:hAnsi="Times New Roman" w:cs="Times New Roman"/>
          <w:b/>
          <w:bCs/>
          <w:color w:val="000000" w:themeColor="text1"/>
          <w:kern w:val="44"/>
          <w:sz w:val="30"/>
          <w:szCs w:val="30"/>
          <w14:textFill>
            <w14:solidFill>
              <w14:schemeClr w14:val="tx1"/>
            </w14:solidFill>
          </w14:textFill>
        </w:rPr>
        <w:t>附件</w:t>
      </w:r>
      <w:bookmarkEnd w:id="1292"/>
      <w:bookmarkEnd w:id="1293"/>
      <w:bookmarkEnd w:id="1294"/>
      <w:bookmarkEnd w:id="1295"/>
      <w:bookmarkEnd w:id="1296"/>
      <w:bookmarkEnd w:id="1297"/>
      <w:bookmarkEnd w:id="1298"/>
      <w:bookmarkEnd w:id="1299"/>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300" w:name="_Toc12377"/>
      <w:bookmarkStart w:id="1301" w:name="_Toc16347"/>
      <w:bookmarkStart w:id="1302" w:name="_Toc32634"/>
      <w:bookmarkStart w:id="1303" w:name="_Toc26405"/>
      <w:r>
        <w:rPr>
          <w:rFonts w:ascii="Times New Roman" w:hAnsi="Times New Roman" w:cs="Times New Roman"/>
          <w:b/>
          <w:bCs/>
          <w:color w:val="000000" w:themeColor="text1"/>
          <w:sz w:val="24"/>
          <w:szCs w:val="24"/>
          <w14:textFill>
            <w14:solidFill>
              <w14:schemeClr w14:val="tx1"/>
            </w14:solidFill>
          </w14:textFill>
        </w:rPr>
        <w:t>附件一：中国石油天然气股份有限公司江西南昌启航加油站地理位置图</w:t>
      </w:r>
      <w:bookmarkEnd w:id="1300"/>
      <w:bookmarkEnd w:id="1301"/>
      <w:bookmarkEnd w:id="1302"/>
      <w:bookmarkEnd w:id="1303"/>
    </w:p>
    <w:p>
      <w:pPr>
        <w:jc w:val="left"/>
        <w:rPr>
          <w:rFonts w:ascii="Times New Roman" w:hAnsi="Times New Roman" w:cs="Times New Roman"/>
          <w:color w:val="000000" w:themeColor="text1"/>
          <w:kern w:val="0"/>
          <w:sz w:val="24"/>
          <w:szCs w:val="24"/>
          <w:lang w:val="zh-CN"/>
          <w14:textFill>
            <w14:solidFill>
              <w14:schemeClr w14:val="tx1"/>
            </w14:solidFill>
          </w14:textFill>
        </w:rPr>
      </w:pPr>
      <w:r>
        <w:drawing>
          <wp:anchor distT="0" distB="0" distL="114300" distR="114300" simplePos="0" relativeHeight="251659264" behindDoc="0" locked="0" layoutInCell="1" allowOverlap="1">
            <wp:simplePos x="0" y="0"/>
            <wp:positionH relativeFrom="column">
              <wp:posOffset>4730750</wp:posOffset>
            </wp:positionH>
            <wp:positionV relativeFrom="paragraph">
              <wp:posOffset>158750</wp:posOffset>
            </wp:positionV>
            <wp:extent cx="1073150" cy="954405"/>
            <wp:effectExtent l="0" t="0" r="12700" b="17780"/>
            <wp:wrapNone/>
            <wp:docPr id="63" name="Picture 128"/>
            <wp:cNvGraphicFramePr/>
            <a:graphic xmlns:a="http://schemas.openxmlformats.org/drawingml/2006/main">
              <a:graphicData uri="http://schemas.openxmlformats.org/drawingml/2006/picture">
                <pic:pic xmlns:pic="http://schemas.openxmlformats.org/drawingml/2006/picture">
                  <pic:nvPicPr>
                    <pic:cNvPr id="63" name="Picture 128"/>
                    <pic:cNvPicPr/>
                  </pic:nvPicPr>
                  <pic:blipFill>
                    <a:blip r:embed="rId23"/>
                    <a:stretch>
                      <a:fillRect/>
                    </a:stretch>
                  </pic:blipFill>
                  <pic:spPr>
                    <a:xfrm rot="10800001" flipV="1">
                      <a:off x="0" y="0"/>
                      <a:ext cx="1073150" cy="954405"/>
                    </a:xfrm>
                    <a:prstGeom prst="rect">
                      <a:avLst/>
                    </a:prstGeom>
                  </pic:spPr>
                </pic:pic>
              </a:graphicData>
            </a:graphic>
          </wp:anchor>
        </w:drawing>
      </w:r>
      <w:r>
        <w:drawing>
          <wp:inline distT="0" distB="0" distL="0" distR="0">
            <wp:extent cx="5803900" cy="4359910"/>
            <wp:effectExtent l="0" t="0" r="635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4"/>
                    <a:stretch>
                      <a:fillRect/>
                    </a:stretch>
                  </pic:blipFill>
                  <pic:spPr>
                    <a:xfrm>
                      <a:off x="0" y="0"/>
                      <a:ext cx="5803900" cy="4359910"/>
                    </a:xfrm>
                    <a:prstGeom prst="rect">
                      <a:avLst/>
                    </a:prstGeom>
                  </pic:spPr>
                </pic:pic>
              </a:graphicData>
            </a:graphic>
          </wp:inline>
        </w:drawing>
      </w:r>
    </w:p>
    <w:p>
      <w:pPr>
        <w:widowControl/>
        <w:jc w:val="left"/>
        <w:rPr>
          <w:rFonts w:ascii="Times New Roman" w:hAnsi="Times New Roman" w:cs="Times New Roman"/>
          <w:color w:val="000000" w:themeColor="text1"/>
          <w:kern w:val="0"/>
          <w:sz w:val="24"/>
          <w:szCs w:val="24"/>
          <w:lang w:val="zh-CN"/>
          <w14:textFill>
            <w14:solidFill>
              <w14:schemeClr w14:val="tx1"/>
            </w14:solidFill>
          </w14:textFill>
        </w:rPr>
      </w:pPr>
      <w:r>
        <w:rPr>
          <w:rFonts w:ascii="Times New Roman" w:hAnsi="Times New Roman" w:cs="Times New Roman"/>
          <w:color w:val="000000" w:themeColor="text1"/>
          <w:kern w:val="0"/>
          <w:sz w:val="24"/>
          <w:szCs w:val="24"/>
          <w:lang w:val="zh-CN"/>
          <w14:textFill>
            <w14:solidFill>
              <w14:schemeClr w14:val="tx1"/>
            </w14:solidFill>
          </w14:textFill>
        </w:rPr>
        <w:br w:type="page"/>
      </w:r>
    </w:p>
    <w:p>
      <w:pPr>
        <w:keepNext/>
        <w:keepLines/>
        <w:spacing w:before="120" w:beforeLines="50" w:after="120" w:afterLines="50" w:line="500" w:lineRule="exact"/>
        <w:jc w:val="left"/>
        <w:outlineLvl w:val="1"/>
        <w:rPr>
          <w:rFonts w:ascii="Times New Roman" w:hAnsi="Times New Roman" w:cs="Times New Roman"/>
          <w:color w:val="000000" w:themeColor="text1"/>
          <w:kern w:val="0"/>
          <w:sz w:val="24"/>
          <w:szCs w:val="24"/>
          <w14:textFill>
            <w14:solidFill>
              <w14:schemeClr w14:val="tx1"/>
            </w14:solidFill>
          </w14:textFill>
        </w:rPr>
      </w:pPr>
      <w:bookmarkStart w:id="1304" w:name="_Toc24497"/>
      <w:bookmarkStart w:id="1305" w:name="_Toc27743"/>
      <w:bookmarkStart w:id="1306" w:name="_Toc1981"/>
      <w:bookmarkStart w:id="1307" w:name="_Toc30009"/>
      <w:r>
        <w:rPr>
          <w:rFonts w:ascii="Times New Roman" w:hAnsi="Times New Roman" w:cs="Times New Roman"/>
          <w:b/>
          <w:bCs/>
          <w:color w:val="000000" w:themeColor="text1"/>
          <w:sz w:val="24"/>
          <w:szCs w:val="24"/>
          <w14:textFill>
            <w14:solidFill>
              <w14:schemeClr w14:val="tx1"/>
            </w14:solidFill>
          </w14:textFill>
        </w:rPr>
        <w:t>附件二：加油站平面布置图</w:t>
      </w:r>
      <w:bookmarkEnd w:id="652"/>
      <w:bookmarkEnd w:id="1304"/>
      <w:bookmarkEnd w:id="1305"/>
      <w:bookmarkEnd w:id="1306"/>
      <w:bookmarkEnd w:id="1307"/>
    </w:p>
    <w:p>
      <w:pPr>
        <w:pStyle w:val="2"/>
        <w:ind w:firstLine="482"/>
        <w:rPr>
          <w:rFonts w:ascii="Times New Roman" w:hAnsi="Times New Roman"/>
          <w:color w:val="000000" w:themeColor="text1"/>
          <w:kern w:val="0"/>
          <w:szCs w:val="24"/>
          <w14:textFill>
            <w14:solidFill>
              <w14:schemeClr w14:val="tx1"/>
            </w14:solidFill>
          </w14:textFill>
        </w:rPr>
      </w:pPr>
      <w:r>
        <w:rPr>
          <w:rFonts w:ascii="Times New Roman" w:hAnsi="Times New Roman"/>
          <w:b/>
          <w:bCs/>
          <w:color w:val="000000" w:themeColor="text1"/>
          <w:szCs w:val="24"/>
          <w14:textFill>
            <w14:solidFill>
              <w14:schemeClr w14:val="tx1"/>
            </w14:solidFill>
          </w14:textFill>
        </w:rPr>
        <w:drawing>
          <wp:anchor distT="0" distB="0" distL="114300" distR="114300" simplePos="0" relativeHeight="251700224" behindDoc="0" locked="0" layoutInCell="1" allowOverlap="1">
            <wp:simplePos x="0" y="0"/>
            <wp:positionH relativeFrom="column">
              <wp:posOffset>5046980</wp:posOffset>
            </wp:positionH>
            <wp:positionV relativeFrom="paragraph">
              <wp:posOffset>36195</wp:posOffset>
            </wp:positionV>
            <wp:extent cx="919480" cy="821055"/>
            <wp:effectExtent l="0" t="0" r="0" b="0"/>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919480" cy="821055"/>
                    </a:xfrm>
                    <a:prstGeom prst="rect">
                      <a:avLst/>
                    </a:prstGeom>
                    <a:noFill/>
                  </pic:spPr>
                </pic:pic>
              </a:graphicData>
            </a:graphic>
          </wp:anchor>
        </w:drawing>
      </w:r>
      <w:r>
        <w:drawing>
          <wp:anchor distT="0" distB="0" distL="114300" distR="114300" simplePos="0" relativeHeight="251791360" behindDoc="0" locked="0" layoutInCell="1" allowOverlap="1">
            <wp:simplePos x="0" y="0"/>
            <wp:positionH relativeFrom="column">
              <wp:posOffset>-120650</wp:posOffset>
            </wp:positionH>
            <wp:positionV relativeFrom="paragraph">
              <wp:posOffset>28575</wp:posOffset>
            </wp:positionV>
            <wp:extent cx="6109970" cy="4582795"/>
            <wp:effectExtent l="0" t="0" r="1270" b="4445"/>
            <wp:wrapSquare wrapText="bothSides"/>
            <wp:docPr id="33" name="图片 33" descr="平面布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平面布置图"/>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09970" cy="4582795"/>
                    </a:xfrm>
                    <a:prstGeom prst="rect">
                      <a:avLst/>
                    </a:prstGeom>
                  </pic:spPr>
                </pic:pic>
              </a:graphicData>
            </a:graphic>
          </wp:anchor>
        </w:drawing>
      </w:r>
    </w:p>
    <w:p>
      <w:pPr>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br w:type="page"/>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14:textFill>
            <w14:solidFill>
              <w14:schemeClr w14:val="tx1"/>
            </w14:solidFill>
          </w14:textFill>
        </w:rPr>
      </w:pPr>
      <w:bookmarkStart w:id="1308" w:name="_Toc30519"/>
      <w:bookmarkStart w:id="1309" w:name="_Toc31655"/>
      <w:bookmarkStart w:id="1310" w:name="_Toc14950"/>
      <w:r>
        <w:rPr>
          <w:rFonts w:ascii="Calibri" w:hAnsi="Calibri" w:eastAsia="Calibri" w:cs="Calibri"/>
          <w:color w:val="000000"/>
          <w:sz w:val="22"/>
        </w:rPr>
        <w:drawing>
          <wp:anchor distT="0" distB="0" distL="114300" distR="114300" simplePos="0" relativeHeight="251673600" behindDoc="0" locked="0" layoutInCell="1" allowOverlap="1">
            <wp:simplePos x="0" y="0"/>
            <wp:positionH relativeFrom="column">
              <wp:posOffset>5205095</wp:posOffset>
            </wp:positionH>
            <wp:positionV relativeFrom="paragraph">
              <wp:posOffset>384810</wp:posOffset>
            </wp:positionV>
            <wp:extent cx="946785" cy="1066800"/>
            <wp:effectExtent l="0" t="0" r="13335" b="0"/>
            <wp:wrapNone/>
            <wp:docPr id="159" name="Picture 10"/>
            <wp:cNvGraphicFramePr/>
            <a:graphic xmlns:a="http://schemas.openxmlformats.org/drawingml/2006/main">
              <a:graphicData uri="http://schemas.openxmlformats.org/drawingml/2006/picture">
                <pic:pic xmlns:pic="http://schemas.openxmlformats.org/drawingml/2006/picture">
                  <pic:nvPicPr>
                    <pic:cNvPr id="159" name="Picture 10"/>
                    <pic:cNvPicPr/>
                  </pic:nvPicPr>
                  <pic:blipFill>
                    <a:blip r:embed="rId23"/>
                    <a:stretch>
                      <a:fillRect/>
                    </a:stretch>
                  </pic:blipFill>
                  <pic:spPr>
                    <a:xfrm flipV="1">
                      <a:off x="0" y="0"/>
                      <a:ext cx="946785" cy="1066800"/>
                    </a:xfrm>
                    <a:prstGeom prst="rect">
                      <a:avLst/>
                    </a:prstGeom>
                  </pic:spPr>
                </pic:pic>
              </a:graphicData>
            </a:graphic>
          </wp:anchor>
        </w:drawing>
      </w:r>
      <w:r>
        <w:rPr>
          <w:rFonts w:ascii="Times New Roman" w:hAnsi="Times New Roman" w:cs="Times New Roman"/>
          <w:b/>
          <w:bCs/>
          <w:color w:val="000000" w:themeColor="text1"/>
          <w:sz w:val="24"/>
          <w:szCs w:val="24"/>
          <w14:textFill>
            <w14:solidFill>
              <w14:schemeClr w14:val="tx1"/>
            </w14:solidFill>
          </w14:textFill>
        </w:rPr>
        <w:t>附件三：加油站周边环境“环境敏感点”示意图</w:t>
      </w:r>
      <w:bookmarkEnd w:id="1308"/>
      <w:bookmarkEnd w:id="1309"/>
      <w:bookmarkEnd w:id="1310"/>
    </w:p>
    <w:p>
      <w:pPr>
        <w:widowControl/>
        <w:spacing w:line="360" w:lineRule="auto"/>
        <w:jc w:val="left"/>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drawing>
          <wp:inline distT="0" distB="0" distL="0" distR="0">
            <wp:extent cx="6141085" cy="4519930"/>
            <wp:effectExtent l="0" t="0" r="63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41085" cy="4519930"/>
                    </a:xfrm>
                    <a:prstGeom prst="rect">
                      <a:avLst/>
                    </a:prstGeom>
                    <a:noFill/>
                  </pic:spPr>
                </pic:pic>
              </a:graphicData>
            </a:graphic>
          </wp:inline>
        </w:drawing>
      </w:r>
    </w:p>
    <w:p>
      <w:pPr>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br w:type="page"/>
      </w:r>
    </w:p>
    <w:p>
      <w:pPr>
        <w:keepNext/>
        <w:keepLines/>
        <w:spacing w:before="120" w:beforeLines="50" w:after="120" w:afterLines="50" w:line="500" w:lineRule="exact"/>
        <w:jc w:val="left"/>
        <w:outlineLvl w:val="1"/>
        <w:rPr>
          <w:rFonts w:ascii="Times New Roman" w:hAnsi="Times New Roman" w:cs="Times New Roman"/>
          <w:b/>
          <w:bCs/>
          <w:color w:val="000000" w:themeColor="text1"/>
          <w:sz w:val="24"/>
          <w:szCs w:val="24"/>
          <w:lang w:val="zh-CN"/>
          <w14:textFill>
            <w14:solidFill>
              <w14:schemeClr w14:val="tx1"/>
            </w14:solidFill>
          </w14:textFill>
        </w:rPr>
      </w:pPr>
      <w:bookmarkStart w:id="1311" w:name="_Toc9028"/>
      <w:bookmarkStart w:id="1312" w:name="_Toc19204"/>
      <w:bookmarkStart w:id="1313" w:name="_Toc6866"/>
      <w:r>
        <w:rPr>
          <w:rFonts w:ascii="Times New Roman" w:hAnsi="Times New Roman" w:cs="Times New Roman"/>
          <w:b/>
          <w:bCs/>
          <w:color w:val="000000" w:themeColor="text1"/>
          <w:sz w:val="24"/>
          <w:szCs w:val="24"/>
          <w:lang w:val="zh-CN"/>
          <w14:textFill>
            <w14:solidFill>
              <w14:schemeClr w14:val="tx1"/>
            </w14:solidFill>
          </w14:textFill>
        </w:rPr>
        <w:t>附件四、加油站应急疏散线路图</w:t>
      </w:r>
      <w:bookmarkEnd w:id="1311"/>
      <w:bookmarkEnd w:id="1312"/>
      <w:bookmarkEnd w:id="1313"/>
    </w:p>
    <w:p>
      <w:pPr>
        <w:rPr>
          <w:rFonts w:ascii="Times New Roman" w:hAnsi="Times New Roman" w:cs="Times New Roman"/>
          <w:color w:val="000000" w:themeColor="text1"/>
          <w14:textFill>
            <w14:solidFill>
              <w14:schemeClr w14:val="tx1"/>
            </w14:solidFill>
          </w14:textFill>
        </w:rPr>
      </w:pPr>
      <w:r>
        <w:drawing>
          <wp:inline distT="0" distB="0" distL="114300" distR="114300">
            <wp:extent cx="5803900" cy="4364355"/>
            <wp:effectExtent l="0" t="0" r="6350" b="0"/>
            <wp:docPr id="36" name="图片 36" descr="应急疏散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应急疏散图"/>
                    <pic:cNvPicPr>
                      <a:picLocks noChangeAspect="1"/>
                    </pic:cNvPicPr>
                  </pic:nvPicPr>
                  <pic:blipFill>
                    <a:blip r:embed="rId27"/>
                    <a:stretch>
                      <a:fillRect/>
                    </a:stretch>
                  </pic:blipFill>
                  <pic:spPr>
                    <a:xfrm>
                      <a:off x="0" y="0"/>
                      <a:ext cx="5803900" cy="4364985"/>
                    </a:xfrm>
                    <a:prstGeom prst="rect">
                      <a:avLst/>
                    </a:prstGeom>
                  </pic:spPr>
                </pic:pic>
              </a:graphicData>
            </a:graphic>
          </wp:inline>
        </w:drawing>
      </w:r>
    </w:p>
    <w:p>
      <w:pPr>
        <w:pStyle w:val="2"/>
        <w:ind w:firstLine="496"/>
      </w:pPr>
      <w: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kern w:val="0"/>
          <w:sz w:val="24"/>
          <w:szCs w:val="24"/>
          <w14:textFill>
            <w14:solidFill>
              <w14:schemeClr w14:val="tx1"/>
            </w14:solidFill>
          </w14:textFill>
        </w:rPr>
      </w:pPr>
      <w:bookmarkStart w:id="1314" w:name="_Toc8030"/>
      <w:bookmarkStart w:id="1315" w:name="_Toc12354"/>
      <w:bookmarkStart w:id="1316" w:name="_Toc12069"/>
      <w:r>
        <w:rPr>
          <w:rFonts w:ascii="Times New Roman" w:hAnsi="Times New Roman" w:cs="Times New Roman"/>
          <w:b/>
          <w:bCs/>
          <w:color w:val="000000" w:themeColor="text1"/>
          <w:sz w:val="24"/>
          <w:szCs w:val="24"/>
          <w14:textFill>
            <w14:solidFill>
              <w14:schemeClr w14:val="tx1"/>
            </w14:solidFill>
          </w14:textFill>
        </w:rPr>
        <w:t>附件五: 突发环境事件应急领导小组成员及联系方式</w:t>
      </w:r>
      <w:bookmarkEnd w:id="1314"/>
      <w:bookmarkEnd w:id="1315"/>
      <w:bookmarkEnd w:id="1316"/>
    </w:p>
    <w:tbl>
      <w:tblPr>
        <w:tblStyle w:val="16"/>
        <w:tblW w:w="7938"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996"/>
        <w:gridCol w:w="1670"/>
        <w:gridCol w:w="1930"/>
        <w:gridCol w:w="234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jc w:val="center"/>
              <w:rPr>
                <w:rFonts w:ascii="Times New Roman" w:hAnsi="Times New Roman" w:cs="Times New Roman"/>
                <w:szCs w:val="21"/>
              </w:rPr>
            </w:pPr>
            <w:r>
              <w:rPr>
                <w:rFonts w:ascii="Times New Roman" w:hAnsi="Times New Roman" w:cs="Times New Roman"/>
                <w:szCs w:val="21"/>
              </w:rPr>
              <w:t>应急机构名称</w:t>
            </w:r>
          </w:p>
        </w:tc>
        <w:tc>
          <w:tcPr>
            <w:tcW w:w="1670" w:type="dxa"/>
            <w:tcBorders>
              <w:tl2br w:val="nil"/>
              <w:tr2bl w:val="nil"/>
            </w:tcBorders>
          </w:tcPr>
          <w:p>
            <w:pPr>
              <w:jc w:val="center"/>
              <w:rPr>
                <w:rFonts w:ascii="Times New Roman" w:hAnsi="Times New Roman" w:cs="Times New Roman"/>
                <w:szCs w:val="21"/>
              </w:rPr>
            </w:pPr>
            <w:r>
              <w:rPr>
                <w:rFonts w:ascii="Times New Roman" w:hAnsi="Times New Roman" w:cs="Times New Roman"/>
                <w:szCs w:val="21"/>
              </w:rPr>
              <w:t>姓名</w:t>
            </w:r>
          </w:p>
        </w:tc>
        <w:tc>
          <w:tcPr>
            <w:tcW w:w="1930" w:type="dxa"/>
            <w:tcBorders>
              <w:tl2br w:val="nil"/>
              <w:tr2bl w:val="nil"/>
            </w:tcBorders>
          </w:tcPr>
          <w:p>
            <w:pPr>
              <w:jc w:val="center"/>
              <w:rPr>
                <w:rFonts w:ascii="Times New Roman" w:hAnsi="Times New Roman" w:cs="Times New Roman"/>
                <w:szCs w:val="21"/>
              </w:rPr>
            </w:pPr>
            <w:r>
              <w:rPr>
                <w:rFonts w:ascii="Times New Roman" w:hAnsi="Times New Roman" w:cs="Times New Roman"/>
                <w:szCs w:val="21"/>
              </w:rPr>
              <w:t>公司职务</w:t>
            </w:r>
          </w:p>
        </w:tc>
        <w:tc>
          <w:tcPr>
            <w:tcW w:w="2342" w:type="dxa"/>
            <w:tcBorders>
              <w:tl2br w:val="nil"/>
              <w:tr2bl w:val="nil"/>
            </w:tcBorders>
          </w:tcPr>
          <w:p>
            <w:pPr>
              <w:jc w:val="center"/>
              <w:rPr>
                <w:rFonts w:ascii="Times New Roman" w:hAnsi="Times New Roman" w:cs="Times New Roman"/>
                <w:szCs w:val="21"/>
              </w:rPr>
            </w:pPr>
            <w:r>
              <w:rPr>
                <w:rFonts w:ascii="Times New Roman" w:hAnsi="Times New Roman" w:cs="Times New Roman"/>
                <w:szCs w:val="21"/>
              </w:rPr>
              <w:t>联系方式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总指挥</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陈俊</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站经理</w:t>
            </w:r>
          </w:p>
        </w:tc>
        <w:tc>
          <w:tcPr>
            <w:tcW w:w="2342" w:type="dxa"/>
            <w:tcBorders>
              <w:tl2br w:val="nil"/>
              <w:tr2bl w:val="nil"/>
            </w:tcBorders>
            <w:vAlign w:val="center"/>
          </w:tcPr>
          <w:p>
            <w:pPr>
              <w:jc w:val="center"/>
              <w:rPr>
                <w:rFonts w:ascii="Times New Roman" w:hAnsi="Times New Roman" w:cs="Times New Roman"/>
                <w:szCs w:val="21"/>
              </w:rPr>
            </w:pPr>
            <w:r>
              <w:rPr>
                <w:rStyle w:val="42"/>
                <w:rFonts w:hint="eastAsia" w:ascii="Times New Roman" w:hAnsi="Times New Roman"/>
                <w:spacing w:val="4"/>
                <w:szCs w:val="21"/>
              </w:rPr>
              <w:t>17679319506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副总指挥</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闫松</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前庭主管</w:t>
            </w:r>
          </w:p>
        </w:tc>
        <w:tc>
          <w:tcPr>
            <w:tcW w:w="2342" w:type="dxa"/>
            <w:tcBorders>
              <w:tl2br w:val="nil"/>
              <w:tr2bl w:val="nil"/>
            </w:tcBorders>
            <w:vAlign w:val="center"/>
          </w:tcPr>
          <w:p>
            <w:pPr>
              <w:jc w:val="center"/>
              <w:rPr>
                <w:rFonts w:ascii="Times New Roman" w:hAnsi="Times New Roman" w:cs="Times New Roman"/>
                <w:szCs w:val="21"/>
              </w:rPr>
            </w:pPr>
            <w:r>
              <w:rPr>
                <w:rStyle w:val="42"/>
                <w:rFonts w:hint="eastAsia" w:ascii="Times New Roman" w:hAnsi="Times New Roman"/>
                <w:spacing w:val="4"/>
                <w:szCs w:val="21"/>
              </w:rPr>
              <w:t>13008219706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应急指挥部办公室</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加油站办公室</w:t>
            </w:r>
          </w:p>
        </w:tc>
        <w:tc>
          <w:tcPr>
            <w:tcW w:w="1930" w:type="dxa"/>
            <w:tcBorders>
              <w:tl2br w:val="nil"/>
              <w:tr2bl w:val="nil"/>
            </w:tcBorders>
            <w:vAlign w:val="center"/>
          </w:tcPr>
          <w:p>
            <w:pPr>
              <w:rPr>
                <w:rFonts w:ascii="Times New Roman" w:hAnsi="Times New Roman" w:cs="Times New Roman"/>
                <w:szCs w:val="21"/>
              </w:rPr>
            </w:pPr>
          </w:p>
        </w:tc>
        <w:tc>
          <w:tcPr>
            <w:tcW w:w="2342" w:type="dxa"/>
            <w:tcBorders>
              <w:tl2br w:val="nil"/>
              <w:tr2bl w:val="nil"/>
            </w:tcBorders>
            <w:vAlign w:val="center"/>
          </w:tcPr>
          <w:p>
            <w:pPr>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抢险救灾队</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陈江、吴荣炜</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加油员</w:t>
            </w:r>
          </w:p>
        </w:tc>
        <w:tc>
          <w:tcPr>
            <w:tcW w:w="2342" w:type="dxa"/>
            <w:tcBorders>
              <w:tl2br w:val="nil"/>
              <w:tr2bl w:val="nil"/>
            </w:tcBorders>
            <w:vAlign w:val="center"/>
          </w:tcPr>
          <w:p>
            <w:pPr>
              <w:jc w:val="center"/>
              <w:rPr>
                <w:rStyle w:val="42"/>
                <w:rFonts w:ascii="Times New Roman" w:hAnsi="Times New Roman"/>
                <w:spacing w:val="4"/>
                <w:szCs w:val="21"/>
              </w:rPr>
            </w:pPr>
            <w:r>
              <w:rPr>
                <w:rStyle w:val="42"/>
                <w:rFonts w:hint="eastAsia" w:ascii="Times New Roman" w:hAnsi="Times New Roman"/>
                <w:spacing w:val="4"/>
                <w:szCs w:val="21"/>
              </w:rPr>
              <w:t>15970469521</w:t>
            </w:r>
          </w:p>
          <w:p>
            <w:pPr>
              <w:jc w:val="center"/>
              <w:rPr>
                <w:rFonts w:ascii="Times New Roman" w:hAnsi="Times New Roman" w:cs="Times New Roman"/>
                <w:szCs w:val="21"/>
              </w:rPr>
            </w:pPr>
            <w:r>
              <w:rPr>
                <w:rStyle w:val="42"/>
                <w:rFonts w:hint="eastAsia" w:ascii="Times New Roman" w:hAnsi="Times New Roman"/>
                <w:spacing w:val="4"/>
                <w:szCs w:val="21"/>
              </w:rPr>
              <w:t>/18970057818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警戒疏散队</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张辉兰、魏秀珍</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加油员</w:t>
            </w:r>
          </w:p>
        </w:tc>
        <w:tc>
          <w:tcPr>
            <w:tcW w:w="2342" w:type="dxa"/>
            <w:tcBorders>
              <w:tl2br w:val="nil"/>
              <w:tr2bl w:val="nil"/>
            </w:tcBorders>
            <w:vAlign w:val="center"/>
          </w:tcPr>
          <w:p>
            <w:pPr>
              <w:jc w:val="center"/>
              <w:rPr>
                <w:rStyle w:val="42"/>
                <w:rFonts w:ascii="Times New Roman" w:hAnsi="Times New Roman"/>
                <w:spacing w:val="4"/>
                <w:szCs w:val="21"/>
              </w:rPr>
            </w:pPr>
            <w:r>
              <w:rPr>
                <w:rStyle w:val="42"/>
                <w:rFonts w:hint="eastAsia" w:ascii="Times New Roman" w:hAnsi="Times New Roman"/>
                <w:spacing w:val="4"/>
                <w:szCs w:val="21"/>
              </w:rPr>
              <w:t>13870686285</w:t>
            </w:r>
          </w:p>
          <w:p>
            <w:pPr>
              <w:jc w:val="center"/>
              <w:rPr>
                <w:rFonts w:ascii="Times New Roman" w:hAnsi="Times New Roman" w:cs="Times New Roman"/>
                <w:szCs w:val="21"/>
              </w:rPr>
            </w:pPr>
            <w:r>
              <w:rPr>
                <w:rStyle w:val="42"/>
                <w:rFonts w:hint="eastAsia" w:ascii="Times New Roman" w:hAnsi="Times New Roman"/>
                <w:spacing w:val="4"/>
                <w:szCs w:val="21"/>
              </w:rPr>
              <w:t>/13732998916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环境监测队</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王华荣</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收银员</w:t>
            </w:r>
          </w:p>
        </w:tc>
        <w:tc>
          <w:tcPr>
            <w:tcW w:w="2342" w:type="dxa"/>
            <w:tcBorders>
              <w:tl2br w:val="nil"/>
              <w:tr2bl w:val="nil"/>
            </w:tcBorders>
            <w:vAlign w:val="center"/>
          </w:tcPr>
          <w:p>
            <w:pPr>
              <w:jc w:val="center"/>
              <w:rPr>
                <w:rFonts w:ascii="Times New Roman" w:hAnsi="Times New Roman" w:cs="Times New Roman"/>
                <w:szCs w:val="21"/>
              </w:rPr>
            </w:pPr>
            <w:r>
              <w:rPr>
                <w:rStyle w:val="42"/>
                <w:rFonts w:hint="eastAsia" w:ascii="Times New Roman" w:hAnsi="Times New Roman"/>
                <w:spacing w:val="4"/>
                <w:szCs w:val="21"/>
              </w:rPr>
              <w:t>15970655097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通讯及后勤保障队</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钱颖慧</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前庭主管</w:t>
            </w:r>
          </w:p>
        </w:tc>
        <w:tc>
          <w:tcPr>
            <w:tcW w:w="2342" w:type="dxa"/>
            <w:tcBorders>
              <w:tl2br w:val="nil"/>
              <w:tr2bl w:val="nil"/>
            </w:tcBorders>
            <w:vAlign w:val="center"/>
          </w:tcPr>
          <w:p>
            <w:pPr>
              <w:jc w:val="center"/>
              <w:rPr>
                <w:rFonts w:ascii="Times New Roman" w:hAnsi="Times New Roman" w:cs="Times New Roman"/>
                <w:szCs w:val="21"/>
              </w:rPr>
            </w:pPr>
            <w:r>
              <w:rPr>
                <w:rStyle w:val="42"/>
                <w:rFonts w:hint="eastAsia" w:ascii="Times New Roman" w:hAnsi="Times New Roman"/>
                <w:spacing w:val="4"/>
                <w:szCs w:val="21"/>
              </w:rPr>
              <w:t>13698000697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4" w:hRule="atLeast"/>
          <w:jc w:val="center"/>
        </w:trPr>
        <w:tc>
          <w:tcPr>
            <w:tcW w:w="1996" w:type="dxa"/>
            <w:tcBorders>
              <w:tl2br w:val="nil"/>
              <w:tr2bl w:val="nil"/>
            </w:tcBorders>
          </w:tcPr>
          <w:p>
            <w:pPr>
              <w:rPr>
                <w:rFonts w:ascii="Times New Roman" w:hAnsi="Times New Roman" w:cs="Times New Roman"/>
                <w:szCs w:val="21"/>
              </w:rPr>
            </w:pPr>
            <w:r>
              <w:rPr>
                <w:rFonts w:ascii="Times New Roman" w:hAnsi="Times New Roman" w:cs="Times New Roman"/>
                <w:szCs w:val="21"/>
              </w:rPr>
              <w:t>医疗救护与善后处理队</w:t>
            </w:r>
          </w:p>
        </w:tc>
        <w:tc>
          <w:tcPr>
            <w:tcW w:w="167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涂玉琴、徐正英</w:t>
            </w:r>
          </w:p>
        </w:tc>
        <w:tc>
          <w:tcPr>
            <w:tcW w:w="1930" w:type="dxa"/>
            <w:tcBorders>
              <w:tl2br w:val="nil"/>
              <w:tr2bl w:val="nil"/>
            </w:tcBorders>
            <w:vAlign w:val="center"/>
          </w:tcPr>
          <w:p>
            <w:pPr>
              <w:rPr>
                <w:rFonts w:ascii="Times New Roman" w:hAnsi="Times New Roman" w:cs="Times New Roman"/>
                <w:szCs w:val="21"/>
              </w:rPr>
            </w:pPr>
            <w:r>
              <w:rPr>
                <w:rStyle w:val="42"/>
                <w:rFonts w:hint="eastAsia" w:ascii="Times New Roman" w:hAnsi="Times New Roman"/>
                <w:spacing w:val="4"/>
                <w:szCs w:val="21"/>
              </w:rPr>
              <w:t>便利店主管/收银员</w:t>
            </w:r>
          </w:p>
        </w:tc>
        <w:tc>
          <w:tcPr>
            <w:tcW w:w="2342" w:type="dxa"/>
            <w:tcBorders>
              <w:tl2br w:val="nil"/>
              <w:tr2bl w:val="nil"/>
            </w:tcBorders>
            <w:vAlign w:val="center"/>
          </w:tcPr>
          <w:p>
            <w:pPr>
              <w:jc w:val="center"/>
              <w:rPr>
                <w:rFonts w:ascii="Times New Roman" w:hAnsi="Times New Roman" w:cs="Times New Roman"/>
                <w:szCs w:val="21"/>
              </w:rPr>
            </w:pPr>
            <w:r>
              <w:rPr>
                <w:rStyle w:val="42"/>
                <w:rFonts w:hint="eastAsia" w:ascii="Times New Roman" w:hAnsi="Times New Roman"/>
                <w:spacing w:val="4"/>
                <w:szCs w:val="21"/>
              </w:rPr>
              <w:t>18970905298/15180191410</w:t>
            </w:r>
          </w:p>
        </w:tc>
      </w:tr>
    </w:tbl>
    <w:p>
      <w:pPr>
        <w:jc w:val="left"/>
        <w:rPr>
          <w:rFonts w:ascii="Times New Roman" w:hAnsi="Times New Roman" w:cs="Times New Roman"/>
          <w:b/>
          <w:color w:val="000000" w:themeColor="text1"/>
          <w:sz w:val="24"/>
          <w:szCs w:val="24"/>
          <w14:textFill>
            <w14:solidFill>
              <w14:schemeClr w14:val="tx1"/>
            </w14:solidFill>
          </w14:textFill>
        </w:rPr>
      </w:pPr>
      <w:bookmarkStart w:id="1317" w:name="_Toc23615_WPSOffice_Level1"/>
      <w:bookmarkStart w:id="1318" w:name="_Toc18397_WPSOffice_Level1"/>
      <w:bookmarkStart w:id="1319" w:name="_Toc27516_WPSOffice_Level1"/>
      <w:bookmarkStart w:id="1320" w:name="_Toc11135_WPSOffice_Level1"/>
      <w:bookmarkStart w:id="1321" w:name="_Toc31825_WPSOffice_Level1"/>
      <w:bookmarkStart w:id="1322" w:name="_Toc21412_WPSOffice_Level1"/>
    </w:p>
    <w:p>
      <w:pPr>
        <w:jc w:val="left"/>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外部救援通讯方式</w:t>
      </w:r>
      <w:bookmarkEnd w:id="1317"/>
      <w:bookmarkEnd w:id="1318"/>
      <w:bookmarkEnd w:id="1319"/>
      <w:bookmarkEnd w:id="1320"/>
      <w:bookmarkEnd w:id="1321"/>
      <w:bookmarkEnd w:id="1322"/>
    </w:p>
    <w:p>
      <w:pPr>
        <w:spacing w:line="500" w:lineRule="exact"/>
        <w:ind w:firstLine="480" w:firstLineChars="200"/>
        <w:rPr>
          <w:rFonts w:ascii="Times New Roman" w:hAnsi="Times New Roman" w:cs="Times New Roman"/>
          <w:sz w:val="24"/>
          <w:szCs w:val="24"/>
          <w:lang w:val="zh-CN"/>
        </w:rPr>
      </w:pPr>
      <w:r>
        <w:rPr>
          <w:rFonts w:ascii="Times New Roman" w:hAnsi="Times New Roman" w:cs="Times New Roman"/>
          <w:sz w:val="24"/>
          <w:szCs w:val="24"/>
          <w:lang w:val="zh-CN"/>
        </w:rPr>
        <w:t>医疗急救电话：120</w:t>
      </w:r>
      <w:r>
        <w:rPr>
          <w:rFonts w:ascii="Times New Roman" w:hAnsi="Times New Roman" w:cs="Times New Roman"/>
          <w:sz w:val="24"/>
          <w:szCs w:val="24"/>
        </w:rPr>
        <w:t xml:space="preserve">     </w:t>
      </w:r>
      <w:r>
        <w:rPr>
          <w:rFonts w:ascii="Times New Roman" w:hAnsi="Times New Roman" w:cs="Times New Roman"/>
          <w:sz w:val="24"/>
          <w:szCs w:val="24"/>
          <w:lang w:val="zh-CN"/>
        </w:rPr>
        <w:t>消防应急电话：119</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南昌市人民政府应急办电话：</w:t>
      </w:r>
      <w:r>
        <w:rPr>
          <w:rFonts w:ascii="Times New Roman" w:hAnsi="Times New Roman" w:cs="Times New Roman"/>
          <w:color w:val="000000" w:themeColor="text1"/>
          <w:sz w:val="24"/>
          <w:szCs w:val="24"/>
          <w14:textFill>
            <w14:solidFill>
              <w14:schemeClr w14:val="tx1"/>
            </w14:solidFill>
          </w14:textFill>
        </w:rPr>
        <w:t>0791-85712189</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南昌市环境保护</w:t>
      </w:r>
      <w:r>
        <w:rPr>
          <w:rFonts w:ascii="Times New Roman" w:hAnsi="Times New Roman" w:cs="Times New Roman"/>
          <w:color w:val="000000" w:themeColor="text1"/>
          <w:sz w:val="24"/>
          <w:szCs w:val="24"/>
          <w:lang w:val="zh-CN"/>
          <w14:textFill>
            <w14:solidFill>
              <w14:schemeClr w14:val="tx1"/>
            </w14:solidFill>
          </w14:textFill>
        </w:rPr>
        <w:t>局电话：0791-</w:t>
      </w:r>
      <w:r>
        <w:rPr>
          <w:rFonts w:ascii="Times New Roman" w:hAnsi="Times New Roman" w:cs="Times New Roman"/>
          <w:color w:val="000000" w:themeColor="text1"/>
          <w:sz w:val="24"/>
          <w:szCs w:val="24"/>
          <w14:textFill>
            <w14:solidFill>
              <w14:schemeClr w14:val="tx1"/>
            </w14:solidFill>
          </w14:textFill>
        </w:rPr>
        <w:t xml:space="preserve"> 85735802</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南昌市安全监督管理</w:t>
      </w:r>
      <w:r>
        <w:rPr>
          <w:rFonts w:ascii="Times New Roman" w:hAnsi="Times New Roman" w:cs="Times New Roman"/>
          <w:color w:val="000000" w:themeColor="text1"/>
          <w:sz w:val="24"/>
          <w:szCs w:val="24"/>
          <w:lang w:val="zh-CN"/>
          <w14:textFill>
            <w14:solidFill>
              <w14:schemeClr w14:val="tx1"/>
            </w14:solidFill>
          </w14:textFill>
        </w:rPr>
        <w:t>局电话：0791-83986158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南昌市安全生产应急指挥中心：0791-85257110</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南昌市应急救援中心：0791-85257098</w:t>
      </w:r>
    </w:p>
    <w:p>
      <w:pPr>
        <w:spacing w:line="5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危险化学品事故南昌抢救中心：0791-83859062</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南昌市消防大队电话：</w:t>
      </w:r>
      <w:r>
        <w:rPr>
          <w:rFonts w:ascii="Times New Roman" w:hAnsi="Times New Roman" w:cs="Times New Roman"/>
          <w:color w:val="000000" w:themeColor="text1"/>
          <w:sz w:val="24"/>
          <w:szCs w:val="24"/>
          <w14:textFill>
            <w14:solidFill>
              <w14:schemeClr w14:val="tx1"/>
            </w14:solidFill>
          </w14:textFill>
        </w:rPr>
        <w:t>0791-5738119</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南昌市人民医院：0791-85712198</w:t>
      </w:r>
    </w:p>
    <w:p>
      <w:pPr>
        <w:spacing w:line="500" w:lineRule="exact"/>
        <w:ind w:firstLine="480" w:firstLineChars="200"/>
        <w:rPr>
          <w:rFonts w:ascii="Times New Roman" w:hAnsi="Times New Roman" w:cs="Times New Roman"/>
          <w:color w:val="000000" w:themeColor="text1"/>
          <w:sz w:val="24"/>
          <w:szCs w:val="24"/>
          <w:lang w:val="zh-CN"/>
          <w14:textFill>
            <w14:solidFill>
              <w14:schemeClr w14:val="tx1"/>
            </w14:solidFill>
          </w14:textFill>
        </w:rPr>
      </w:pPr>
      <w:r>
        <w:rPr>
          <w:rFonts w:ascii="Times New Roman" w:hAnsi="Times New Roman" w:cs="Times New Roman"/>
          <w:color w:val="000000" w:themeColor="text1"/>
          <w:sz w:val="24"/>
          <w:szCs w:val="24"/>
          <w:lang w:val="zh-CN"/>
          <w14:textFill>
            <w14:solidFill>
              <w14:schemeClr w14:val="tx1"/>
            </w14:solidFill>
          </w14:textFill>
        </w:rPr>
        <w:t>南昌市疾控中心：0791-85712234</w:t>
      </w:r>
    </w:p>
    <w:p>
      <w:pPr>
        <w:jc w:val="left"/>
        <w:rPr>
          <w:rFonts w:ascii="Times New Roman" w:hAnsi="Times New Roman" w:eastAsia="宋体" w:cs="Times New Roman"/>
          <w:b/>
          <w:sz w:val="24"/>
          <w:szCs w:val="24"/>
        </w:rPr>
      </w:pPr>
    </w:p>
    <w:p>
      <w:pPr>
        <w:jc w:val="left"/>
        <w:rPr>
          <w:rFonts w:ascii="Times New Roman" w:hAnsi="Times New Roman" w:eastAsia="宋体" w:cs="Times New Roman"/>
          <w:b/>
          <w:sz w:val="24"/>
          <w:szCs w:val="24"/>
        </w:rPr>
      </w:pPr>
      <w:r>
        <w:rPr>
          <w:rFonts w:hint="eastAsia" w:ascii="Times New Roman" w:hAnsi="Times New Roman" w:eastAsia="宋体" w:cs="Times New Roman"/>
          <w:b/>
          <w:sz w:val="24"/>
          <w:szCs w:val="24"/>
        </w:rPr>
        <w:t>周边通讯方式</w:t>
      </w:r>
    </w:p>
    <w:p>
      <w:pPr>
        <w:spacing w:line="500" w:lineRule="exact"/>
        <w:ind w:firstLine="480" w:firstLineChars="200"/>
        <w:rPr>
          <w:rFonts w:ascii="Times New Roman" w:hAnsi="Times New Roman" w:cs="Times New Roman"/>
          <w:sz w:val="24"/>
          <w:szCs w:val="24"/>
        </w:rPr>
      </w:pPr>
      <w:r>
        <w:rPr>
          <w:rFonts w:ascii="Times New Roman" w:hAnsi="Times New Roman" w:cs="Times New Roman"/>
          <w:sz w:val="24"/>
          <w:szCs w:val="24"/>
        </w:rPr>
        <w:t>瑶湖公园     徐梦婷   18579056817</w:t>
      </w:r>
    </w:p>
    <w:p>
      <w:pPr>
        <w:spacing w:line="500" w:lineRule="exact"/>
        <w:ind w:firstLine="480" w:firstLineChars="200"/>
        <w:rPr>
          <w:rFonts w:ascii="Times New Roman" w:hAnsi="Times New Roman" w:cs="Times New Roman"/>
          <w:sz w:val="24"/>
          <w:szCs w:val="24"/>
        </w:rPr>
      </w:pPr>
      <w:r>
        <w:rPr>
          <w:rFonts w:ascii="Times New Roman" w:hAnsi="Times New Roman" w:cs="Times New Roman"/>
          <w:sz w:val="24"/>
          <w:szCs w:val="24"/>
        </w:rPr>
        <w:t>小张洗车房   小张     13576085009</w:t>
      </w:r>
    </w:p>
    <w:p>
      <w:pPr>
        <w:spacing w:line="500" w:lineRule="exact"/>
        <w:ind w:firstLine="480" w:firstLineChars="200"/>
        <w:rPr>
          <w:rFonts w:ascii="Times New Roman" w:hAnsi="Times New Roman" w:cs="Times New Roman"/>
          <w:sz w:val="24"/>
          <w:szCs w:val="24"/>
        </w:rPr>
      </w:pPr>
      <w:r>
        <w:rPr>
          <w:rFonts w:ascii="Times New Roman" w:hAnsi="Times New Roman" w:cs="Times New Roman"/>
          <w:sz w:val="24"/>
          <w:szCs w:val="24"/>
        </w:rPr>
        <w:t>麻丘派出所            0791-88258738</w:t>
      </w:r>
    </w:p>
    <w:p>
      <w:pPr>
        <w:spacing w:line="500" w:lineRule="exact"/>
        <w:ind w:firstLine="420" w:firstLineChars="200"/>
        <w:rPr>
          <w:rFonts w:ascii="Times New Roman" w:hAnsi="Times New Roman" w:eastAsia="宋体" w:cs="Times New Roman"/>
          <w:szCs w:val="24"/>
        </w:rPr>
      </w:pPr>
      <w:r>
        <w:rPr>
          <w:rFonts w:ascii="Times New Roman" w:hAnsi="Times New Roman" w:eastAsia="宋体" w:cs="Times New Roman"/>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kern w:val="0"/>
          <w:sz w:val="24"/>
          <w:szCs w:val="24"/>
          <w14:textFill>
            <w14:solidFill>
              <w14:schemeClr w14:val="tx1"/>
            </w14:solidFill>
          </w14:textFill>
        </w:rPr>
      </w:pPr>
      <w:bookmarkStart w:id="1323" w:name="_Toc20416"/>
      <w:bookmarkStart w:id="1324" w:name="_Toc12598"/>
      <w:bookmarkStart w:id="1325" w:name="_Toc16659"/>
      <w:r>
        <w:rPr>
          <w:rFonts w:ascii="Times New Roman" w:hAnsi="Times New Roman" w:cs="Times New Roman"/>
          <w:b/>
          <w:bCs/>
          <w:color w:val="000000" w:themeColor="text1"/>
          <w:sz w:val="24"/>
          <w:szCs w:val="24"/>
          <w14:textFill>
            <w14:solidFill>
              <w14:schemeClr w14:val="tx1"/>
            </w14:solidFill>
          </w14:textFill>
        </w:rPr>
        <w:t>附件六: 加油站配备消防器材及应急装备物资</w:t>
      </w:r>
      <w:bookmarkEnd w:id="1323"/>
      <w:bookmarkEnd w:id="1324"/>
      <w:bookmarkEnd w:id="1325"/>
    </w:p>
    <w:p>
      <w:pPr>
        <w:spacing w:beforeAutospacing="1" w:afterAutospacing="1" w:line="360" w:lineRule="auto"/>
        <w:jc w:val="left"/>
        <w:rPr>
          <w:rFonts w:ascii="Times New Roman" w:hAnsi="Times New Roman" w:cs="Times New Roman"/>
          <w:b/>
          <w:color w:val="000000" w:themeColor="text1"/>
          <w:kern w:val="0"/>
          <w:sz w:val="24"/>
          <w:szCs w:val="24"/>
          <w14:textFill>
            <w14:solidFill>
              <w14:schemeClr w14:val="tx1"/>
            </w14:solidFill>
          </w14:textFill>
        </w:rPr>
      </w:pPr>
      <w:bookmarkStart w:id="1326" w:name="_Toc17580_WPSOffice_Level1"/>
      <w:bookmarkStart w:id="1327" w:name="_Toc14455_WPSOffice_Level1"/>
      <w:bookmarkStart w:id="1328" w:name="_Toc5742_WPSOffice_Level1"/>
      <w:bookmarkStart w:id="1329" w:name="_Toc2157_WPSOffice_Level1"/>
      <w:bookmarkStart w:id="1330" w:name="_Toc17534_WPSOffice_Level1"/>
      <w:bookmarkStart w:id="1331" w:name="_Toc32160_WPSOffice_Level1"/>
      <w:r>
        <w:rPr>
          <w:rFonts w:ascii="Times New Roman" w:hAnsi="Times New Roman" w:cs="Times New Roman"/>
          <w:b/>
          <w:color w:val="000000" w:themeColor="text1"/>
          <w:kern w:val="0"/>
          <w:sz w:val="24"/>
          <w:szCs w:val="24"/>
          <w14:textFill>
            <w14:solidFill>
              <w14:schemeClr w14:val="tx1"/>
            </w14:solidFill>
          </w14:textFill>
        </w:rPr>
        <w:t>一、配置的主要消防器材</w:t>
      </w:r>
      <w:bookmarkEnd w:id="1326"/>
      <w:bookmarkEnd w:id="1327"/>
      <w:bookmarkEnd w:id="1328"/>
      <w:bookmarkEnd w:id="1329"/>
      <w:bookmarkEnd w:id="1330"/>
      <w:bookmarkEnd w:id="1331"/>
    </w:p>
    <w:tbl>
      <w:tblPr>
        <w:tblStyle w:val="16"/>
        <w:tblW w:w="7743"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894"/>
        <w:gridCol w:w="2138"/>
        <w:gridCol w:w="1658"/>
        <w:gridCol w:w="908"/>
        <w:gridCol w:w="749"/>
        <w:gridCol w:w="139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PrEx>
        <w:trPr>
          <w:jc w:val="center"/>
        </w:trPr>
        <w:tc>
          <w:tcPr>
            <w:tcW w:w="894" w:type="dxa"/>
            <w:tcBorders>
              <w:tl2br w:val="nil"/>
              <w:tr2bl w:val="nil"/>
            </w:tcBorders>
          </w:tcPr>
          <w:p>
            <w:pPr>
              <w:spacing w:line="360" w:lineRule="auto"/>
              <w:jc w:val="center"/>
              <w:rPr>
                <w:rFonts w:ascii="Times New Roman" w:hAnsi="Times New Roman" w:cs="Times New Roman"/>
                <w:szCs w:val="21"/>
              </w:rPr>
            </w:pPr>
            <w:bookmarkStart w:id="1332" w:name="_Toc17283_WPSOffice_Level1"/>
            <w:bookmarkStart w:id="1333" w:name="_Toc23303_WPSOffice_Level1"/>
            <w:bookmarkStart w:id="1334" w:name="_Toc23861_WPSOffice_Level1"/>
            <w:bookmarkStart w:id="1335" w:name="_Toc10140_WPSOffice_Level1"/>
            <w:bookmarkStart w:id="1336" w:name="_Toc15856_WPSOffice_Level1"/>
            <w:bookmarkStart w:id="1337" w:name="_Toc19919_WPSOffice_Level1"/>
            <w:r>
              <w:rPr>
                <w:rFonts w:ascii="Times New Roman" w:hAnsi="Times New Roman" w:cs="Times New Roman"/>
                <w:szCs w:val="21"/>
              </w:rPr>
              <w:t>序号</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名称</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规格</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单位</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数量</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jc w:val="center"/>
        </w:trPr>
        <w:tc>
          <w:tcPr>
            <w:tcW w:w="894"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1</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推车式干粉灭火器</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MFT-35型</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台</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3</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693" w:hRule="atLeast"/>
          <w:jc w:val="center"/>
        </w:trPr>
        <w:tc>
          <w:tcPr>
            <w:tcW w:w="894"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2</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手提式灭火器</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具</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8</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134" w:hRule="atLeast"/>
          <w:jc w:val="center"/>
        </w:trPr>
        <w:tc>
          <w:tcPr>
            <w:tcW w:w="894"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3</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消防沙</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5m</w:t>
            </w:r>
            <w:r>
              <w:rPr>
                <w:rFonts w:ascii="Times New Roman" w:hAnsi="Times New Roman" w:cs="Times New Roman"/>
                <w:szCs w:val="21"/>
                <w:vertAlign w:val="superscript"/>
              </w:rPr>
              <w:t>3</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694" w:hRule="atLeast"/>
          <w:jc w:val="center"/>
        </w:trPr>
        <w:tc>
          <w:tcPr>
            <w:tcW w:w="894"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4</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灭火毯</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块</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5</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694" w:hRule="atLeast"/>
          <w:jc w:val="center"/>
        </w:trPr>
        <w:tc>
          <w:tcPr>
            <w:tcW w:w="894"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5</w:t>
            </w:r>
          </w:p>
        </w:tc>
        <w:tc>
          <w:tcPr>
            <w:tcW w:w="213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吸油毡</w:t>
            </w:r>
          </w:p>
        </w:tc>
        <w:tc>
          <w:tcPr>
            <w:tcW w:w="165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w:t>
            </w:r>
          </w:p>
        </w:tc>
        <w:tc>
          <w:tcPr>
            <w:tcW w:w="908"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块</w:t>
            </w:r>
          </w:p>
        </w:tc>
        <w:tc>
          <w:tcPr>
            <w:tcW w:w="749" w:type="dxa"/>
            <w:tcBorders>
              <w:tl2br w:val="nil"/>
              <w:tr2bl w:val="nil"/>
            </w:tcBorders>
          </w:tcPr>
          <w:p>
            <w:pPr>
              <w:spacing w:line="360" w:lineRule="auto"/>
              <w:jc w:val="center"/>
              <w:rPr>
                <w:rFonts w:ascii="Times New Roman" w:hAnsi="Times New Roman" w:cs="Times New Roman"/>
                <w:szCs w:val="21"/>
              </w:rPr>
            </w:pPr>
            <w:r>
              <w:rPr>
                <w:rFonts w:ascii="Times New Roman" w:hAnsi="Times New Roman" w:cs="Times New Roman"/>
                <w:szCs w:val="21"/>
              </w:rPr>
              <w:t>5</w:t>
            </w:r>
          </w:p>
        </w:tc>
        <w:tc>
          <w:tcPr>
            <w:tcW w:w="1396"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有效</w:t>
            </w:r>
          </w:p>
        </w:tc>
      </w:tr>
    </w:tbl>
    <w:p>
      <w:pPr>
        <w:spacing w:beforeAutospacing="1" w:afterAutospacing="1" w:line="360" w:lineRule="auto"/>
        <w:jc w:val="left"/>
        <w:rPr>
          <w:rFonts w:ascii="Times New Roman" w:hAnsi="Times New Roman" w:cs="Times New Roman"/>
          <w:b/>
          <w:color w:val="000000" w:themeColor="text1"/>
          <w:kern w:val="0"/>
          <w:sz w:val="24"/>
          <w:szCs w:val="24"/>
          <w14:textFill>
            <w14:solidFill>
              <w14:schemeClr w14:val="tx1"/>
            </w14:solidFill>
          </w14:textFill>
        </w:rPr>
      </w:pPr>
      <w:r>
        <w:rPr>
          <w:rFonts w:ascii="Times New Roman" w:hAnsi="Times New Roman" w:cs="Times New Roman"/>
          <w:b/>
          <w:color w:val="000000" w:themeColor="text1"/>
          <w:kern w:val="0"/>
          <w:sz w:val="24"/>
          <w:szCs w:val="24"/>
          <w14:textFill>
            <w14:solidFill>
              <w14:schemeClr w14:val="tx1"/>
            </w14:solidFill>
          </w14:textFill>
        </w:rPr>
        <w:t>二、应急物资装备</w:t>
      </w:r>
      <w:bookmarkEnd w:id="1332"/>
      <w:bookmarkEnd w:id="1333"/>
      <w:bookmarkEnd w:id="1334"/>
      <w:bookmarkEnd w:id="1335"/>
      <w:bookmarkEnd w:id="1336"/>
      <w:bookmarkEnd w:id="1337"/>
    </w:p>
    <w:tbl>
      <w:tblPr>
        <w:tblStyle w:val="16"/>
        <w:tblpPr w:leftFromText="180" w:rightFromText="180" w:vertAnchor="text" w:tblpXSpec="center" w:tblpY="238"/>
        <w:tblOverlap w:val="never"/>
        <w:tblW w:w="7621"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50"/>
        <w:gridCol w:w="1515"/>
        <w:gridCol w:w="1529"/>
        <w:gridCol w:w="709"/>
        <w:gridCol w:w="1275"/>
        <w:gridCol w:w="184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spacing w:line="360" w:lineRule="auto"/>
              <w:jc w:val="center"/>
              <w:rPr>
                <w:rFonts w:ascii="Times New Roman" w:hAnsi="Times New Roman" w:cs="Times New Roman"/>
                <w:szCs w:val="21"/>
              </w:rPr>
            </w:pPr>
            <w:r>
              <w:rPr>
                <w:rFonts w:ascii="Times New Roman" w:hAnsi="Times New Roman" w:cs="Times New Roman"/>
                <w:szCs w:val="21"/>
              </w:rPr>
              <w:t>序号</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装备名称</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技术要求或功能要求</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数量</w:t>
            </w:r>
          </w:p>
        </w:tc>
        <w:tc>
          <w:tcPr>
            <w:tcW w:w="12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存放位置</w:t>
            </w:r>
          </w:p>
        </w:tc>
        <w:tc>
          <w:tcPr>
            <w:tcW w:w="184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管理人及联系电话</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消防服</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消防灭火，耐火</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7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微型消防站</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消防靴</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消防灭火，耐火</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7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微型消防站</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消防手套</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消防灭火，耐火</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7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微型消防站</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4</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安全带</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高空作业防护保护</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7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微型消防站</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安全帽</w:t>
            </w:r>
          </w:p>
        </w:tc>
        <w:tc>
          <w:tcPr>
            <w:tcW w:w="152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头部防砸防撞</w:t>
            </w: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5</w:t>
            </w:r>
          </w:p>
        </w:tc>
        <w:tc>
          <w:tcPr>
            <w:tcW w:w="127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微型消防站</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44" w:hRule="atLeast"/>
        </w:trPr>
        <w:tc>
          <w:tcPr>
            <w:tcW w:w="75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6</w:t>
            </w:r>
          </w:p>
        </w:tc>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消防沙</w:t>
            </w:r>
          </w:p>
        </w:tc>
        <w:tc>
          <w:tcPr>
            <w:tcW w:w="1529" w:type="dxa"/>
            <w:tcBorders>
              <w:tl2br w:val="nil"/>
              <w:tr2bl w:val="nil"/>
            </w:tcBorders>
            <w:vAlign w:val="center"/>
          </w:tcPr>
          <w:p>
            <w:pPr>
              <w:jc w:val="center"/>
              <w:rPr>
                <w:rFonts w:ascii="Times New Roman" w:hAnsi="Times New Roman" w:cs="Times New Roman"/>
                <w:szCs w:val="21"/>
              </w:rPr>
            </w:pPr>
          </w:p>
        </w:tc>
        <w:tc>
          <w:tcPr>
            <w:tcW w:w="70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2.5</w:t>
            </w:r>
          </w:p>
        </w:tc>
        <w:tc>
          <w:tcPr>
            <w:tcW w:w="12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卸油口旁</w:t>
            </w:r>
          </w:p>
        </w:tc>
        <w:tc>
          <w:tcPr>
            <w:tcW w:w="184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陈俊17679319506</w:t>
            </w:r>
          </w:p>
        </w:tc>
      </w:tr>
    </w:tbl>
    <w:p>
      <w:pPr>
        <w:pStyle w:val="2"/>
        <w:ind w:firstLine="496"/>
        <w:rPr>
          <w:rFonts w:ascii="Times New Roman" w:hAnsi="Times New Roman" w:eastAsiaTheme="minorEastAsia"/>
          <w:color w:val="000000" w:themeColor="text1"/>
          <w:szCs w:val="24"/>
          <w14:textFill>
            <w14:solidFill>
              <w14:schemeClr w14:val="tx1"/>
            </w14:solidFill>
          </w14:textFill>
        </w:rPr>
      </w:pPr>
      <w:r>
        <w:rPr>
          <w:rFonts w:ascii="Times New Roman" w:hAnsi="Times New Roman" w:eastAsiaTheme="minorEastAsia"/>
          <w:color w:val="000000" w:themeColor="text1"/>
          <w:szCs w:val="24"/>
          <w14:textFill>
            <w14:solidFill>
              <w14:schemeClr w14:val="tx1"/>
            </w14:solidFill>
          </w14:textFill>
        </w:rPr>
        <w:t>根据加油站现有应急物质情况：应适当增加补充防毒面具、安全防护眼镜、覆盖泡沫、担架、移动式潜污泵及塑料软水管、应急药箱、事故应急池等。</w:t>
      </w:r>
    </w:p>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38" w:name="_Toc30659"/>
      <w:bookmarkStart w:id="1339" w:name="_Toc23617"/>
      <w:bookmarkStart w:id="1340" w:name="_Toc8247"/>
      <w:bookmarkStart w:id="1341" w:name="_Toc3971"/>
      <w:r>
        <w:rPr>
          <w:rFonts w:ascii="Times New Roman" w:hAnsi="Times New Roman" w:cs="Times New Roman"/>
          <w:b/>
          <w:bCs/>
          <w:color w:val="000000" w:themeColor="text1"/>
          <w:sz w:val="24"/>
          <w:szCs w:val="24"/>
          <w14:textFill>
            <w14:solidFill>
              <w14:schemeClr w14:val="tx1"/>
            </w14:solidFill>
          </w14:textFill>
        </w:rPr>
        <w:t>附件七：</w:t>
      </w:r>
      <w:bookmarkEnd w:id="1338"/>
      <w:bookmarkEnd w:id="1339"/>
      <w:bookmarkEnd w:id="1340"/>
      <w:r>
        <w:rPr>
          <w:rFonts w:hint="eastAsia" w:ascii="Times New Roman" w:hAnsi="Times New Roman" w:cs="Times New Roman"/>
          <w:b/>
          <w:bCs/>
          <w:color w:val="000000" w:themeColor="text1"/>
          <w:sz w:val="24"/>
          <w:szCs w:val="24"/>
          <w14:textFill>
            <w14:solidFill>
              <w14:schemeClr w14:val="tx1"/>
            </w14:solidFill>
          </w14:textFill>
        </w:rPr>
        <w:t>固体废物处置合同</w:t>
      </w:r>
      <w:bookmarkEnd w:id="1341"/>
    </w:p>
    <w:p>
      <w:pPr>
        <w:pStyle w:val="2"/>
        <w:ind w:firstLine="480"/>
      </w:pPr>
      <w:r>
        <w:rPr>
          <w:rFonts w:hint="eastAsia"/>
        </w:rPr>
        <w:drawing>
          <wp:inline distT="0" distB="0" distL="114300" distR="114300">
            <wp:extent cx="5801360" cy="8313420"/>
            <wp:effectExtent l="0" t="0" r="5080" b="7620"/>
            <wp:docPr id="61" name="图片 61" descr="HSE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HSE合同1"/>
                    <pic:cNvPicPr>
                      <a:picLocks noChangeAspect="1"/>
                    </pic:cNvPicPr>
                  </pic:nvPicPr>
                  <pic:blipFill>
                    <a:blip r:embed="rId28"/>
                    <a:stretch>
                      <a:fillRect/>
                    </a:stretch>
                  </pic:blipFill>
                  <pic:spPr>
                    <a:xfrm>
                      <a:off x="0" y="0"/>
                      <a:ext cx="5801360" cy="8313420"/>
                    </a:xfrm>
                    <a:prstGeom prst="rect">
                      <a:avLst/>
                    </a:prstGeom>
                  </pic:spPr>
                </pic:pic>
              </a:graphicData>
            </a:graphic>
          </wp:inline>
        </w:drawing>
      </w:r>
      <w:r>
        <w:rPr>
          <w:rFonts w:hint="eastAsia"/>
        </w:rPr>
        <w:drawing>
          <wp:inline distT="0" distB="0" distL="114300" distR="114300">
            <wp:extent cx="5794375" cy="8632190"/>
            <wp:effectExtent l="0" t="0" r="12065" b="8890"/>
            <wp:docPr id="60" name="图片 60" descr="HSE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HSE合同2"/>
                    <pic:cNvPicPr>
                      <a:picLocks noChangeAspect="1"/>
                    </pic:cNvPicPr>
                  </pic:nvPicPr>
                  <pic:blipFill>
                    <a:blip r:embed="rId29"/>
                    <a:stretch>
                      <a:fillRect/>
                    </a:stretch>
                  </pic:blipFill>
                  <pic:spPr>
                    <a:xfrm>
                      <a:off x="0" y="0"/>
                      <a:ext cx="5794375" cy="8632190"/>
                    </a:xfrm>
                    <a:prstGeom prst="rect">
                      <a:avLst/>
                    </a:prstGeom>
                  </pic:spPr>
                </pic:pic>
              </a:graphicData>
            </a:graphic>
          </wp:inline>
        </w:drawing>
      </w:r>
      <w:r>
        <w:rPr>
          <w:rFonts w:hint="eastAsia"/>
        </w:rPr>
        <w:drawing>
          <wp:inline distT="0" distB="0" distL="114300" distR="114300">
            <wp:extent cx="5799455" cy="8644255"/>
            <wp:effectExtent l="0" t="0" r="6985" b="12065"/>
            <wp:docPr id="59" name="图片 59" descr="HSE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HSE合同3"/>
                    <pic:cNvPicPr>
                      <a:picLocks noChangeAspect="1"/>
                    </pic:cNvPicPr>
                  </pic:nvPicPr>
                  <pic:blipFill>
                    <a:blip r:embed="rId30"/>
                    <a:stretch>
                      <a:fillRect/>
                    </a:stretch>
                  </pic:blipFill>
                  <pic:spPr>
                    <a:xfrm>
                      <a:off x="0" y="0"/>
                      <a:ext cx="5799455" cy="8644255"/>
                    </a:xfrm>
                    <a:prstGeom prst="rect">
                      <a:avLst/>
                    </a:prstGeom>
                  </pic:spPr>
                </pic:pic>
              </a:graphicData>
            </a:graphic>
          </wp:inline>
        </w:drawing>
      </w:r>
      <w:r>
        <w:rPr>
          <w:rFonts w:hint="eastAsia"/>
        </w:rPr>
        <w:drawing>
          <wp:inline distT="0" distB="0" distL="114300" distR="114300">
            <wp:extent cx="5791200" cy="8720455"/>
            <wp:effectExtent l="0" t="0" r="0" b="12065"/>
            <wp:docPr id="58" name="图片 58" descr="HSE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HSE合同4"/>
                    <pic:cNvPicPr>
                      <a:picLocks noChangeAspect="1"/>
                    </pic:cNvPicPr>
                  </pic:nvPicPr>
                  <pic:blipFill>
                    <a:blip r:embed="rId31"/>
                    <a:stretch>
                      <a:fillRect/>
                    </a:stretch>
                  </pic:blipFill>
                  <pic:spPr>
                    <a:xfrm>
                      <a:off x="0" y="0"/>
                      <a:ext cx="5791200" cy="8720455"/>
                    </a:xfrm>
                    <a:prstGeom prst="rect">
                      <a:avLst/>
                    </a:prstGeom>
                  </pic:spPr>
                </pic:pic>
              </a:graphicData>
            </a:graphic>
          </wp:inline>
        </w:drawing>
      </w:r>
      <w:r>
        <w:rPr>
          <w:rFonts w:hint="eastAsia"/>
        </w:rPr>
        <w:drawing>
          <wp:inline distT="0" distB="0" distL="114300" distR="114300">
            <wp:extent cx="5796915" cy="8717280"/>
            <wp:effectExtent l="0" t="0" r="9525" b="0"/>
            <wp:docPr id="40" name="图片 40" descr="HSE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HSE合同5"/>
                    <pic:cNvPicPr>
                      <a:picLocks noChangeAspect="1"/>
                    </pic:cNvPicPr>
                  </pic:nvPicPr>
                  <pic:blipFill>
                    <a:blip r:embed="rId32"/>
                    <a:stretch>
                      <a:fillRect/>
                    </a:stretch>
                  </pic:blipFill>
                  <pic:spPr>
                    <a:xfrm>
                      <a:off x="0" y="0"/>
                      <a:ext cx="5796915" cy="8717280"/>
                    </a:xfrm>
                    <a:prstGeom prst="rect">
                      <a:avLst/>
                    </a:prstGeom>
                  </pic:spPr>
                </pic:pic>
              </a:graphicData>
            </a:graphic>
          </wp:inline>
        </w:drawing>
      </w:r>
      <w:r>
        <w:rPr>
          <w:rFonts w:hint="eastAsia"/>
        </w:rPr>
        <w:drawing>
          <wp:inline distT="0" distB="0" distL="114300" distR="114300">
            <wp:extent cx="5788660" cy="8710295"/>
            <wp:effectExtent l="0" t="0" r="2540" b="6985"/>
            <wp:docPr id="39" name="图片 39" descr="HSE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HSE合同6"/>
                    <pic:cNvPicPr>
                      <a:picLocks noChangeAspect="1"/>
                    </pic:cNvPicPr>
                  </pic:nvPicPr>
                  <pic:blipFill>
                    <a:blip r:embed="rId33"/>
                    <a:stretch>
                      <a:fillRect/>
                    </a:stretch>
                  </pic:blipFill>
                  <pic:spPr>
                    <a:xfrm>
                      <a:off x="0" y="0"/>
                      <a:ext cx="5788660" cy="8710295"/>
                    </a:xfrm>
                    <a:prstGeom prst="rect">
                      <a:avLst/>
                    </a:prstGeom>
                  </pic:spPr>
                </pic:pic>
              </a:graphicData>
            </a:graphic>
          </wp:inline>
        </w:drawing>
      </w:r>
      <w:r>
        <w:rPr>
          <w:rFonts w:hint="eastAsia"/>
        </w:rPr>
        <w:drawing>
          <wp:inline distT="0" distB="0" distL="114300" distR="114300">
            <wp:extent cx="5788025" cy="8526780"/>
            <wp:effectExtent l="0" t="0" r="3175" b="7620"/>
            <wp:docPr id="38" name="图片 38" descr="HSE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HSE合同7"/>
                    <pic:cNvPicPr>
                      <a:picLocks noChangeAspect="1"/>
                    </pic:cNvPicPr>
                  </pic:nvPicPr>
                  <pic:blipFill>
                    <a:blip r:embed="rId34"/>
                    <a:stretch>
                      <a:fillRect/>
                    </a:stretch>
                  </pic:blipFill>
                  <pic:spPr>
                    <a:xfrm>
                      <a:off x="0" y="0"/>
                      <a:ext cx="5788025" cy="8526780"/>
                    </a:xfrm>
                    <a:prstGeom prst="rect">
                      <a:avLst/>
                    </a:prstGeom>
                  </pic:spPr>
                </pic:pic>
              </a:graphicData>
            </a:graphic>
          </wp:inline>
        </w:drawing>
      </w:r>
      <w:r>
        <w:rPr>
          <w:rFonts w:hint="eastAsia"/>
        </w:rPr>
        <w:drawing>
          <wp:inline distT="0" distB="0" distL="114300" distR="114300">
            <wp:extent cx="5795645" cy="8609330"/>
            <wp:effectExtent l="0" t="0" r="10795" b="1270"/>
            <wp:docPr id="37" name="图片 37" descr="HSE合同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HSE合同8 "/>
                    <pic:cNvPicPr>
                      <a:picLocks noChangeAspect="1"/>
                    </pic:cNvPicPr>
                  </pic:nvPicPr>
                  <pic:blipFill>
                    <a:blip r:embed="rId35"/>
                    <a:stretch>
                      <a:fillRect/>
                    </a:stretch>
                  </pic:blipFill>
                  <pic:spPr>
                    <a:xfrm>
                      <a:off x="0" y="0"/>
                      <a:ext cx="5795645" cy="8609330"/>
                    </a:xfrm>
                    <a:prstGeom prst="rect">
                      <a:avLst/>
                    </a:prstGeom>
                  </pic:spPr>
                </pic:pic>
              </a:graphicData>
            </a:graphic>
          </wp:inline>
        </w:drawing>
      </w:r>
      <w:r>
        <w:rPr>
          <w:rFonts w:hint="eastAsia"/>
        </w:rPr>
        <w:drawing>
          <wp:inline distT="0" distB="0" distL="114300" distR="114300">
            <wp:extent cx="5798820" cy="8792210"/>
            <wp:effectExtent l="0" t="0" r="7620" b="1270"/>
            <wp:docPr id="34" name="图片 34" descr="HSE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HSE合同9"/>
                    <pic:cNvPicPr>
                      <a:picLocks noChangeAspect="1"/>
                    </pic:cNvPicPr>
                  </pic:nvPicPr>
                  <pic:blipFill>
                    <a:blip r:embed="rId36"/>
                    <a:stretch>
                      <a:fillRect/>
                    </a:stretch>
                  </pic:blipFill>
                  <pic:spPr>
                    <a:xfrm>
                      <a:off x="0" y="0"/>
                      <a:ext cx="5798820" cy="8792210"/>
                    </a:xfrm>
                    <a:prstGeom prst="rect">
                      <a:avLst/>
                    </a:prstGeom>
                  </pic:spPr>
                </pic:pic>
              </a:graphicData>
            </a:graphic>
          </wp:inline>
        </w:drawing>
      </w:r>
      <w:r>
        <w:rPr>
          <w:rFonts w:hint="eastAsia"/>
        </w:rPr>
        <w:drawing>
          <wp:inline distT="0" distB="0" distL="114300" distR="114300">
            <wp:extent cx="5800090" cy="7995920"/>
            <wp:effectExtent l="0" t="0" r="6350" b="5080"/>
            <wp:docPr id="31" name="图片 31" descr="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合同1"/>
                    <pic:cNvPicPr>
                      <a:picLocks noChangeAspect="1"/>
                    </pic:cNvPicPr>
                  </pic:nvPicPr>
                  <pic:blipFill>
                    <a:blip r:embed="rId37"/>
                    <a:stretch>
                      <a:fillRect/>
                    </a:stretch>
                  </pic:blipFill>
                  <pic:spPr>
                    <a:xfrm>
                      <a:off x="0" y="0"/>
                      <a:ext cx="5800090" cy="7995920"/>
                    </a:xfrm>
                    <a:prstGeom prst="rect">
                      <a:avLst/>
                    </a:prstGeom>
                  </pic:spPr>
                </pic:pic>
              </a:graphicData>
            </a:graphic>
          </wp:inline>
        </w:drawing>
      </w:r>
      <w:r>
        <w:rPr>
          <w:rFonts w:hint="eastAsia"/>
        </w:rPr>
        <w:drawing>
          <wp:inline distT="0" distB="0" distL="114300" distR="114300">
            <wp:extent cx="5794375" cy="8664575"/>
            <wp:effectExtent l="0" t="0" r="12065" b="6985"/>
            <wp:docPr id="30" name="图片 30" descr="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合同2"/>
                    <pic:cNvPicPr>
                      <a:picLocks noChangeAspect="1"/>
                    </pic:cNvPicPr>
                  </pic:nvPicPr>
                  <pic:blipFill>
                    <a:blip r:embed="rId38"/>
                    <a:stretch>
                      <a:fillRect/>
                    </a:stretch>
                  </pic:blipFill>
                  <pic:spPr>
                    <a:xfrm>
                      <a:off x="0" y="0"/>
                      <a:ext cx="5794375" cy="8664575"/>
                    </a:xfrm>
                    <a:prstGeom prst="rect">
                      <a:avLst/>
                    </a:prstGeom>
                  </pic:spPr>
                </pic:pic>
              </a:graphicData>
            </a:graphic>
          </wp:inline>
        </w:drawing>
      </w:r>
      <w:r>
        <w:rPr>
          <w:rFonts w:hint="eastAsia"/>
        </w:rPr>
        <w:drawing>
          <wp:inline distT="0" distB="0" distL="114300" distR="114300">
            <wp:extent cx="5797550" cy="7874635"/>
            <wp:effectExtent l="0" t="0" r="8890" b="4445"/>
            <wp:docPr id="29" name="图片 29" descr="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合同3"/>
                    <pic:cNvPicPr>
                      <a:picLocks noChangeAspect="1"/>
                    </pic:cNvPicPr>
                  </pic:nvPicPr>
                  <pic:blipFill>
                    <a:blip r:embed="rId39"/>
                    <a:stretch>
                      <a:fillRect/>
                    </a:stretch>
                  </pic:blipFill>
                  <pic:spPr>
                    <a:xfrm>
                      <a:off x="0" y="0"/>
                      <a:ext cx="5797550" cy="7874635"/>
                    </a:xfrm>
                    <a:prstGeom prst="rect">
                      <a:avLst/>
                    </a:prstGeom>
                  </pic:spPr>
                </pic:pic>
              </a:graphicData>
            </a:graphic>
          </wp:inline>
        </w:drawing>
      </w:r>
      <w:r>
        <w:rPr>
          <w:rFonts w:hint="eastAsia"/>
        </w:rPr>
        <w:drawing>
          <wp:inline distT="0" distB="0" distL="114300" distR="114300">
            <wp:extent cx="5788660" cy="8623935"/>
            <wp:effectExtent l="0" t="0" r="2540" b="1905"/>
            <wp:docPr id="28" name="图片 28" descr="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合同4"/>
                    <pic:cNvPicPr>
                      <a:picLocks noChangeAspect="1"/>
                    </pic:cNvPicPr>
                  </pic:nvPicPr>
                  <pic:blipFill>
                    <a:blip r:embed="rId40"/>
                    <a:stretch>
                      <a:fillRect/>
                    </a:stretch>
                  </pic:blipFill>
                  <pic:spPr>
                    <a:xfrm>
                      <a:off x="0" y="0"/>
                      <a:ext cx="5788660" cy="8623935"/>
                    </a:xfrm>
                    <a:prstGeom prst="rect">
                      <a:avLst/>
                    </a:prstGeom>
                  </pic:spPr>
                </pic:pic>
              </a:graphicData>
            </a:graphic>
          </wp:inline>
        </w:drawing>
      </w:r>
      <w:r>
        <w:rPr>
          <w:rFonts w:hint="eastAsia"/>
        </w:rPr>
        <w:drawing>
          <wp:inline distT="0" distB="0" distL="114300" distR="114300">
            <wp:extent cx="5802630" cy="8583295"/>
            <wp:effectExtent l="0" t="0" r="3810" b="12065"/>
            <wp:docPr id="27" name="图片 27" descr="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合同5"/>
                    <pic:cNvPicPr>
                      <a:picLocks noChangeAspect="1"/>
                    </pic:cNvPicPr>
                  </pic:nvPicPr>
                  <pic:blipFill>
                    <a:blip r:embed="rId41"/>
                    <a:stretch>
                      <a:fillRect/>
                    </a:stretch>
                  </pic:blipFill>
                  <pic:spPr>
                    <a:xfrm>
                      <a:off x="0" y="0"/>
                      <a:ext cx="5802630" cy="8583295"/>
                    </a:xfrm>
                    <a:prstGeom prst="rect">
                      <a:avLst/>
                    </a:prstGeom>
                  </pic:spPr>
                </pic:pic>
              </a:graphicData>
            </a:graphic>
          </wp:inline>
        </w:drawing>
      </w:r>
      <w:r>
        <w:rPr>
          <w:rFonts w:hint="eastAsia"/>
        </w:rPr>
        <w:drawing>
          <wp:inline distT="0" distB="0" distL="114300" distR="114300">
            <wp:extent cx="5788025" cy="8601710"/>
            <wp:effectExtent l="0" t="0" r="3175" b="8890"/>
            <wp:docPr id="26" name="图片 26" descr="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合同6"/>
                    <pic:cNvPicPr>
                      <a:picLocks noChangeAspect="1"/>
                    </pic:cNvPicPr>
                  </pic:nvPicPr>
                  <pic:blipFill>
                    <a:blip r:embed="rId42"/>
                    <a:stretch>
                      <a:fillRect/>
                    </a:stretch>
                  </pic:blipFill>
                  <pic:spPr>
                    <a:xfrm>
                      <a:off x="0" y="0"/>
                      <a:ext cx="5788025" cy="8601710"/>
                    </a:xfrm>
                    <a:prstGeom prst="rect">
                      <a:avLst/>
                    </a:prstGeom>
                  </pic:spPr>
                </pic:pic>
              </a:graphicData>
            </a:graphic>
          </wp:inline>
        </w:drawing>
      </w:r>
      <w:r>
        <w:rPr>
          <w:rFonts w:hint="eastAsia"/>
        </w:rPr>
        <w:drawing>
          <wp:inline distT="0" distB="0" distL="114300" distR="114300">
            <wp:extent cx="5801995" cy="8559800"/>
            <wp:effectExtent l="0" t="0" r="4445" b="5080"/>
            <wp:docPr id="25" name="图片 25" descr="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合同7"/>
                    <pic:cNvPicPr>
                      <a:picLocks noChangeAspect="1"/>
                    </pic:cNvPicPr>
                  </pic:nvPicPr>
                  <pic:blipFill>
                    <a:blip r:embed="rId43"/>
                    <a:stretch>
                      <a:fillRect/>
                    </a:stretch>
                  </pic:blipFill>
                  <pic:spPr>
                    <a:xfrm>
                      <a:off x="0" y="0"/>
                      <a:ext cx="5801995" cy="8559800"/>
                    </a:xfrm>
                    <a:prstGeom prst="rect">
                      <a:avLst/>
                    </a:prstGeom>
                  </pic:spPr>
                </pic:pic>
              </a:graphicData>
            </a:graphic>
          </wp:inline>
        </w:drawing>
      </w:r>
      <w:r>
        <w:rPr>
          <w:rFonts w:hint="eastAsia"/>
        </w:rPr>
        <w:drawing>
          <wp:inline distT="0" distB="0" distL="114300" distR="114300">
            <wp:extent cx="5798185" cy="8419465"/>
            <wp:effectExtent l="0" t="0" r="8255" b="8255"/>
            <wp:docPr id="24" name="图片 24" descr="合同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合同8"/>
                    <pic:cNvPicPr>
                      <a:picLocks noChangeAspect="1"/>
                    </pic:cNvPicPr>
                  </pic:nvPicPr>
                  <pic:blipFill>
                    <a:blip r:embed="rId44"/>
                    <a:stretch>
                      <a:fillRect/>
                    </a:stretch>
                  </pic:blipFill>
                  <pic:spPr>
                    <a:xfrm>
                      <a:off x="0" y="0"/>
                      <a:ext cx="5798185" cy="8419465"/>
                    </a:xfrm>
                    <a:prstGeom prst="rect">
                      <a:avLst/>
                    </a:prstGeom>
                  </pic:spPr>
                </pic:pic>
              </a:graphicData>
            </a:graphic>
          </wp:inline>
        </w:drawing>
      </w:r>
      <w:r>
        <w:rPr>
          <w:rFonts w:hint="eastAsia"/>
        </w:rPr>
        <w:drawing>
          <wp:inline distT="0" distB="0" distL="114300" distR="114300">
            <wp:extent cx="5799455" cy="8481060"/>
            <wp:effectExtent l="0" t="0" r="6985" b="7620"/>
            <wp:docPr id="23" name="图片 23" descr="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合同9"/>
                    <pic:cNvPicPr>
                      <a:picLocks noChangeAspect="1"/>
                    </pic:cNvPicPr>
                  </pic:nvPicPr>
                  <pic:blipFill>
                    <a:blip r:embed="rId45"/>
                    <a:stretch>
                      <a:fillRect/>
                    </a:stretch>
                  </pic:blipFill>
                  <pic:spPr>
                    <a:xfrm>
                      <a:off x="0" y="0"/>
                      <a:ext cx="5799455" cy="8481060"/>
                    </a:xfrm>
                    <a:prstGeom prst="rect">
                      <a:avLst/>
                    </a:prstGeom>
                  </pic:spPr>
                </pic:pic>
              </a:graphicData>
            </a:graphic>
          </wp:inline>
        </w:drawing>
      </w:r>
      <w:r>
        <w:rPr>
          <w:rFonts w:hint="eastAsia"/>
        </w:rPr>
        <w:drawing>
          <wp:inline distT="0" distB="0" distL="114300" distR="114300">
            <wp:extent cx="5798185" cy="8670925"/>
            <wp:effectExtent l="0" t="0" r="8255" b="635"/>
            <wp:docPr id="22" name="图片 22" descr="合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合同10"/>
                    <pic:cNvPicPr>
                      <a:picLocks noChangeAspect="1"/>
                    </pic:cNvPicPr>
                  </pic:nvPicPr>
                  <pic:blipFill>
                    <a:blip r:embed="rId46"/>
                    <a:stretch>
                      <a:fillRect/>
                    </a:stretch>
                  </pic:blipFill>
                  <pic:spPr>
                    <a:xfrm>
                      <a:off x="0" y="0"/>
                      <a:ext cx="5798185" cy="8670925"/>
                    </a:xfrm>
                    <a:prstGeom prst="rect">
                      <a:avLst/>
                    </a:prstGeom>
                  </pic:spPr>
                </pic:pic>
              </a:graphicData>
            </a:graphic>
          </wp:inline>
        </w:drawing>
      </w:r>
      <w:r>
        <w:rPr>
          <w:rFonts w:hint="eastAsia"/>
        </w:rPr>
        <w:drawing>
          <wp:inline distT="0" distB="0" distL="114300" distR="114300">
            <wp:extent cx="5793105" cy="8695055"/>
            <wp:effectExtent l="0" t="0" r="13335" b="6985"/>
            <wp:docPr id="21" name="图片 21" descr="合同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合同11"/>
                    <pic:cNvPicPr>
                      <a:picLocks noChangeAspect="1"/>
                    </pic:cNvPicPr>
                  </pic:nvPicPr>
                  <pic:blipFill>
                    <a:blip r:embed="rId47"/>
                    <a:stretch>
                      <a:fillRect/>
                    </a:stretch>
                  </pic:blipFill>
                  <pic:spPr>
                    <a:xfrm>
                      <a:off x="0" y="0"/>
                      <a:ext cx="5793105" cy="8695055"/>
                    </a:xfrm>
                    <a:prstGeom prst="rect">
                      <a:avLst/>
                    </a:prstGeom>
                  </pic:spPr>
                </pic:pic>
              </a:graphicData>
            </a:graphic>
          </wp:inline>
        </w:drawing>
      </w:r>
    </w:p>
    <w:p>
      <w:pPr>
        <w:rPr>
          <w:rFonts w:ascii="Times New Roman" w:hAnsi="Times New Roman" w:cs="Times New Roman"/>
          <w:b/>
          <w:bCs/>
          <w:color w:val="000000" w:themeColor="text1"/>
          <w:kern w:val="44"/>
          <w:sz w:val="24"/>
          <w:szCs w:val="24"/>
          <w14:textFill>
            <w14:solidFill>
              <w14:schemeClr w14:val="tx1"/>
            </w14:solidFill>
          </w14:textFill>
        </w:rPr>
      </w:pPr>
      <w:r>
        <w:rPr>
          <w:rFonts w:ascii="Times New Roman" w:hAnsi="Times New Roman" w:cs="Times New Roman"/>
          <w:b/>
          <w:bCs/>
          <w:color w:val="000000" w:themeColor="text1"/>
          <w:kern w:val="44"/>
          <w:sz w:val="24"/>
          <w:szCs w:val="24"/>
          <w14:textFill>
            <w14:solidFill>
              <w14:schemeClr w14:val="tx1"/>
            </w14:solidFill>
          </w14:textFill>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42" w:name="_Toc8283"/>
      <w:bookmarkStart w:id="1343" w:name="_Toc3121"/>
      <w:bookmarkStart w:id="1344" w:name="_Toc1206"/>
      <w:r>
        <w:rPr>
          <w:rFonts w:ascii="Times New Roman" w:hAnsi="Times New Roman" w:cs="Times New Roman"/>
          <w:b/>
          <w:bCs/>
          <w:color w:val="000000" w:themeColor="text1"/>
          <w:sz w:val="24"/>
          <w:szCs w:val="24"/>
          <w14:textFill>
            <w14:solidFill>
              <w14:schemeClr w14:val="tx1"/>
            </w14:solidFill>
          </w14:textFill>
        </w:rPr>
        <w:t>附件八：《中国石油天然气股份有限公司江西南昌启航加油站关于成立突发环境预案资料编制领导小组的通知》</w:t>
      </w:r>
      <w:bookmarkEnd w:id="1342"/>
      <w:bookmarkEnd w:id="1343"/>
      <w:bookmarkEnd w:id="1344"/>
    </w:p>
    <w:p>
      <w:pPr>
        <w:spacing w:line="600" w:lineRule="exact"/>
        <w:jc w:val="center"/>
        <w:rPr>
          <w:rFonts w:ascii="Times New Roman" w:hAnsi="Times New Roman" w:cs="Times New Roman"/>
          <w:b/>
          <w:bCs/>
          <w:color w:val="000000" w:themeColor="text1"/>
          <w:sz w:val="24"/>
          <w:szCs w:val="24"/>
          <w14:textFill>
            <w14:solidFill>
              <w14:schemeClr w14:val="tx1"/>
            </w14:solidFill>
          </w14:textFill>
        </w:rPr>
      </w:pPr>
      <w:bookmarkStart w:id="1345" w:name="_Toc3286_WPSOffice_Level1"/>
      <w:bookmarkStart w:id="1346" w:name="_Toc14371_WPSOffice_Level1"/>
      <w:bookmarkStart w:id="1347" w:name="_Toc992_WPSOffice_Level1"/>
      <w:bookmarkStart w:id="1348" w:name="_Toc18826_WPSOffice_Level1"/>
      <w:bookmarkStart w:id="1349" w:name="_Toc20889_WPSOffice_Level1"/>
      <w:bookmarkStart w:id="1350" w:name="_Toc25753_WPSOffice_Level1"/>
      <w:r>
        <w:rPr>
          <w:rFonts w:ascii="Times New Roman" w:hAnsi="Times New Roman" w:cs="Times New Roman"/>
          <w:b/>
          <w:bCs/>
          <w:color w:val="000000" w:themeColor="text1"/>
          <w:sz w:val="24"/>
          <w:szCs w:val="24"/>
          <w14:textFill>
            <w14:solidFill>
              <w14:schemeClr w14:val="tx1"/>
            </w14:solidFill>
          </w14:textFill>
        </w:rPr>
        <w:t>关于成立中国石油天然气股份有限公司江西南昌启航加油站</w:t>
      </w:r>
      <w:bookmarkEnd w:id="1345"/>
      <w:bookmarkEnd w:id="1346"/>
      <w:bookmarkEnd w:id="1347"/>
      <w:bookmarkEnd w:id="1348"/>
      <w:bookmarkEnd w:id="1349"/>
      <w:bookmarkEnd w:id="1350"/>
    </w:p>
    <w:p>
      <w:pPr>
        <w:spacing w:line="600" w:lineRule="exact"/>
        <w:jc w:val="center"/>
        <w:rPr>
          <w:rFonts w:ascii="Times New Roman" w:hAnsi="Times New Roman" w:cs="Times New Roman"/>
          <w:b/>
          <w:bCs/>
          <w:color w:val="000000" w:themeColor="text1"/>
          <w:sz w:val="24"/>
          <w:szCs w:val="24"/>
          <w14:textFill>
            <w14:solidFill>
              <w14:schemeClr w14:val="tx1"/>
            </w14:solidFill>
          </w14:textFill>
        </w:rPr>
      </w:pPr>
      <w:bookmarkStart w:id="1351" w:name="_Toc29995_WPSOffice_Level1"/>
      <w:bookmarkStart w:id="1352" w:name="_Toc12429_WPSOffice_Level1"/>
      <w:bookmarkStart w:id="1353" w:name="_Toc653_WPSOffice_Level1"/>
      <w:bookmarkStart w:id="1354" w:name="_Toc5741_WPSOffice_Level1"/>
      <w:bookmarkStart w:id="1355" w:name="_Toc31637_WPSOffice_Level1"/>
      <w:bookmarkStart w:id="1356" w:name="_Toc6831_WPSOffice_Level1"/>
      <w:r>
        <w:rPr>
          <w:rFonts w:ascii="Times New Roman" w:hAnsi="Times New Roman" w:cs="Times New Roman"/>
          <w:b/>
          <w:bCs/>
          <w:color w:val="000000" w:themeColor="text1"/>
          <w:sz w:val="24"/>
          <w:szCs w:val="24"/>
          <w14:textFill>
            <w14:solidFill>
              <w14:schemeClr w14:val="tx1"/>
            </w14:solidFill>
          </w14:textFill>
        </w:rPr>
        <w:t>突发环境事件应急预案编制领导小组的通知</w:t>
      </w:r>
      <w:bookmarkEnd w:id="1351"/>
      <w:bookmarkEnd w:id="1352"/>
      <w:bookmarkEnd w:id="1353"/>
      <w:bookmarkEnd w:id="1354"/>
      <w:bookmarkEnd w:id="1355"/>
      <w:bookmarkEnd w:id="1356"/>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为了高效、实用、完整地编制本加油站突发环境事件应急预案，特成立编制领导小组，根据编制工作需要，各成员按组长工作安排，共同配合组长完成编制《中国石油天然气股份有限公司江西南昌启航加油站突发环境事件应急预案》。</w:t>
      </w:r>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组  长：</w:t>
      </w:r>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副组长：</w:t>
      </w:r>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成  员：</w:t>
      </w:r>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审  核：</w:t>
      </w:r>
    </w:p>
    <w:p>
      <w:pPr>
        <w:spacing w:line="600" w:lineRule="exact"/>
        <w:ind w:firstLine="480" w:firstLineChars="20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应急预案编写完成后，须内部进行评审，内部评审完成后。聘请外部专家评估，经专家评估合格后发布实施，并报送南昌市环境保护局备案。</w:t>
      </w:r>
    </w:p>
    <w:p>
      <w:pPr>
        <w:spacing w:line="600" w:lineRule="exact"/>
        <w:rPr>
          <w:rFonts w:ascii="Times New Roman" w:hAnsi="Times New Roman" w:cs="Times New Roman"/>
          <w:color w:val="000000" w:themeColor="text1"/>
          <w:sz w:val="24"/>
          <w:szCs w:val="24"/>
          <w14:textFill>
            <w14:solidFill>
              <w14:schemeClr w14:val="tx1"/>
            </w14:solidFill>
          </w14:textFill>
        </w:rPr>
      </w:pPr>
    </w:p>
    <w:p>
      <w:pPr>
        <w:overflowPunct w:val="0"/>
        <w:topLinePunct/>
        <w:spacing w:line="360" w:lineRule="auto"/>
        <w:ind w:firstLine="496" w:firstLineChars="200"/>
        <w:rPr>
          <w:rFonts w:ascii="Times New Roman" w:hAnsi="Times New Roman" w:cs="Times New Roman"/>
          <w:color w:val="000000" w:themeColor="text1"/>
          <w:spacing w:val="4"/>
          <w:sz w:val="24"/>
          <w:szCs w:val="24"/>
          <w14:textFill>
            <w14:solidFill>
              <w14:schemeClr w14:val="tx1"/>
            </w14:solidFill>
          </w14:textFill>
        </w:rPr>
      </w:pPr>
    </w:p>
    <w:p>
      <w:pPr>
        <w:spacing w:line="600" w:lineRule="exact"/>
        <w:jc w:val="righ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中国石油天然气股份有限公司江西南昌启航加油站</w:t>
      </w:r>
    </w:p>
    <w:p>
      <w:pPr>
        <w:spacing w:line="600" w:lineRule="exact"/>
        <w:jc w:val="righ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2019年11月4日</w:t>
      </w:r>
    </w:p>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57" w:name="_Toc27028"/>
      <w:bookmarkStart w:id="1358" w:name="_Toc22413"/>
      <w:bookmarkStart w:id="1359" w:name="_Toc31748"/>
      <w:r>
        <w:rPr>
          <w:rFonts w:ascii="Times New Roman" w:hAnsi="Times New Roman" w:cs="Times New Roman"/>
          <w:b/>
          <w:bCs/>
          <w:color w:val="000000" w:themeColor="text1"/>
          <w:sz w:val="24"/>
          <w:szCs w:val="24"/>
          <w14:textFill>
            <w14:solidFill>
              <w14:schemeClr w14:val="tx1"/>
            </w14:solidFill>
          </w14:textFill>
        </w:rPr>
        <w:t>附件九：环保应急处置卡</w:t>
      </w:r>
      <w:bookmarkEnd w:id="1357"/>
      <w:bookmarkEnd w:id="1358"/>
      <w:bookmarkEnd w:id="1359"/>
    </w:p>
    <w:p>
      <w:pPr>
        <w:jc w:val="center"/>
        <w:rPr>
          <w:rFonts w:ascii="Times New Roman" w:hAnsi="Times New Roman" w:cs="Times New Roman"/>
          <w:color w:val="000000" w:themeColor="text1"/>
          <w:sz w:val="24"/>
          <w:szCs w:val="24"/>
          <w14:textFill>
            <w14:solidFill>
              <w14:schemeClr w14:val="tx1"/>
            </w14:solidFill>
          </w14:textFill>
        </w:rPr>
      </w:pPr>
      <w:bookmarkStart w:id="1360" w:name="_Toc9618_WPSOffice_Level1"/>
      <w:bookmarkStart w:id="1361" w:name="_Toc14323_WPSOffice_Level1"/>
      <w:bookmarkStart w:id="1362" w:name="_Toc14340_WPSOffice_Level1"/>
      <w:bookmarkStart w:id="1363" w:name="_Toc17781_WPSOffice_Level1"/>
      <w:bookmarkStart w:id="1364" w:name="_Toc14635_WPSOffice_Level1"/>
      <w:bookmarkStart w:id="1365" w:name="_Toc21921_WPSOffice_Level1"/>
      <w:r>
        <w:rPr>
          <w:rFonts w:ascii="Times New Roman" w:hAnsi="Times New Roman" w:cs="Times New Roman"/>
          <w:b/>
          <w:color w:val="000000" w:themeColor="text1"/>
          <w:sz w:val="24"/>
          <w:szCs w:val="24"/>
          <w14:textFill>
            <w14:solidFill>
              <w14:schemeClr w14:val="tx1"/>
            </w14:solidFill>
          </w14:textFill>
        </w:rPr>
        <w:t>×××岗位应急卡</w:t>
      </w:r>
      <w:bookmarkEnd w:id="1360"/>
      <w:bookmarkEnd w:id="1361"/>
      <w:bookmarkEnd w:id="1362"/>
      <w:bookmarkEnd w:id="1363"/>
      <w:bookmarkEnd w:id="1364"/>
      <w:bookmarkEnd w:id="1365"/>
    </w:p>
    <w:tbl>
      <w:tblPr>
        <w:tblStyle w:val="16"/>
        <w:tblW w:w="910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1"/>
        <w:gridCol w:w="334"/>
        <w:gridCol w:w="2112"/>
        <w:gridCol w:w="2709"/>
        <w:gridCol w:w="21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2095" w:type="dxa"/>
            <w:gridSpan w:val="2"/>
            <w:vAlign w:val="center"/>
          </w:tcPr>
          <w:p>
            <w:pPr>
              <w:widowControl/>
              <w:jc w:val="cente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岗位名称</w:t>
            </w:r>
          </w:p>
        </w:tc>
        <w:tc>
          <w:tcPr>
            <w:tcW w:w="7005" w:type="dxa"/>
            <w:gridSpan w:val="3"/>
            <w:vAlign w:val="bottom"/>
          </w:tcPr>
          <w:p>
            <w:pPr>
              <w:widowControl/>
              <w:jc w:val="center"/>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bCs/>
                <w:color w:val="000000" w:themeColor="text1"/>
                <w:kern w:val="0"/>
                <w:sz w:val="24"/>
                <w:szCs w:val="24"/>
                <w14:textFill>
                  <w14:solidFill>
                    <w14:schemeClr w14:val="tx1"/>
                  </w14:solidFill>
                </w14:textFill>
              </w:rPr>
              <w:t>×××操作岗位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jc w:val="cente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关键工艺参数</w:t>
            </w:r>
          </w:p>
        </w:tc>
        <w:tc>
          <w:tcPr>
            <w:tcW w:w="7005" w:type="dxa"/>
            <w:gridSpan w:val="3"/>
            <w:vAlign w:val="bottom"/>
          </w:tcPr>
          <w:p>
            <w:pPr>
              <w:widowControl/>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操作压力、温度等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jc w:val="cente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岗位操作要点</w:t>
            </w:r>
          </w:p>
        </w:tc>
        <w:tc>
          <w:tcPr>
            <w:tcW w:w="7005" w:type="dxa"/>
            <w:gridSpan w:val="3"/>
            <w:vAlign w:val="bottom"/>
          </w:tcPr>
          <w:p>
            <w:pPr>
              <w:widowControl/>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操作压力、温度、反应时间等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jc w:val="cente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岗位应急处置装备</w:t>
            </w:r>
          </w:p>
        </w:tc>
        <w:tc>
          <w:tcPr>
            <w:tcW w:w="7005" w:type="dxa"/>
            <w:gridSpan w:val="3"/>
            <w:vAlign w:val="bottom"/>
          </w:tcPr>
          <w:p>
            <w:pPr>
              <w:widowControl/>
              <w:rPr>
                <w:rFonts w:ascii="Times New Roman" w:hAnsi="Times New Roman" w:cs="Times New Roman"/>
                <w:color w:val="000000" w:themeColor="text1"/>
                <w:kern w:val="0"/>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防毒面具、防护手套、灭火器、应急药品等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84" w:hRule="atLeast"/>
        </w:trPr>
        <w:tc>
          <w:tcPr>
            <w:tcW w:w="9100" w:type="dxa"/>
            <w:gridSpan w:val="5"/>
          </w:tcPr>
          <w:p>
            <w:pP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应急处置注意事项：</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掌握风向：观察风向，注意上风向撤离路线和地点。</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上报时限：发生异常情况，立即报告公司主管。</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应急联络：</w:t>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bCs/>
                <w:color w:val="000000" w:themeColor="text1"/>
                <w:kern w:val="0"/>
                <w:sz w:val="24"/>
                <w:szCs w:val="24"/>
                <w14:textFill>
                  <w14:solidFill>
                    <w14:schemeClr w14:val="tx1"/>
                  </w14:solidFill>
                </w14:textFill>
              </w:rPr>
              <w:t>前后工序联系确认，</w:t>
            </w:r>
            <w:r>
              <w:rPr>
                <w:rFonts w:hint="eastAsia" w:ascii="宋体" w:hAnsi="宋体" w:eastAsia="宋体" w:cs="宋体"/>
                <w:bCs/>
                <w:color w:val="000000" w:themeColor="text1"/>
                <w:kern w:val="0"/>
                <w:sz w:val="24"/>
                <w:szCs w:val="24"/>
                <w14:textFill>
                  <w14:solidFill>
                    <w14:schemeClr w14:val="tx1"/>
                  </w14:solidFill>
                </w14:textFill>
              </w:rPr>
              <w:t>②</w:t>
            </w:r>
            <w:r>
              <w:rPr>
                <w:rFonts w:ascii="Times New Roman" w:hAnsi="Times New Roman" w:cs="Times New Roman"/>
                <w:bCs/>
                <w:color w:val="000000" w:themeColor="text1"/>
                <w:kern w:val="0"/>
                <w:sz w:val="24"/>
                <w:szCs w:val="24"/>
                <w14:textFill>
                  <w14:solidFill>
                    <w14:schemeClr w14:val="tx1"/>
                  </w14:solidFill>
                </w14:textFill>
              </w:rPr>
              <w:t>按照公司内部联络网联络，</w:t>
            </w:r>
            <w:r>
              <w:rPr>
                <w:rFonts w:hint="eastAsia" w:ascii="宋体" w:hAnsi="宋体" w:eastAsia="宋体" w:cs="宋体"/>
                <w:bCs/>
                <w:color w:val="000000" w:themeColor="text1"/>
                <w:kern w:val="0"/>
                <w:sz w:val="24"/>
                <w:szCs w:val="24"/>
                <w14:textFill>
                  <w14:solidFill>
                    <w14:schemeClr w14:val="tx1"/>
                  </w14:solidFill>
                </w14:textFill>
              </w:rPr>
              <w:t>③</w:t>
            </w:r>
            <w:r>
              <w:rPr>
                <w:rFonts w:ascii="Times New Roman" w:hAnsi="Times New Roman" w:cs="Times New Roman"/>
                <w:bCs/>
                <w:color w:val="000000" w:themeColor="text1"/>
                <w:kern w:val="0"/>
                <w:sz w:val="24"/>
                <w:szCs w:val="24"/>
                <w14:textFill>
                  <w14:solidFill>
                    <w14:schemeClr w14:val="tx1"/>
                  </w14:solidFill>
                </w14:textFill>
              </w:rPr>
              <w:t>根据指令进行外部联络</w:t>
            </w:r>
            <w:r>
              <w:rPr>
                <w:rFonts w:ascii="Times New Roman" w:hAnsi="Times New Roman" w:cs="Times New Roman"/>
                <w:color w:val="000000" w:themeColor="text1"/>
                <w:kern w:val="0"/>
                <w:sz w:val="24"/>
                <w:szCs w:val="24"/>
                <w14:textFill>
                  <w14:solidFill>
                    <w14:schemeClr w14:val="tx1"/>
                  </w14:solidFill>
                </w14:textFill>
              </w:rPr>
              <w:t>110；119；120。</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清点人员：到达撤离现场后，要相互清点人数。</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异常确认：判断异常情况的起因，影响程度等。</w:t>
            </w:r>
          </w:p>
          <w:p>
            <w:pPr>
              <w:numPr>
                <w:ilvl w:val="0"/>
                <w:numId w:val="4"/>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Cs/>
                <w:color w:val="000000" w:themeColor="text1"/>
                <w:kern w:val="0"/>
                <w:sz w:val="24"/>
                <w:szCs w:val="24"/>
                <w14:textFill>
                  <w14:solidFill>
                    <w14:schemeClr w14:val="tx1"/>
                  </w14:solidFill>
                </w14:textFill>
              </w:rPr>
              <w:t>处置事项：避免产生各类火种、个体防护等。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4" w:hRule="atLeast"/>
        </w:trPr>
        <w:tc>
          <w:tcPr>
            <w:tcW w:w="9100" w:type="dxa"/>
            <w:gridSpan w:val="5"/>
          </w:tcPr>
          <w:p>
            <w:pPr>
              <w:rPr>
                <w:rFonts w:ascii="Times New Roman" w:hAnsi="Times New Roman" w:cs="Times New Roman"/>
                <w:b/>
                <w:bCs/>
                <w:color w:val="000000" w:themeColor="text1"/>
                <w:kern w:val="0"/>
                <w:sz w:val="24"/>
                <w:szCs w:val="24"/>
                <w14:textFill>
                  <w14:solidFill>
                    <w14:schemeClr w14:val="tx1"/>
                  </w14:solidFill>
                </w14:textFill>
              </w:rPr>
            </w:pPr>
            <w:r>
              <w:rPr>
                <w:rFonts w:ascii="Times New Roman" w:hAnsi="Times New Roman" w:cs="Times New Roman"/>
                <w:b/>
                <w:bCs/>
                <w:color w:val="000000" w:themeColor="text1"/>
                <w:kern w:val="0"/>
                <w:sz w:val="24"/>
                <w:szCs w:val="24"/>
                <w14:textFill>
                  <w14:solidFill>
                    <w14:schemeClr w14:val="tx1"/>
                  </w14:solidFill>
                </w14:textFill>
              </w:rPr>
              <w:t>岗位存在危险因素应对措施：</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反应温度异常处置措施：</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反应压力异常处置措施：</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突然停水处置措施：</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突然停电处置措施：</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物料泄漏处置措施：</w:t>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关闭正在工作的打料泵上的关闭按钮；</w:t>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查找泄漏源，关</w:t>
            </w:r>
            <w:r>
              <w:rPr>
                <w:rFonts w:ascii="Times New Roman" w:hAnsi="Times New Roman" w:cs="Times New Roman"/>
                <w:color w:val="000000" w:themeColor="text1"/>
                <w:kern w:val="0"/>
                <w:sz w:val="24"/>
                <w:szCs w:val="24"/>
                <w14:textFill>
                  <w14:solidFill>
                    <w14:schemeClr w14:val="tx1"/>
                  </w14:solidFill>
                </w14:textFill>
              </w:rPr>
              <w:t>闭泄漏点所在管线前后阀门，若无法关闭的情况下，用干布、木塞等进行堵漏；</w:t>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用沙袋围堵泄漏区域，防止进入雨水管网，若进入，关闭区域雨水排水井阀门；</w:t>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小量泄漏：用砂土、蛭石或其它惰性材料吸收；</w:t>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t>大量泄漏：启动应急救援预案，同时构筑围堤或挖坑收容，用喷雾水稀释或泡沫覆盖，降低蒸汽引发的灾害。用泵转移至槽车或专用收集器内，回收或运至废物处理场所处置。</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火灾爆炸处置措施：</w:t>
            </w:r>
            <w:r>
              <w:rPr>
                <w:rFonts w:ascii="Times New Roman" w:hAnsi="Times New Roman" w:cs="Times New Roman"/>
                <w:color w:val="000000" w:themeColor="text1"/>
                <w:kern w:val="0"/>
                <w:sz w:val="24"/>
                <w:szCs w:val="24"/>
                <w14:textFill>
                  <w14:solidFill>
                    <w14:schemeClr w14:val="tx1"/>
                  </w14:solidFill>
                </w14:textFill>
              </w:rPr>
              <w:t>立即报告部门主管，部门主管报告公司领导，公司领导报告当地安监局、消防等相关职能部门，启动应急救援预案，并通知周边社区。</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中毒灼伤处置措施：</w:t>
            </w:r>
            <w:r>
              <w:rPr>
                <w:rFonts w:hint="eastAsia" w:ascii="宋体" w:hAnsi="宋体" w:eastAsia="宋体" w:cs="宋体"/>
                <w:color w:val="000000" w:themeColor="text1"/>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皮肤或眼睛接触，立即脱去污染的衣着或提起眼睑，用大量流动清水冲洗至少15分钟，并送至专业医院救治；</w:t>
            </w:r>
            <w:r>
              <w:rPr>
                <w:rFonts w:hint="eastAsia" w:ascii="宋体" w:hAnsi="宋体" w:eastAsia="宋体" w:cs="宋体"/>
                <w:color w:val="000000" w:themeColor="text1"/>
                <w:kern w:val="0"/>
                <w:sz w:val="24"/>
                <w:szCs w:val="24"/>
                <w14:textFill>
                  <w14:solidFill>
                    <w14:schemeClr w14:val="tx1"/>
                  </w14:solidFill>
                </w14:textFill>
              </w:rPr>
              <w:t>②</w:t>
            </w:r>
            <w:r>
              <w:rPr>
                <w:rFonts w:ascii="Times New Roman" w:hAnsi="Times New Roman" w:cs="Times New Roman"/>
                <w:color w:val="000000" w:themeColor="text1"/>
                <w:kern w:val="0"/>
                <w:sz w:val="24"/>
                <w:szCs w:val="24"/>
                <w14:textFill>
                  <w14:solidFill>
                    <w14:schemeClr w14:val="tx1"/>
                  </w14:solidFill>
                </w14:textFill>
              </w:rPr>
              <w:t>若吸入，迅速脱离现场至空气新鲜处，保持呼吸道通畅，如心跳停止，立即进行胸外挤压，如呼吸停止，立即进行人工呼吸，并送至专业医院救治；</w:t>
            </w:r>
            <w:r>
              <w:rPr>
                <w:rFonts w:hint="eastAsia" w:ascii="宋体" w:hAnsi="宋体" w:eastAsia="宋体" w:cs="宋体"/>
                <w:color w:val="000000" w:themeColor="text1"/>
                <w:kern w:val="0"/>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若食入，饮足量温水，催吐，并送至专业医院救治；</w:t>
            </w:r>
          </w:p>
          <w:p>
            <w:pPr>
              <w:numPr>
                <w:ilvl w:val="0"/>
                <w:numId w:val="5"/>
              </w:numPr>
              <w:ind w:hanging="387"/>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人员受伤处置措施：</w:t>
            </w:r>
            <w:r>
              <w:rPr>
                <w:rFonts w:ascii="Times New Roman" w:hAnsi="Times New Roman" w:cs="Times New Roman"/>
                <w:color w:val="000000" w:themeColor="text1"/>
                <w:kern w:val="0"/>
                <w:sz w:val="24"/>
                <w:szCs w:val="24"/>
                <w14:textFill>
                  <w14:solidFill>
                    <w14:schemeClr w14:val="tx1"/>
                  </w14:solidFill>
                </w14:textFill>
              </w:rPr>
              <w:t>立即报告部门主管，并联系专业医院，安排人员进行初步处理，</w:t>
            </w:r>
            <w:r>
              <w:rPr>
                <w:rFonts w:hint="eastAsia" w:ascii="宋体" w:hAnsi="宋体" w:eastAsia="宋体" w:cs="宋体"/>
                <w:color w:val="000000" w:themeColor="text1"/>
                <w:kern w:val="0"/>
                <w:sz w:val="24"/>
                <w:szCs w:val="24"/>
                <w14:textFill>
                  <w14:solidFill>
                    <w14:schemeClr w14:val="tx1"/>
                  </w14:solidFill>
                </w14:textFill>
              </w:rPr>
              <w:t>①</w:t>
            </w:r>
            <w:r>
              <w:rPr>
                <w:rFonts w:ascii="Times New Roman" w:hAnsi="Times New Roman" w:cs="Times New Roman"/>
                <w:color w:val="000000" w:themeColor="text1"/>
                <w:kern w:val="0"/>
                <w:sz w:val="24"/>
                <w:szCs w:val="24"/>
                <w14:textFill>
                  <w14:solidFill>
                    <w14:schemeClr w14:val="tx1"/>
                  </w14:solidFill>
                </w14:textFill>
              </w:rPr>
              <w:t>对伤口进行消毒止血包扎；</w:t>
            </w:r>
            <w:r>
              <w:rPr>
                <w:rFonts w:hint="eastAsia" w:ascii="宋体" w:hAnsi="宋体" w:eastAsia="宋体" w:cs="宋体"/>
                <w:color w:val="000000" w:themeColor="text1"/>
                <w:sz w:val="24"/>
                <w:szCs w:val="24"/>
                <w14:textFill>
                  <w14:solidFill>
                    <w14:schemeClr w14:val="tx1"/>
                  </w14:solidFill>
                </w14:textFill>
              </w:rPr>
              <w:t>②</w:t>
            </w:r>
            <w:r>
              <w:rPr>
                <w:rFonts w:ascii="Times New Roman" w:hAnsi="Times New Roman" w:cs="Times New Roman"/>
                <w:color w:val="000000" w:themeColor="text1"/>
                <w:sz w:val="24"/>
                <w:szCs w:val="24"/>
                <w14:textFill>
                  <w14:solidFill>
                    <w14:schemeClr w14:val="tx1"/>
                  </w14:solidFill>
                </w14:textFill>
              </w:rPr>
              <w:t>对骨折部门进行固定；</w:t>
            </w:r>
            <w:r>
              <w:rPr>
                <w:rFonts w:hint="eastAsia" w:ascii="宋体" w:hAnsi="宋体" w:eastAsia="宋体" w:cs="宋体"/>
                <w:color w:val="000000" w:themeColor="text1"/>
                <w:sz w:val="24"/>
                <w:szCs w:val="24"/>
                <w14:textFill>
                  <w14:solidFill>
                    <w14:schemeClr w14:val="tx1"/>
                  </w14:solidFill>
                </w14:textFill>
              </w:rPr>
              <w:t>③</w:t>
            </w:r>
            <w:r>
              <w:rPr>
                <w:rFonts w:ascii="Times New Roman" w:hAnsi="Times New Roman" w:cs="Times New Roman"/>
                <w:color w:val="000000" w:themeColor="text1"/>
                <w:kern w:val="0"/>
                <w:sz w:val="24"/>
                <w:szCs w:val="24"/>
                <w14:textFill>
                  <w14:solidFill>
                    <w14:schemeClr w14:val="tx1"/>
                  </w14:solidFill>
                </w14:textFill>
              </w:rPr>
              <w:t>如心跳停止，立即进行胸外挤压；</w:t>
            </w:r>
            <w:r>
              <w:rPr>
                <w:rFonts w:hint="eastAsia" w:ascii="宋体" w:hAnsi="宋体" w:eastAsia="宋体" w:cs="宋体"/>
                <w:color w:val="000000" w:themeColor="text1"/>
                <w:kern w:val="0"/>
                <w:sz w:val="24"/>
                <w:szCs w:val="24"/>
                <w14:textFill>
                  <w14:solidFill>
                    <w14:schemeClr w14:val="tx1"/>
                  </w14:solidFill>
                </w14:textFill>
              </w:rPr>
              <w:t>④</w:t>
            </w:r>
            <w:r>
              <w:rPr>
                <w:rFonts w:ascii="Times New Roman" w:hAnsi="Times New Roman" w:cs="Times New Roman"/>
                <w:color w:val="000000" w:themeColor="text1"/>
                <w:kern w:val="0"/>
                <w:sz w:val="24"/>
                <w:szCs w:val="24"/>
                <w14:textFill>
                  <w14:solidFill>
                    <w14:schemeClr w14:val="tx1"/>
                  </w14:solidFill>
                </w14:textFill>
              </w:rPr>
              <w:t>如呼吸停止，立即进行人工呼吸；</w:t>
            </w:r>
            <w:r>
              <w:rPr>
                <w:rFonts w:hint="eastAsia" w:ascii="宋体" w:hAnsi="宋体" w:eastAsia="宋体" w:cs="宋体"/>
                <w:color w:val="000000" w:themeColor="text1"/>
                <w:kern w:val="0"/>
                <w:sz w:val="24"/>
                <w:szCs w:val="24"/>
                <w14:textFill>
                  <w14:solidFill>
                    <w14:schemeClr w14:val="tx1"/>
                  </w14:solidFill>
                </w14:textFill>
              </w:rPr>
              <w:t>⑤</w:t>
            </w:r>
            <w:r>
              <w:rPr>
                <w:rFonts w:ascii="Times New Roman" w:hAnsi="Times New Roman" w:cs="Times New Roman"/>
                <w:color w:val="000000" w:themeColor="text1"/>
                <w:kern w:val="0"/>
                <w:sz w:val="24"/>
                <w:szCs w:val="24"/>
                <w14:textFill>
                  <w14:solidFill>
                    <w14:schemeClr w14:val="tx1"/>
                  </w14:solidFill>
                </w14:textFill>
              </w:rPr>
              <w:t>若是不能处理的伤势，不要盲目救治，等待专业医务人员处理。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100" w:type="dxa"/>
            <w:gridSpan w:val="5"/>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应急联系方式（电话号码）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restart"/>
            <w:vAlign w:val="center"/>
          </w:tcPr>
          <w:p>
            <w:pPr>
              <w:adjustRightInd w:val="0"/>
              <w:snapToGrid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厂内</w:t>
            </w:r>
          </w:p>
        </w:tc>
        <w:tc>
          <w:tcPr>
            <w:tcW w:w="2446" w:type="dxa"/>
            <w:gridSpan w:val="2"/>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岗位负责人</w:t>
            </w:r>
          </w:p>
        </w:tc>
        <w:tc>
          <w:tcPr>
            <w:tcW w:w="2709" w:type="dxa"/>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加油站负责人</w:t>
            </w:r>
          </w:p>
        </w:tc>
        <w:tc>
          <w:tcPr>
            <w:tcW w:w="2184" w:type="dxa"/>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公司负责人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continue"/>
            <w:vAlign w:val="center"/>
          </w:tcPr>
          <w:p>
            <w:pPr>
              <w:rPr>
                <w:rFonts w:ascii="Times New Roman" w:hAnsi="Times New Roman" w:cs="Times New Roman"/>
                <w:color w:val="000000" w:themeColor="text1"/>
                <w:sz w:val="24"/>
                <w:szCs w:val="24"/>
                <w14:textFill>
                  <w14:solidFill>
                    <w14:schemeClr w14:val="tx1"/>
                  </w14:solidFill>
                </w14:textFill>
              </w:rPr>
            </w:pPr>
          </w:p>
        </w:tc>
        <w:tc>
          <w:tcPr>
            <w:tcW w:w="2446" w:type="dxa"/>
            <w:gridSpan w:val="2"/>
            <w:vAlign w:val="bottom"/>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w:t>
            </w:r>
          </w:p>
        </w:tc>
        <w:tc>
          <w:tcPr>
            <w:tcW w:w="2709" w:type="dxa"/>
            <w:vAlign w:val="bottom"/>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w:t>
            </w:r>
          </w:p>
        </w:tc>
        <w:tc>
          <w:tcPr>
            <w:tcW w:w="2184" w:type="dxa"/>
            <w:vAlign w:val="bottom"/>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restart"/>
            <w:vAlign w:val="center"/>
          </w:tcPr>
          <w:p>
            <w:pPr>
              <w:adjustRightInd w:val="0"/>
              <w:snapToGrid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公共</w:t>
            </w:r>
          </w:p>
        </w:tc>
        <w:tc>
          <w:tcPr>
            <w:tcW w:w="2446" w:type="dxa"/>
            <w:gridSpan w:val="2"/>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报警电话</w:t>
            </w:r>
          </w:p>
        </w:tc>
        <w:tc>
          <w:tcPr>
            <w:tcW w:w="2709" w:type="dxa"/>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火警电话</w:t>
            </w:r>
          </w:p>
        </w:tc>
        <w:tc>
          <w:tcPr>
            <w:tcW w:w="2184" w:type="dxa"/>
            <w:vAlign w:val="center"/>
          </w:tcPr>
          <w:p>
            <w:pPr>
              <w:widowControl/>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急救电话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1761" w:type="dxa"/>
            <w:vMerge w:val="continue"/>
          </w:tcPr>
          <w:p>
            <w:pPr>
              <w:rPr>
                <w:rFonts w:ascii="Times New Roman" w:hAnsi="Times New Roman" w:cs="Times New Roman"/>
                <w:color w:val="000000" w:themeColor="text1"/>
                <w:sz w:val="24"/>
                <w:szCs w:val="24"/>
                <w14:textFill>
                  <w14:solidFill>
                    <w14:schemeClr w14:val="tx1"/>
                  </w14:solidFill>
                </w14:textFill>
              </w:rPr>
            </w:pPr>
          </w:p>
        </w:tc>
        <w:tc>
          <w:tcPr>
            <w:tcW w:w="2446" w:type="dxa"/>
            <w:gridSpan w:val="2"/>
            <w:vAlign w:val="center"/>
          </w:tcPr>
          <w:p>
            <w:pPr>
              <w:adjustRightInd w:val="0"/>
              <w:snapToGrid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110</w:t>
            </w:r>
          </w:p>
        </w:tc>
        <w:tc>
          <w:tcPr>
            <w:tcW w:w="2709" w:type="dxa"/>
            <w:vAlign w:val="center"/>
          </w:tcPr>
          <w:p>
            <w:pPr>
              <w:adjustRightInd w:val="0"/>
              <w:snapToGrid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119</w:t>
            </w:r>
          </w:p>
        </w:tc>
        <w:tc>
          <w:tcPr>
            <w:tcW w:w="2184" w:type="dxa"/>
            <w:vAlign w:val="center"/>
          </w:tcPr>
          <w:p>
            <w:pPr>
              <w:adjustRightInd w:val="0"/>
              <w:snapToGrid w:val="0"/>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120</w:t>
            </w:r>
          </w:p>
        </w:tc>
      </w:tr>
    </w:tbl>
    <w:p>
      <w:pPr>
        <w:rPr>
          <w:rFonts w:ascii="Times New Roman" w:hAnsi="Times New Roman" w:cs="Times New Roman"/>
          <w:b/>
          <w:bCs/>
          <w:color w:val="000000" w:themeColor="text1"/>
          <w:kern w:val="44"/>
          <w:sz w:val="24"/>
          <w:szCs w:val="24"/>
          <w14:textFill>
            <w14:solidFill>
              <w14:schemeClr w14:val="tx1"/>
            </w14:solidFill>
          </w14:textFill>
        </w:rPr>
      </w:pPr>
      <w:bookmarkStart w:id="1366" w:name="_Toc294"/>
      <w:r>
        <w:rPr>
          <w:rFonts w:ascii="Times New Roman" w:hAnsi="Times New Roman" w:cs="Times New Roman"/>
          <w:b/>
          <w:bCs/>
          <w:color w:val="000000" w:themeColor="text1"/>
          <w:kern w:val="44"/>
          <w:sz w:val="24"/>
          <w:szCs w:val="24"/>
          <w14:textFill>
            <w14:solidFill>
              <w14:schemeClr w14:val="tx1"/>
            </w14:solidFill>
          </w14:textFill>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67" w:name="_Toc28139"/>
      <w:bookmarkStart w:id="1368" w:name="_Toc26649"/>
      <w:r>
        <w:rPr>
          <w:rFonts w:ascii="Times New Roman" w:hAnsi="Times New Roman" w:cs="Times New Roman"/>
          <w:b/>
          <w:bCs/>
          <w:color w:val="000000" w:themeColor="text1"/>
          <w:sz w:val="24"/>
          <w:szCs w:val="24"/>
          <w14:textFill>
            <w14:solidFill>
              <w14:schemeClr w14:val="tx1"/>
            </w14:solidFill>
          </w14:textFill>
        </w:rPr>
        <w:t>附件十：突发环境事件报告表</w:t>
      </w:r>
      <w:bookmarkEnd w:id="1366"/>
      <w:bookmarkEnd w:id="1367"/>
      <w:bookmarkEnd w:id="1368"/>
    </w:p>
    <w:p>
      <w:pPr>
        <w:autoSpaceDN w:val="0"/>
        <w:ind w:firstLine="482" w:firstLineChars="200"/>
        <w:jc w:val="center"/>
        <w:rPr>
          <w:rFonts w:ascii="Times New Roman" w:hAnsi="Times New Roman" w:cs="Times New Roman"/>
          <w:b/>
          <w:bCs/>
          <w:color w:val="000000" w:themeColor="text1"/>
          <w:sz w:val="24"/>
          <w:szCs w:val="24"/>
          <w14:textFill>
            <w14:solidFill>
              <w14:schemeClr w14:val="tx1"/>
            </w14:solidFill>
          </w14:textFill>
        </w:rPr>
      </w:pPr>
      <w:bookmarkStart w:id="1369" w:name="_Toc26484_WPSOffice_Level1"/>
      <w:bookmarkStart w:id="1370" w:name="_Toc29965_WPSOffice_Level1"/>
      <w:bookmarkStart w:id="1371" w:name="_Toc13494_WPSOffice_Level1"/>
      <w:bookmarkStart w:id="1372" w:name="_Toc28927_WPSOffice_Level1"/>
      <w:bookmarkStart w:id="1373" w:name="_Toc20366_WPSOffice_Level1"/>
      <w:bookmarkStart w:id="1374" w:name="_Toc7502_WPSOffice_Level1"/>
      <w:r>
        <w:rPr>
          <w:rFonts w:ascii="Times New Roman" w:hAnsi="Times New Roman" w:cs="Times New Roman"/>
          <w:b/>
          <w:bCs/>
          <w:color w:val="000000" w:themeColor="text1"/>
          <w:sz w:val="24"/>
          <w:szCs w:val="24"/>
          <w14:textFill>
            <w14:solidFill>
              <w14:schemeClr w14:val="tx1"/>
            </w14:solidFill>
          </w14:textFill>
        </w:rPr>
        <w:t>表1  企业突发环境事件报告表（初报）</w:t>
      </w:r>
      <w:bookmarkEnd w:id="1369"/>
      <w:bookmarkEnd w:id="1370"/>
      <w:bookmarkEnd w:id="1371"/>
      <w:bookmarkEnd w:id="1372"/>
      <w:bookmarkEnd w:id="1373"/>
      <w:bookmarkEnd w:id="1374"/>
    </w:p>
    <w:p>
      <w:pPr>
        <w:spacing w:before="10" w:line="60" w:lineRule="exact"/>
        <w:rPr>
          <w:rFonts w:ascii="Times New Roman" w:hAnsi="Times New Roman" w:cs="Times New Roman"/>
          <w:color w:val="000000" w:themeColor="text1"/>
          <w:sz w:val="24"/>
          <w:szCs w:val="24"/>
          <w14:textFill>
            <w14:solidFill>
              <w14:schemeClr w14:val="tx1"/>
            </w14:solidFill>
          </w14:textFill>
        </w:rPr>
      </w:pPr>
    </w:p>
    <w:tbl>
      <w:tblPr>
        <w:tblStyle w:val="16"/>
        <w:tblW w:w="8914" w:type="dxa"/>
        <w:jc w:val="center"/>
        <w:tblLayout w:type="fixed"/>
        <w:tblCellMar>
          <w:top w:w="0" w:type="dxa"/>
          <w:left w:w="0" w:type="dxa"/>
          <w:bottom w:w="0" w:type="dxa"/>
          <w:right w:w="0" w:type="dxa"/>
        </w:tblCellMar>
      </w:tblPr>
      <w:tblGrid>
        <w:gridCol w:w="1951"/>
        <w:gridCol w:w="1136"/>
        <w:gridCol w:w="1843"/>
        <w:gridCol w:w="1048"/>
        <w:gridCol w:w="302"/>
        <w:gridCol w:w="1229"/>
        <w:gridCol w:w="1405"/>
      </w:tblGrid>
      <w:tr>
        <w:tblPrEx>
          <w:tblCellMar>
            <w:top w:w="0" w:type="dxa"/>
            <w:left w:w="0" w:type="dxa"/>
            <w:bottom w:w="0" w:type="dxa"/>
            <w:right w:w="0" w:type="dxa"/>
          </w:tblCellMar>
        </w:tblPrEx>
        <w:trPr>
          <w:trHeight w:val="400" w:hRule="exact"/>
          <w:jc w:val="center"/>
        </w:trPr>
        <w:tc>
          <w:tcPr>
            <w:tcW w:w="1951" w:type="dxa"/>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报告方式</w:t>
            </w: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1</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电话报告</w:t>
            </w:r>
          </w:p>
        </w:tc>
        <w:tc>
          <w:tcPr>
            <w:tcW w:w="1350" w:type="dxa"/>
            <w:gridSpan w:val="2"/>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w:t>
            </w:r>
            <w:r>
              <w:rPr>
                <w:rFonts w:ascii="Times New Roman" w:hAnsi="Times New Roman" w:cs="Times New Roman"/>
                <w:color w:val="000000" w:themeColor="text1"/>
                <w:sz w:val="24"/>
                <w:szCs w:val="24"/>
                <w14:textFill>
                  <w14:solidFill>
                    <w14:schemeClr w14:val="tx1"/>
                  </w14:solidFill>
                </w14:textFill>
              </w:rPr>
              <w:t>人</w:t>
            </w: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内部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65" w:hRule="exact"/>
          <w:jc w:val="center"/>
        </w:trPr>
        <w:tc>
          <w:tcPr>
            <w:tcW w:w="1951" w:type="dxa"/>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2</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书面报告</w:t>
            </w:r>
          </w:p>
        </w:tc>
        <w:tc>
          <w:tcPr>
            <w:tcW w:w="1350" w:type="dxa"/>
            <w:gridSpan w:val="2"/>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外部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53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报告时间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年   月   日    时   分</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单位名称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地址</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法人代表</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联系电话</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传真</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Email</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发生位置</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设备设施名称</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物料名称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35"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类型</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泄漏火灾爆炸其它</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污染物名称</w:t>
            </w: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数量</w:t>
            </w: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排放去向</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已污染的范围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101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可能受影</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响区</w:t>
            </w:r>
            <w:r>
              <w:rPr>
                <w:rFonts w:ascii="Times New Roman" w:hAnsi="Times New Roman" w:cs="Times New Roman"/>
                <w:color w:val="000000" w:themeColor="text1"/>
                <w:sz w:val="24"/>
                <w:szCs w:val="24"/>
                <w14:textFill>
                  <w14:solidFill>
                    <w14:schemeClr w14:val="tx1"/>
                  </w14:solidFill>
                </w14:textFill>
              </w:rPr>
              <w:t>域</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118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潜在的危害程</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度转化方式</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趋向</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79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已采取的</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应急</w:t>
            </w:r>
            <w:r>
              <w:rPr>
                <w:rFonts w:ascii="Times New Roman" w:hAnsi="Times New Roman" w:cs="Times New Roman"/>
                <w:color w:val="000000" w:themeColor="text1"/>
                <w:sz w:val="24"/>
                <w:szCs w:val="24"/>
                <w14:textFill>
                  <w14:solidFill>
                    <w14:schemeClr w14:val="tx1"/>
                  </w14:solidFill>
                </w14:textFill>
              </w:rPr>
              <w:t>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56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建议采取措施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118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直接人员伤亡</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和财产经济</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损失</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bl>
    <w:p>
      <w:pPr>
        <w:pStyle w:val="2"/>
        <w:ind w:firstLine="496"/>
        <w:rPr>
          <w:rFonts w:ascii="Times New Roman" w:hAnsi="Times New Roman" w:eastAsiaTheme="minorEastAsia"/>
          <w:color w:val="000000" w:themeColor="text1"/>
          <w14:textFill>
            <w14:solidFill>
              <w14:schemeClr w14:val="tx1"/>
            </w14:solidFill>
          </w14:textFill>
        </w:rPr>
      </w:pPr>
    </w:p>
    <w:p>
      <w:pPr>
        <w:rPr>
          <w:rFonts w:ascii="Times New Roman" w:hAnsi="Times New Roman" w:cs="Times New Roman"/>
          <w:color w:val="000000" w:themeColor="text1"/>
          <w:sz w:val="28"/>
          <w:szCs w:val="20"/>
          <w14:textFill>
            <w14:solidFill>
              <w14:schemeClr w14:val="tx1"/>
            </w14:solidFill>
          </w14:textFill>
        </w:rPr>
      </w:pPr>
      <w:r>
        <w:rPr>
          <w:rFonts w:ascii="Times New Roman" w:hAnsi="Times New Roman" w:cs="Times New Roman"/>
          <w:color w:val="000000" w:themeColor="text1"/>
          <w:sz w:val="28"/>
          <w:szCs w:val="20"/>
          <w14:textFill>
            <w14:solidFill>
              <w14:schemeClr w14:val="tx1"/>
            </w14:solidFill>
          </w14:textFill>
        </w:rPr>
        <w:br w:type="page"/>
      </w:r>
    </w:p>
    <w:p>
      <w:pPr>
        <w:spacing w:line="200" w:lineRule="exact"/>
        <w:rPr>
          <w:rFonts w:ascii="Times New Roman" w:hAnsi="Times New Roman" w:cs="Times New Roman"/>
          <w:b/>
          <w:bCs/>
          <w:color w:val="000000" w:themeColor="text1"/>
          <w:sz w:val="24"/>
          <w:szCs w:val="24"/>
          <w14:textFill>
            <w14:solidFill>
              <w14:schemeClr w14:val="tx1"/>
            </w14:solidFill>
          </w14:textFill>
        </w:rPr>
      </w:pPr>
    </w:p>
    <w:p>
      <w:pPr>
        <w:spacing w:line="320" w:lineRule="exact"/>
        <w:ind w:left="2282"/>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表</w:t>
      </w:r>
      <w:r>
        <w:rPr>
          <w:rFonts w:ascii="Times New Roman" w:hAnsi="Times New Roman" w:cs="Times New Roman"/>
          <w:b/>
          <w:bCs/>
          <w:color w:val="000000" w:themeColor="text1"/>
          <w:spacing w:val="-11"/>
          <w:sz w:val="24"/>
          <w:szCs w:val="24"/>
          <w14:textFill>
            <w14:solidFill>
              <w14:schemeClr w14:val="tx1"/>
            </w14:solidFill>
          </w14:textFill>
        </w:rPr>
        <w:t xml:space="preserve"> </w:t>
      </w:r>
      <w:r>
        <w:rPr>
          <w:rFonts w:ascii="Times New Roman" w:hAnsi="Times New Roman" w:cs="Times New Roman"/>
          <w:b/>
          <w:bCs/>
          <w:color w:val="000000" w:themeColor="text1"/>
          <w:spacing w:val="2"/>
          <w:sz w:val="24"/>
          <w:szCs w:val="24"/>
          <w14:textFill>
            <w14:solidFill>
              <w14:schemeClr w14:val="tx1"/>
            </w14:solidFill>
          </w14:textFill>
        </w:rPr>
        <w:t xml:space="preserve">2 </w:t>
      </w:r>
      <w:r>
        <w:rPr>
          <w:rFonts w:ascii="Times New Roman" w:hAnsi="Times New Roman" w:cs="Times New Roman"/>
          <w:b/>
          <w:bCs/>
          <w:color w:val="000000" w:themeColor="text1"/>
          <w:w w:val="85"/>
          <w:sz w:val="24"/>
          <w:szCs w:val="24"/>
          <w14:textFill>
            <w14:solidFill>
              <w14:schemeClr w14:val="tx1"/>
            </w14:solidFill>
          </w14:textFill>
        </w:rPr>
        <w:t xml:space="preserve"> </w:t>
      </w:r>
      <w:r>
        <w:rPr>
          <w:rFonts w:ascii="Times New Roman" w:hAnsi="Times New Roman" w:cs="Times New Roman"/>
          <w:b/>
          <w:bCs/>
          <w:color w:val="000000" w:themeColor="text1"/>
          <w:sz w:val="24"/>
          <w:szCs w:val="24"/>
          <w14:textFill>
            <w14:solidFill>
              <w14:schemeClr w14:val="tx1"/>
            </w14:solidFill>
          </w14:textFill>
        </w:rPr>
        <w:t>公</w:t>
      </w:r>
      <w:r>
        <w:rPr>
          <w:rFonts w:ascii="Times New Roman" w:hAnsi="Times New Roman" w:cs="Times New Roman"/>
          <w:b/>
          <w:bCs/>
          <w:color w:val="000000" w:themeColor="text1"/>
          <w:spacing w:val="2"/>
          <w:sz w:val="24"/>
          <w:szCs w:val="24"/>
          <w14:textFill>
            <w14:solidFill>
              <w14:schemeClr w14:val="tx1"/>
            </w14:solidFill>
          </w14:textFill>
        </w:rPr>
        <w:t>司</w:t>
      </w:r>
      <w:r>
        <w:rPr>
          <w:rFonts w:ascii="Times New Roman" w:hAnsi="Times New Roman" w:cs="Times New Roman"/>
          <w:b/>
          <w:bCs/>
          <w:color w:val="000000" w:themeColor="text1"/>
          <w:sz w:val="24"/>
          <w:szCs w:val="24"/>
          <w14:textFill>
            <w14:solidFill>
              <w14:schemeClr w14:val="tx1"/>
            </w14:solidFill>
          </w14:textFill>
        </w:rPr>
        <w:t>突</w:t>
      </w:r>
      <w:r>
        <w:rPr>
          <w:rFonts w:ascii="Times New Roman" w:hAnsi="Times New Roman" w:cs="Times New Roman"/>
          <w:b/>
          <w:bCs/>
          <w:color w:val="000000" w:themeColor="text1"/>
          <w:spacing w:val="2"/>
          <w:sz w:val="24"/>
          <w:szCs w:val="24"/>
          <w14:textFill>
            <w14:solidFill>
              <w14:schemeClr w14:val="tx1"/>
            </w14:solidFill>
          </w14:textFill>
        </w:rPr>
        <w:t>发</w:t>
      </w:r>
      <w:r>
        <w:rPr>
          <w:rFonts w:ascii="Times New Roman" w:hAnsi="Times New Roman" w:cs="Times New Roman"/>
          <w:b/>
          <w:bCs/>
          <w:color w:val="000000" w:themeColor="text1"/>
          <w:sz w:val="24"/>
          <w:szCs w:val="24"/>
          <w14:textFill>
            <w14:solidFill>
              <w14:schemeClr w14:val="tx1"/>
            </w14:solidFill>
          </w14:textFill>
        </w:rPr>
        <w:t>环境</w:t>
      </w:r>
      <w:r>
        <w:rPr>
          <w:rFonts w:ascii="Times New Roman" w:hAnsi="Times New Roman" w:cs="Times New Roman"/>
          <w:b/>
          <w:bCs/>
          <w:color w:val="000000" w:themeColor="text1"/>
          <w:spacing w:val="2"/>
          <w:sz w:val="24"/>
          <w:szCs w:val="24"/>
          <w14:textFill>
            <w14:solidFill>
              <w14:schemeClr w14:val="tx1"/>
            </w14:solidFill>
          </w14:textFill>
        </w:rPr>
        <w:t>事</w:t>
      </w:r>
      <w:r>
        <w:rPr>
          <w:rFonts w:ascii="Times New Roman" w:hAnsi="Times New Roman" w:cs="Times New Roman"/>
          <w:b/>
          <w:bCs/>
          <w:color w:val="000000" w:themeColor="text1"/>
          <w:sz w:val="24"/>
          <w:szCs w:val="24"/>
          <w14:textFill>
            <w14:solidFill>
              <w14:schemeClr w14:val="tx1"/>
            </w14:solidFill>
          </w14:textFill>
        </w:rPr>
        <w:t>件</w:t>
      </w:r>
      <w:r>
        <w:rPr>
          <w:rFonts w:ascii="Times New Roman" w:hAnsi="Times New Roman" w:cs="Times New Roman"/>
          <w:b/>
          <w:bCs/>
          <w:color w:val="000000" w:themeColor="text1"/>
          <w:spacing w:val="2"/>
          <w:sz w:val="24"/>
          <w:szCs w:val="24"/>
          <w14:textFill>
            <w14:solidFill>
              <w14:schemeClr w14:val="tx1"/>
            </w14:solidFill>
          </w14:textFill>
        </w:rPr>
        <w:t>报</w:t>
      </w:r>
      <w:r>
        <w:rPr>
          <w:rFonts w:ascii="Times New Roman" w:hAnsi="Times New Roman" w:cs="Times New Roman"/>
          <w:b/>
          <w:bCs/>
          <w:color w:val="000000" w:themeColor="text1"/>
          <w:sz w:val="24"/>
          <w:szCs w:val="24"/>
          <w14:textFill>
            <w14:solidFill>
              <w14:schemeClr w14:val="tx1"/>
            </w14:solidFill>
          </w14:textFill>
        </w:rPr>
        <w:t>告表</w:t>
      </w:r>
      <w:r>
        <w:rPr>
          <w:rFonts w:ascii="Times New Roman" w:hAnsi="Times New Roman" w:cs="Times New Roman"/>
          <w:b/>
          <w:bCs/>
          <w:color w:val="000000" w:themeColor="text1"/>
          <w:spacing w:val="2"/>
          <w:sz w:val="24"/>
          <w:szCs w:val="24"/>
          <w14:textFill>
            <w14:solidFill>
              <w14:schemeClr w14:val="tx1"/>
            </w14:solidFill>
          </w14:textFill>
        </w:rPr>
        <w:t>（</w:t>
      </w:r>
      <w:r>
        <w:rPr>
          <w:rFonts w:ascii="Times New Roman" w:hAnsi="Times New Roman" w:cs="Times New Roman"/>
          <w:b/>
          <w:bCs/>
          <w:color w:val="000000" w:themeColor="text1"/>
          <w:sz w:val="24"/>
          <w:szCs w:val="24"/>
          <w14:textFill>
            <w14:solidFill>
              <w14:schemeClr w14:val="tx1"/>
            </w14:solidFill>
          </w14:textFill>
        </w:rPr>
        <w:t>续报）</w:t>
      </w:r>
    </w:p>
    <w:p>
      <w:pPr>
        <w:spacing w:before="10" w:line="60" w:lineRule="exact"/>
        <w:rPr>
          <w:rFonts w:ascii="Times New Roman" w:hAnsi="Times New Roman" w:cs="Times New Roman"/>
          <w:color w:val="000000" w:themeColor="text1"/>
          <w:sz w:val="24"/>
          <w:szCs w:val="24"/>
          <w14:textFill>
            <w14:solidFill>
              <w14:schemeClr w14:val="tx1"/>
            </w14:solidFill>
          </w14:textFill>
        </w:rPr>
      </w:pPr>
    </w:p>
    <w:tbl>
      <w:tblPr>
        <w:tblStyle w:val="16"/>
        <w:tblW w:w="8907" w:type="dxa"/>
        <w:jc w:val="center"/>
        <w:tblLayout w:type="fixed"/>
        <w:tblCellMar>
          <w:top w:w="0" w:type="dxa"/>
          <w:left w:w="0" w:type="dxa"/>
          <w:bottom w:w="0" w:type="dxa"/>
          <w:right w:w="0" w:type="dxa"/>
        </w:tblCellMar>
      </w:tblPr>
      <w:tblGrid>
        <w:gridCol w:w="1950"/>
        <w:gridCol w:w="2505"/>
        <w:gridCol w:w="1484"/>
        <w:gridCol w:w="1484"/>
        <w:gridCol w:w="1484"/>
      </w:tblGrid>
      <w:tr>
        <w:tblPrEx>
          <w:tblCellMar>
            <w:top w:w="0" w:type="dxa"/>
            <w:left w:w="0" w:type="dxa"/>
            <w:bottom w:w="0" w:type="dxa"/>
            <w:right w:w="0" w:type="dxa"/>
          </w:tblCellMar>
        </w:tblPrEx>
        <w:trPr>
          <w:trHeight w:val="728"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报告方式</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电话报告或网络报</w:t>
            </w:r>
            <w:r>
              <w:rPr>
                <w:rFonts w:ascii="Times New Roman" w:hAnsi="Times New Roman" w:cs="Times New Roman"/>
                <w:color w:val="000000" w:themeColor="text1"/>
                <w:sz w:val="24"/>
                <w:szCs w:val="24"/>
                <w14:textFill>
                  <w14:solidFill>
                    <w14:schemeClr w14:val="tx1"/>
                  </w14:solidFill>
                </w14:textFill>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报告人</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报告时间</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年     月     日    时      分</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单位名称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地址</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法人代表</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联系电话</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传真</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Email</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发生位置</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设备设施名称</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物料名称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类型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泄漏火灾爆炸其它</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污染物名称</w:t>
            </w: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数量</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排放去向</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事件发生原因</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事件发生过程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事件进展情况</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72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1"/>
                <w:sz w:val="24"/>
                <w:szCs w:val="24"/>
                <w14:textFill>
                  <w14:solidFill>
                    <w14:schemeClr w14:val="tx1"/>
                  </w14:solidFill>
                </w14:textFill>
              </w:rPr>
              <w:t>采取的应急措</w:t>
            </w:r>
          </w:p>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position w:val="-2"/>
                <w:sz w:val="24"/>
                <w:szCs w:val="24"/>
                <w14:textFill>
                  <w14:solidFill>
                    <w14:schemeClr w14:val="tx1"/>
                  </w14:solidFill>
                </w14:textFill>
              </w:rPr>
              <w:t>施</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bl>
    <w:p>
      <w:pPr>
        <w:rPr>
          <w:rFonts w:ascii="Times New Roman" w:hAnsi="Times New Roman" w:cs="Times New Roman"/>
          <w:color w:val="000000" w:themeColor="text1"/>
          <w:sz w:val="24"/>
          <w:szCs w:val="24"/>
          <w14:textFill>
            <w14:solidFill>
              <w14:schemeClr w14:val="tx1"/>
            </w14:solidFill>
          </w14:textFill>
        </w:rPr>
        <w:sectPr>
          <w:footerReference r:id="rId7" w:type="default"/>
          <w:pgSz w:w="11920" w:h="16840"/>
          <w:pgMar w:top="1100" w:right="1200" w:bottom="280" w:left="1580" w:header="878" w:footer="1081" w:gutter="0"/>
          <w:pgNumType w:fmt="upperRoman" w:start="1"/>
          <w:cols w:space="720" w:num="1"/>
        </w:sectPr>
      </w:pPr>
    </w:p>
    <w:p>
      <w:pPr>
        <w:spacing w:line="320" w:lineRule="exact"/>
        <w:jc w:val="center"/>
        <w:rPr>
          <w:rFonts w:ascii="Times New Roman" w:hAnsi="Times New Roman" w:cs="Times New Roman"/>
          <w:b/>
          <w:bCs/>
          <w:color w:val="000000" w:themeColor="text1"/>
          <w:sz w:val="24"/>
          <w:szCs w:val="24"/>
          <w14:textFill>
            <w14:solidFill>
              <w14:schemeClr w14:val="tx1"/>
            </w14:solidFill>
          </w14:textFill>
        </w:rPr>
      </w:pPr>
      <w:bookmarkStart w:id="1375" w:name="_Toc31114_WPSOffice_Level1"/>
      <w:bookmarkStart w:id="1376" w:name="_Toc27314_WPSOffice_Level1"/>
      <w:bookmarkStart w:id="1377" w:name="_Toc1167_WPSOffice_Level1"/>
      <w:bookmarkStart w:id="1378" w:name="_Toc17585_WPSOffice_Level1"/>
      <w:bookmarkStart w:id="1379" w:name="_Toc15964_WPSOffice_Level1"/>
      <w:bookmarkStart w:id="1380" w:name="_Toc4640_WPSOffice_Level1"/>
      <w:r>
        <w:rPr>
          <w:rFonts w:ascii="Times New Roman" w:hAnsi="Times New Roman" w:cs="Times New Roman"/>
          <w:b/>
          <w:bCs/>
          <w:color w:val="000000" w:themeColor="text1"/>
          <w:sz w:val="24"/>
          <w:szCs w:val="24"/>
          <w14:textFill>
            <w14:solidFill>
              <w14:schemeClr w14:val="tx1"/>
            </w14:solidFill>
          </w14:textFill>
        </w:rPr>
        <w:t>表</w:t>
      </w:r>
      <w:r>
        <w:rPr>
          <w:rFonts w:ascii="Times New Roman" w:hAnsi="Times New Roman" w:cs="Times New Roman"/>
          <w:b/>
          <w:bCs/>
          <w:color w:val="000000" w:themeColor="text1"/>
          <w:spacing w:val="49"/>
          <w:sz w:val="24"/>
          <w:szCs w:val="24"/>
          <w14:textFill>
            <w14:solidFill>
              <w14:schemeClr w14:val="tx1"/>
            </w14:solidFill>
          </w14:textFill>
        </w:rPr>
        <w:t>3</w:t>
      </w:r>
      <w:r>
        <w:rPr>
          <w:rFonts w:ascii="Times New Roman" w:hAnsi="Times New Roman" w:cs="Times New Roman"/>
          <w:b/>
          <w:bCs/>
          <w:color w:val="000000" w:themeColor="text1"/>
          <w:w w:val="85"/>
          <w:sz w:val="24"/>
          <w:szCs w:val="24"/>
          <w14:textFill>
            <w14:solidFill>
              <w14:schemeClr w14:val="tx1"/>
            </w14:solidFill>
          </w14:textFill>
        </w:rPr>
        <w:t xml:space="preserve">  </w:t>
      </w:r>
      <w:r>
        <w:rPr>
          <w:rFonts w:ascii="Times New Roman" w:hAnsi="Times New Roman" w:cs="Times New Roman"/>
          <w:b/>
          <w:bCs/>
          <w:color w:val="000000" w:themeColor="text1"/>
          <w:sz w:val="24"/>
          <w:szCs w:val="24"/>
          <w14:textFill>
            <w14:solidFill>
              <w14:schemeClr w14:val="tx1"/>
            </w14:solidFill>
          </w14:textFill>
        </w:rPr>
        <w:t>公</w:t>
      </w:r>
      <w:r>
        <w:rPr>
          <w:rFonts w:ascii="Times New Roman" w:hAnsi="Times New Roman" w:cs="Times New Roman"/>
          <w:b/>
          <w:bCs/>
          <w:color w:val="000000" w:themeColor="text1"/>
          <w:spacing w:val="2"/>
          <w:sz w:val="24"/>
          <w:szCs w:val="24"/>
          <w14:textFill>
            <w14:solidFill>
              <w14:schemeClr w14:val="tx1"/>
            </w14:solidFill>
          </w14:textFill>
        </w:rPr>
        <w:t>司</w:t>
      </w:r>
      <w:r>
        <w:rPr>
          <w:rFonts w:ascii="Times New Roman" w:hAnsi="Times New Roman" w:cs="Times New Roman"/>
          <w:b/>
          <w:bCs/>
          <w:color w:val="000000" w:themeColor="text1"/>
          <w:sz w:val="24"/>
          <w:szCs w:val="24"/>
          <w14:textFill>
            <w14:solidFill>
              <w14:schemeClr w14:val="tx1"/>
            </w14:solidFill>
          </w14:textFill>
        </w:rPr>
        <w:t>突</w:t>
      </w:r>
      <w:r>
        <w:rPr>
          <w:rFonts w:ascii="Times New Roman" w:hAnsi="Times New Roman" w:cs="Times New Roman"/>
          <w:b/>
          <w:bCs/>
          <w:color w:val="000000" w:themeColor="text1"/>
          <w:spacing w:val="2"/>
          <w:sz w:val="24"/>
          <w:szCs w:val="24"/>
          <w14:textFill>
            <w14:solidFill>
              <w14:schemeClr w14:val="tx1"/>
            </w14:solidFill>
          </w14:textFill>
        </w:rPr>
        <w:t>发</w:t>
      </w:r>
      <w:r>
        <w:rPr>
          <w:rFonts w:ascii="Times New Roman" w:hAnsi="Times New Roman" w:cs="Times New Roman"/>
          <w:b/>
          <w:bCs/>
          <w:color w:val="000000" w:themeColor="text1"/>
          <w:sz w:val="24"/>
          <w:szCs w:val="24"/>
          <w14:textFill>
            <w14:solidFill>
              <w14:schemeClr w14:val="tx1"/>
            </w14:solidFill>
          </w14:textFill>
        </w:rPr>
        <w:t>环境</w:t>
      </w:r>
      <w:r>
        <w:rPr>
          <w:rFonts w:ascii="Times New Roman" w:hAnsi="Times New Roman" w:cs="Times New Roman"/>
          <w:b/>
          <w:bCs/>
          <w:color w:val="000000" w:themeColor="text1"/>
          <w:spacing w:val="2"/>
          <w:sz w:val="24"/>
          <w:szCs w:val="24"/>
          <w14:textFill>
            <w14:solidFill>
              <w14:schemeClr w14:val="tx1"/>
            </w14:solidFill>
          </w14:textFill>
        </w:rPr>
        <w:t>事</w:t>
      </w:r>
      <w:r>
        <w:rPr>
          <w:rFonts w:ascii="Times New Roman" w:hAnsi="Times New Roman" w:cs="Times New Roman"/>
          <w:b/>
          <w:bCs/>
          <w:color w:val="000000" w:themeColor="text1"/>
          <w:sz w:val="24"/>
          <w:szCs w:val="24"/>
          <w14:textFill>
            <w14:solidFill>
              <w14:schemeClr w14:val="tx1"/>
            </w14:solidFill>
          </w14:textFill>
        </w:rPr>
        <w:t>件</w:t>
      </w:r>
      <w:r>
        <w:rPr>
          <w:rFonts w:ascii="Times New Roman" w:hAnsi="Times New Roman" w:cs="Times New Roman"/>
          <w:b/>
          <w:bCs/>
          <w:color w:val="000000" w:themeColor="text1"/>
          <w:spacing w:val="2"/>
          <w:sz w:val="24"/>
          <w:szCs w:val="24"/>
          <w14:textFill>
            <w14:solidFill>
              <w14:schemeClr w14:val="tx1"/>
            </w14:solidFill>
          </w14:textFill>
        </w:rPr>
        <w:t>报</w:t>
      </w:r>
      <w:r>
        <w:rPr>
          <w:rFonts w:ascii="Times New Roman" w:hAnsi="Times New Roman" w:cs="Times New Roman"/>
          <w:b/>
          <w:bCs/>
          <w:color w:val="000000" w:themeColor="text1"/>
          <w:sz w:val="24"/>
          <w:szCs w:val="24"/>
          <w14:textFill>
            <w14:solidFill>
              <w14:schemeClr w14:val="tx1"/>
            </w14:solidFill>
          </w14:textFill>
        </w:rPr>
        <w:t>告表</w:t>
      </w:r>
      <w:r>
        <w:rPr>
          <w:rFonts w:ascii="Times New Roman" w:hAnsi="Times New Roman" w:cs="Times New Roman"/>
          <w:b/>
          <w:bCs/>
          <w:color w:val="000000" w:themeColor="text1"/>
          <w:spacing w:val="2"/>
          <w:sz w:val="24"/>
          <w:szCs w:val="24"/>
          <w14:textFill>
            <w14:solidFill>
              <w14:schemeClr w14:val="tx1"/>
            </w14:solidFill>
          </w14:textFill>
        </w:rPr>
        <w:t>（</w:t>
      </w:r>
      <w:r>
        <w:rPr>
          <w:rFonts w:ascii="Times New Roman" w:hAnsi="Times New Roman" w:cs="Times New Roman"/>
          <w:b/>
          <w:bCs/>
          <w:color w:val="000000" w:themeColor="text1"/>
          <w:sz w:val="24"/>
          <w:szCs w:val="24"/>
          <w14:textFill>
            <w14:solidFill>
              <w14:schemeClr w14:val="tx1"/>
            </w14:solidFill>
          </w14:textFill>
        </w:rPr>
        <w:t>处理</w:t>
      </w:r>
      <w:r>
        <w:rPr>
          <w:rFonts w:ascii="Times New Roman" w:hAnsi="Times New Roman" w:cs="Times New Roman"/>
          <w:b/>
          <w:bCs/>
          <w:color w:val="000000" w:themeColor="text1"/>
          <w:spacing w:val="2"/>
          <w:sz w:val="24"/>
          <w:szCs w:val="24"/>
          <w14:textFill>
            <w14:solidFill>
              <w14:schemeClr w14:val="tx1"/>
            </w14:solidFill>
          </w14:textFill>
        </w:rPr>
        <w:t>结</w:t>
      </w:r>
      <w:r>
        <w:rPr>
          <w:rFonts w:ascii="Times New Roman" w:hAnsi="Times New Roman" w:cs="Times New Roman"/>
          <w:b/>
          <w:bCs/>
          <w:color w:val="000000" w:themeColor="text1"/>
          <w:sz w:val="24"/>
          <w:szCs w:val="24"/>
          <w14:textFill>
            <w14:solidFill>
              <w14:schemeClr w14:val="tx1"/>
            </w14:solidFill>
          </w14:textFill>
        </w:rPr>
        <w:t>果</w:t>
      </w:r>
      <w:r>
        <w:rPr>
          <w:rFonts w:ascii="Times New Roman" w:hAnsi="Times New Roman" w:cs="Times New Roman"/>
          <w:b/>
          <w:bCs/>
          <w:color w:val="000000" w:themeColor="text1"/>
          <w:spacing w:val="2"/>
          <w:sz w:val="24"/>
          <w:szCs w:val="24"/>
          <w14:textFill>
            <w14:solidFill>
              <w14:schemeClr w14:val="tx1"/>
            </w14:solidFill>
          </w14:textFill>
        </w:rPr>
        <w:t>报</w:t>
      </w:r>
      <w:r>
        <w:rPr>
          <w:rFonts w:ascii="Times New Roman" w:hAnsi="Times New Roman" w:cs="Times New Roman"/>
          <w:b/>
          <w:bCs/>
          <w:color w:val="000000" w:themeColor="text1"/>
          <w:sz w:val="24"/>
          <w:szCs w:val="24"/>
          <w14:textFill>
            <w14:solidFill>
              <w14:schemeClr w14:val="tx1"/>
            </w14:solidFill>
          </w14:textFill>
        </w:rPr>
        <w:t>告）</w:t>
      </w:r>
      <w:bookmarkEnd w:id="1375"/>
      <w:bookmarkEnd w:id="1376"/>
      <w:bookmarkEnd w:id="1377"/>
      <w:bookmarkEnd w:id="1378"/>
      <w:bookmarkEnd w:id="1379"/>
      <w:bookmarkEnd w:id="1380"/>
    </w:p>
    <w:tbl>
      <w:tblPr>
        <w:tblStyle w:val="16"/>
        <w:tblW w:w="8907" w:type="dxa"/>
        <w:jc w:val="center"/>
        <w:tblLayout w:type="fixed"/>
        <w:tblCellMar>
          <w:top w:w="0" w:type="dxa"/>
          <w:left w:w="0" w:type="dxa"/>
          <w:bottom w:w="0" w:type="dxa"/>
          <w:right w:w="0" w:type="dxa"/>
        </w:tblCellMar>
      </w:tblPr>
      <w:tblGrid>
        <w:gridCol w:w="1482"/>
        <w:gridCol w:w="2970"/>
        <w:gridCol w:w="1484"/>
        <w:gridCol w:w="1484"/>
        <w:gridCol w:w="1487"/>
      </w:tblGrid>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报告方</w:t>
            </w:r>
            <w:r>
              <w:rPr>
                <w:rFonts w:ascii="Times New Roman" w:hAnsi="Times New Roman" w:cs="Times New Roman"/>
                <w:color w:val="000000" w:themeColor="text1"/>
                <w:sz w:val="24"/>
                <w:szCs w:val="24"/>
                <w14:textFill>
                  <w14:solidFill>
                    <w14:schemeClr w14:val="tx1"/>
                  </w14:solidFill>
                </w14:textFill>
              </w:rPr>
              <w:t>式</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电</w:t>
            </w:r>
            <w:r>
              <w:rPr>
                <w:rFonts w:ascii="Times New Roman" w:hAnsi="Times New Roman" w:cs="Times New Roman"/>
                <w:color w:val="000000" w:themeColor="text1"/>
                <w:spacing w:val="2"/>
                <w:sz w:val="24"/>
                <w:szCs w:val="24"/>
                <w14:textFill>
                  <w14:solidFill>
                    <w14:schemeClr w14:val="tx1"/>
                  </w14:solidFill>
                </w14:textFill>
              </w:rPr>
              <w:t>话</w:t>
            </w:r>
            <w:r>
              <w:rPr>
                <w:rFonts w:ascii="Times New Roman" w:hAnsi="Times New Roman" w:cs="Times New Roman"/>
                <w:color w:val="000000" w:themeColor="text1"/>
                <w:sz w:val="24"/>
                <w:szCs w:val="24"/>
                <w14:textFill>
                  <w14:solidFill>
                    <w14:schemeClr w14:val="tx1"/>
                  </w14:solidFill>
                </w14:textFill>
              </w:rPr>
              <w:t>报</w:t>
            </w:r>
            <w:r>
              <w:rPr>
                <w:rFonts w:ascii="Times New Roman" w:hAnsi="Times New Roman" w:cs="Times New Roman"/>
                <w:color w:val="000000" w:themeColor="text1"/>
                <w:spacing w:val="2"/>
                <w:sz w:val="24"/>
                <w:szCs w:val="24"/>
                <w14:textFill>
                  <w14:solidFill>
                    <w14:schemeClr w14:val="tx1"/>
                  </w14:solidFill>
                </w14:textFill>
              </w:rPr>
              <w:t>告</w:t>
            </w:r>
            <w:r>
              <w:rPr>
                <w:rFonts w:ascii="Times New Roman" w:hAnsi="Times New Roman" w:cs="Times New Roman"/>
                <w:color w:val="000000" w:themeColor="text1"/>
                <w:sz w:val="24"/>
                <w:szCs w:val="24"/>
                <w14:textFill>
                  <w14:solidFill>
                    <w14:schemeClr w14:val="tx1"/>
                  </w14:solidFill>
                </w14:textFill>
              </w:rPr>
              <w:t>或</w:t>
            </w:r>
            <w:r>
              <w:rPr>
                <w:rFonts w:ascii="Times New Roman" w:hAnsi="Times New Roman" w:cs="Times New Roman"/>
                <w:color w:val="000000" w:themeColor="text1"/>
                <w:spacing w:val="2"/>
                <w:sz w:val="24"/>
                <w:szCs w:val="24"/>
                <w14:textFill>
                  <w14:solidFill>
                    <w14:schemeClr w14:val="tx1"/>
                  </w14:solidFill>
                </w14:textFill>
              </w:rPr>
              <w:t>网</w:t>
            </w:r>
            <w:r>
              <w:rPr>
                <w:rFonts w:ascii="Times New Roman" w:hAnsi="Times New Roman" w:cs="Times New Roman"/>
                <w:color w:val="000000" w:themeColor="text1"/>
                <w:sz w:val="24"/>
                <w:szCs w:val="24"/>
                <w14:textFill>
                  <w14:solidFill>
                    <w14:schemeClr w14:val="tx1"/>
                  </w14:solidFill>
                </w14:textFill>
              </w:rPr>
              <w:t>络</w:t>
            </w:r>
            <w:r>
              <w:rPr>
                <w:rFonts w:ascii="Times New Roman" w:hAnsi="Times New Roman" w:cs="Times New Roman"/>
                <w:color w:val="000000" w:themeColor="text1"/>
                <w:spacing w:val="2"/>
                <w:sz w:val="24"/>
                <w:szCs w:val="24"/>
                <w14:textFill>
                  <w14:solidFill>
                    <w14:schemeClr w14:val="tx1"/>
                  </w14:solidFill>
                </w14:textFill>
              </w:rPr>
              <w:t>报</w:t>
            </w:r>
            <w:r>
              <w:rPr>
                <w:rFonts w:ascii="Times New Roman" w:hAnsi="Times New Roman" w:cs="Times New Roman"/>
                <w:color w:val="000000" w:themeColor="text1"/>
                <w:sz w:val="24"/>
                <w:szCs w:val="24"/>
                <w14:textFill>
                  <w14:solidFill>
                    <w14:schemeClr w14:val="tx1"/>
                  </w14:solidFill>
                </w14:textFill>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报</w:t>
            </w:r>
            <w:r>
              <w:rPr>
                <w:rFonts w:ascii="Times New Roman" w:hAnsi="Times New Roman" w:cs="Times New Roman"/>
                <w:color w:val="000000" w:themeColor="text1"/>
                <w:spacing w:val="2"/>
                <w:sz w:val="24"/>
                <w:szCs w:val="24"/>
                <w14:textFill>
                  <w14:solidFill>
                    <w14:schemeClr w14:val="tx1"/>
                  </w14:solidFill>
                </w14:textFill>
              </w:rPr>
              <w:t>告</w:t>
            </w:r>
            <w:r>
              <w:rPr>
                <w:rFonts w:ascii="Times New Roman" w:hAnsi="Times New Roman" w:cs="Times New Roman"/>
                <w:color w:val="000000" w:themeColor="text1"/>
                <w:sz w:val="24"/>
                <w:szCs w:val="24"/>
                <w14:textFill>
                  <w14:solidFill>
                    <w14:schemeClr w14:val="tx1"/>
                  </w14:solidFill>
                </w14:textFill>
              </w:rPr>
              <w:t>人</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报告时</w:t>
            </w:r>
            <w:r>
              <w:rPr>
                <w:rFonts w:ascii="Times New Roman" w:hAnsi="Times New Roman" w:cs="Times New Roman"/>
                <w:color w:val="000000" w:themeColor="text1"/>
                <w:sz w:val="24"/>
                <w:szCs w:val="24"/>
                <w14:textFill>
                  <w14:solidFill>
                    <w14:schemeClr w14:val="tx1"/>
                  </w14:solidFill>
                </w14:textFill>
              </w:rPr>
              <w:t>间</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年      月      日      时     分</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单位名</w:t>
            </w:r>
            <w:r>
              <w:rPr>
                <w:rFonts w:ascii="Times New Roman" w:hAnsi="Times New Roman" w:cs="Times New Roman"/>
                <w:color w:val="000000" w:themeColor="text1"/>
                <w:sz w:val="24"/>
                <w:szCs w:val="24"/>
                <w14:textFill>
                  <w14:solidFill>
                    <w14:schemeClr w14:val="tx1"/>
                  </w14:solidFill>
                </w14:textFill>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地址</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法人代</w:t>
            </w:r>
            <w:r>
              <w:rPr>
                <w:rFonts w:ascii="Times New Roman" w:hAnsi="Times New Roman" w:cs="Times New Roman"/>
                <w:color w:val="000000" w:themeColor="text1"/>
                <w:sz w:val="24"/>
                <w:szCs w:val="24"/>
                <w14:textFill>
                  <w14:solidFill>
                    <w14:schemeClr w14:val="tx1"/>
                  </w14:solidFill>
                </w14:textFill>
              </w:rPr>
              <w:t>表</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联系电话</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562"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传真</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Email</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发生位</w:t>
            </w:r>
            <w:r>
              <w:rPr>
                <w:rFonts w:ascii="Times New Roman" w:hAnsi="Times New Roman" w:cs="Times New Roman"/>
                <w:color w:val="000000" w:themeColor="text1"/>
                <w:sz w:val="24"/>
                <w:szCs w:val="24"/>
                <w14:textFill>
                  <w14:solidFill>
                    <w14:schemeClr w14:val="tx1"/>
                  </w14:solidFill>
                </w14:textFill>
              </w:rPr>
              <w:t>置</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设备设</w:t>
            </w:r>
            <w:r>
              <w:rPr>
                <w:rFonts w:ascii="Times New Roman" w:hAnsi="Times New Roman" w:cs="Times New Roman"/>
                <w:color w:val="000000" w:themeColor="text1"/>
                <w:sz w:val="24"/>
                <w:szCs w:val="24"/>
                <w14:textFill>
                  <w14:solidFill>
                    <w14:schemeClr w14:val="tx1"/>
                  </w14:solidFill>
                </w14:textFill>
              </w:rPr>
              <w:t>施</w:t>
            </w:r>
            <w:r>
              <w:rPr>
                <w:rFonts w:ascii="Times New Roman" w:hAnsi="Times New Roman" w:cs="Times New Roman"/>
                <w:color w:val="000000" w:themeColor="text1"/>
                <w:spacing w:val="2"/>
                <w:sz w:val="24"/>
                <w:szCs w:val="24"/>
                <w14:textFill>
                  <w14:solidFill>
                    <w14:schemeClr w14:val="tx1"/>
                  </w14:solidFill>
                </w14:textFill>
              </w:rPr>
              <w:t>名</w:t>
            </w:r>
            <w:r>
              <w:rPr>
                <w:rFonts w:ascii="Times New Roman" w:hAnsi="Times New Roman" w:cs="Times New Roman"/>
                <w:color w:val="000000" w:themeColor="text1"/>
                <w:sz w:val="24"/>
                <w:szCs w:val="24"/>
                <w14:textFill>
                  <w14:solidFill>
                    <w14:schemeClr w14:val="tx1"/>
                  </w14:solidFill>
                </w14:textFill>
              </w:rPr>
              <w:t>称</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物料名</w:t>
            </w:r>
            <w:r>
              <w:rPr>
                <w:rFonts w:ascii="Times New Roman" w:hAnsi="Times New Roman" w:cs="Times New Roman"/>
                <w:color w:val="000000" w:themeColor="text1"/>
                <w:sz w:val="24"/>
                <w:szCs w:val="24"/>
                <w14:textFill>
                  <w14:solidFill>
                    <w14:schemeClr w14:val="tx1"/>
                  </w14:solidFill>
                </w14:textFill>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类型</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泄漏火灾爆炸其它</w:t>
            </w:r>
          </w:p>
        </w:tc>
      </w:tr>
      <w:tr>
        <w:tblPrEx>
          <w:tblCellMar>
            <w:top w:w="0" w:type="dxa"/>
            <w:left w:w="0" w:type="dxa"/>
            <w:bottom w:w="0" w:type="dxa"/>
            <w:right w:w="0" w:type="dxa"/>
          </w:tblCellMar>
        </w:tblPrEx>
        <w:trPr>
          <w:trHeight w:val="634"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污染物名称</w:t>
            </w: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数量</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排放去向</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w w:val="99"/>
                <w:sz w:val="24"/>
                <w:szCs w:val="24"/>
                <w14:textFill>
                  <w14:solidFill>
                    <w14:schemeClr w14:val="tx1"/>
                  </w14:solidFill>
                </w14:textFill>
              </w:rPr>
              <w:t>（报</w:t>
            </w:r>
            <w:r>
              <w:rPr>
                <w:rFonts w:ascii="Times New Roman" w:hAnsi="Times New Roman" w:cs="Times New Roman"/>
                <w:color w:val="000000" w:themeColor="text1"/>
                <w:spacing w:val="2"/>
                <w:w w:val="99"/>
                <w:sz w:val="24"/>
                <w:szCs w:val="24"/>
                <w14:textFill>
                  <w14:solidFill>
                    <w14:schemeClr w14:val="tx1"/>
                  </w14:solidFill>
                </w14:textFill>
              </w:rPr>
              <w:t>告</w:t>
            </w:r>
            <w:r>
              <w:rPr>
                <w:rFonts w:ascii="Times New Roman" w:hAnsi="Times New Roman" w:cs="Times New Roman"/>
                <w:color w:val="000000" w:themeColor="text1"/>
                <w:w w:val="99"/>
                <w:sz w:val="24"/>
                <w:szCs w:val="24"/>
                <w14:textFill>
                  <w14:solidFill>
                    <w14:schemeClr w14:val="tx1"/>
                  </w14:solidFill>
                </w14:textFill>
              </w:rPr>
              <w:t>正</w:t>
            </w:r>
            <w:r>
              <w:rPr>
                <w:rFonts w:ascii="Times New Roman" w:hAnsi="Times New Roman" w:cs="Times New Roman"/>
                <w:color w:val="000000" w:themeColor="text1"/>
                <w:spacing w:val="2"/>
                <w:w w:val="99"/>
                <w:sz w:val="24"/>
                <w:szCs w:val="24"/>
                <w14:textFill>
                  <w14:solidFill>
                    <w14:schemeClr w14:val="tx1"/>
                  </w14:solidFill>
                </w14:textFill>
              </w:rPr>
              <w:t>文</w:t>
            </w:r>
            <w:r>
              <w:rPr>
                <w:rFonts w:ascii="Times New Roman" w:hAnsi="Times New Roman" w:cs="Times New Roman"/>
                <w:color w:val="000000" w:themeColor="text1"/>
                <w:w w:val="99"/>
                <w:sz w:val="24"/>
                <w:szCs w:val="24"/>
                <w14:textFill>
                  <w14:solidFill>
                    <w14:schemeClr w14:val="tx1"/>
                  </w14:solidFill>
                </w14:textFill>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一</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处</w:t>
            </w:r>
            <w:r>
              <w:rPr>
                <w:rFonts w:ascii="Times New Roman" w:hAnsi="Times New Roman" w:cs="Times New Roman"/>
                <w:color w:val="000000" w:themeColor="text1"/>
                <w:spacing w:val="2"/>
                <w:sz w:val="24"/>
                <w:szCs w:val="24"/>
                <w14:textFill>
                  <w14:solidFill>
                    <w14:schemeClr w14:val="tx1"/>
                  </w14:solidFill>
                </w14:textFill>
              </w:rPr>
              <w:t>理</w:t>
            </w:r>
            <w:r>
              <w:rPr>
                <w:rFonts w:ascii="Times New Roman" w:hAnsi="Times New Roman" w:cs="Times New Roman"/>
                <w:color w:val="000000" w:themeColor="text1"/>
                <w:sz w:val="24"/>
                <w:szCs w:val="24"/>
                <w14:textFill>
                  <w14:solidFill>
                    <w14:schemeClr w14:val="tx1"/>
                  </w14:solidFill>
                </w14:textFill>
              </w:rPr>
              <w:t>事</w:t>
            </w:r>
            <w:r>
              <w:rPr>
                <w:rFonts w:ascii="Times New Roman" w:hAnsi="Times New Roman" w:cs="Times New Roman"/>
                <w:color w:val="000000" w:themeColor="text1"/>
                <w:spacing w:val="2"/>
                <w:sz w:val="24"/>
                <w:szCs w:val="24"/>
                <w14:textFill>
                  <w14:solidFill>
                    <w14:schemeClr w14:val="tx1"/>
                  </w14:solidFill>
                </w14:textFill>
              </w:rPr>
              <w:t>件</w:t>
            </w:r>
            <w:r>
              <w:rPr>
                <w:rFonts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pacing w:val="2"/>
                <w:sz w:val="24"/>
                <w:szCs w:val="24"/>
                <w14:textFill>
                  <w14:solidFill>
                    <w14:schemeClr w14:val="tx1"/>
                  </w14:solidFill>
                </w14:textFill>
              </w:rPr>
              <w:t>措</w:t>
            </w:r>
            <w:r>
              <w:rPr>
                <w:rFonts w:ascii="Times New Roman" w:hAnsi="Times New Roman" w:cs="Times New Roman"/>
                <w:color w:val="000000" w:themeColor="text1"/>
                <w:sz w:val="24"/>
                <w:szCs w:val="24"/>
                <w14:textFill>
                  <w14:solidFill>
                    <w14:schemeClr w14:val="tx1"/>
                  </w14:solidFill>
                </w14:textFill>
              </w:rPr>
              <w:t>施</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过</w:t>
            </w:r>
            <w:r>
              <w:rPr>
                <w:rFonts w:ascii="Times New Roman" w:hAnsi="Times New Roman" w:cs="Times New Roman"/>
                <w:color w:val="000000" w:themeColor="text1"/>
                <w:spacing w:val="2"/>
                <w:sz w:val="24"/>
                <w:szCs w:val="24"/>
                <w14:textFill>
                  <w14:solidFill>
                    <w14:schemeClr w14:val="tx1"/>
                  </w14:solidFill>
                </w14:textFill>
              </w:rPr>
              <w:t>程</w:t>
            </w:r>
            <w:r>
              <w:rPr>
                <w:rFonts w:ascii="Times New Roman" w:hAnsi="Times New Roman" w:cs="Times New Roman"/>
                <w:color w:val="000000" w:themeColor="text1"/>
                <w:sz w:val="24"/>
                <w:szCs w:val="24"/>
                <w14:textFill>
                  <w14:solidFill>
                    <w14:schemeClr w14:val="tx1"/>
                  </w14:solidFill>
                </w14:textFill>
              </w:rPr>
              <w:t>和</w:t>
            </w:r>
            <w:r>
              <w:rPr>
                <w:rFonts w:ascii="Times New Roman" w:hAnsi="Times New Roman" w:cs="Times New Roman"/>
                <w:color w:val="000000" w:themeColor="text1"/>
                <w:spacing w:val="2"/>
                <w:sz w:val="24"/>
                <w:szCs w:val="24"/>
                <w14:textFill>
                  <w14:solidFill>
                    <w14:schemeClr w14:val="tx1"/>
                  </w14:solidFill>
                </w14:textFill>
              </w:rPr>
              <w:t>结</w:t>
            </w:r>
            <w:r>
              <w:rPr>
                <w:rFonts w:ascii="Times New Roman" w:hAnsi="Times New Roman" w:cs="Times New Roman"/>
                <w:color w:val="000000" w:themeColor="text1"/>
                <w:sz w:val="24"/>
                <w:szCs w:val="24"/>
                <w14:textFill>
                  <w14:solidFill>
                    <w14:schemeClr w14:val="tx1"/>
                  </w14:solidFill>
                </w14:textFill>
              </w:rPr>
              <w:t>果：</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二</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污</w:t>
            </w:r>
            <w:r>
              <w:rPr>
                <w:rFonts w:ascii="Times New Roman" w:hAnsi="Times New Roman" w:cs="Times New Roman"/>
                <w:color w:val="000000" w:themeColor="text1"/>
                <w:spacing w:val="2"/>
                <w:sz w:val="24"/>
                <w:szCs w:val="24"/>
                <w14:textFill>
                  <w14:solidFill>
                    <w14:schemeClr w14:val="tx1"/>
                  </w14:solidFill>
                </w14:textFill>
              </w:rPr>
              <w:t>染</w:t>
            </w:r>
            <w:r>
              <w:rPr>
                <w:rFonts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pacing w:val="2"/>
                <w:sz w:val="24"/>
                <w:szCs w:val="24"/>
                <w14:textFill>
                  <w14:solidFill>
                    <w14:schemeClr w14:val="tx1"/>
                  </w14:solidFill>
                </w14:textFill>
              </w:rPr>
              <w:t>范</w:t>
            </w:r>
            <w:r>
              <w:rPr>
                <w:rFonts w:ascii="Times New Roman" w:hAnsi="Times New Roman" w:cs="Times New Roman"/>
                <w:color w:val="000000" w:themeColor="text1"/>
                <w:sz w:val="24"/>
                <w:szCs w:val="24"/>
                <w14:textFill>
                  <w14:solidFill>
                    <w14:schemeClr w14:val="tx1"/>
                  </w14:solidFill>
                </w14:textFill>
              </w:rPr>
              <w:t>围</w:t>
            </w:r>
            <w:r>
              <w:rPr>
                <w:rFonts w:ascii="Times New Roman" w:hAnsi="Times New Roman" w:cs="Times New Roman"/>
                <w:color w:val="000000" w:themeColor="text1"/>
                <w:spacing w:val="2"/>
                <w:sz w:val="24"/>
                <w:szCs w:val="24"/>
                <w14:textFill>
                  <w14:solidFill>
                    <w14:schemeClr w14:val="tx1"/>
                  </w14:solidFill>
                </w14:textFill>
              </w:rPr>
              <w:t>和</w:t>
            </w:r>
            <w:r>
              <w:rPr>
                <w:rFonts w:ascii="Times New Roman" w:hAnsi="Times New Roman" w:cs="Times New Roman"/>
                <w:color w:val="000000" w:themeColor="text1"/>
                <w:sz w:val="24"/>
                <w:szCs w:val="24"/>
                <w14:textFill>
                  <w14:solidFill>
                    <w14:schemeClr w14:val="tx1"/>
                  </w14:solidFill>
                </w14:textFill>
              </w:rPr>
              <w:t>程</w:t>
            </w:r>
            <w:r>
              <w:rPr>
                <w:rFonts w:ascii="Times New Roman" w:hAnsi="Times New Roman" w:cs="Times New Roman"/>
                <w:color w:val="000000" w:themeColor="text1"/>
                <w:spacing w:val="2"/>
                <w:sz w:val="24"/>
                <w:szCs w:val="24"/>
                <w14:textFill>
                  <w14:solidFill>
                    <w14:schemeClr w14:val="tx1"/>
                  </w14:solidFill>
                </w14:textFill>
              </w:rPr>
              <w:t>度</w:t>
            </w:r>
            <w:r>
              <w:rPr>
                <w:rFonts w:ascii="Times New Roman" w:hAnsi="Times New Roman" w:cs="Times New Roman"/>
                <w:color w:val="000000" w:themeColor="text1"/>
                <w:sz w:val="24"/>
                <w:szCs w:val="24"/>
                <w14:textFill>
                  <w14:solidFill>
                    <w14:schemeClr w14:val="tx1"/>
                  </w14:solidFill>
                </w14:textFill>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三</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事</w:t>
            </w:r>
            <w:r>
              <w:rPr>
                <w:rFonts w:ascii="Times New Roman" w:hAnsi="Times New Roman" w:cs="Times New Roman"/>
                <w:color w:val="000000" w:themeColor="text1"/>
                <w:spacing w:val="2"/>
                <w:sz w:val="24"/>
                <w:szCs w:val="24"/>
                <w14:textFill>
                  <w14:solidFill>
                    <w14:schemeClr w14:val="tx1"/>
                  </w14:solidFill>
                </w14:textFill>
              </w:rPr>
              <w:t>件</w:t>
            </w:r>
            <w:r>
              <w:rPr>
                <w:rFonts w:ascii="Times New Roman" w:hAnsi="Times New Roman" w:cs="Times New Roman"/>
                <w:color w:val="000000" w:themeColor="text1"/>
                <w:sz w:val="24"/>
                <w:szCs w:val="24"/>
                <w14:textFill>
                  <w14:solidFill>
                    <w14:schemeClr w14:val="tx1"/>
                  </w14:solidFill>
                </w14:textFill>
              </w:rPr>
              <w:t>潜</w:t>
            </w:r>
            <w:r>
              <w:rPr>
                <w:rFonts w:ascii="Times New Roman" w:hAnsi="Times New Roman" w:cs="Times New Roman"/>
                <w:color w:val="000000" w:themeColor="text1"/>
                <w:spacing w:val="2"/>
                <w:sz w:val="24"/>
                <w:szCs w:val="24"/>
                <w14:textFill>
                  <w14:solidFill>
                    <w14:schemeClr w14:val="tx1"/>
                  </w14:solidFill>
                </w14:textFill>
              </w:rPr>
              <w:t>在</w:t>
            </w:r>
            <w:r>
              <w:rPr>
                <w:rFonts w:ascii="Times New Roman" w:hAnsi="Times New Roman" w:cs="Times New Roman"/>
                <w:color w:val="000000" w:themeColor="text1"/>
                <w:sz w:val="24"/>
                <w:szCs w:val="24"/>
                <w14:textFill>
                  <w14:solidFill>
                    <w14:schemeClr w14:val="tx1"/>
                  </w14:solidFill>
                </w14:textFill>
              </w:rPr>
              <w:t>或</w:t>
            </w:r>
            <w:r>
              <w:rPr>
                <w:rFonts w:ascii="Times New Roman" w:hAnsi="Times New Roman" w:cs="Times New Roman"/>
                <w:color w:val="000000" w:themeColor="text1"/>
                <w:spacing w:val="2"/>
                <w:sz w:val="24"/>
                <w:szCs w:val="24"/>
                <w14:textFill>
                  <w14:solidFill>
                    <w14:schemeClr w14:val="tx1"/>
                  </w14:solidFill>
                </w14:textFill>
              </w:rPr>
              <w:t>间</w:t>
            </w:r>
            <w:r>
              <w:rPr>
                <w:rFonts w:ascii="Times New Roman" w:hAnsi="Times New Roman" w:cs="Times New Roman"/>
                <w:color w:val="000000" w:themeColor="text1"/>
                <w:sz w:val="24"/>
                <w:szCs w:val="24"/>
                <w14:textFill>
                  <w14:solidFill>
                    <w14:schemeClr w14:val="tx1"/>
                  </w14:solidFill>
                </w14:textFill>
              </w:rPr>
              <w:t>接</w:t>
            </w:r>
            <w:r>
              <w:rPr>
                <w:rFonts w:ascii="Times New Roman" w:hAnsi="Times New Roman" w:cs="Times New Roman"/>
                <w:color w:val="000000" w:themeColor="text1"/>
                <w:spacing w:val="2"/>
                <w:sz w:val="24"/>
                <w:szCs w:val="24"/>
                <w14:textFill>
                  <w14:solidFill>
                    <w14:schemeClr w14:val="tx1"/>
                  </w14:solidFill>
                </w14:textFill>
              </w:rPr>
              <w:t>的</w:t>
            </w:r>
            <w:r>
              <w:rPr>
                <w:rFonts w:ascii="Times New Roman" w:hAnsi="Times New Roman" w:cs="Times New Roman"/>
                <w:color w:val="000000" w:themeColor="text1"/>
                <w:sz w:val="24"/>
                <w:szCs w:val="24"/>
                <w14:textFill>
                  <w14:solidFill>
                    <w14:schemeClr w14:val="tx1"/>
                  </w14:solidFill>
                </w14:textFill>
              </w:rPr>
              <w:t>危</w:t>
            </w:r>
            <w:r>
              <w:rPr>
                <w:rFonts w:ascii="Times New Roman" w:hAnsi="Times New Roman" w:cs="Times New Roman"/>
                <w:color w:val="000000" w:themeColor="text1"/>
                <w:spacing w:val="2"/>
                <w:sz w:val="24"/>
                <w:szCs w:val="24"/>
                <w14:textFill>
                  <w14:solidFill>
                    <w14:schemeClr w14:val="tx1"/>
                  </w14:solidFill>
                </w14:textFill>
              </w:rPr>
              <w:t>害</w:t>
            </w:r>
            <w:r>
              <w:rPr>
                <w:rFonts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pacing w:val="2"/>
                <w:sz w:val="24"/>
                <w:szCs w:val="24"/>
                <w14:textFill>
                  <w14:solidFill>
                    <w14:schemeClr w14:val="tx1"/>
                  </w14:solidFill>
                </w14:textFill>
              </w:rPr>
              <w:t>社</w:t>
            </w:r>
            <w:r>
              <w:rPr>
                <w:rFonts w:ascii="Times New Roman" w:hAnsi="Times New Roman" w:cs="Times New Roman"/>
                <w:color w:val="000000" w:themeColor="text1"/>
                <w:sz w:val="24"/>
                <w:szCs w:val="24"/>
                <w14:textFill>
                  <w14:solidFill>
                    <w14:schemeClr w14:val="tx1"/>
                  </w14:solidFill>
                </w14:textFill>
              </w:rPr>
              <w:t>会</w:t>
            </w:r>
            <w:r>
              <w:rPr>
                <w:rFonts w:ascii="Times New Roman" w:hAnsi="Times New Roman" w:cs="Times New Roman"/>
                <w:color w:val="000000" w:themeColor="text1"/>
                <w:spacing w:val="2"/>
                <w:sz w:val="24"/>
                <w:szCs w:val="24"/>
                <w14:textFill>
                  <w14:solidFill>
                    <w14:schemeClr w14:val="tx1"/>
                  </w14:solidFill>
                </w14:textFill>
              </w:rPr>
              <w:t>影</w:t>
            </w:r>
            <w:r>
              <w:rPr>
                <w:rFonts w:ascii="Times New Roman" w:hAnsi="Times New Roman" w:cs="Times New Roman"/>
                <w:color w:val="000000" w:themeColor="text1"/>
                <w:sz w:val="24"/>
                <w:szCs w:val="24"/>
                <w14:textFill>
                  <w14:solidFill>
                    <w14:schemeClr w14:val="tx1"/>
                  </w14:solidFill>
                </w14:textFill>
              </w:rPr>
              <w:t>响：</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四</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处</w:t>
            </w:r>
            <w:r>
              <w:rPr>
                <w:rFonts w:ascii="Times New Roman" w:hAnsi="Times New Roman" w:cs="Times New Roman"/>
                <w:color w:val="000000" w:themeColor="text1"/>
                <w:spacing w:val="2"/>
                <w:sz w:val="24"/>
                <w:szCs w:val="24"/>
                <w14:textFill>
                  <w14:solidFill>
                    <w14:schemeClr w14:val="tx1"/>
                  </w14:solidFill>
                </w14:textFill>
              </w:rPr>
              <w:t>理</w:t>
            </w:r>
            <w:r>
              <w:rPr>
                <w:rFonts w:ascii="Times New Roman" w:hAnsi="Times New Roman" w:cs="Times New Roman"/>
                <w:color w:val="000000" w:themeColor="text1"/>
                <w:sz w:val="24"/>
                <w:szCs w:val="24"/>
                <w14:textFill>
                  <w14:solidFill>
                    <w14:schemeClr w14:val="tx1"/>
                  </w14:solidFill>
                </w14:textFill>
              </w:rPr>
              <w:t>后</w:t>
            </w:r>
            <w:r>
              <w:rPr>
                <w:rFonts w:ascii="Times New Roman" w:hAnsi="Times New Roman" w:cs="Times New Roman"/>
                <w:color w:val="000000" w:themeColor="text1"/>
                <w:spacing w:val="2"/>
                <w:sz w:val="24"/>
                <w:szCs w:val="24"/>
                <w14:textFill>
                  <w14:solidFill>
                    <w14:schemeClr w14:val="tx1"/>
                  </w14:solidFill>
                </w14:textFill>
              </w:rPr>
              <w:t>的</w:t>
            </w:r>
            <w:r>
              <w:rPr>
                <w:rFonts w:ascii="Times New Roman" w:hAnsi="Times New Roman" w:cs="Times New Roman"/>
                <w:color w:val="000000" w:themeColor="text1"/>
                <w:sz w:val="24"/>
                <w:szCs w:val="24"/>
                <w14:textFill>
                  <w14:solidFill>
                    <w14:schemeClr w14:val="tx1"/>
                  </w14:solidFill>
                </w14:textFill>
              </w:rPr>
              <w:t>遗</w:t>
            </w:r>
            <w:r>
              <w:rPr>
                <w:rFonts w:ascii="Times New Roman" w:hAnsi="Times New Roman" w:cs="Times New Roman"/>
                <w:color w:val="000000" w:themeColor="text1"/>
                <w:spacing w:val="2"/>
                <w:sz w:val="24"/>
                <w:szCs w:val="24"/>
                <w14:textFill>
                  <w14:solidFill>
                    <w14:schemeClr w14:val="tx1"/>
                  </w14:solidFill>
                </w14:textFill>
              </w:rPr>
              <w:t>留</w:t>
            </w:r>
            <w:r>
              <w:rPr>
                <w:rFonts w:ascii="Times New Roman" w:hAnsi="Times New Roman" w:cs="Times New Roman"/>
                <w:color w:val="000000" w:themeColor="text1"/>
                <w:sz w:val="24"/>
                <w:szCs w:val="24"/>
                <w14:textFill>
                  <w14:solidFill>
                    <w14:schemeClr w14:val="tx1"/>
                  </w14:solidFill>
                </w14:textFill>
              </w:rPr>
              <w:t>问</w:t>
            </w:r>
            <w:r>
              <w:rPr>
                <w:rFonts w:ascii="Times New Roman" w:hAnsi="Times New Roman" w:cs="Times New Roman"/>
                <w:color w:val="000000" w:themeColor="text1"/>
                <w:spacing w:val="2"/>
                <w:sz w:val="24"/>
                <w:szCs w:val="24"/>
                <w14:textFill>
                  <w14:solidFill>
                    <w14:schemeClr w14:val="tx1"/>
                  </w14:solidFill>
                </w14:textFill>
              </w:rPr>
              <w:t>题</w:t>
            </w:r>
            <w:r>
              <w:rPr>
                <w:rFonts w:ascii="Times New Roman" w:hAnsi="Times New Roman" w:cs="Times New Roman"/>
                <w:color w:val="000000" w:themeColor="text1"/>
                <w:sz w:val="24"/>
                <w:szCs w:val="24"/>
                <w14:textFill>
                  <w14:solidFill>
                    <w14:schemeClr w14:val="tx1"/>
                  </w14:solidFill>
                </w14:textFill>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五</w:t>
            </w:r>
            <w:r>
              <w:rPr>
                <w:rFonts w:ascii="Times New Roman" w:hAnsi="Times New Roman" w:cs="Times New Roman"/>
                <w:color w:val="000000" w:themeColor="text1"/>
                <w:spacing w:val="2"/>
                <w:sz w:val="24"/>
                <w:szCs w:val="24"/>
                <w14:textFill>
                  <w14:solidFill>
                    <w14:schemeClr w14:val="tx1"/>
                  </w14:solidFill>
                </w14:textFill>
              </w:rPr>
              <w:t>、</w:t>
            </w:r>
            <w:r>
              <w:rPr>
                <w:rFonts w:ascii="Times New Roman" w:hAnsi="Times New Roman" w:cs="Times New Roman"/>
                <w:color w:val="000000" w:themeColor="text1"/>
                <w:sz w:val="24"/>
                <w:szCs w:val="24"/>
                <w14:textFill>
                  <w14:solidFill>
                    <w14:schemeClr w14:val="tx1"/>
                  </w14:solidFill>
                </w14:textFill>
              </w:rPr>
              <w:t>参</w:t>
            </w:r>
            <w:r>
              <w:rPr>
                <w:rFonts w:ascii="Times New Roman" w:hAnsi="Times New Roman" w:cs="Times New Roman"/>
                <w:color w:val="000000" w:themeColor="text1"/>
                <w:spacing w:val="2"/>
                <w:sz w:val="24"/>
                <w:szCs w:val="24"/>
                <w14:textFill>
                  <w14:solidFill>
                    <w14:schemeClr w14:val="tx1"/>
                  </w14:solidFill>
                </w14:textFill>
              </w:rPr>
              <w:t>加</w:t>
            </w:r>
            <w:r>
              <w:rPr>
                <w:rFonts w:ascii="Times New Roman" w:hAnsi="Times New Roman" w:cs="Times New Roman"/>
                <w:color w:val="000000" w:themeColor="text1"/>
                <w:sz w:val="24"/>
                <w:szCs w:val="24"/>
                <w14:textFill>
                  <w14:solidFill>
                    <w14:schemeClr w14:val="tx1"/>
                  </w14:solidFill>
                </w14:textFill>
              </w:rPr>
              <w:t>处</w:t>
            </w:r>
            <w:r>
              <w:rPr>
                <w:rFonts w:ascii="Times New Roman" w:hAnsi="Times New Roman" w:cs="Times New Roman"/>
                <w:color w:val="000000" w:themeColor="text1"/>
                <w:spacing w:val="2"/>
                <w:sz w:val="24"/>
                <w:szCs w:val="24"/>
                <w14:textFill>
                  <w14:solidFill>
                    <w14:schemeClr w14:val="tx1"/>
                  </w14:solidFill>
                </w14:textFill>
              </w:rPr>
              <w:t>理</w:t>
            </w:r>
            <w:r>
              <w:rPr>
                <w:rFonts w:ascii="Times New Roman" w:hAnsi="Times New Roman" w:cs="Times New Roman"/>
                <w:color w:val="000000" w:themeColor="text1"/>
                <w:sz w:val="24"/>
                <w:szCs w:val="24"/>
                <w14:textFill>
                  <w14:solidFill>
                    <w14:schemeClr w14:val="tx1"/>
                  </w14:solidFill>
                </w14:textFill>
              </w:rPr>
              <w:t>工</w:t>
            </w:r>
            <w:r>
              <w:rPr>
                <w:rFonts w:ascii="Times New Roman" w:hAnsi="Times New Roman" w:cs="Times New Roman"/>
                <w:color w:val="000000" w:themeColor="text1"/>
                <w:spacing w:val="2"/>
                <w:sz w:val="24"/>
                <w:szCs w:val="24"/>
                <w14:textFill>
                  <w14:solidFill>
                    <w14:schemeClr w14:val="tx1"/>
                  </w14:solidFill>
                </w14:textFill>
              </w:rPr>
              <w:t>作</w:t>
            </w:r>
            <w:r>
              <w:rPr>
                <w:rFonts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pacing w:val="2"/>
                <w:sz w:val="24"/>
                <w:szCs w:val="24"/>
                <w14:textFill>
                  <w14:solidFill>
                    <w14:schemeClr w14:val="tx1"/>
                  </w14:solidFill>
                </w14:textFill>
              </w:rPr>
              <w:t>有</w:t>
            </w:r>
            <w:r>
              <w:rPr>
                <w:rFonts w:ascii="Times New Roman" w:hAnsi="Times New Roman" w:cs="Times New Roman"/>
                <w:color w:val="000000" w:themeColor="text1"/>
                <w:sz w:val="24"/>
                <w:szCs w:val="24"/>
                <w14:textFill>
                  <w14:solidFill>
                    <w14:schemeClr w14:val="tx1"/>
                  </w14:solidFill>
                </w14:textFill>
              </w:rPr>
              <w:t>关</w:t>
            </w:r>
            <w:r>
              <w:rPr>
                <w:rFonts w:ascii="Times New Roman" w:hAnsi="Times New Roman" w:cs="Times New Roman"/>
                <w:color w:val="000000" w:themeColor="text1"/>
                <w:spacing w:val="2"/>
                <w:sz w:val="24"/>
                <w:szCs w:val="24"/>
                <w14:textFill>
                  <w14:solidFill>
                    <w14:schemeClr w14:val="tx1"/>
                  </w14:solidFill>
                </w14:textFill>
              </w:rPr>
              <w:t>部</w:t>
            </w:r>
            <w:r>
              <w:rPr>
                <w:rFonts w:ascii="Times New Roman" w:hAnsi="Times New Roman" w:cs="Times New Roman"/>
                <w:color w:val="000000" w:themeColor="text1"/>
                <w:sz w:val="24"/>
                <w:szCs w:val="24"/>
                <w14:textFill>
                  <w14:solidFill>
                    <w14:schemeClr w14:val="tx1"/>
                  </w14:solidFill>
                </w14:textFill>
              </w:rPr>
              <w:t>门</w:t>
            </w:r>
            <w:r>
              <w:rPr>
                <w:rFonts w:ascii="Times New Roman" w:hAnsi="Times New Roman" w:cs="Times New Roman"/>
                <w:color w:val="000000" w:themeColor="text1"/>
                <w:spacing w:val="2"/>
                <w:sz w:val="24"/>
                <w:szCs w:val="24"/>
                <w14:textFill>
                  <w14:solidFill>
                    <w14:schemeClr w14:val="tx1"/>
                  </w14:solidFill>
                </w14:textFill>
              </w:rPr>
              <w:t>和</w:t>
            </w:r>
            <w:r>
              <w:rPr>
                <w:rFonts w:ascii="Times New Roman" w:hAnsi="Times New Roman" w:cs="Times New Roman"/>
                <w:color w:val="000000" w:themeColor="text1"/>
                <w:sz w:val="24"/>
                <w:szCs w:val="24"/>
                <w14:textFill>
                  <w14:solidFill>
                    <w14:schemeClr w14:val="tx1"/>
                  </w14:solidFill>
                </w14:textFill>
              </w:rPr>
              <w:t>工</w:t>
            </w:r>
            <w:r>
              <w:rPr>
                <w:rFonts w:ascii="Times New Roman" w:hAnsi="Times New Roman" w:cs="Times New Roman"/>
                <w:color w:val="000000" w:themeColor="text1"/>
                <w:spacing w:val="2"/>
                <w:sz w:val="24"/>
                <w:szCs w:val="24"/>
                <w14:textFill>
                  <w14:solidFill>
                    <w14:schemeClr w14:val="tx1"/>
                  </w14:solidFill>
                </w14:textFill>
              </w:rPr>
              <w:t>作</w:t>
            </w:r>
            <w:r>
              <w:rPr>
                <w:rFonts w:ascii="Times New Roman" w:hAnsi="Times New Roman" w:cs="Times New Roman"/>
                <w:color w:val="000000" w:themeColor="text1"/>
                <w:sz w:val="24"/>
                <w:szCs w:val="24"/>
                <w14:textFill>
                  <w14:solidFill>
                    <w14:schemeClr w14:val="tx1"/>
                  </w14:solidFill>
                </w14:textFill>
              </w:rPr>
              <w:t>内</w:t>
            </w:r>
            <w:r>
              <w:rPr>
                <w:rFonts w:ascii="Times New Roman" w:hAnsi="Times New Roman" w:cs="Times New Roman"/>
                <w:color w:val="000000" w:themeColor="text1"/>
                <w:spacing w:val="2"/>
                <w:sz w:val="24"/>
                <w:szCs w:val="24"/>
                <w14:textFill>
                  <w14:solidFill>
                    <w14:schemeClr w14:val="tx1"/>
                  </w14:solidFill>
                </w14:textFill>
              </w:rPr>
              <w:t>容</w:t>
            </w:r>
            <w:r>
              <w:rPr>
                <w:rFonts w:ascii="Times New Roman" w:hAnsi="Times New Roman" w:cs="Times New Roman"/>
                <w:color w:val="000000" w:themeColor="text1"/>
                <w:sz w:val="24"/>
                <w:szCs w:val="24"/>
                <w14:textFill>
                  <w14:solidFill>
                    <w14:schemeClr w14:val="tx1"/>
                  </w14:solidFill>
                </w14:textFill>
              </w:rPr>
              <w:t>：</w:t>
            </w:r>
          </w:p>
        </w:tc>
      </w:tr>
      <w:tr>
        <w:tblPrEx>
          <w:tblCellMar>
            <w:top w:w="0" w:type="dxa"/>
            <w:left w:w="0" w:type="dxa"/>
            <w:bottom w:w="0" w:type="dxa"/>
            <w:right w:w="0" w:type="dxa"/>
          </w:tblCellMar>
        </w:tblPrEx>
        <w:trPr>
          <w:trHeight w:val="634"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pacing w:val="2"/>
                <w:sz w:val="24"/>
                <w:szCs w:val="24"/>
                <w14:textFill>
                  <w14:solidFill>
                    <w14:schemeClr w14:val="tx1"/>
                  </w14:solidFill>
                </w14:textFill>
              </w:rPr>
              <w:t>六</w:t>
            </w:r>
            <w:r>
              <w:rPr>
                <w:rFonts w:ascii="Times New Roman" w:hAnsi="Times New Roman" w:cs="Times New Roman"/>
                <w:color w:val="000000" w:themeColor="text1"/>
                <w:sz w:val="24"/>
                <w:szCs w:val="24"/>
                <w14:textFill>
                  <w14:solidFill>
                    <w14:schemeClr w14:val="tx1"/>
                  </w14:solidFill>
                </w14:textFill>
              </w:rPr>
              <w:t>、</w:t>
            </w:r>
            <w:r>
              <w:rPr>
                <w:rFonts w:ascii="Times New Roman" w:hAnsi="Times New Roman" w:cs="Times New Roman"/>
                <w:color w:val="000000" w:themeColor="text1"/>
                <w:spacing w:val="2"/>
                <w:sz w:val="24"/>
                <w:szCs w:val="24"/>
                <w14:textFill>
                  <w14:solidFill>
                    <w14:schemeClr w14:val="tx1"/>
                  </w14:solidFill>
                </w14:textFill>
              </w:rPr>
              <w:t>有</w:t>
            </w:r>
            <w:r>
              <w:rPr>
                <w:rFonts w:ascii="Times New Roman" w:hAnsi="Times New Roman" w:cs="Times New Roman"/>
                <w:color w:val="000000" w:themeColor="text1"/>
                <w:sz w:val="24"/>
                <w:szCs w:val="24"/>
                <w14:textFill>
                  <w14:solidFill>
                    <w14:schemeClr w14:val="tx1"/>
                  </w14:solidFill>
                </w14:textFill>
              </w:rPr>
              <w:t>关</w:t>
            </w:r>
            <w:r>
              <w:rPr>
                <w:rFonts w:ascii="Times New Roman" w:hAnsi="Times New Roman" w:cs="Times New Roman"/>
                <w:color w:val="000000" w:themeColor="text1"/>
                <w:spacing w:val="2"/>
                <w:sz w:val="24"/>
                <w:szCs w:val="24"/>
                <w14:textFill>
                  <w14:solidFill>
                    <w14:schemeClr w14:val="tx1"/>
                  </w14:solidFill>
                </w14:textFill>
              </w:rPr>
              <w:t>危</w:t>
            </w:r>
            <w:r>
              <w:rPr>
                <w:rFonts w:ascii="Times New Roman" w:hAnsi="Times New Roman" w:cs="Times New Roman"/>
                <w:color w:val="000000" w:themeColor="text1"/>
                <w:sz w:val="24"/>
                <w:szCs w:val="24"/>
                <w14:textFill>
                  <w14:solidFill>
                    <w14:schemeClr w14:val="tx1"/>
                  </w14:solidFill>
                </w14:textFill>
              </w:rPr>
              <w:t>害</w:t>
            </w:r>
            <w:r>
              <w:rPr>
                <w:rFonts w:ascii="Times New Roman" w:hAnsi="Times New Roman" w:cs="Times New Roman"/>
                <w:color w:val="000000" w:themeColor="text1"/>
                <w:spacing w:val="2"/>
                <w:sz w:val="24"/>
                <w:szCs w:val="24"/>
                <w14:textFill>
                  <w14:solidFill>
                    <w14:schemeClr w14:val="tx1"/>
                  </w14:solidFill>
                </w14:textFill>
              </w:rPr>
              <w:t>与</w:t>
            </w:r>
            <w:r>
              <w:rPr>
                <w:rFonts w:ascii="Times New Roman" w:hAnsi="Times New Roman" w:cs="Times New Roman"/>
                <w:color w:val="000000" w:themeColor="text1"/>
                <w:sz w:val="24"/>
                <w:szCs w:val="24"/>
                <w14:textFill>
                  <w14:solidFill>
                    <w14:schemeClr w14:val="tx1"/>
                  </w14:solidFill>
                </w14:textFill>
              </w:rPr>
              <w:t>损</w:t>
            </w:r>
            <w:r>
              <w:rPr>
                <w:rFonts w:ascii="Times New Roman" w:hAnsi="Times New Roman" w:cs="Times New Roman"/>
                <w:color w:val="000000" w:themeColor="text1"/>
                <w:spacing w:val="2"/>
                <w:sz w:val="24"/>
                <w:szCs w:val="24"/>
                <w14:textFill>
                  <w14:solidFill>
                    <w14:schemeClr w14:val="tx1"/>
                  </w14:solidFill>
                </w14:textFill>
              </w:rPr>
              <w:t>失</w:t>
            </w:r>
            <w:r>
              <w:rPr>
                <w:rFonts w:ascii="Times New Roman" w:hAnsi="Times New Roman" w:cs="Times New Roman"/>
                <w:color w:val="000000" w:themeColor="text1"/>
                <w:sz w:val="24"/>
                <w:szCs w:val="24"/>
                <w14:textFill>
                  <w14:solidFill>
                    <w14:schemeClr w14:val="tx1"/>
                  </w14:solidFill>
                </w14:textFill>
              </w:rPr>
              <w:t>的</w:t>
            </w:r>
            <w:r>
              <w:rPr>
                <w:rFonts w:ascii="Times New Roman" w:hAnsi="Times New Roman" w:cs="Times New Roman"/>
                <w:color w:val="000000" w:themeColor="text1"/>
                <w:spacing w:val="2"/>
                <w:sz w:val="24"/>
                <w:szCs w:val="24"/>
                <w14:textFill>
                  <w14:solidFill>
                    <w14:schemeClr w14:val="tx1"/>
                  </w14:solidFill>
                </w14:textFill>
              </w:rPr>
              <w:t>证</w:t>
            </w:r>
            <w:r>
              <w:rPr>
                <w:rFonts w:ascii="Times New Roman" w:hAnsi="Times New Roman" w:cs="Times New Roman"/>
                <w:color w:val="000000" w:themeColor="text1"/>
                <w:sz w:val="24"/>
                <w:szCs w:val="24"/>
                <w14:textFill>
                  <w14:solidFill>
                    <w14:schemeClr w14:val="tx1"/>
                  </w14:solidFill>
                </w14:textFill>
              </w:rPr>
              <w:t>明</w:t>
            </w:r>
            <w:r>
              <w:rPr>
                <w:rFonts w:ascii="Times New Roman" w:hAnsi="Times New Roman" w:cs="Times New Roman"/>
                <w:color w:val="000000" w:themeColor="text1"/>
                <w:spacing w:val="2"/>
                <w:sz w:val="24"/>
                <w:szCs w:val="24"/>
                <w14:textFill>
                  <w14:solidFill>
                    <w14:schemeClr w14:val="tx1"/>
                  </w14:solidFill>
                </w14:textFill>
              </w:rPr>
              <w:t>文</w:t>
            </w:r>
            <w:r>
              <w:rPr>
                <w:rFonts w:ascii="Times New Roman" w:hAnsi="Times New Roman" w:cs="Times New Roman"/>
                <w:color w:val="000000" w:themeColor="text1"/>
                <w:sz w:val="24"/>
                <w:szCs w:val="24"/>
                <w14:textFill>
                  <w14:solidFill>
                    <w14:schemeClr w14:val="tx1"/>
                  </w14:solidFill>
                </w14:textFill>
              </w:rPr>
              <w:t>件</w:t>
            </w:r>
            <w:r>
              <w:rPr>
                <w:rFonts w:ascii="Times New Roman" w:hAnsi="Times New Roman" w:cs="Times New Roman"/>
                <w:color w:val="000000" w:themeColor="text1"/>
                <w:spacing w:val="2"/>
                <w:sz w:val="24"/>
                <w:szCs w:val="24"/>
                <w14:textFill>
                  <w14:solidFill>
                    <w14:schemeClr w14:val="tx1"/>
                  </w14:solidFill>
                </w14:textFill>
              </w:rPr>
              <w:t>等</w:t>
            </w:r>
            <w:r>
              <w:rPr>
                <w:rFonts w:ascii="Times New Roman" w:hAnsi="Times New Roman" w:cs="Times New Roman"/>
                <w:color w:val="000000" w:themeColor="text1"/>
                <w:sz w:val="24"/>
                <w:szCs w:val="24"/>
                <w14:textFill>
                  <w14:solidFill>
                    <w14:schemeClr w14:val="tx1"/>
                  </w14:solidFill>
                </w14:textFill>
              </w:rPr>
              <w:t>详</w:t>
            </w:r>
            <w:r>
              <w:rPr>
                <w:rFonts w:ascii="Times New Roman" w:hAnsi="Times New Roman" w:cs="Times New Roman"/>
                <w:color w:val="000000" w:themeColor="text1"/>
                <w:spacing w:val="2"/>
                <w:sz w:val="24"/>
                <w:szCs w:val="24"/>
                <w14:textFill>
                  <w14:solidFill>
                    <w14:schemeClr w14:val="tx1"/>
                  </w14:solidFill>
                </w14:textFill>
              </w:rPr>
              <w:t>细</w:t>
            </w:r>
            <w:r>
              <w:rPr>
                <w:rFonts w:ascii="Times New Roman" w:hAnsi="Times New Roman" w:cs="Times New Roman"/>
                <w:color w:val="000000" w:themeColor="text1"/>
                <w:sz w:val="24"/>
                <w:szCs w:val="24"/>
                <w14:textFill>
                  <w14:solidFill>
                    <w14:schemeClr w14:val="tx1"/>
                  </w14:solidFill>
                </w14:textFill>
              </w:rPr>
              <w:t>情</w:t>
            </w:r>
            <w:r>
              <w:rPr>
                <w:rFonts w:ascii="Times New Roman" w:hAnsi="Times New Roman" w:cs="Times New Roman"/>
                <w:color w:val="000000" w:themeColor="text1"/>
                <w:spacing w:val="2"/>
                <w:sz w:val="24"/>
                <w:szCs w:val="24"/>
                <w14:textFill>
                  <w14:solidFill>
                    <w14:schemeClr w14:val="tx1"/>
                  </w14:solidFill>
                </w14:textFill>
              </w:rPr>
              <w:t>况</w:t>
            </w:r>
            <w:r>
              <w:rPr>
                <w:rFonts w:ascii="Times New Roman" w:hAnsi="Times New Roman" w:cs="Times New Roman"/>
                <w:color w:val="000000" w:themeColor="text1"/>
                <w:sz w:val="24"/>
                <w:szCs w:val="24"/>
                <w14:textFill>
                  <w14:solidFill>
                    <w14:schemeClr w14:val="tx1"/>
                  </w14:solidFill>
                </w14:textFill>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jc w:val="right"/>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w w:val="99"/>
                <w:sz w:val="24"/>
                <w:szCs w:val="24"/>
                <w14:textFill>
                  <w14:solidFill>
                    <w14:schemeClr w14:val="tx1"/>
                  </w14:solidFill>
                </w14:textFill>
              </w:rPr>
              <w:t>（</w:t>
            </w:r>
            <w:r>
              <w:rPr>
                <w:rFonts w:ascii="Times New Roman" w:hAnsi="Times New Roman" w:cs="Times New Roman"/>
                <w:color w:val="000000" w:themeColor="text1"/>
                <w:spacing w:val="2"/>
                <w:w w:val="99"/>
                <w:sz w:val="24"/>
                <w:szCs w:val="24"/>
                <w14:textFill>
                  <w14:solidFill>
                    <w14:schemeClr w14:val="tx1"/>
                  </w14:solidFill>
                </w14:textFill>
              </w:rPr>
              <w:t>不</w:t>
            </w:r>
            <w:r>
              <w:rPr>
                <w:rFonts w:ascii="Times New Roman" w:hAnsi="Times New Roman" w:cs="Times New Roman"/>
                <w:color w:val="000000" w:themeColor="text1"/>
                <w:w w:val="99"/>
                <w:sz w:val="24"/>
                <w:szCs w:val="24"/>
                <w14:textFill>
                  <w14:solidFill>
                    <w14:schemeClr w14:val="tx1"/>
                  </w14:solidFill>
                </w14:textFill>
              </w:rPr>
              <w:t>够</w:t>
            </w:r>
            <w:r>
              <w:rPr>
                <w:rFonts w:ascii="Times New Roman" w:hAnsi="Times New Roman" w:cs="Times New Roman"/>
                <w:color w:val="000000" w:themeColor="text1"/>
                <w:spacing w:val="2"/>
                <w:w w:val="99"/>
                <w:sz w:val="24"/>
                <w:szCs w:val="24"/>
                <w14:textFill>
                  <w14:solidFill>
                    <w14:schemeClr w14:val="tx1"/>
                  </w14:solidFill>
                </w14:textFill>
              </w:rPr>
              <w:t>可</w:t>
            </w:r>
            <w:r>
              <w:rPr>
                <w:rFonts w:ascii="Times New Roman" w:hAnsi="Times New Roman" w:cs="Times New Roman"/>
                <w:color w:val="000000" w:themeColor="text1"/>
                <w:w w:val="99"/>
                <w:sz w:val="24"/>
                <w:szCs w:val="24"/>
                <w14:textFill>
                  <w14:solidFill>
                    <w14:schemeClr w14:val="tx1"/>
                  </w14:solidFill>
                </w14:textFill>
              </w:rPr>
              <w:t>附</w:t>
            </w:r>
            <w:r>
              <w:rPr>
                <w:rFonts w:ascii="Times New Roman" w:hAnsi="Times New Roman" w:cs="Times New Roman"/>
                <w:color w:val="000000" w:themeColor="text1"/>
                <w:spacing w:val="2"/>
                <w:w w:val="99"/>
                <w:sz w:val="24"/>
                <w:szCs w:val="24"/>
                <w14:textFill>
                  <w14:solidFill>
                    <w14:schemeClr w14:val="tx1"/>
                  </w14:solidFill>
                </w14:textFill>
              </w:rPr>
              <w:t>页</w:t>
            </w:r>
            <w:r>
              <w:rPr>
                <w:rFonts w:ascii="Times New Roman" w:hAnsi="Times New Roman" w:cs="Times New Roman"/>
                <w:color w:val="000000" w:themeColor="text1"/>
                <w:w w:val="99"/>
                <w:sz w:val="24"/>
                <w:szCs w:val="24"/>
                <w14:textFill>
                  <w14:solidFill>
                    <w14:schemeClr w14:val="tx1"/>
                  </w14:solidFill>
                </w14:textFill>
              </w:rPr>
              <w:t>）</w:t>
            </w:r>
          </w:p>
        </w:tc>
      </w:tr>
      <w:bookmarkEnd w:id="387"/>
    </w:tbl>
    <w:p>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br w:type="page"/>
      </w:r>
    </w:p>
    <w:p>
      <w:pPr>
        <w:keepNext/>
        <w:keepLines/>
        <w:spacing w:before="468"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81" w:name="_Toc25509"/>
      <w:bookmarkStart w:id="1382" w:name="_Toc7936"/>
      <w:r>
        <w:rPr>
          <w:rFonts w:ascii="Times New Roman" w:hAnsi="Times New Roman" w:cs="Times New Roman"/>
          <w:b/>
          <w:bCs/>
          <w:color w:val="000000" w:themeColor="text1"/>
          <w:sz w:val="24"/>
          <w:szCs w:val="24"/>
          <w14:textFill>
            <w14:solidFill>
              <w14:schemeClr w14:val="tx1"/>
            </w14:solidFill>
          </w14:textFill>
        </w:rPr>
        <w:t>附件十一：营业执照</w:t>
      </w:r>
      <w:bookmarkEnd w:id="1381"/>
      <w:bookmarkEnd w:id="1382"/>
    </w:p>
    <w:p>
      <w:pPr>
        <w:pStyle w:val="2"/>
        <w:ind w:firstLine="480"/>
        <w:rPr>
          <w:rFonts w:ascii="Times New Roman" w:hAnsi="Times New Roman" w:eastAsiaTheme="minorEastAsia"/>
          <w:color w:val="000000" w:themeColor="text1"/>
          <w14:textFill>
            <w14:solidFill>
              <w14:schemeClr w14:val="tx1"/>
            </w14:solidFill>
          </w14:textFill>
        </w:rPr>
      </w:pPr>
      <w:r>
        <w:drawing>
          <wp:inline distT="0" distB="0" distL="114300" distR="114300">
            <wp:extent cx="5274310" cy="7534910"/>
            <wp:effectExtent l="0" t="0" r="2540" b="8890"/>
            <wp:docPr id="51" name="图片 51"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营业执照"/>
                    <pic:cNvPicPr>
                      <a:picLocks noChangeAspect="1"/>
                    </pic:cNvPicPr>
                  </pic:nvPicPr>
                  <pic:blipFill>
                    <a:blip r:embed="rId48"/>
                    <a:stretch>
                      <a:fillRect/>
                    </a:stretch>
                  </pic:blipFill>
                  <pic:spPr>
                    <a:xfrm>
                      <a:off x="0" y="0"/>
                      <a:ext cx="5274310" cy="7534964"/>
                    </a:xfrm>
                    <a:prstGeom prst="rect">
                      <a:avLst/>
                    </a:prstGeom>
                  </pic:spPr>
                </pic:pic>
              </a:graphicData>
            </a:graphic>
          </wp:inline>
        </w:drawing>
      </w:r>
    </w:p>
    <w:p>
      <w:pPr>
        <w:rPr>
          <w:rFonts w:ascii="Times New Roman" w:hAnsi="Times New Roman" w:cs="Times New Roman"/>
          <w:b/>
          <w:bCs/>
          <w:color w:val="000000" w:themeColor="text1"/>
          <w:kern w:val="44"/>
          <w:sz w:val="24"/>
          <w:szCs w:val="24"/>
          <w14:textFill>
            <w14:solidFill>
              <w14:schemeClr w14:val="tx1"/>
            </w14:solidFill>
          </w14:textFill>
        </w:rPr>
      </w:pPr>
      <w:r>
        <w:rPr>
          <w:rFonts w:ascii="Times New Roman" w:hAnsi="Times New Roman" w:cs="Times New Roman"/>
          <w:b/>
          <w:bCs/>
          <w:color w:val="000000" w:themeColor="text1"/>
          <w:kern w:val="44"/>
          <w:sz w:val="24"/>
          <w:szCs w:val="24"/>
          <w14:textFill>
            <w14:solidFill>
              <w14:schemeClr w14:val="tx1"/>
            </w14:solidFill>
          </w14:textFill>
        </w:rPr>
        <w:br w:type="page"/>
      </w:r>
    </w:p>
    <w:p>
      <w:pPr>
        <w:keepNext/>
        <w:keepLines/>
        <w:spacing w:before="468"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83" w:name="_Toc20965"/>
      <w:bookmarkStart w:id="1384" w:name="_Toc27626"/>
      <w:r>
        <w:rPr>
          <w:rFonts w:ascii="Times New Roman" w:hAnsi="Times New Roman" w:cs="Times New Roman"/>
          <w:b/>
          <w:bCs/>
          <w:color w:val="000000" w:themeColor="text1"/>
          <w:sz w:val="24"/>
          <w:szCs w:val="24"/>
          <w14:textFill>
            <w14:solidFill>
              <w14:schemeClr w14:val="tx1"/>
            </w14:solidFill>
          </w14:textFill>
        </w:rPr>
        <w:t>附件十二：危险化学品经营许可证</w:t>
      </w:r>
      <w:bookmarkEnd w:id="1383"/>
      <w:bookmarkEnd w:id="1384"/>
    </w:p>
    <w:p>
      <w:pPr>
        <w:pStyle w:val="2"/>
        <w:ind w:firstLine="480"/>
        <w:rPr>
          <w:rFonts w:ascii="Times New Roman" w:hAnsi="Times New Roman" w:eastAsiaTheme="minorEastAsia"/>
          <w:color w:val="000000" w:themeColor="text1"/>
          <w14:textFill>
            <w14:solidFill>
              <w14:schemeClr w14:val="tx1"/>
            </w14:solidFill>
          </w14:textFill>
        </w:rPr>
      </w:pPr>
      <w:r>
        <w:drawing>
          <wp:inline distT="0" distB="0" distL="114300" distR="114300">
            <wp:extent cx="5274310" cy="3710940"/>
            <wp:effectExtent l="0" t="0" r="2540" b="3810"/>
            <wp:docPr id="57" name="图片 57" descr="危化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危化证"/>
                    <pic:cNvPicPr>
                      <a:picLocks noChangeAspect="1"/>
                    </pic:cNvPicPr>
                  </pic:nvPicPr>
                  <pic:blipFill>
                    <a:blip r:embed="rId49"/>
                    <a:stretch>
                      <a:fillRect/>
                    </a:stretch>
                  </pic:blipFill>
                  <pic:spPr>
                    <a:xfrm>
                      <a:off x="0" y="0"/>
                      <a:ext cx="5274310" cy="3711551"/>
                    </a:xfrm>
                    <a:prstGeom prst="rect">
                      <a:avLst/>
                    </a:prstGeom>
                  </pic:spPr>
                </pic:pic>
              </a:graphicData>
            </a:graphic>
          </wp:inline>
        </w:drawing>
      </w:r>
    </w:p>
    <w:p>
      <w:pPr>
        <w:rPr>
          <w:rFonts w:ascii="Times New Roman" w:hAnsi="Times New Roman" w:cs="Times New Roman"/>
          <w:color w:val="000000" w:themeColor="text1"/>
          <w14:textFill>
            <w14:solidFill>
              <w14:schemeClr w14:val="tx1"/>
            </w14:solidFill>
          </w14:textFill>
        </w:rPr>
      </w:pPr>
      <w:r>
        <w:rPr>
          <w:rFonts w:ascii="Times New Roman" w:hAnsi="Times New Roman" w:cs="Times New Roman"/>
          <w:color w:val="000000" w:themeColor="text1"/>
          <w14:textFill>
            <w14:solidFill>
              <w14:schemeClr w14:val="tx1"/>
            </w14:solidFill>
          </w14:textFill>
        </w:rPr>
        <w:br w:type="page"/>
      </w:r>
    </w:p>
    <w:p>
      <w:pPr>
        <w:keepNext/>
        <w:keepLines/>
        <w:spacing w:before="468"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85" w:name="_Toc27403"/>
      <w:bookmarkStart w:id="1386" w:name="_Toc11613"/>
      <w:r>
        <w:rPr>
          <w:rFonts w:ascii="Times New Roman" w:hAnsi="Times New Roman" w:cs="Times New Roman"/>
          <w:b/>
          <w:bCs/>
          <w:color w:val="000000" w:themeColor="text1"/>
          <w:sz w:val="24"/>
          <w:szCs w:val="24"/>
          <w14:textFill>
            <w14:solidFill>
              <w14:schemeClr w14:val="tx1"/>
            </w14:solidFill>
          </w14:textFill>
        </w:rPr>
        <w:t>附件十三：成品油零售经营批准证书</w:t>
      </w:r>
      <w:bookmarkEnd w:id="1385"/>
      <w:bookmarkEnd w:id="1386"/>
    </w:p>
    <w:p>
      <w:pPr>
        <w:pStyle w:val="2"/>
        <w:ind w:firstLine="480"/>
        <w:rPr>
          <w:rFonts w:ascii="Times New Roman" w:hAnsi="Times New Roman" w:eastAsiaTheme="minorEastAsia"/>
          <w:color w:val="000000" w:themeColor="text1"/>
          <w14:textFill>
            <w14:solidFill>
              <w14:schemeClr w14:val="tx1"/>
            </w14:solidFill>
          </w14:textFill>
        </w:rPr>
      </w:pPr>
      <w:r>
        <w:rPr>
          <w:rFonts w:hint="eastAsia" w:ascii="Times New Roman" w:hAnsi="Times New Roman" w:eastAsiaTheme="minorEastAsia"/>
          <w:color w:val="000000" w:themeColor="text1"/>
          <w14:textFill>
            <w14:solidFill>
              <w14:schemeClr w14:val="tx1"/>
            </w14:solidFill>
          </w14:textFill>
        </w:rPr>
        <w:drawing>
          <wp:inline distT="0" distB="0" distL="114300" distR="114300">
            <wp:extent cx="5268595" cy="7677785"/>
            <wp:effectExtent l="0" t="0" r="4445" b="3175"/>
            <wp:docPr id="64" name="图片 64" descr="77201181663160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772011816631607592"/>
                    <pic:cNvPicPr>
                      <a:picLocks noChangeAspect="1"/>
                    </pic:cNvPicPr>
                  </pic:nvPicPr>
                  <pic:blipFill>
                    <a:blip r:embed="rId50"/>
                    <a:stretch>
                      <a:fillRect/>
                    </a:stretch>
                  </pic:blipFill>
                  <pic:spPr>
                    <a:xfrm>
                      <a:off x="0" y="0"/>
                      <a:ext cx="5268595" cy="7677785"/>
                    </a:xfrm>
                    <a:prstGeom prst="rect">
                      <a:avLst/>
                    </a:prstGeom>
                  </pic:spPr>
                </pic:pic>
              </a:graphicData>
            </a:graphic>
          </wp:inline>
        </w:drawing>
      </w:r>
    </w:p>
    <w:p>
      <w:pPr>
        <w:pStyle w:val="2"/>
        <w:ind w:firstLine="496"/>
      </w:pPr>
      <w:r>
        <w:br w:type="page"/>
      </w:r>
    </w:p>
    <w:p>
      <w:pPr>
        <w:keepNext/>
        <w:keepLines/>
        <w:spacing w:before="468"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87" w:name="_Toc26465"/>
      <w:r>
        <w:rPr>
          <w:rFonts w:ascii="Times New Roman" w:hAnsi="Times New Roman" w:cs="Times New Roman"/>
          <w:b/>
          <w:bCs/>
          <w:color w:val="000000" w:themeColor="text1"/>
          <w:sz w:val="24"/>
          <w:szCs w:val="24"/>
          <w14:textFill>
            <w14:solidFill>
              <w14:schemeClr w14:val="tx1"/>
            </w14:solidFill>
          </w14:textFill>
        </w:rPr>
        <w:t>附件十</w:t>
      </w:r>
      <w:r>
        <w:rPr>
          <w:rFonts w:hint="eastAsia" w:ascii="Times New Roman" w:hAnsi="Times New Roman" w:cs="Times New Roman"/>
          <w:b/>
          <w:bCs/>
          <w:color w:val="000000" w:themeColor="text1"/>
          <w:sz w:val="24"/>
          <w:szCs w:val="24"/>
          <w14:textFill>
            <w14:solidFill>
              <w14:schemeClr w14:val="tx1"/>
            </w14:solidFill>
          </w14:textFill>
        </w:rPr>
        <w:t>四</w:t>
      </w:r>
      <w:r>
        <w:rPr>
          <w:rFonts w:ascii="Times New Roman" w:hAnsi="Times New Roman" w:cs="Times New Roman"/>
          <w:b/>
          <w:bCs/>
          <w:color w:val="000000" w:themeColor="text1"/>
          <w:sz w:val="24"/>
          <w:szCs w:val="24"/>
          <w14:textFill>
            <w14:solidFill>
              <w14:schemeClr w14:val="tx1"/>
            </w14:solidFill>
          </w14:textFill>
        </w:rPr>
        <w:t>：</w:t>
      </w:r>
      <w:r>
        <w:rPr>
          <w:rFonts w:hint="eastAsia" w:ascii="Times New Roman" w:hAnsi="Times New Roman" w:cs="Times New Roman"/>
          <w:b/>
          <w:bCs/>
          <w:color w:val="000000" w:themeColor="text1"/>
          <w:sz w:val="24"/>
          <w:szCs w:val="24"/>
          <w14:textFill>
            <w14:solidFill>
              <w14:schemeClr w14:val="tx1"/>
            </w14:solidFill>
          </w14:textFill>
        </w:rPr>
        <w:t>环评批复</w:t>
      </w:r>
      <w:bookmarkEnd w:id="1387"/>
    </w:p>
    <w:p>
      <w:pPr>
        <w:pStyle w:val="2"/>
        <w:ind w:firstLine="20"/>
        <w:rPr>
          <w:rFonts w:ascii="Times New Roman" w:hAnsi="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Times New Roman"/>
          <w:snapToGrid w:val="0"/>
          <w:color w:val="000000"/>
          <w:w w:val="0"/>
          <w:kern w:val="0"/>
          <w:sz w:val="0"/>
          <w:szCs w:val="0"/>
          <w:u w:color="000000"/>
          <w:shd w:val="clear" w:color="000000" w:fill="000000"/>
        </w:rPr>
        <w:drawing>
          <wp:inline distT="0" distB="0" distL="0" distR="0">
            <wp:extent cx="5274310" cy="7459345"/>
            <wp:effectExtent l="0" t="0" r="2540" b="8255"/>
            <wp:docPr id="2" name="图片 2" descr="I:\愉颖资料\愉颖资料\2-环评批复\启航加油站\img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愉颖资料\愉颖资料\2-环评批复\启航加油站\img30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rPr>
          <w:rFonts w:ascii="Times New Roman" w:hAnsi="Times New Roman" w:eastAsia="Times New Roman"/>
          <w:snapToGrid w:val="0"/>
          <w:color w:val="000000"/>
          <w:w w:val="0"/>
          <w:kern w:val="0"/>
          <w:sz w:val="0"/>
          <w:szCs w:val="0"/>
          <w:u w:color="000000"/>
          <w:shd w:val="clear" w:color="000000" w:fill="000000"/>
          <w:lang w:val="zh-CN" w:bidi="zh-CN"/>
        </w:rPr>
        <w:t xml:space="preserve"> </w:t>
      </w:r>
      <w:r>
        <w:rPr>
          <w:rFonts w:hint="eastAsia" w:ascii="Times New Roman" w:hAnsi="Times New Roman" w:eastAsiaTheme="minorEastAsia"/>
          <w:snapToGrid w:val="0"/>
          <w:color w:val="000000"/>
          <w:w w:val="0"/>
          <w:kern w:val="0"/>
          <w:sz w:val="0"/>
          <w:szCs w:val="0"/>
          <w:u w:color="000000"/>
          <w:shd w:val="clear" w:color="000000" w:fill="000000"/>
          <w:lang w:val="zh-CN" w:bidi="zh-CN"/>
        </w:rPr>
        <w:t>、</w:t>
      </w:r>
    </w:p>
    <w:p>
      <w:pPr>
        <w:pStyle w:val="2"/>
        <w:ind w:firstLine="0" w:firstLineChars="0"/>
        <w:rPr>
          <w:rFonts w:ascii="Times New Roman" w:hAnsi="Times New Roman" w:eastAsiaTheme="minorEastAsia"/>
          <w:color w:val="000000" w:themeColor="text1"/>
          <w14:textFill>
            <w14:solidFill>
              <w14:schemeClr w14:val="tx1"/>
            </w14:solidFill>
          </w14:textFill>
        </w:rPr>
      </w:pPr>
    </w:p>
    <w:p/>
    <w:p>
      <w:pPr>
        <w:pStyle w:val="2"/>
        <w:ind w:firstLine="480"/>
      </w:pPr>
      <w:r>
        <w:drawing>
          <wp:inline distT="0" distB="0" distL="0" distR="0">
            <wp:extent cx="5274310" cy="7459345"/>
            <wp:effectExtent l="0" t="0" r="2540" b="8255"/>
            <wp:docPr id="3" name="图片 3" descr="I:\愉颖资料\愉颖资料\2-环评批复\启航加油站\img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愉颖资料\愉颖资料\2-环评批复\启航加油站\img30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drawing>
          <wp:inline distT="0" distB="0" distL="0" distR="0">
            <wp:extent cx="5274310" cy="7459345"/>
            <wp:effectExtent l="0" t="0" r="2540" b="8255"/>
            <wp:docPr id="10" name="图片 10" descr="I:\愉颖资料\愉颖资料\2-环评批复\启航加油站\img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愉颖资料\愉颖资料\2-环评批复\启航加油站\img30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drawing>
          <wp:inline distT="0" distB="0" distL="0" distR="0">
            <wp:extent cx="5274310" cy="7459345"/>
            <wp:effectExtent l="0" t="0" r="2540" b="8255"/>
            <wp:docPr id="18" name="图片 18" descr="I:\愉颖资料\愉颖资料\2-环评批复\启航加油站\img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愉颖资料\愉颖资料\2-环评批复\启航加油站\img30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drawing>
          <wp:inline distT="0" distB="0" distL="0" distR="0">
            <wp:extent cx="5274310" cy="7459345"/>
            <wp:effectExtent l="0" t="0" r="2540" b="8255"/>
            <wp:docPr id="20" name="图片 20" descr="I:\愉颖资料\愉颖资料\2-环评批复\启航加油站\img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愉颖资料\愉颖资料\2-环评批复\启航加油站\img30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drawing>
          <wp:inline distT="0" distB="0" distL="0" distR="0">
            <wp:extent cx="5274310" cy="7459345"/>
            <wp:effectExtent l="0" t="0" r="2540" b="8255"/>
            <wp:docPr id="19" name="图片 19" descr="I:\愉颖资料\愉颖资料\2-环评批复\启航加油站\img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愉颖资料\愉颖资料\2-环评批复\启航加油站\img304.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p>
    <w:p>
      <w: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14:textFill>
            <w14:solidFill>
              <w14:schemeClr w14:val="tx1"/>
            </w14:solidFill>
          </w14:textFill>
        </w:rPr>
      </w:pPr>
      <w:bookmarkStart w:id="1388" w:name="_Toc3662"/>
      <w:bookmarkStart w:id="1389" w:name="_Toc16550"/>
      <w:bookmarkStart w:id="1390" w:name="_Toc4461"/>
      <w:r>
        <w:rPr>
          <w:rFonts w:ascii="Times New Roman" w:hAnsi="Times New Roman" w:cs="Times New Roman"/>
          <w:b/>
          <w:bCs/>
          <w:color w:val="000000" w:themeColor="text1"/>
          <w:sz w:val="24"/>
          <w:szCs w:val="24"/>
          <w14:textFill>
            <w14:solidFill>
              <w14:schemeClr w14:val="tx1"/>
            </w14:solidFill>
          </w14:textFill>
        </w:rPr>
        <w:t>附件十</w:t>
      </w:r>
      <w:r>
        <w:rPr>
          <w:rFonts w:hint="eastAsia" w:ascii="Times New Roman" w:hAnsi="Times New Roman" w:cs="Times New Roman"/>
          <w:b/>
          <w:bCs/>
          <w:color w:val="000000" w:themeColor="text1"/>
          <w:sz w:val="24"/>
          <w:szCs w:val="24"/>
          <w:lang w:val="en-US" w:eastAsia="zh-CN"/>
          <w14:textFill>
            <w14:solidFill>
              <w14:schemeClr w14:val="tx1"/>
            </w14:solidFill>
          </w14:textFill>
        </w:rPr>
        <w:t>五</w:t>
      </w:r>
      <w:r>
        <w:rPr>
          <w:rFonts w:ascii="Times New Roman" w:hAnsi="Times New Roman" w:cs="Times New Roman"/>
          <w:b/>
          <w:bCs/>
          <w:color w:val="000000" w:themeColor="text1"/>
          <w:sz w:val="24"/>
          <w:szCs w:val="24"/>
          <w14:textFill>
            <w14:solidFill>
              <w14:schemeClr w14:val="tx1"/>
            </w14:solidFill>
          </w14:textFill>
        </w:rPr>
        <w:t>：</w:t>
      </w:r>
      <w:r>
        <w:rPr>
          <w:rFonts w:hint="eastAsia" w:ascii="Times New Roman" w:hAnsi="Times New Roman" w:cs="Times New Roman"/>
          <w:b/>
          <w:bCs/>
          <w:color w:val="000000" w:themeColor="text1"/>
          <w:sz w:val="24"/>
          <w:szCs w:val="24"/>
          <w14:textFill>
            <w14:solidFill>
              <w14:schemeClr w14:val="tx1"/>
            </w14:solidFill>
          </w14:textFill>
        </w:rPr>
        <w:t>危险废物处置单位处置资质</w:t>
      </w:r>
      <w:bookmarkEnd w:id="1388"/>
      <w:bookmarkEnd w:id="1389"/>
      <w:bookmarkEnd w:id="1390"/>
    </w:p>
    <w:p>
      <w:pPr>
        <w:rPr>
          <w:rFonts w:hint="eastAsia"/>
        </w:rPr>
      </w:pPr>
      <w:r>
        <w:rPr>
          <w:rFonts w:hint="eastAsia"/>
        </w:rPr>
        <w:drawing>
          <wp:inline distT="0" distB="0" distL="114300" distR="114300">
            <wp:extent cx="5269230" cy="7489825"/>
            <wp:effectExtent l="0" t="0" r="3810" b="8255"/>
            <wp:docPr id="68" name="图片 2" descr="QQ图片2018082914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descr="QQ图片20180829144646"/>
                    <pic:cNvPicPr>
                      <a:picLocks noChangeAspect="1"/>
                    </pic:cNvPicPr>
                  </pic:nvPicPr>
                  <pic:blipFill>
                    <a:blip r:embed="rId57"/>
                    <a:stretch>
                      <a:fillRect/>
                    </a:stretch>
                  </pic:blipFill>
                  <pic:spPr>
                    <a:xfrm>
                      <a:off x="0" y="0"/>
                      <a:ext cx="5269230" cy="7489825"/>
                    </a:xfrm>
                    <a:prstGeom prst="rect">
                      <a:avLst/>
                    </a:prstGeom>
                    <a:noFill/>
                    <a:ln>
                      <a:noFill/>
                    </a:ln>
                  </pic:spPr>
                </pic:pic>
              </a:graphicData>
            </a:graphic>
          </wp:inline>
        </w:drawing>
      </w:r>
    </w:p>
    <w:p>
      <w:pPr>
        <w:rPr>
          <w:rFonts w:hint="eastAsia"/>
        </w:rPr>
      </w:pPr>
      <w:r>
        <w:rPr>
          <w:rFonts w:hint="eastAsia"/>
        </w:rPr>
        <w:drawing>
          <wp:inline distT="0" distB="0" distL="114300" distR="114300">
            <wp:extent cx="5258435" cy="7795260"/>
            <wp:effectExtent l="0" t="0" r="14605" b="7620"/>
            <wp:docPr id="69" name="图片 3" descr="QQ图片2018082914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 descr="QQ图片20180829144655"/>
                    <pic:cNvPicPr>
                      <a:picLocks noChangeAspect="1"/>
                    </pic:cNvPicPr>
                  </pic:nvPicPr>
                  <pic:blipFill>
                    <a:blip r:embed="rId58"/>
                    <a:stretch>
                      <a:fillRect/>
                    </a:stretch>
                  </pic:blipFill>
                  <pic:spPr>
                    <a:xfrm>
                      <a:off x="0" y="0"/>
                      <a:ext cx="5258435" cy="7795260"/>
                    </a:xfrm>
                    <a:prstGeom prst="rect">
                      <a:avLst/>
                    </a:prstGeom>
                    <a:noFill/>
                    <a:ln>
                      <a:noFill/>
                    </a:ln>
                  </pic:spPr>
                </pic:pic>
              </a:graphicData>
            </a:graphic>
          </wp:inline>
        </w:drawing>
      </w:r>
    </w:p>
    <w:p>
      <w:pPr>
        <w:rPr>
          <w:rFonts w:hint="eastAsia"/>
        </w:rPr>
      </w:pPr>
      <w:r>
        <w:drawing>
          <wp:inline distT="0" distB="0" distL="114300" distR="114300">
            <wp:extent cx="5379085" cy="8965565"/>
            <wp:effectExtent l="0" t="0" r="635" b="10795"/>
            <wp:docPr id="70" name="图片 4" descr="QQ图片20180829144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descr="QQ图片201808291446520"/>
                    <pic:cNvPicPr>
                      <a:picLocks noChangeAspect="1"/>
                    </pic:cNvPicPr>
                  </pic:nvPicPr>
                  <pic:blipFill>
                    <a:blip r:embed="rId59"/>
                    <a:stretch>
                      <a:fillRect/>
                    </a:stretch>
                  </pic:blipFill>
                  <pic:spPr>
                    <a:xfrm>
                      <a:off x="0" y="0"/>
                      <a:ext cx="5379085" cy="8965565"/>
                    </a:xfrm>
                    <a:prstGeom prst="rect">
                      <a:avLst/>
                    </a:prstGeom>
                    <a:noFill/>
                    <a:ln>
                      <a:noFill/>
                    </a:ln>
                  </pic:spPr>
                </pic:pic>
              </a:graphicData>
            </a:graphic>
          </wp:inline>
        </w:drawing>
      </w:r>
    </w:p>
    <w:p>
      <w:pPr>
        <w:rPr>
          <w:rFonts w:hint="eastAsia"/>
        </w:rPr>
      </w:pPr>
      <w:r>
        <w:rPr>
          <w:rFonts w:hint="eastAsia"/>
        </w:rPr>
        <w:drawing>
          <wp:inline distT="0" distB="0" distL="114300" distR="114300">
            <wp:extent cx="5253355" cy="7292975"/>
            <wp:effectExtent l="0" t="0" r="4445" b="6985"/>
            <wp:docPr id="71" name="图片 5" descr="QQ图片2018082914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descr="QQ图片20180829144638"/>
                    <pic:cNvPicPr>
                      <a:picLocks noChangeAspect="1"/>
                    </pic:cNvPicPr>
                  </pic:nvPicPr>
                  <pic:blipFill>
                    <a:blip r:embed="rId60"/>
                    <a:stretch>
                      <a:fillRect/>
                    </a:stretch>
                  </pic:blipFill>
                  <pic:spPr>
                    <a:xfrm>
                      <a:off x="0" y="0"/>
                      <a:ext cx="5253355" cy="7292975"/>
                    </a:xfrm>
                    <a:prstGeom prst="rect">
                      <a:avLst/>
                    </a:prstGeom>
                    <a:noFill/>
                    <a:ln>
                      <a:noFill/>
                    </a:ln>
                  </pic:spPr>
                </pic:pic>
              </a:graphicData>
            </a:graphic>
          </wp:inline>
        </w:drawing>
      </w:r>
    </w:p>
    <w:p>
      <w:pPr>
        <w:rPr>
          <w:rFonts w:hint="eastAsia"/>
        </w:rPr>
      </w:pPr>
      <w:r>
        <w:rPr>
          <w:rFonts w:hint="eastAsia"/>
        </w:rPr>
        <w:drawing>
          <wp:inline distT="0" distB="0" distL="114300" distR="114300">
            <wp:extent cx="5257800" cy="7507605"/>
            <wp:effectExtent l="0" t="0" r="0" b="5715"/>
            <wp:docPr id="72" name="图片 6" descr="QQ图片2018082914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 descr="QQ图片20180829144634"/>
                    <pic:cNvPicPr>
                      <a:picLocks noChangeAspect="1"/>
                    </pic:cNvPicPr>
                  </pic:nvPicPr>
                  <pic:blipFill>
                    <a:blip r:embed="rId61"/>
                    <a:stretch>
                      <a:fillRect/>
                    </a:stretch>
                  </pic:blipFill>
                  <pic:spPr>
                    <a:xfrm>
                      <a:off x="0" y="0"/>
                      <a:ext cx="5257800" cy="7507605"/>
                    </a:xfrm>
                    <a:prstGeom prst="rect">
                      <a:avLst/>
                    </a:prstGeom>
                    <a:noFill/>
                    <a:ln>
                      <a:noFill/>
                    </a:ln>
                  </pic:spPr>
                </pic:pic>
              </a:graphicData>
            </a:graphic>
          </wp:inline>
        </w:drawing>
      </w:r>
    </w:p>
    <w:p>
      <w:pPr>
        <w:rPr>
          <w:rFonts w:hint="eastAsia" w:eastAsia="宋体"/>
          <w:lang w:eastAsia="zh-CN"/>
        </w:rPr>
      </w:pPr>
      <w:r>
        <w:rPr>
          <w:rFonts w:hint="eastAsia"/>
        </w:rPr>
        <w:drawing>
          <wp:inline distT="0" distB="0" distL="114300" distR="114300">
            <wp:extent cx="5264150" cy="7513320"/>
            <wp:effectExtent l="0" t="0" r="8890" b="0"/>
            <wp:docPr id="73" name="图片 73" descr="QQ图片2018082914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QQ图片20180829144642"/>
                    <pic:cNvPicPr>
                      <a:picLocks noChangeAspect="1"/>
                    </pic:cNvPicPr>
                  </pic:nvPicPr>
                  <pic:blipFill>
                    <a:blip r:embed="rId62"/>
                    <a:stretch>
                      <a:fillRect/>
                    </a:stretch>
                  </pic:blipFill>
                  <pic:spPr>
                    <a:xfrm>
                      <a:off x="0" y="0"/>
                      <a:ext cx="5264150" cy="7513320"/>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0975" cy="7761605"/>
            <wp:effectExtent l="0" t="0" r="12065" b="10795"/>
            <wp:docPr id="74" name="图片 8" descr="QQ图片2018082914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8" descr="QQ图片20180829144649"/>
                    <pic:cNvPicPr>
                      <a:picLocks noChangeAspect="1"/>
                    </pic:cNvPicPr>
                  </pic:nvPicPr>
                  <pic:blipFill>
                    <a:blip r:embed="rId63"/>
                    <a:stretch>
                      <a:fillRect/>
                    </a:stretch>
                  </pic:blipFill>
                  <pic:spPr>
                    <a:xfrm>
                      <a:off x="0" y="0"/>
                      <a:ext cx="5260975" cy="7761605"/>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6690" cy="3825875"/>
            <wp:effectExtent l="0" t="0" r="6350" b="14605"/>
            <wp:docPr id="75" name="图片 9" descr="QQ图片2018082914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 descr="QQ图片20180829144619"/>
                    <pic:cNvPicPr>
                      <a:picLocks noChangeAspect="1"/>
                    </pic:cNvPicPr>
                  </pic:nvPicPr>
                  <pic:blipFill>
                    <a:blip r:embed="rId64"/>
                    <a:stretch>
                      <a:fillRect/>
                    </a:stretch>
                  </pic:blipFill>
                  <pic:spPr>
                    <a:xfrm>
                      <a:off x="0" y="0"/>
                      <a:ext cx="5266690" cy="3825875"/>
                    </a:xfrm>
                    <a:prstGeom prst="rect">
                      <a:avLst/>
                    </a:prstGeom>
                    <a:noFill/>
                    <a:ln>
                      <a:noFill/>
                    </a:ln>
                  </pic:spPr>
                </pic:pic>
              </a:graphicData>
            </a:graphic>
          </wp:inline>
        </w:drawing>
      </w:r>
    </w:p>
    <w:p>
      <w:pPr>
        <w:rPr>
          <w:rFonts w:hint="eastAsia"/>
        </w:rPr>
      </w:pPr>
      <w:r>
        <w:drawing>
          <wp:inline distT="0" distB="0" distL="0" distR="0">
            <wp:extent cx="5274310" cy="7251700"/>
            <wp:effectExtent l="0" t="0" r="13970" b="2540"/>
            <wp:docPr id="76" name="图片 76" descr="C:\Users\jxdz\Desktop\2017.12清罐合同\河南省防腐\资质\黑白营业执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C:\Users\jxdz\Desktop\2017.12清罐合同\河南省防腐\资质\黑白营业执照.jpg"/>
                    <pic:cNvPicPr>
                      <a:picLocks noChangeAspect="1" noChangeArrowheads="1"/>
                    </pic:cNvPicPr>
                  </pic:nvPicPr>
                  <pic:blipFill>
                    <a:blip r:embed="rId65" cstate="print"/>
                    <a:srcRect/>
                    <a:stretch>
                      <a:fillRect/>
                    </a:stretch>
                  </pic:blipFill>
                  <pic:spPr>
                    <a:xfrm>
                      <a:off x="0" y="0"/>
                      <a:ext cx="5274310" cy="7252176"/>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198360"/>
            <wp:effectExtent l="0" t="0" r="13970" b="10160"/>
            <wp:docPr id="77" name="图片 77" descr="C:\Users\jxdz\Desktop\2017.12清罐合同\河南省防腐\资质\安全生产许可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C:\Users\jxdz\Desktop\2017.12清罐合同\河南省防腐\资质\安全生产许可证.jpg"/>
                    <pic:cNvPicPr>
                      <a:picLocks noChangeAspect="1" noChangeArrowheads="1"/>
                    </pic:cNvPicPr>
                  </pic:nvPicPr>
                  <pic:blipFill>
                    <a:blip r:embed="rId66" cstate="print"/>
                    <a:srcRect/>
                    <a:stretch>
                      <a:fillRect/>
                    </a:stretch>
                  </pic:blipFill>
                  <pic:spPr>
                    <a:xfrm>
                      <a:off x="0" y="0"/>
                      <a:ext cx="5274310" cy="7198900"/>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360285"/>
            <wp:effectExtent l="0" t="0" r="13970" b="635"/>
            <wp:docPr id="78" name="图片 78" descr="C:\Users\jxdz\Desktop\2017.12清罐合同\河南省防腐\资质\资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jxdz\Desktop\2017.12清罐合同\河南省防腐\资质\资质.jpg"/>
                    <pic:cNvPicPr>
                      <a:picLocks noChangeAspect="1" noChangeArrowheads="1"/>
                    </pic:cNvPicPr>
                  </pic:nvPicPr>
                  <pic:blipFill>
                    <a:blip r:embed="rId67" cstate="print"/>
                    <a:srcRect/>
                    <a:stretch>
                      <a:fillRect/>
                    </a:stretch>
                  </pic:blipFill>
                  <pic:spPr>
                    <a:xfrm>
                      <a:off x="0" y="0"/>
                      <a:ext cx="5274310" cy="7360418"/>
                    </a:xfrm>
                    <a:prstGeom prst="rect">
                      <a:avLst/>
                    </a:prstGeom>
                    <a:noFill/>
                    <a:ln w="9525">
                      <a:noFill/>
                      <a:miter lim="800000"/>
                      <a:headEnd/>
                      <a:tailEnd/>
                    </a:ln>
                  </pic:spPr>
                </pic:pic>
              </a:graphicData>
            </a:graphic>
          </wp:inline>
        </w:drawing>
      </w:r>
    </w:p>
    <w:p>
      <w:r>
        <w:drawing>
          <wp:inline distT="0" distB="0" distL="0" distR="0">
            <wp:extent cx="5274310" cy="7235190"/>
            <wp:effectExtent l="0" t="0" r="13970" b="3810"/>
            <wp:docPr id="79" name="图片 79" descr="C:\Users\jxdz\Desktop\2017.12清罐合同\河南省防腐\资质\资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C:\Users\jxdz\Desktop\2017.12清罐合同\河南省防腐\资质\资质2.jpg"/>
                    <pic:cNvPicPr>
                      <a:picLocks noChangeAspect="1" noChangeArrowheads="1"/>
                    </pic:cNvPicPr>
                  </pic:nvPicPr>
                  <pic:blipFill>
                    <a:blip r:embed="rId68" cstate="print"/>
                    <a:srcRect/>
                    <a:stretch>
                      <a:fillRect/>
                    </a:stretch>
                  </pic:blipFill>
                  <pic:spPr>
                    <a:xfrm>
                      <a:off x="0" y="0"/>
                      <a:ext cx="5274310" cy="7235776"/>
                    </a:xfrm>
                    <a:prstGeom prst="rect">
                      <a:avLst/>
                    </a:prstGeom>
                    <a:noFill/>
                    <a:ln w="9525">
                      <a:noFill/>
                      <a:miter lim="800000"/>
                      <a:headEnd/>
                      <a:tailEnd/>
                    </a:ln>
                  </pic:spPr>
                </pic:pic>
              </a:graphicData>
            </a:graphic>
          </wp:inline>
        </w:drawing>
      </w:r>
    </w:p>
    <w:p>
      <w:r>
        <w:rPr>
          <w:rFonts w:hint="eastAsia"/>
          <w:lang w:eastAsia="zh-CN"/>
        </w:rPr>
        <w:drawing>
          <wp:inline distT="0" distB="0" distL="114300" distR="114300">
            <wp:extent cx="6171565" cy="4639945"/>
            <wp:effectExtent l="0" t="0" r="635" b="8255"/>
            <wp:docPr id="80" name="图片 80" descr="危险废物运输处置合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危险废物运输处置合同"/>
                    <pic:cNvPicPr>
                      <a:picLocks noChangeAspect="1"/>
                    </pic:cNvPicPr>
                  </pic:nvPicPr>
                  <pic:blipFill>
                    <a:blip r:embed="rId69"/>
                    <a:stretch>
                      <a:fillRect/>
                    </a:stretch>
                  </pic:blipFill>
                  <pic:spPr>
                    <a:xfrm>
                      <a:off x="0" y="0"/>
                      <a:ext cx="6171565" cy="4639945"/>
                    </a:xfrm>
                    <a:prstGeom prst="rect">
                      <a:avLst/>
                    </a:prstGeom>
                  </pic:spPr>
                </pic:pic>
              </a:graphicData>
            </a:graphic>
          </wp:inline>
        </w:drawing>
      </w:r>
    </w:p>
    <w:sectPr>
      <w:pgSz w:w="11906" w:h="16838"/>
      <w:pgMar w:top="1440" w:right="1800" w:bottom="1440" w:left="1800" w:header="851" w:footer="992" w:gutter="0"/>
      <w:pgNumType w:fmt="upperRoma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72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Dd0n8CEAIAAAkEAAAOAAAAAAAAAAEAIAAA&#10;AB8BAABkcnMvZTJvRG9jLnhtbFBLBQYAAAAABgAGAFkBAAChBQAAAAA=&#10;">
              <v:fill on="f" focussize="0,0"/>
              <v:stroke on="f" weight="0.5pt"/>
              <v:imagedata o:title=""/>
              <o:lock v:ext="edit" aspectratio="f"/>
              <v:textbox inset="0mm,0mm,0mm,0mm" style="mso-fit-shape-to-text:t;">
                <w:txbxContent>
                  <w:p>
                    <w:pPr>
                      <w:pStyle w:val="10"/>
                    </w:pPr>
                    <w:r>
                      <w:rPr>
                        <w:rFonts w:hint="eastAsia"/>
                      </w:rPr>
                      <w:fldChar w:fldCharType="begin"/>
                    </w:r>
                    <w:r>
                      <w:rPr>
                        <w:rFonts w:hint="eastAsia"/>
                      </w:rPr>
                      <w:instrText xml:space="preserve"> PAGE  \* MERGEFORMAT </w:instrText>
                    </w:r>
                    <w:r>
                      <w:rPr>
                        <w:rFonts w:hint="eastAsia"/>
                      </w:rPr>
                      <w:fldChar w:fldCharType="separate"/>
                    </w:r>
                    <w:r>
                      <w:t>21</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rPr>
                              <w:rFonts w:hint="eastAsia"/>
                            </w:rPr>
                            <w:fldChar w:fldCharType="begin"/>
                          </w:r>
                          <w:r>
                            <w:rPr>
                              <w:rFonts w:hint="eastAsia"/>
                            </w:rPr>
                            <w:instrText xml:space="preserve"> PAGE  \* MERGEFORMAT </w:instrText>
                          </w:r>
                          <w:r>
                            <w:rPr>
                              <w:rFonts w:hint="eastAsia"/>
                            </w:rPr>
                            <w:fldChar w:fldCharType="separate"/>
                          </w:r>
                          <w:r>
                            <w:t>IV</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AlBIrCEAIAAAkEAAAOAAAAAAAAAAEAIAAA&#10;AB8BAABkcnMvZTJvRG9jLnhtbFBLBQYAAAAABgAGAFkBAAChBQAAAAA=&#10;">
              <v:fill on="f" focussize="0,0"/>
              <v:stroke on="f" weight="0.5pt"/>
              <v:imagedata o:title=""/>
              <o:lock v:ext="edit" aspectratio="f"/>
              <v:textbox inset="0mm,0mm,0mm,0mm" style="mso-fit-shape-to-text:t;">
                <w:txbxContent>
                  <w:p>
                    <w:pPr>
                      <w:pStyle w:val="10"/>
                    </w:pPr>
                    <w:r>
                      <w:rPr>
                        <w:rFonts w:hint="eastAsia"/>
                      </w:rPr>
                      <w:fldChar w:fldCharType="begin"/>
                    </w:r>
                    <w:r>
                      <w:rPr>
                        <w:rFonts w:hint="eastAsia"/>
                      </w:rPr>
                      <w:instrText xml:space="preserve"> PAGE  \* MERGEFORMAT </w:instrText>
                    </w:r>
                    <w:r>
                      <w:rPr>
                        <w:rFonts w:hint="eastAsia"/>
                      </w:rPr>
                      <w:fldChar w:fldCharType="separate"/>
                    </w:r>
                    <w:r>
                      <w:t>IV</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仿宋" w:hAnsi="仿宋" w:eastAsia="仿宋" w:cs="仿宋"/>
        <w:bCs/>
        <w:szCs w:val="21"/>
      </w:rPr>
      <w:t>中国石油天然气股份有限公司江西南昌启航加油站突发环境事件应急预案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529A"/>
    <w:multiLevelType w:val="multilevel"/>
    <w:tmpl w:val="007C529A"/>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1A91FC95"/>
    <w:multiLevelType w:val="singleLevel"/>
    <w:tmpl w:val="1A91FC95"/>
    <w:lvl w:ilvl="0" w:tentative="0">
      <w:start w:val="2"/>
      <w:numFmt w:val="decimal"/>
      <w:suff w:val="nothing"/>
      <w:lvlText w:val="（%1）"/>
      <w:lvlJc w:val="left"/>
    </w:lvl>
  </w:abstractNum>
  <w:abstractNum w:abstractNumId="2">
    <w:nsid w:val="1B357E7E"/>
    <w:multiLevelType w:val="multilevel"/>
    <w:tmpl w:val="1B357E7E"/>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3971606A"/>
    <w:multiLevelType w:val="multilevel"/>
    <w:tmpl w:val="3971606A"/>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7CE7A53"/>
    <w:multiLevelType w:val="multilevel"/>
    <w:tmpl w:val="77CE7A53"/>
    <w:lvl w:ilvl="0" w:tentative="0">
      <w:start w:val="1"/>
      <w:numFmt w:val="decimal"/>
      <w:pStyle w:val="32"/>
      <w:lvlText w:val="%1."/>
      <w:lvlJc w:val="left"/>
      <w:pPr>
        <w:ind w:left="425" w:hanging="425"/>
      </w:pPr>
      <w:rPr>
        <w:rFonts w:hint="default" w:ascii="Times New Roman" w:hAnsi="Times New Roman" w:eastAsia="宋体"/>
        <w:u w:val="none"/>
      </w:rPr>
    </w:lvl>
    <w:lvl w:ilvl="1" w:tentative="0">
      <w:start w:val="0"/>
      <w:numFmt w:val="none"/>
      <w:lvlText w:val=""/>
      <w:lvlJc w:val="left"/>
      <w:pPr>
        <w:tabs>
          <w:tab w:val="left" w:pos="360"/>
        </w:tabs>
      </w:pPr>
      <w:rPr>
        <w:rFonts w:hint="default" w:ascii="Times New Roman" w:hAnsi="Times New Roman" w:eastAsia="宋体"/>
        <w:u w:val="none"/>
      </w:rPr>
    </w:lvl>
    <w:lvl w:ilvl="2" w:tentative="0">
      <w:start w:val="0"/>
      <w:numFmt w:val="none"/>
      <w:lvlText w:val=""/>
      <w:lvlJc w:val="left"/>
      <w:pPr>
        <w:tabs>
          <w:tab w:val="left" w:pos="360"/>
        </w:tabs>
      </w:pPr>
      <w:rPr>
        <w:rFonts w:hint="default" w:ascii="Times New Roman" w:hAnsi="Times New Roman" w:eastAsia="宋体"/>
        <w:u w:val="none"/>
      </w:rPr>
    </w:lvl>
    <w:lvl w:ilvl="3" w:tentative="0">
      <w:start w:val="0"/>
      <w:numFmt w:val="none"/>
      <w:lvlText w:val=""/>
      <w:lvlJc w:val="left"/>
      <w:pPr>
        <w:tabs>
          <w:tab w:val="left" w:pos="360"/>
        </w:tabs>
      </w:pPr>
      <w:rPr>
        <w:rFonts w:hint="default" w:ascii="Times New Roman" w:hAnsi="Times New Roman" w:eastAsia="宋体"/>
        <w:u w:val="none"/>
      </w:rPr>
    </w:lvl>
    <w:lvl w:ilvl="4" w:tentative="0">
      <w:start w:val="1"/>
      <w:numFmt w:val="decimal"/>
      <w:lvlText w:val=""/>
      <w:lvlJc w:val="left"/>
      <w:pPr>
        <w:ind w:left="992" w:hanging="992"/>
      </w:pPr>
      <w:rPr>
        <w:rFonts w:hint="default" w:ascii="Times New Roman" w:hAnsi="Times New Roman" w:eastAsia="宋体"/>
        <w:u w:val="none"/>
      </w:rPr>
    </w:lvl>
    <w:lvl w:ilvl="5" w:tentative="0">
      <w:start w:val="0"/>
      <w:numFmt w:val="none"/>
      <w:lvlText w:val=""/>
      <w:lvlJc w:val="left"/>
      <w:pPr>
        <w:tabs>
          <w:tab w:val="left" w:pos="360"/>
        </w:tabs>
      </w:pPr>
      <w:rPr>
        <w:rFonts w:hint="default" w:ascii="Times New Roman" w:hAnsi="Times New Roman" w:eastAsia="宋体"/>
        <w:u w:val="none"/>
      </w:rPr>
    </w:lvl>
    <w:lvl w:ilvl="6" w:tentative="0">
      <w:start w:val="0"/>
      <w:numFmt w:val="none"/>
      <w:lvlText w:val=""/>
      <w:lvlJc w:val="left"/>
      <w:pPr>
        <w:tabs>
          <w:tab w:val="left" w:pos="360"/>
        </w:tabs>
      </w:pPr>
      <w:rPr>
        <w:rFonts w:hint="default" w:ascii="Times New Roman" w:hAnsi="Times New Roman" w:eastAsia="宋体"/>
        <w:u w:val="none"/>
      </w:rPr>
    </w:lvl>
    <w:lvl w:ilvl="7" w:tentative="0">
      <w:start w:val="0"/>
      <w:numFmt w:val="none"/>
      <w:lvlText w:val=""/>
      <w:lvlJc w:val="left"/>
      <w:pPr>
        <w:tabs>
          <w:tab w:val="left" w:pos="360"/>
        </w:tabs>
      </w:pPr>
      <w:rPr>
        <w:rFonts w:hint="default" w:ascii="Times New Roman" w:hAnsi="Times New Roman" w:eastAsia="宋体"/>
        <w:u w:val="none"/>
      </w:rPr>
    </w:lvl>
    <w:lvl w:ilvl="8" w:tentative="0">
      <w:start w:val="0"/>
      <w:numFmt w:val="none"/>
      <w:lvlText w:val=""/>
      <w:lvlJc w:val="left"/>
      <w:pPr>
        <w:tabs>
          <w:tab w:val="left" w:pos="360"/>
        </w:tabs>
      </w:pPr>
      <w:rPr>
        <w:rFonts w:hint="default" w:ascii="Times New Roman" w:hAnsi="Times New Roman" w:eastAsia="宋体"/>
        <w:u w:val="none"/>
      </w:r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F58"/>
    <w:rsid w:val="0000021B"/>
    <w:rsid w:val="00004310"/>
    <w:rsid w:val="00011736"/>
    <w:rsid w:val="00013AC2"/>
    <w:rsid w:val="00014559"/>
    <w:rsid w:val="0001560C"/>
    <w:rsid w:val="00017946"/>
    <w:rsid w:val="000222CF"/>
    <w:rsid w:val="00025B61"/>
    <w:rsid w:val="00031DAC"/>
    <w:rsid w:val="00060575"/>
    <w:rsid w:val="000614E9"/>
    <w:rsid w:val="0007516D"/>
    <w:rsid w:val="000811FB"/>
    <w:rsid w:val="00096B3B"/>
    <w:rsid w:val="000C11BB"/>
    <w:rsid w:val="000C1878"/>
    <w:rsid w:val="000D1713"/>
    <w:rsid w:val="000D359F"/>
    <w:rsid w:val="000D7CBE"/>
    <w:rsid w:val="000E7350"/>
    <w:rsid w:val="000E7A94"/>
    <w:rsid w:val="000F3837"/>
    <w:rsid w:val="00111939"/>
    <w:rsid w:val="001226A3"/>
    <w:rsid w:val="001311FA"/>
    <w:rsid w:val="0013787D"/>
    <w:rsid w:val="00142F58"/>
    <w:rsid w:val="0014569D"/>
    <w:rsid w:val="0015499A"/>
    <w:rsid w:val="00163857"/>
    <w:rsid w:val="00174AAA"/>
    <w:rsid w:val="00175B00"/>
    <w:rsid w:val="00191C35"/>
    <w:rsid w:val="001A79D2"/>
    <w:rsid w:val="001B1127"/>
    <w:rsid w:val="001B6C38"/>
    <w:rsid w:val="001B7A2E"/>
    <w:rsid w:val="001C1714"/>
    <w:rsid w:val="001C4720"/>
    <w:rsid w:val="001E168D"/>
    <w:rsid w:val="001E7C1C"/>
    <w:rsid w:val="001F2C7E"/>
    <w:rsid w:val="00230985"/>
    <w:rsid w:val="00231E40"/>
    <w:rsid w:val="002626B4"/>
    <w:rsid w:val="00280BDA"/>
    <w:rsid w:val="002A0CA0"/>
    <w:rsid w:val="002A69D4"/>
    <w:rsid w:val="002B4F07"/>
    <w:rsid w:val="002C3F52"/>
    <w:rsid w:val="002D1939"/>
    <w:rsid w:val="002E0060"/>
    <w:rsid w:val="002E7AC1"/>
    <w:rsid w:val="002F25AA"/>
    <w:rsid w:val="002F6B2D"/>
    <w:rsid w:val="00304146"/>
    <w:rsid w:val="00310223"/>
    <w:rsid w:val="003265AA"/>
    <w:rsid w:val="0033172D"/>
    <w:rsid w:val="003350DF"/>
    <w:rsid w:val="00335A3B"/>
    <w:rsid w:val="003415ED"/>
    <w:rsid w:val="00346831"/>
    <w:rsid w:val="00347260"/>
    <w:rsid w:val="003514C4"/>
    <w:rsid w:val="00357626"/>
    <w:rsid w:val="003740E6"/>
    <w:rsid w:val="00387E97"/>
    <w:rsid w:val="00393801"/>
    <w:rsid w:val="00395454"/>
    <w:rsid w:val="003A46E8"/>
    <w:rsid w:val="003A4B32"/>
    <w:rsid w:val="003C0926"/>
    <w:rsid w:val="003C1426"/>
    <w:rsid w:val="003C35EA"/>
    <w:rsid w:val="003F6210"/>
    <w:rsid w:val="00401428"/>
    <w:rsid w:val="00405F38"/>
    <w:rsid w:val="004112C3"/>
    <w:rsid w:val="00420537"/>
    <w:rsid w:val="004309C6"/>
    <w:rsid w:val="00432311"/>
    <w:rsid w:val="00435D2D"/>
    <w:rsid w:val="00442E78"/>
    <w:rsid w:val="00453560"/>
    <w:rsid w:val="00456002"/>
    <w:rsid w:val="00457BAE"/>
    <w:rsid w:val="004857F0"/>
    <w:rsid w:val="00491073"/>
    <w:rsid w:val="004C16B4"/>
    <w:rsid w:val="004E12A6"/>
    <w:rsid w:val="004E5224"/>
    <w:rsid w:val="004E7733"/>
    <w:rsid w:val="004F699B"/>
    <w:rsid w:val="00502039"/>
    <w:rsid w:val="00510696"/>
    <w:rsid w:val="005111DA"/>
    <w:rsid w:val="00512594"/>
    <w:rsid w:val="00512DC5"/>
    <w:rsid w:val="005206E8"/>
    <w:rsid w:val="00531A08"/>
    <w:rsid w:val="0054068B"/>
    <w:rsid w:val="0054765B"/>
    <w:rsid w:val="00561265"/>
    <w:rsid w:val="00561E8B"/>
    <w:rsid w:val="00570191"/>
    <w:rsid w:val="005720B5"/>
    <w:rsid w:val="00577881"/>
    <w:rsid w:val="00585E08"/>
    <w:rsid w:val="00596383"/>
    <w:rsid w:val="005A77B1"/>
    <w:rsid w:val="005B1ABE"/>
    <w:rsid w:val="005C285C"/>
    <w:rsid w:val="005C38A6"/>
    <w:rsid w:val="005C43EB"/>
    <w:rsid w:val="005C765D"/>
    <w:rsid w:val="005D601F"/>
    <w:rsid w:val="005D7581"/>
    <w:rsid w:val="005E1805"/>
    <w:rsid w:val="005E3C3A"/>
    <w:rsid w:val="005E5248"/>
    <w:rsid w:val="005F4680"/>
    <w:rsid w:val="00624AB9"/>
    <w:rsid w:val="00635309"/>
    <w:rsid w:val="0064177C"/>
    <w:rsid w:val="00641A1B"/>
    <w:rsid w:val="006560D6"/>
    <w:rsid w:val="00663EF7"/>
    <w:rsid w:val="00667FB4"/>
    <w:rsid w:val="00687543"/>
    <w:rsid w:val="006876AF"/>
    <w:rsid w:val="006A3EE1"/>
    <w:rsid w:val="006A5524"/>
    <w:rsid w:val="006A58EB"/>
    <w:rsid w:val="006A6F9C"/>
    <w:rsid w:val="006B3F9F"/>
    <w:rsid w:val="006B5C4E"/>
    <w:rsid w:val="006C0C8C"/>
    <w:rsid w:val="006C43CE"/>
    <w:rsid w:val="006F09AE"/>
    <w:rsid w:val="006F0BB7"/>
    <w:rsid w:val="006F7ADB"/>
    <w:rsid w:val="00711BC0"/>
    <w:rsid w:val="00713808"/>
    <w:rsid w:val="00715A30"/>
    <w:rsid w:val="007306F2"/>
    <w:rsid w:val="007630EB"/>
    <w:rsid w:val="00767013"/>
    <w:rsid w:val="00796E3D"/>
    <w:rsid w:val="00796F90"/>
    <w:rsid w:val="007A04B3"/>
    <w:rsid w:val="007A1810"/>
    <w:rsid w:val="007B18E0"/>
    <w:rsid w:val="007B58AE"/>
    <w:rsid w:val="007C0EFA"/>
    <w:rsid w:val="007D59CC"/>
    <w:rsid w:val="007D623B"/>
    <w:rsid w:val="007E2AC8"/>
    <w:rsid w:val="00801EFC"/>
    <w:rsid w:val="00802CBD"/>
    <w:rsid w:val="00810696"/>
    <w:rsid w:val="00814139"/>
    <w:rsid w:val="0082243E"/>
    <w:rsid w:val="008254B4"/>
    <w:rsid w:val="00836727"/>
    <w:rsid w:val="00840321"/>
    <w:rsid w:val="00844655"/>
    <w:rsid w:val="00865EDC"/>
    <w:rsid w:val="00867378"/>
    <w:rsid w:val="00871363"/>
    <w:rsid w:val="00881AF4"/>
    <w:rsid w:val="00883960"/>
    <w:rsid w:val="00885CEC"/>
    <w:rsid w:val="008A34B0"/>
    <w:rsid w:val="008C6C83"/>
    <w:rsid w:val="008D3C3D"/>
    <w:rsid w:val="008D6A07"/>
    <w:rsid w:val="008E168D"/>
    <w:rsid w:val="008E3DA3"/>
    <w:rsid w:val="008E552E"/>
    <w:rsid w:val="00903B42"/>
    <w:rsid w:val="00906D77"/>
    <w:rsid w:val="00921D8B"/>
    <w:rsid w:val="00927117"/>
    <w:rsid w:val="00933AD0"/>
    <w:rsid w:val="0094393F"/>
    <w:rsid w:val="0094552E"/>
    <w:rsid w:val="00947982"/>
    <w:rsid w:val="00950268"/>
    <w:rsid w:val="009666E5"/>
    <w:rsid w:val="009707F9"/>
    <w:rsid w:val="00971514"/>
    <w:rsid w:val="00977695"/>
    <w:rsid w:val="0098446D"/>
    <w:rsid w:val="0099085A"/>
    <w:rsid w:val="009935DE"/>
    <w:rsid w:val="00997C86"/>
    <w:rsid w:val="009B1A28"/>
    <w:rsid w:val="009B2D43"/>
    <w:rsid w:val="009C265A"/>
    <w:rsid w:val="009C29A1"/>
    <w:rsid w:val="009C33DD"/>
    <w:rsid w:val="009E384A"/>
    <w:rsid w:val="009F67F2"/>
    <w:rsid w:val="00A30FFB"/>
    <w:rsid w:val="00A33B32"/>
    <w:rsid w:val="00A4139F"/>
    <w:rsid w:val="00A730F9"/>
    <w:rsid w:val="00A76773"/>
    <w:rsid w:val="00A80D20"/>
    <w:rsid w:val="00A918A0"/>
    <w:rsid w:val="00A92B4B"/>
    <w:rsid w:val="00A95D73"/>
    <w:rsid w:val="00AA4C06"/>
    <w:rsid w:val="00AD51B8"/>
    <w:rsid w:val="00B06B71"/>
    <w:rsid w:val="00B21633"/>
    <w:rsid w:val="00B237AE"/>
    <w:rsid w:val="00B241DA"/>
    <w:rsid w:val="00B415AF"/>
    <w:rsid w:val="00B64BE4"/>
    <w:rsid w:val="00B65899"/>
    <w:rsid w:val="00B703A9"/>
    <w:rsid w:val="00B813E8"/>
    <w:rsid w:val="00B85FA7"/>
    <w:rsid w:val="00B936B1"/>
    <w:rsid w:val="00B95496"/>
    <w:rsid w:val="00B97404"/>
    <w:rsid w:val="00BA21B0"/>
    <w:rsid w:val="00BB5C84"/>
    <w:rsid w:val="00BB7B93"/>
    <w:rsid w:val="00BD2EC1"/>
    <w:rsid w:val="00BD7E54"/>
    <w:rsid w:val="00BF3384"/>
    <w:rsid w:val="00C0051A"/>
    <w:rsid w:val="00C06272"/>
    <w:rsid w:val="00C105B7"/>
    <w:rsid w:val="00C22B96"/>
    <w:rsid w:val="00C242DC"/>
    <w:rsid w:val="00C31306"/>
    <w:rsid w:val="00C35F06"/>
    <w:rsid w:val="00C448C8"/>
    <w:rsid w:val="00C452B4"/>
    <w:rsid w:val="00C47FBE"/>
    <w:rsid w:val="00C50AEA"/>
    <w:rsid w:val="00C747C2"/>
    <w:rsid w:val="00C85E89"/>
    <w:rsid w:val="00CA5D6B"/>
    <w:rsid w:val="00CA67E1"/>
    <w:rsid w:val="00CB43F6"/>
    <w:rsid w:val="00CB5609"/>
    <w:rsid w:val="00CF04B6"/>
    <w:rsid w:val="00CF44A9"/>
    <w:rsid w:val="00CF5999"/>
    <w:rsid w:val="00D05D19"/>
    <w:rsid w:val="00D24B0D"/>
    <w:rsid w:val="00D559D7"/>
    <w:rsid w:val="00D61B94"/>
    <w:rsid w:val="00D7079D"/>
    <w:rsid w:val="00D96513"/>
    <w:rsid w:val="00DA67D3"/>
    <w:rsid w:val="00DA68C1"/>
    <w:rsid w:val="00DB16A0"/>
    <w:rsid w:val="00DB39BB"/>
    <w:rsid w:val="00DB6F46"/>
    <w:rsid w:val="00DC46B0"/>
    <w:rsid w:val="00DC4A1E"/>
    <w:rsid w:val="00DC4A95"/>
    <w:rsid w:val="00DC676D"/>
    <w:rsid w:val="00DD4F41"/>
    <w:rsid w:val="00DE7916"/>
    <w:rsid w:val="00DF158D"/>
    <w:rsid w:val="00E0249B"/>
    <w:rsid w:val="00E03D53"/>
    <w:rsid w:val="00E10FF4"/>
    <w:rsid w:val="00E13537"/>
    <w:rsid w:val="00E14E10"/>
    <w:rsid w:val="00E22A2D"/>
    <w:rsid w:val="00E22C34"/>
    <w:rsid w:val="00E255A3"/>
    <w:rsid w:val="00E255E1"/>
    <w:rsid w:val="00E3445F"/>
    <w:rsid w:val="00E436F0"/>
    <w:rsid w:val="00E55358"/>
    <w:rsid w:val="00E64831"/>
    <w:rsid w:val="00E74028"/>
    <w:rsid w:val="00E7666A"/>
    <w:rsid w:val="00E77761"/>
    <w:rsid w:val="00E8296C"/>
    <w:rsid w:val="00E93E24"/>
    <w:rsid w:val="00E94BEB"/>
    <w:rsid w:val="00E9507C"/>
    <w:rsid w:val="00E97756"/>
    <w:rsid w:val="00EA30A9"/>
    <w:rsid w:val="00EB063C"/>
    <w:rsid w:val="00EB362B"/>
    <w:rsid w:val="00EB6638"/>
    <w:rsid w:val="00EC2292"/>
    <w:rsid w:val="00EC3D70"/>
    <w:rsid w:val="00EC4402"/>
    <w:rsid w:val="00EC682E"/>
    <w:rsid w:val="00ED7B68"/>
    <w:rsid w:val="00EE53F1"/>
    <w:rsid w:val="00EE6A54"/>
    <w:rsid w:val="00EF0F3D"/>
    <w:rsid w:val="00EF19DF"/>
    <w:rsid w:val="00EF7E65"/>
    <w:rsid w:val="00F03479"/>
    <w:rsid w:val="00F0354B"/>
    <w:rsid w:val="00F12119"/>
    <w:rsid w:val="00F12961"/>
    <w:rsid w:val="00F24EED"/>
    <w:rsid w:val="00F253C0"/>
    <w:rsid w:val="00F40297"/>
    <w:rsid w:val="00F40907"/>
    <w:rsid w:val="00F43600"/>
    <w:rsid w:val="00F441F2"/>
    <w:rsid w:val="00F46CE1"/>
    <w:rsid w:val="00F56330"/>
    <w:rsid w:val="00F60589"/>
    <w:rsid w:val="00F6739D"/>
    <w:rsid w:val="00F75FB7"/>
    <w:rsid w:val="00F77C96"/>
    <w:rsid w:val="00F842E2"/>
    <w:rsid w:val="00F87271"/>
    <w:rsid w:val="00F93CB3"/>
    <w:rsid w:val="00F94E5E"/>
    <w:rsid w:val="00F97965"/>
    <w:rsid w:val="00FA3A90"/>
    <w:rsid w:val="00FB0E7E"/>
    <w:rsid w:val="00FC4409"/>
    <w:rsid w:val="00FC6E3B"/>
    <w:rsid w:val="00FC7441"/>
    <w:rsid w:val="00FD2B10"/>
    <w:rsid w:val="00FD2D8A"/>
    <w:rsid w:val="00FD43D0"/>
    <w:rsid w:val="00FD7A21"/>
    <w:rsid w:val="00FD7FDC"/>
    <w:rsid w:val="00FF5125"/>
    <w:rsid w:val="021423FD"/>
    <w:rsid w:val="02572655"/>
    <w:rsid w:val="0301547F"/>
    <w:rsid w:val="038C20DA"/>
    <w:rsid w:val="03E05B07"/>
    <w:rsid w:val="044728F8"/>
    <w:rsid w:val="044C123E"/>
    <w:rsid w:val="04764B5E"/>
    <w:rsid w:val="05915EA1"/>
    <w:rsid w:val="05D303AF"/>
    <w:rsid w:val="0612092D"/>
    <w:rsid w:val="073057C5"/>
    <w:rsid w:val="08BC5FC8"/>
    <w:rsid w:val="09934006"/>
    <w:rsid w:val="09CB74E9"/>
    <w:rsid w:val="0B994DDB"/>
    <w:rsid w:val="0D7F5917"/>
    <w:rsid w:val="0E0872CA"/>
    <w:rsid w:val="108D41A6"/>
    <w:rsid w:val="139B4AAA"/>
    <w:rsid w:val="143A733D"/>
    <w:rsid w:val="15B62705"/>
    <w:rsid w:val="19EF34DC"/>
    <w:rsid w:val="1ADC21CD"/>
    <w:rsid w:val="1ADE6696"/>
    <w:rsid w:val="1B2730F6"/>
    <w:rsid w:val="1BEA5432"/>
    <w:rsid w:val="1CBC035A"/>
    <w:rsid w:val="1CFF266A"/>
    <w:rsid w:val="1D320E63"/>
    <w:rsid w:val="1FB96E2A"/>
    <w:rsid w:val="2082637C"/>
    <w:rsid w:val="213510A8"/>
    <w:rsid w:val="222336D3"/>
    <w:rsid w:val="23243252"/>
    <w:rsid w:val="238C2212"/>
    <w:rsid w:val="24AF6101"/>
    <w:rsid w:val="2518399A"/>
    <w:rsid w:val="25B345FB"/>
    <w:rsid w:val="25F47765"/>
    <w:rsid w:val="260554A3"/>
    <w:rsid w:val="26E73A43"/>
    <w:rsid w:val="27E61AB3"/>
    <w:rsid w:val="2956056B"/>
    <w:rsid w:val="29C41A57"/>
    <w:rsid w:val="2B4C1AFF"/>
    <w:rsid w:val="2DE27FA3"/>
    <w:rsid w:val="2E722A2F"/>
    <w:rsid w:val="2FD327FF"/>
    <w:rsid w:val="322068F2"/>
    <w:rsid w:val="32D448AF"/>
    <w:rsid w:val="338D0BDF"/>
    <w:rsid w:val="33E73897"/>
    <w:rsid w:val="34352B66"/>
    <w:rsid w:val="35EC4F34"/>
    <w:rsid w:val="361450F8"/>
    <w:rsid w:val="3CFE3035"/>
    <w:rsid w:val="3D735C1B"/>
    <w:rsid w:val="3F9153B8"/>
    <w:rsid w:val="40AC2BA0"/>
    <w:rsid w:val="419066B5"/>
    <w:rsid w:val="41B229C0"/>
    <w:rsid w:val="425E541C"/>
    <w:rsid w:val="430E1F72"/>
    <w:rsid w:val="43425718"/>
    <w:rsid w:val="4382496E"/>
    <w:rsid w:val="43D64159"/>
    <w:rsid w:val="4557394E"/>
    <w:rsid w:val="46D43C18"/>
    <w:rsid w:val="47B313B3"/>
    <w:rsid w:val="47F74151"/>
    <w:rsid w:val="4A3E1619"/>
    <w:rsid w:val="4A6C75C6"/>
    <w:rsid w:val="4A7679A6"/>
    <w:rsid w:val="4AA37465"/>
    <w:rsid w:val="4B431A85"/>
    <w:rsid w:val="4B955FEA"/>
    <w:rsid w:val="4C042251"/>
    <w:rsid w:val="4CB07709"/>
    <w:rsid w:val="4CD716C0"/>
    <w:rsid w:val="4DB01E08"/>
    <w:rsid w:val="4DF8629F"/>
    <w:rsid w:val="4E335017"/>
    <w:rsid w:val="4E5E7CEE"/>
    <w:rsid w:val="50C05519"/>
    <w:rsid w:val="50DB4BE8"/>
    <w:rsid w:val="52DB28BE"/>
    <w:rsid w:val="52DD31D2"/>
    <w:rsid w:val="54785E27"/>
    <w:rsid w:val="574B5256"/>
    <w:rsid w:val="5CFE6C00"/>
    <w:rsid w:val="5D6B13A0"/>
    <w:rsid w:val="5F930BEE"/>
    <w:rsid w:val="62A374C6"/>
    <w:rsid w:val="63C30F94"/>
    <w:rsid w:val="63DE363C"/>
    <w:rsid w:val="63F63632"/>
    <w:rsid w:val="647C1ACC"/>
    <w:rsid w:val="64AC285B"/>
    <w:rsid w:val="64D56AA9"/>
    <w:rsid w:val="65092586"/>
    <w:rsid w:val="65B262E4"/>
    <w:rsid w:val="662F3469"/>
    <w:rsid w:val="66C31B5F"/>
    <w:rsid w:val="68B652F7"/>
    <w:rsid w:val="6A7F0735"/>
    <w:rsid w:val="6B7812CE"/>
    <w:rsid w:val="6C017D0F"/>
    <w:rsid w:val="6D307D3F"/>
    <w:rsid w:val="6D4361AD"/>
    <w:rsid w:val="6D846015"/>
    <w:rsid w:val="6EAA33B1"/>
    <w:rsid w:val="6EBE35F2"/>
    <w:rsid w:val="6F780C58"/>
    <w:rsid w:val="701941EC"/>
    <w:rsid w:val="70A22DC5"/>
    <w:rsid w:val="72161C3C"/>
    <w:rsid w:val="739C68E8"/>
    <w:rsid w:val="74CF680E"/>
    <w:rsid w:val="756B22EF"/>
    <w:rsid w:val="781F2ED3"/>
    <w:rsid w:val="795343FE"/>
    <w:rsid w:val="79D57166"/>
    <w:rsid w:val="7B123BA8"/>
    <w:rsid w:val="7DF7338C"/>
    <w:rsid w:val="7EE45D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qFormat/>
    <w:uiPriority w:val="0"/>
    <w:pPr>
      <w:keepNext/>
      <w:keepLines/>
      <w:spacing w:before="100" w:beforeLines="100" w:after="100" w:afterLines="100" w:line="360" w:lineRule="auto"/>
      <w:outlineLvl w:val="0"/>
    </w:pPr>
    <w:rPr>
      <w:rFonts w:ascii="Times New Roman" w:hAnsi="Times New Roman" w:eastAsia="宋体" w:cs="Times New Roman"/>
      <w:b/>
      <w:bCs/>
      <w:kern w:val="44"/>
      <w:sz w:val="28"/>
      <w:szCs w:val="44"/>
    </w:rPr>
  </w:style>
  <w:style w:type="paragraph" w:styleId="5">
    <w:name w:val="heading 2"/>
    <w:basedOn w:val="1"/>
    <w:next w:val="1"/>
    <w:semiHidden/>
    <w:unhideWhenUsed/>
    <w:qFormat/>
    <w:uiPriority w:val="9"/>
    <w:pPr>
      <w:keepNext/>
      <w:keepLines/>
      <w:spacing w:before="260" w:after="260" w:line="413" w:lineRule="auto"/>
      <w:outlineLvl w:val="1"/>
    </w:pPr>
    <w:rPr>
      <w:rFonts w:ascii="Arial" w:hAnsi="Arial" w:eastAsia="黑体"/>
      <w:b/>
      <w:sz w:val="32"/>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qFormat/>
    <w:uiPriority w:val="0"/>
    <w:pPr>
      <w:overflowPunct w:val="0"/>
      <w:topLinePunct/>
      <w:spacing w:line="360" w:lineRule="auto"/>
      <w:ind w:firstLine="200" w:firstLineChars="200"/>
    </w:pPr>
    <w:rPr>
      <w:spacing w:val="4"/>
      <w:sz w:val="24"/>
      <w:szCs w:val="28"/>
    </w:rPr>
  </w:style>
  <w:style w:type="paragraph" w:styleId="3">
    <w:name w:val="Body Text Indent"/>
    <w:basedOn w:val="1"/>
    <w:qFormat/>
    <w:uiPriority w:val="0"/>
    <w:pPr>
      <w:ind w:firstLine="720" w:firstLineChars="257"/>
    </w:pPr>
    <w:rPr>
      <w:rFonts w:ascii="宋体" w:hAnsi="宋体" w:eastAsia="仿宋" w:cs="Times New Roman"/>
      <w:sz w:val="28"/>
      <w:szCs w:val="20"/>
    </w:rPr>
  </w:style>
  <w:style w:type="paragraph" w:styleId="6">
    <w:name w:val="Normal Indent"/>
    <w:basedOn w:val="1"/>
    <w:link w:val="38"/>
    <w:qFormat/>
    <w:uiPriority w:val="0"/>
    <w:pPr>
      <w:ind w:firstLine="420" w:firstLineChars="200"/>
    </w:pPr>
    <w:rPr>
      <w:rFonts w:ascii="Times New Roman" w:hAnsi="Times New Roman" w:eastAsia="宋体" w:cs="Times New Roman"/>
      <w:szCs w:val="24"/>
    </w:rPr>
  </w:style>
  <w:style w:type="paragraph" w:styleId="7">
    <w:name w:val="annotation text"/>
    <w:basedOn w:val="1"/>
    <w:link w:val="39"/>
    <w:semiHidden/>
    <w:unhideWhenUsed/>
    <w:qFormat/>
    <w:uiPriority w:val="99"/>
    <w:pPr>
      <w:jc w:val="left"/>
    </w:pPr>
  </w:style>
  <w:style w:type="paragraph" w:styleId="8">
    <w:name w:val="toc 3"/>
    <w:basedOn w:val="1"/>
    <w:next w:val="1"/>
    <w:unhideWhenUsed/>
    <w:qFormat/>
    <w:uiPriority w:val="39"/>
    <w:pPr>
      <w:ind w:left="840" w:leftChars="400"/>
    </w:pPr>
  </w:style>
  <w:style w:type="paragraph" w:styleId="9">
    <w:name w:val="Balloon Text"/>
    <w:basedOn w:val="1"/>
    <w:link w:val="41"/>
    <w:semiHidden/>
    <w:unhideWhenUsed/>
    <w:qFormat/>
    <w:uiPriority w:val="99"/>
    <w:rPr>
      <w:sz w:val="18"/>
      <w:szCs w:val="18"/>
    </w:rPr>
  </w:style>
  <w:style w:type="paragraph" w:styleId="10">
    <w:name w:val="footer"/>
    <w:basedOn w:val="1"/>
    <w:link w:val="23"/>
    <w:unhideWhenUsed/>
    <w:qFormat/>
    <w:uiPriority w:val="0"/>
    <w:pPr>
      <w:tabs>
        <w:tab w:val="center" w:pos="4153"/>
        <w:tab w:val="right" w:pos="8306"/>
      </w:tabs>
      <w:snapToGrid w:val="0"/>
      <w:jc w:val="left"/>
    </w:pPr>
    <w:rPr>
      <w:sz w:val="18"/>
      <w:szCs w:val="18"/>
    </w:rPr>
  </w:style>
  <w:style w:type="paragraph" w:styleId="11">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style>
  <w:style w:type="paragraph" w:styleId="13">
    <w:name w:val="toc 2"/>
    <w:basedOn w:val="1"/>
    <w:next w:val="1"/>
    <w:unhideWhenUsed/>
    <w:qFormat/>
    <w:uiPriority w:val="39"/>
    <w:pPr>
      <w:ind w:left="420" w:leftChars="200"/>
    </w:pPr>
  </w:style>
  <w:style w:type="paragraph" w:styleId="14">
    <w:name w:val="Normal (Web)"/>
    <w:basedOn w:val="1"/>
    <w:qFormat/>
    <w:uiPriority w:val="99"/>
    <w:pPr>
      <w:spacing w:before="100" w:beforeAutospacing="1" w:after="100" w:afterAutospacing="1"/>
    </w:pPr>
    <w:rPr>
      <w:rFonts w:ascii="宋体" w:hAnsi="宋体" w:eastAsia="仿宋" w:cs="Times New Roman"/>
      <w:color w:val="000000"/>
      <w:sz w:val="24"/>
    </w:rPr>
  </w:style>
  <w:style w:type="paragraph" w:styleId="15">
    <w:name w:val="annotation subject"/>
    <w:basedOn w:val="7"/>
    <w:next w:val="7"/>
    <w:link w:val="40"/>
    <w:semiHidden/>
    <w:unhideWhenUsed/>
    <w:qFormat/>
    <w:uiPriority w:val="99"/>
    <w:rPr>
      <w:b/>
      <w:bCs/>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qFormat/>
    <w:uiPriority w:val="0"/>
    <w:rPr>
      <w:rFonts w:ascii="Verdana" w:hAnsi="Verdana" w:eastAsia="仿宋_GB2312" w:cs="Verdana"/>
      <w:b/>
      <w:kern w:val="0"/>
      <w:sz w:val="24"/>
      <w:lang w:eastAsia="en-US"/>
    </w:rPr>
  </w:style>
  <w:style w:type="character" w:styleId="20">
    <w:name w:val="Hyperlink"/>
    <w:basedOn w:val="18"/>
    <w:unhideWhenUsed/>
    <w:qFormat/>
    <w:uiPriority w:val="99"/>
    <w:rPr>
      <w:color w:val="0000FF" w:themeColor="hyperlink"/>
      <w:u w:val="single"/>
      <w14:textFill>
        <w14:solidFill>
          <w14:schemeClr w14:val="hlink"/>
        </w14:solidFill>
      </w14:textFill>
    </w:rPr>
  </w:style>
  <w:style w:type="character" w:styleId="21">
    <w:name w:val="annotation reference"/>
    <w:basedOn w:val="18"/>
    <w:semiHidden/>
    <w:unhideWhenUsed/>
    <w:uiPriority w:val="99"/>
    <w:rPr>
      <w:sz w:val="21"/>
      <w:szCs w:val="21"/>
    </w:rPr>
  </w:style>
  <w:style w:type="character" w:customStyle="1" w:styleId="22">
    <w:name w:val="页眉 字符"/>
    <w:basedOn w:val="18"/>
    <w:link w:val="11"/>
    <w:qFormat/>
    <w:uiPriority w:val="99"/>
    <w:rPr>
      <w:sz w:val="18"/>
      <w:szCs w:val="18"/>
    </w:rPr>
  </w:style>
  <w:style w:type="character" w:customStyle="1" w:styleId="23">
    <w:name w:val="页脚 字符"/>
    <w:basedOn w:val="18"/>
    <w:link w:val="10"/>
    <w:qFormat/>
    <w:uiPriority w:val="99"/>
    <w:rPr>
      <w:sz w:val="18"/>
      <w:szCs w:val="18"/>
    </w:rPr>
  </w:style>
  <w:style w:type="character" w:customStyle="1" w:styleId="24">
    <w:name w:val="未处理的提及1"/>
    <w:basedOn w:val="18"/>
    <w:semiHidden/>
    <w:unhideWhenUsed/>
    <w:qFormat/>
    <w:uiPriority w:val="99"/>
    <w:rPr>
      <w:color w:val="605E5C"/>
      <w:shd w:val="clear" w:color="auto" w:fill="E1DFDD"/>
    </w:rPr>
  </w:style>
  <w:style w:type="paragraph" w:customStyle="1" w:styleId="25">
    <w:name w:val="Char Char Char Char"/>
    <w:basedOn w:val="1"/>
    <w:qFormat/>
    <w:uiPriority w:val="0"/>
    <w:rPr>
      <w:rFonts w:ascii="Times New Roman" w:hAnsi="Times New Roman" w:eastAsia="宋体" w:cs="Times New Roman"/>
      <w:szCs w:val="24"/>
    </w:rPr>
  </w:style>
  <w:style w:type="paragraph" w:customStyle="1" w:styleId="26">
    <w:name w:val="标题小四"/>
    <w:basedOn w:val="1"/>
    <w:qFormat/>
    <w:uiPriority w:val="0"/>
    <w:pPr>
      <w:spacing w:line="500" w:lineRule="exact"/>
      <w:jc w:val="center"/>
    </w:pPr>
    <w:rPr>
      <w:rFonts w:ascii="宋体" w:hAnsi="宋体" w:eastAsia="宋体" w:cs="Times New Roman"/>
      <w:sz w:val="24"/>
      <w:szCs w:val="24"/>
    </w:rPr>
  </w:style>
  <w:style w:type="character" w:customStyle="1" w:styleId="27">
    <w:name w:val="表格正文 Char Char"/>
    <w:link w:val="28"/>
    <w:qFormat/>
    <w:uiPriority w:val="0"/>
    <w:rPr>
      <w:rFonts w:ascii="宋体"/>
      <w:snapToGrid w:val="0"/>
      <w:spacing w:val="4"/>
      <w:szCs w:val="21"/>
    </w:rPr>
  </w:style>
  <w:style w:type="paragraph" w:customStyle="1" w:styleId="28">
    <w:name w:val="表格正文"/>
    <w:basedOn w:val="1"/>
    <w:next w:val="1"/>
    <w:link w:val="27"/>
    <w:qFormat/>
    <w:uiPriority w:val="0"/>
    <w:pPr>
      <w:adjustRightInd w:val="0"/>
      <w:snapToGrid w:val="0"/>
      <w:jc w:val="center"/>
      <w:textAlignment w:val="baseline"/>
    </w:pPr>
    <w:rPr>
      <w:rFonts w:ascii="宋体"/>
      <w:snapToGrid w:val="0"/>
      <w:spacing w:val="4"/>
      <w:szCs w:val="21"/>
    </w:rPr>
  </w:style>
  <w:style w:type="paragraph" w:customStyle="1" w:styleId="29">
    <w:name w:val="Char Char Char Char1"/>
    <w:basedOn w:val="1"/>
    <w:qFormat/>
    <w:uiPriority w:val="0"/>
    <w:rPr>
      <w:rFonts w:ascii="Times New Roman" w:hAnsi="Times New Roman" w:eastAsia="宋体" w:cs="Times New Roman"/>
      <w:szCs w:val="24"/>
    </w:rPr>
  </w:style>
  <w:style w:type="paragraph" w:customStyle="1" w:styleId="30">
    <w:name w:val="样式5"/>
    <w:unhideWhenUsed/>
    <w:qFormat/>
    <w:uiPriority w:val="99"/>
    <w:pPr>
      <w:spacing w:beforeAutospacing="1" w:afterAutospacing="1" w:line="360" w:lineRule="auto"/>
      <w:ind w:firstLine="480" w:firstLineChars="200"/>
    </w:pPr>
    <w:rPr>
      <w:rFonts w:hint="eastAsia" w:ascii="宋体" w:hAnsi="宋体" w:eastAsia="仿宋" w:cs="Times New Roman"/>
      <w:color w:val="000000"/>
      <w:sz w:val="24"/>
      <w:lang w:val="en-US" w:eastAsia="zh-CN" w:bidi="ar-SA"/>
    </w:rPr>
  </w:style>
  <w:style w:type="paragraph" w:customStyle="1" w:styleId="31">
    <w:name w:val="填表5中"/>
    <w:next w:val="1"/>
    <w:qFormat/>
    <w:uiPriority w:val="0"/>
    <w:pPr>
      <w:widowControl w:val="0"/>
      <w:spacing w:line="240" w:lineRule="exact"/>
      <w:jc w:val="center"/>
    </w:pPr>
    <w:rPr>
      <w:rFonts w:ascii="宋体" w:hAnsi="Times New Roman" w:eastAsia="宋体" w:cs="Times New Roman"/>
      <w:kern w:val="2"/>
      <w:sz w:val="21"/>
      <w:szCs w:val="21"/>
      <w:lang w:val="en-US" w:eastAsia="zh-CN" w:bidi="ar-SA"/>
    </w:rPr>
  </w:style>
  <w:style w:type="paragraph" w:customStyle="1" w:styleId="32">
    <w:name w:val="样式1"/>
    <w:basedOn w:val="4"/>
    <w:unhideWhenUsed/>
    <w:qFormat/>
    <w:uiPriority w:val="99"/>
    <w:pPr>
      <w:numPr>
        <w:ilvl w:val="0"/>
        <w:numId w:val="1"/>
      </w:numPr>
      <w:spacing w:beforeLines="150" w:afterLines="0"/>
      <w:ind w:hanging="202" w:hangingChars="202"/>
      <w:jc w:val="center"/>
    </w:pPr>
    <w:rPr>
      <w:rFonts w:hint="eastAsia" w:ascii="宋体" w:hAnsi="宋体"/>
    </w:rPr>
  </w:style>
  <w:style w:type="paragraph" w:customStyle="1" w:styleId="33">
    <w:name w:val="WPSOffice手动目录 1"/>
    <w:qFormat/>
    <w:uiPriority w:val="0"/>
    <w:rPr>
      <w:rFonts w:ascii="Times New Roman" w:hAnsi="Times New Roman" w:eastAsia="宋体" w:cs="Times New Roman"/>
      <w:lang w:val="en-US" w:eastAsia="zh-CN" w:bidi="ar-SA"/>
    </w:rPr>
  </w:style>
  <w:style w:type="paragraph" w:customStyle="1" w:styleId="34">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5">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36">
    <w:name w:val="Char Char Char Char2"/>
    <w:basedOn w:val="1"/>
    <w:qFormat/>
    <w:uiPriority w:val="0"/>
    <w:rPr>
      <w:rFonts w:ascii="Times New Roman" w:hAnsi="Times New Roman" w:eastAsia="宋体" w:cs="Times New Roman"/>
      <w:szCs w:val="24"/>
    </w:rPr>
  </w:style>
  <w:style w:type="paragraph" w:styleId="37">
    <w:name w:val="List Paragraph"/>
    <w:basedOn w:val="1"/>
    <w:qFormat/>
    <w:uiPriority w:val="99"/>
    <w:pPr>
      <w:ind w:firstLine="420" w:firstLineChars="200"/>
    </w:pPr>
  </w:style>
  <w:style w:type="character" w:customStyle="1" w:styleId="38">
    <w:name w:val="正文缩进 字符"/>
    <w:basedOn w:val="18"/>
    <w:link w:val="6"/>
    <w:qFormat/>
    <w:uiPriority w:val="0"/>
    <w:rPr>
      <w:kern w:val="2"/>
      <w:sz w:val="21"/>
      <w:szCs w:val="24"/>
    </w:rPr>
  </w:style>
  <w:style w:type="character" w:customStyle="1" w:styleId="39">
    <w:name w:val="批注文字 字符"/>
    <w:basedOn w:val="18"/>
    <w:link w:val="7"/>
    <w:semiHidden/>
    <w:qFormat/>
    <w:uiPriority w:val="99"/>
    <w:rPr>
      <w:rFonts w:asciiTheme="minorHAnsi" w:hAnsiTheme="minorHAnsi" w:eastAsiaTheme="minorEastAsia" w:cstheme="minorBidi"/>
      <w:kern w:val="2"/>
      <w:sz w:val="21"/>
      <w:szCs w:val="22"/>
    </w:rPr>
  </w:style>
  <w:style w:type="character" w:customStyle="1" w:styleId="40">
    <w:name w:val="批注主题 字符"/>
    <w:basedOn w:val="39"/>
    <w:link w:val="15"/>
    <w:semiHidden/>
    <w:uiPriority w:val="99"/>
    <w:rPr>
      <w:rFonts w:asciiTheme="minorHAnsi" w:hAnsiTheme="minorHAnsi" w:eastAsiaTheme="minorEastAsia" w:cstheme="minorBidi"/>
      <w:b/>
      <w:bCs/>
      <w:kern w:val="2"/>
      <w:sz w:val="21"/>
      <w:szCs w:val="22"/>
    </w:rPr>
  </w:style>
  <w:style w:type="character" w:customStyle="1" w:styleId="41">
    <w:name w:val="批注框文本 字符"/>
    <w:basedOn w:val="18"/>
    <w:link w:val="9"/>
    <w:semiHidden/>
    <w:qFormat/>
    <w:uiPriority w:val="99"/>
    <w:rPr>
      <w:rFonts w:asciiTheme="minorHAnsi" w:hAnsiTheme="minorHAnsi" w:eastAsiaTheme="minorEastAsia" w:cstheme="minorBidi"/>
      <w:kern w:val="2"/>
      <w:sz w:val="18"/>
      <w:szCs w:val="18"/>
    </w:rPr>
  </w:style>
  <w:style w:type="character" w:customStyle="1" w:styleId="42">
    <w:name w:val="NormalCharacter"/>
    <w:uiPriority w:val="0"/>
  </w:style>
  <w:style w:type="character" w:styleId="43">
    <w:name w:val="Placeholder Text"/>
    <w:basedOn w:val="18"/>
    <w:semiHidden/>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3" Type="http://schemas.openxmlformats.org/officeDocument/2006/relationships/fontTable" Target="fontTable.xml"/><Relationship Id="rId72" Type="http://schemas.openxmlformats.org/officeDocument/2006/relationships/customXml" Target="../customXml/item2.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footer" Target="footer2.xml"/><Relationship Id="rId69" Type="http://schemas.openxmlformats.org/officeDocument/2006/relationships/image" Target="media/image59.jpe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pn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footer" Target="footer1.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3.xml"/><Relationship Id="rId49" Type="http://schemas.openxmlformats.org/officeDocument/2006/relationships/image" Target="media/image39.pn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header" Target="header2.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header" Target="header1.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emf"/><Relationship Id="rId15" Type="http://schemas.openxmlformats.org/officeDocument/2006/relationships/oleObject" Target="embeddings/oleObject2.bin"/><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12E3B5-26EB-4E93-B0A6-FDA247FBF35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118</Pages>
  <Words>9005</Words>
  <Characters>51335</Characters>
  <Lines>427</Lines>
  <Paragraphs>120</Paragraphs>
  <TotalTime>1</TotalTime>
  <ScaleCrop>false</ScaleCrop>
  <LinksUpToDate>false</LinksUpToDate>
  <CharactersWithSpaces>60220</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2019-10-26T08:22:00Z</dcterms:created>
  <dc:creator>User</dc:creator>
  <cp:lastModifiedBy>东望洋</cp:lastModifiedBy>
  <cp:lastPrinted>2019-06-28T09:10:00Z</cp:lastPrinted>
  <dcterms:modified xsi:type="dcterms:W3CDTF">2019-12-01T06:10:53Z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