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D4A" w:rsidRDefault="00E04D23">
      <w:pPr>
        <w:ind w:firstLineChars="400" w:firstLine="1280"/>
        <w:jc w:val="center"/>
        <w:rPr>
          <w:rFonts w:ascii="Times New Roman" w:eastAsia="黑体" w:hAnsi="Times New Roman"/>
          <w:sz w:val="32"/>
          <w:szCs w:val="32"/>
        </w:rPr>
      </w:pPr>
      <w:r>
        <w:rPr>
          <w:rFonts w:ascii="Times New Roman" w:eastAsia="黑体" w:hAnsi="Times New Roman" w:hint="eastAsia"/>
          <w:sz w:val="32"/>
          <w:szCs w:val="32"/>
        </w:rPr>
        <w:t>南昌市</w:t>
      </w:r>
      <w:r>
        <w:rPr>
          <w:rFonts w:ascii="Times New Roman" w:eastAsia="黑体" w:hAnsi="Times New Roman" w:hint="eastAsia"/>
          <w:sz w:val="32"/>
          <w:szCs w:val="32"/>
        </w:rPr>
        <w:t>2019</w:t>
      </w:r>
      <w:r>
        <w:rPr>
          <w:rFonts w:ascii="Times New Roman" w:eastAsia="黑体" w:hAnsi="黑体" w:hint="eastAsia"/>
          <w:sz w:val="32"/>
          <w:szCs w:val="32"/>
        </w:rPr>
        <w:t>年</w:t>
      </w:r>
      <w:r w:rsidR="00AE7C17">
        <w:rPr>
          <w:rFonts w:ascii="Times New Roman" w:eastAsia="黑体" w:hAnsi="Times New Roman" w:hint="eastAsia"/>
          <w:sz w:val="32"/>
          <w:szCs w:val="32"/>
        </w:rPr>
        <w:t>上半年</w:t>
      </w:r>
      <w:r>
        <w:rPr>
          <w:rFonts w:ascii="Times New Roman" w:eastAsia="黑体" w:hAnsi="黑体" w:hint="eastAsia"/>
          <w:sz w:val="32"/>
          <w:szCs w:val="32"/>
        </w:rPr>
        <w:t>突发环境事件简要情况列表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9"/>
        <w:gridCol w:w="2120"/>
        <w:gridCol w:w="4684"/>
        <w:gridCol w:w="1559"/>
        <w:gridCol w:w="1559"/>
        <w:gridCol w:w="1560"/>
        <w:gridCol w:w="1733"/>
      </w:tblGrid>
      <w:tr w:rsidR="00656D4A">
        <w:tc>
          <w:tcPr>
            <w:tcW w:w="959" w:type="dxa"/>
            <w:vAlign w:val="center"/>
          </w:tcPr>
          <w:p w:rsidR="00656D4A" w:rsidRDefault="00E04D23">
            <w:pPr>
              <w:jc w:val="center"/>
              <w:rPr>
                <w:rFonts w:ascii="Times New Roman" w:eastAsia="仿宋_GB2312" w:hAnsi="Times New Roman"/>
                <w:sz w:val="32"/>
                <w:szCs w:val="32"/>
              </w:rPr>
            </w:pPr>
            <w:r>
              <w:rPr>
                <w:rFonts w:ascii="Times New Roman" w:eastAsia="仿宋_GB2312" w:hAnsi="Times New Roman" w:hint="eastAsia"/>
                <w:sz w:val="32"/>
                <w:szCs w:val="32"/>
              </w:rPr>
              <w:t>序号</w:t>
            </w:r>
          </w:p>
        </w:tc>
        <w:tc>
          <w:tcPr>
            <w:tcW w:w="2120" w:type="dxa"/>
            <w:vAlign w:val="center"/>
          </w:tcPr>
          <w:p w:rsidR="00656D4A" w:rsidRDefault="00E04D23">
            <w:pPr>
              <w:jc w:val="center"/>
              <w:rPr>
                <w:rFonts w:ascii="Times New Roman" w:eastAsia="仿宋_GB2312" w:hAnsi="Times New Roman"/>
                <w:sz w:val="32"/>
                <w:szCs w:val="32"/>
              </w:rPr>
            </w:pPr>
            <w:r>
              <w:rPr>
                <w:rFonts w:ascii="Times New Roman" w:eastAsia="仿宋_GB2312" w:hAnsi="Times New Roman" w:hint="eastAsia"/>
                <w:sz w:val="32"/>
                <w:szCs w:val="32"/>
              </w:rPr>
              <w:t>事件名称</w:t>
            </w:r>
          </w:p>
        </w:tc>
        <w:tc>
          <w:tcPr>
            <w:tcW w:w="4684" w:type="dxa"/>
            <w:vAlign w:val="center"/>
          </w:tcPr>
          <w:p w:rsidR="00656D4A" w:rsidRDefault="00E04D23">
            <w:pPr>
              <w:jc w:val="center"/>
              <w:rPr>
                <w:rFonts w:ascii="Times New Roman" w:eastAsia="仿宋_GB2312" w:hAnsi="Times New Roman"/>
                <w:sz w:val="32"/>
                <w:szCs w:val="32"/>
              </w:rPr>
            </w:pPr>
            <w:r>
              <w:rPr>
                <w:rFonts w:ascii="Times New Roman" w:eastAsia="仿宋_GB2312" w:hAnsi="Times New Roman" w:hint="eastAsia"/>
                <w:sz w:val="32"/>
                <w:szCs w:val="32"/>
              </w:rPr>
              <w:t>事件基本处置情况</w:t>
            </w:r>
          </w:p>
        </w:tc>
        <w:tc>
          <w:tcPr>
            <w:tcW w:w="1559" w:type="dxa"/>
            <w:vAlign w:val="center"/>
          </w:tcPr>
          <w:p w:rsidR="00656D4A" w:rsidRDefault="00E04D23">
            <w:pPr>
              <w:jc w:val="center"/>
              <w:rPr>
                <w:rFonts w:ascii="Times New Roman" w:eastAsia="仿宋_GB2312" w:hAnsi="Times New Roman"/>
                <w:sz w:val="32"/>
                <w:szCs w:val="32"/>
              </w:rPr>
            </w:pPr>
            <w:r>
              <w:rPr>
                <w:rFonts w:ascii="Times New Roman" w:eastAsia="仿宋_GB2312" w:hAnsi="Times New Roman" w:hint="eastAsia"/>
                <w:sz w:val="32"/>
                <w:szCs w:val="32"/>
              </w:rPr>
              <w:t>事件级别</w:t>
            </w:r>
          </w:p>
        </w:tc>
        <w:tc>
          <w:tcPr>
            <w:tcW w:w="1559" w:type="dxa"/>
            <w:vAlign w:val="center"/>
          </w:tcPr>
          <w:p w:rsidR="00656D4A" w:rsidRDefault="00E04D23">
            <w:pPr>
              <w:jc w:val="center"/>
              <w:rPr>
                <w:rFonts w:ascii="Times New Roman" w:eastAsia="仿宋_GB2312" w:hAnsi="Times New Roman"/>
                <w:sz w:val="32"/>
                <w:szCs w:val="32"/>
              </w:rPr>
            </w:pPr>
            <w:r>
              <w:rPr>
                <w:rFonts w:ascii="Times New Roman" w:eastAsia="仿宋_GB2312" w:hAnsi="Times New Roman" w:hint="eastAsia"/>
                <w:sz w:val="32"/>
                <w:szCs w:val="32"/>
              </w:rPr>
              <w:t>污染类型</w:t>
            </w:r>
          </w:p>
        </w:tc>
        <w:tc>
          <w:tcPr>
            <w:tcW w:w="1560" w:type="dxa"/>
            <w:vAlign w:val="center"/>
          </w:tcPr>
          <w:p w:rsidR="00656D4A" w:rsidRDefault="00E04D23">
            <w:pPr>
              <w:jc w:val="center"/>
              <w:rPr>
                <w:rFonts w:ascii="Times New Roman" w:eastAsia="仿宋_GB2312" w:hAnsi="Times New Roman"/>
                <w:sz w:val="32"/>
                <w:szCs w:val="32"/>
              </w:rPr>
            </w:pPr>
            <w:r>
              <w:rPr>
                <w:rFonts w:ascii="Times New Roman" w:eastAsia="仿宋_GB2312" w:hAnsi="Times New Roman" w:hint="eastAsia"/>
                <w:sz w:val="32"/>
                <w:szCs w:val="32"/>
              </w:rPr>
              <w:t>事件起因</w:t>
            </w:r>
          </w:p>
        </w:tc>
        <w:tc>
          <w:tcPr>
            <w:tcW w:w="1733" w:type="dxa"/>
            <w:vAlign w:val="center"/>
          </w:tcPr>
          <w:p w:rsidR="00656D4A" w:rsidRDefault="00E04D23">
            <w:pPr>
              <w:jc w:val="center"/>
              <w:rPr>
                <w:rFonts w:ascii="Times New Roman" w:eastAsia="仿宋_GB2312" w:hAnsi="Times New Roman"/>
                <w:sz w:val="32"/>
                <w:szCs w:val="32"/>
              </w:rPr>
            </w:pPr>
            <w:r>
              <w:rPr>
                <w:rFonts w:ascii="Times New Roman" w:eastAsia="仿宋_GB2312" w:hAnsi="Times New Roman" w:hint="eastAsia"/>
                <w:sz w:val="32"/>
                <w:szCs w:val="32"/>
              </w:rPr>
              <w:t>备注</w:t>
            </w:r>
          </w:p>
        </w:tc>
      </w:tr>
      <w:tr w:rsidR="00656D4A">
        <w:trPr>
          <w:trHeight w:val="3926"/>
        </w:trPr>
        <w:tc>
          <w:tcPr>
            <w:tcW w:w="959" w:type="dxa"/>
            <w:vAlign w:val="center"/>
          </w:tcPr>
          <w:p w:rsidR="00656D4A" w:rsidRDefault="00E04D23">
            <w:pPr>
              <w:jc w:val="center"/>
              <w:rPr>
                <w:rFonts w:ascii="Times New Roman" w:eastAsia="仿宋_GB2312" w:hAnsi="Times New Roman"/>
                <w:sz w:val="32"/>
                <w:szCs w:val="32"/>
              </w:rPr>
            </w:pPr>
            <w:r>
              <w:rPr>
                <w:rFonts w:ascii="Times New Roman" w:eastAsia="仿宋_GB2312" w:hAnsi="Times New Roman" w:hint="eastAsia"/>
                <w:sz w:val="32"/>
                <w:szCs w:val="32"/>
              </w:rPr>
              <w:t>1</w:t>
            </w:r>
          </w:p>
        </w:tc>
        <w:tc>
          <w:tcPr>
            <w:tcW w:w="2120" w:type="dxa"/>
            <w:vAlign w:val="center"/>
          </w:tcPr>
          <w:p w:rsidR="00656D4A" w:rsidRDefault="00E04D23">
            <w:pPr>
              <w:jc w:val="center"/>
              <w:rPr>
                <w:rFonts w:ascii="Times New Roman" w:hAnsi="Times New Roman"/>
                <w:sz w:val="32"/>
                <w:szCs w:val="32"/>
              </w:rPr>
            </w:pPr>
            <w:r>
              <w:rPr>
                <w:rFonts w:ascii="宋体" w:hAnsi="宋体" w:cs="宋体"/>
                <w:kern w:val="0"/>
                <w:sz w:val="24"/>
                <w:szCs w:val="24"/>
              </w:rPr>
              <w:t>危化品储罐车侧翻硫酸泄漏</w:t>
            </w:r>
            <w:r>
              <w:rPr>
                <w:rFonts w:ascii="宋体" w:hAnsi="宋体" w:cs="宋体" w:hint="eastAsia"/>
                <w:kern w:val="0"/>
                <w:sz w:val="24"/>
                <w:szCs w:val="24"/>
              </w:rPr>
              <w:t>事件</w:t>
            </w:r>
          </w:p>
        </w:tc>
        <w:tc>
          <w:tcPr>
            <w:tcW w:w="4684" w:type="dxa"/>
            <w:vAlign w:val="center"/>
          </w:tcPr>
          <w:p w:rsidR="00656D4A" w:rsidRDefault="00E04D23">
            <w:pPr>
              <w:widowControl/>
              <w:jc w:val="left"/>
              <w:rPr>
                <w:rFonts w:ascii="Times New Roman" w:hAnsi="Times New Roman"/>
                <w:sz w:val="32"/>
                <w:szCs w:val="32"/>
              </w:rPr>
            </w:pPr>
            <w:r>
              <w:rPr>
                <w:rFonts w:ascii="宋体" w:hAnsi="宋体" w:cs="宋体" w:hint="eastAsia"/>
                <w:kern w:val="0"/>
                <w:sz w:val="24"/>
                <w:szCs w:val="24"/>
              </w:rPr>
              <w:t>2019年</w:t>
            </w:r>
            <w:r>
              <w:rPr>
                <w:rFonts w:ascii="宋体" w:hAnsi="宋体" w:cs="宋体"/>
                <w:kern w:val="0"/>
                <w:sz w:val="24"/>
                <w:szCs w:val="24"/>
              </w:rPr>
              <w:t>1月22日11时42分，位于江西省南昌市进贤县沪昆高速东乡往进贤路段危化品储罐车侧翻硫酸泄漏，进贤县</w:t>
            </w:r>
            <w:r>
              <w:rPr>
                <w:rFonts w:ascii="宋体" w:hAnsi="宋体" w:cs="宋体" w:hint="eastAsia"/>
                <w:kern w:val="0"/>
                <w:sz w:val="24"/>
                <w:szCs w:val="24"/>
              </w:rPr>
              <w:t>环保局</w:t>
            </w:r>
            <w:r>
              <w:rPr>
                <w:rFonts w:ascii="宋体" w:hAnsi="宋体" w:cs="宋体"/>
                <w:kern w:val="0"/>
                <w:sz w:val="24"/>
                <w:szCs w:val="24"/>
              </w:rPr>
              <w:t>接到报警后，立即启动应急</w:t>
            </w:r>
            <w:r>
              <w:rPr>
                <w:rFonts w:ascii="宋体" w:hAnsi="宋体" w:cs="宋体" w:hint="eastAsia"/>
                <w:kern w:val="0"/>
                <w:sz w:val="24"/>
                <w:szCs w:val="24"/>
              </w:rPr>
              <w:t>，县</w:t>
            </w:r>
            <w:r>
              <w:rPr>
                <w:rFonts w:ascii="宋体" w:hAnsi="宋体" w:cs="宋体"/>
                <w:kern w:val="0"/>
                <w:sz w:val="24"/>
                <w:szCs w:val="24"/>
              </w:rPr>
              <w:t>环境监察大队和监测站组织应急人员</w:t>
            </w:r>
            <w:r>
              <w:rPr>
                <w:rFonts w:ascii="宋体" w:hAnsi="宋体" w:cs="宋体" w:hint="eastAsia"/>
                <w:kern w:val="0"/>
                <w:sz w:val="24"/>
                <w:szCs w:val="24"/>
              </w:rPr>
              <w:t>10名</w:t>
            </w:r>
            <w:r>
              <w:rPr>
                <w:rFonts w:ascii="宋体" w:hAnsi="宋体" w:cs="宋体"/>
                <w:kern w:val="0"/>
                <w:sz w:val="24"/>
                <w:szCs w:val="24"/>
              </w:rPr>
              <w:t>进行现场处置，经</w:t>
            </w:r>
            <w:r>
              <w:rPr>
                <w:rFonts w:ascii="宋体" w:hAnsi="宋体" w:cs="宋体" w:hint="eastAsia"/>
                <w:kern w:val="0"/>
                <w:sz w:val="24"/>
                <w:szCs w:val="24"/>
              </w:rPr>
              <w:t>现场</w:t>
            </w:r>
            <w:r>
              <w:rPr>
                <w:rFonts w:ascii="宋体" w:hAnsi="宋体" w:cs="宋体"/>
                <w:kern w:val="0"/>
                <w:sz w:val="24"/>
                <w:szCs w:val="24"/>
              </w:rPr>
              <w:t>调查发现，现场储罐车内的浓硫酸已经泄漏</w:t>
            </w:r>
            <w:r>
              <w:rPr>
                <w:rFonts w:ascii="宋体" w:hAnsi="宋体" w:cs="宋体" w:hint="eastAsia"/>
                <w:kern w:val="0"/>
                <w:sz w:val="24"/>
                <w:szCs w:val="24"/>
              </w:rPr>
              <w:t>5</w:t>
            </w:r>
            <w:r>
              <w:rPr>
                <w:rFonts w:ascii="宋体" w:hAnsi="宋体" w:cs="宋体"/>
                <w:kern w:val="0"/>
                <w:sz w:val="24"/>
                <w:szCs w:val="24"/>
              </w:rPr>
              <w:t>吨</w:t>
            </w:r>
            <w:r>
              <w:rPr>
                <w:rFonts w:ascii="宋体" w:hAnsi="宋体" w:cs="宋体" w:hint="eastAsia"/>
                <w:kern w:val="0"/>
                <w:sz w:val="24"/>
                <w:szCs w:val="24"/>
              </w:rPr>
              <w:t>左右</w:t>
            </w:r>
            <w:r>
              <w:rPr>
                <w:rFonts w:ascii="宋体" w:hAnsi="宋体" w:cs="宋体"/>
                <w:kern w:val="0"/>
                <w:sz w:val="24"/>
                <w:szCs w:val="24"/>
              </w:rPr>
              <w:t>，浓硫酸沿着高速公路排水沟流出了近</w:t>
            </w:r>
            <w:r>
              <w:rPr>
                <w:rFonts w:ascii="宋体" w:hAnsi="宋体" w:cs="宋体" w:hint="eastAsia"/>
                <w:kern w:val="0"/>
                <w:sz w:val="24"/>
                <w:szCs w:val="24"/>
              </w:rPr>
              <w:t>4</w:t>
            </w:r>
            <w:r>
              <w:rPr>
                <w:rFonts w:ascii="宋体" w:hAnsi="宋体" w:cs="宋体"/>
                <w:kern w:val="0"/>
                <w:sz w:val="24"/>
                <w:szCs w:val="24"/>
              </w:rPr>
              <w:t>00米</w:t>
            </w:r>
            <w:r>
              <w:rPr>
                <w:rFonts w:ascii="宋体" w:hAnsi="宋体" w:cs="宋体" w:hint="eastAsia"/>
                <w:kern w:val="0"/>
                <w:sz w:val="24"/>
                <w:szCs w:val="24"/>
              </w:rPr>
              <w:t>，部分进</w:t>
            </w:r>
            <w:r>
              <w:rPr>
                <w:rFonts w:ascii="宋体" w:hAnsi="宋体" w:cs="宋体"/>
                <w:kern w:val="0"/>
                <w:sz w:val="24"/>
                <w:szCs w:val="24"/>
              </w:rPr>
              <w:t>入到骆路水库</w:t>
            </w:r>
            <w:r>
              <w:rPr>
                <w:rFonts w:ascii="宋体" w:hAnsi="宋体" w:cs="宋体" w:hint="eastAsia"/>
                <w:kern w:val="0"/>
                <w:sz w:val="24"/>
                <w:szCs w:val="24"/>
              </w:rPr>
              <w:t>（灌溉用途）</w:t>
            </w:r>
            <w:r>
              <w:rPr>
                <w:rFonts w:ascii="宋体" w:hAnsi="宋体" w:cs="宋体"/>
                <w:kern w:val="0"/>
                <w:sz w:val="24"/>
                <w:szCs w:val="24"/>
              </w:rPr>
              <w:t>的库床</w:t>
            </w:r>
            <w:r>
              <w:rPr>
                <w:rFonts w:ascii="宋体" w:hAnsi="宋体" w:cs="宋体" w:hint="eastAsia"/>
                <w:kern w:val="0"/>
                <w:sz w:val="24"/>
                <w:szCs w:val="24"/>
              </w:rPr>
              <w:t>，</w:t>
            </w:r>
            <w:r>
              <w:rPr>
                <w:rFonts w:ascii="宋体" w:hAnsi="宋体" w:cs="宋体"/>
                <w:kern w:val="0"/>
                <w:sz w:val="24"/>
                <w:szCs w:val="24"/>
              </w:rPr>
              <w:t>随后，</w:t>
            </w:r>
            <w:r>
              <w:rPr>
                <w:rFonts w:ascii="宋体" w:hAnsi="宋体" w:cs="宋体" w:hint="eastAsia"/>
                <w:kern w:val="0"/>
                <w:sz w:val="24"/>
                <w:szCs w:val="24"/>
              </w:rPr>
              <w:t>应急</w:t>
            </w:r>
            <w:r>
              <w:rPr>
                <w:rFonts w:ascii="宋体" w:hAnsi="宋体" w:cs="宋体"/>
                <w:kern w:val="0"/>
                <w:sz w:val="24"/>
                <w:szCs w:val="24"/>
              </w:rPr>
              <w:t>人员安排用沙土对泄漏浓硫酸进行分段堵截，</w:t>
            </w:r>
            <w:r>
              <w:rPr>
                <w:rFonts w:ascii="宋体" w:hAnsi="宋体" w:cs="宋体" w:hint="eastAsia"/>
                <w:kern w:val="0"/>
                <w:sz w:val="24"/>
                <w:szCs w:val="24"/>
              </w:rPr>
              <w:t>并且</w:t>
            </w:r>
            <w:r>
              <w:rPr>
                <w:rFonts w:ascii="宋体" w:hAnsi="宋体" w:cs="宋体"/>
                <w:kern w:val="0"/>
                <w:sz w:val="24"/>
                <w:szCs w:val="24"/>
              </w:rPr>
              <w:t>用石灰对受污染地进行</w:t>
            </w:r>
            <w:r>
              <w:rPr>
                <w:rFonts w:ascii="宋体" w:hAnsi="宋体" w:cs="宋体" w:hint="eastAsia"/>
                <w:kern w:val="0"/>
                <w:sz w:val="24"/>
                <w:szCs w:val="24"/>
              </w:rPr>
              <w:t>中</w:t>
            </w:r>
            <w:r>
              <w:rPr>
                <w:rFonts w:ascii="宋体" w:hAnsi="宋体" w:cs="宋体"/>
                <w:kern w:val="0"/>
                <w:sz w:val="24"/>
                <w:szCs w:val="24"/>
              </w:rPr>
              <w:t>和处理</w:t>
            </w:r>
            <w:r>
              <w:rPr>
                <w:rFonts w:ascii="宋体" w:hAnsi="宋体" w:cs="宋体" w:hint="eastAsia"/>
                <w:kern w:val="0"/>
                <w:sz w:val="24"/>
                <w:szCs w:val="24"/>
              </w:rPr>
              <w:t>，经过监测没有对周边环境造成影响。</w:t>
            </w:r>
          </w:p>
        </w:tc>
        <w:tc>
          <w:tcPr>
            <w:tcW w:w="1559" w:type="dxa"/>
            <w:vAlign w:val="center"/>
          </w:tcPr>
          <w:p w:rsidR="00656D4A" w:rsidRDefault="00E04D23">
            <w:pPr>
              <w:widowControl/>
              <w:jc w:val="center"/>
              <w:rPr>
                <w:rFonts w:ascii="宋体" w:hAnsi="宋体" w:cs="宋体"/>
                <w:kern w:val="0"/>
                <w:sz w:val="24"/>
                <w:szCs w:val="24"/>
              </w:rPr>
            </w:pPr>
            <w:r>
              <w:rPr>
                <w:rFonts w:ascii="宋体" w:hAnsi="宋体" w:cs="宋体" w:hint="eastAsia"/>
                <w:kern w:val="0"/>
                <w:sz w:val="24"/>
                <w:szCs w:val="24"/>
              </w:rPr>
              <w:t>一般</w:t>
            </w:r>
          </w:p>
        </w:tc>
        <w:tc>
          <w:tcPr>
            <w:tcW w:w="1559" w:type="dxa"/>
            <w:vAlign w:val="center"/>
          </w:tcPr>
          <w:p w:rsidR="00656D4A" w:rsidRDefault="00E04D23">
            <w:pPr>
              <w:widowControl/>
              <w:jc w:val="center"/>
              <w:rPr>
                <w:rFonts w:ascii="宋体" w:hAnsi="宋体" w:cs="宋体"/>
                <w:kern w:val="0"/>
                <w:sz w:val="24"/>
                <w:szCs w:val="24"/>
              </w:rPr>
            </w:pPr>
            <w:r>
              <w:rPr>
                <w:rFonts w:ascii="宋体" w:hAnsi="宋体" w:cs="宋体" w:hint="eastAsia"/>
                <w:kern w:val="0"/>
                <w:sz w:val="24"/>
                <w:szCs w:val="24"/>
              </w:rPr>
              <w:t>水污染</w:t>
            </w:r>
          </w:p>
        </w:tc>
        <w:tc>
          <w:tcPr>
            <w:tcW w:w="1560" w:type="dxa"/>
            <w:vAlign w:val="center"/>
          </w:tcPr>
          <w:p w:rsidR="00656D4A" w:rsidRDefault="00E04D23">
            <w:pPr>
              <w:widowControl/>
              <w:jc w:val="center"/>
              <w:rPr>
                <w:rFonts w:ascii="宋体" w:hAnsi="宋体" w:cs="宋体"/>
                <w:kern w:val="0"/>
                <w:sz w:val="24"/>
                <w:szCs w:val="24"/>
              </w:rPr>
            </w:pPr>
            <w:r>
              <w:rPr>
                <w:rFonts w:ascii="宋体" w:hAnsi="宋体" w:cs="宋体" w:hint="eastAsia"/>
                <w:kern w:val="0"/>
                <w:sz w:val="24"/>
                <w:szCs w:val="24"/>
              </w:rPr>
              <w:t>交通事故</w:t>
            </w:r>
          </w:p>
        </w:tc>
        <w:tc>
          <w:tcPr>
            <w:tcW w:w="1733" w:type="dxa"/>
            <w:vAlign w:val="center"/>
          </w:tcPr>
          <w:p w:rsidR="00656D4A" w:rsidRDefault="00E04D23">
            <w:pPr>
              <w:jc w:val="center"/>
              <w:rPr>
                <w:rFonts w:ascii="Times New Roman" w:eastAsia="仿宋_GB2312" w:hAnsi="Times New Roman"/>
                <w:sz w:val="32"/>
                <w:szCs w:val="32"/>
              </w:rPr>
            </w:pPr>
            <w:r>
              <w:rPr>
                <w:rFonts w:ascii="Times New Roman" w:eastAsia="仿宋_GB2312" w:hAnsi="Times New Roman" w:hint="eastAsia"/>
                <w:sz w:val="32"/>
                <w:szCs w:val="32"/>
              </w:rPr>
              <w:t>/</w:t>
            </w:r>
          </w:p>
        </w:tc>
      </w:tr>
    </w:tbl>
    <w:p w:rsidR="00656D4A" w:rsidRDefault="00656D4A">
      <w:pPr>
        <w:ind w:left="945" w:hangingChars="450" w:hanging="945"/>
        <w:rPr>
          <w:rFonts w:ascii="Times New Roman" w:hAnsi="Times New Roman"/>
          <w:szCs w:val="21"/>
        </w:rPr>
      </w:pPr>
    </w:p>
    <w:p w:rsidR="00656D4A" w:rsidRDefault="00E04D23">
      <w:pPr>
        <w:ind w:left="945" w:hangingChars="450" w:hanging="945"/>
        <w:rPr>
          <w:rFonts w:ascii="Times New Roman" w:hAnsi="Times New Roman"/>
          <w:kern w:val="0"/>
          <w:szCs w:val="21"/>
        </w:rPr>
      </w:pPr>
      <w:r>
        <w:rPr>
          <w:rFonts w:ascii="Times New Roman" w:hAnsi="宋体" w:hint="eastAsia"/>
          <w:szCs w:val="21"/>
        </w:rPr>
        <w:t>说明：</w:t>
      </w:r>
      <w:r>
        <w:rPr>
          <w:rFonts w:ascii="Times New Roman" w:hAnsi="Times New Roman" w:hint="eastAsia"/>
          <w:szCs w:val="21"/>
        </w:rPr>
        <w:t>1.</w:t>
      </w:r>
      <w:r>
        <w:rPr>
          <w:rFonts w:ascii="Times New Roman" w:hAnsi="宋体" w:hint="eastAsia"/>
          <w:szCs w:val="21"/>
        </w:rPr>
        <w:t>事件基本处置情况应至少包括：时间、地点、</w:t>
      </w:r>
      <w:r>
        <w:rPr>
          <w:rFonts w:ascii="Times New Roman" w:hAnsi="宋体" w:hint="eastAsia"/>
          <w:kern w:val="0"/>
          <w:szCs w:val="21"/>
        </w:rPr>
        <w:t>基本过程、主要污染物和数量、监测数据、人员受害情况、饮用水水源地等环境敏感点受影响情</w:t>
      </w:r>
    </w:p>
    <w:p w:rsidR="00656D4A" w:rsidRDefault="00E04D23">
      <w:pPr>
        <w:ind w:firstLineChars="300" w:firstLine="630"/>
        <w:rPr>
          <w:rFonts w:ascii="Times New Roman" w:hAnsi="Times New Roman"/>
          <w:kern w:val="0"/>
          <w:szCs w:val="21"/>
        </w:rPr>
      </w:pPr>
      <w:r>
        <w:rPr>
          <w:rFonts w:ascii="Times New Roman" w:hAnsi="宋体" w:hint="eastAsia"/>
          <w:kern w:val="0"/>
          <w:szCs w:val="21"/>
        </w:rPr>
        <w:t>况、处置情况和结果、责任追究等情况。</w:t>
      </w:r>
    </w:p>
    <w:p w:rsidR="00656D4A" w:rsidRDefault="00E04D23">
      <w:pPr>
        <w:ind w:left="945" w:hangingChars="450" w:hanging="945"/>
        <w:rPr>
          <w:rFonts w:ascii="Times New Roman" w:hAnsi="Times New Roman"/>
          <w:kern w:val="0"/>
          <w:szCs w:val="21"/>
        </w:rPr>
      </w:pPr>
      <w:r>
        <w:rPr>
          <w:rFonts w:ascii="Times New Roman" w:hAnsi="Times New Roman" w:hint="eastAsia"/>
          <w:kern w:val="0"/>
          <w:szCs w:val="21"/>
        </w:rPr>
        <w:t xml:space="preserve">      2.</w:t>
      </w:r>
      <w:r>
        <w:rPr>
          <w:rFonts w:ascii="Times New Roman" w:hAnsi="宋体" w:hint="eastAsia"/>
          <w:kern w:val="0"/>
          <w:szCs w:val="21"/>
        </w:rPr>
        <w:t>事件级别，按照</w:t>
      </w:r>
      <w:r>
        <w:rPr>
          <w:rFonts w:ascii="Times New Roman" w:hAnsi="Times New Roman" w:hint="eastAsia"/>
          <w:kern w:val="0"/>
          <w:szCs w:val="21"/>
        </w:rPr>
        <w:t>2014</w:t>
      </w:r>
      <w:r>
        <w:rPr>
          <w:rFonts w:ascii="Times New Roman" w:hAnsi="宋体" w:hint="eastAsia"/>
          <w:kern w:val="0"/>
          <w:szCs w:val="21"/>
        </w:rPr>
        <w:t>年</w:t>
      </w:r>
      <w:r>
        <w:rPr>
          <w:rFonts w:ascii="Times New Roman" w:hAnsi="Times New Roman" w:hint="eastAsia"/>
          <w:kern w:val="0"/>
          <w:szCs w:val="21"/>
        </w:rPr>
        <w:t>12</w:t>
      </w:r>
      <w:r>
        <w:rPr>
          <w:rFonts w:ascii="Times New Roman" w:hAnsi="宋体" w:hint="eastAsia"/>
          <w:kern w:val="0"/>
          <w:szCs w:val="21"/>
        </w:rPr>
        <w:t>月</w:t>
      </w:r>
      <w:r>
        <w:rPr>
          <w:rFonts w:ascii="Times New Roman" w:hAnsi="Times New Roman" w:hint="eastAsia"/>
          <w:kern w:val="0"/>
          <w:szCs w:val="21"/>
        </w:rPr>
        <w:t>29</w:t>
      </w:r>
      <w:r>
        <w:rPr>
          <w:rFonts w:ascii="Times New Roman" w:hAnsi="宋体" w:hint="eastAsia"/>
          <w:kern w:val="0"/>
          <w:szCs w:val="21"/>
        </w:rPr>
        <w:t>日修订发布的《国家突发环境事件应急预案》有关规定执行。</w:t>
      </w:r>
    </w:p>
    <w:p w:rsidR="00656D4A" w:rsidRDefault="00E04D23">
      <w:pPr>
        <w:ind w:firstLineChars="300" w:firstLine="630"/>
        <w:rPr>
          <w:rFonts w:ascii="Times New Roman" w:hAnsi="Times New Roman"/>
          <w:kern w:val="0"/>
          <w:szCs w:val="21"/>
        </w:rPr>
      </w:pPr>
      <w:r>
        <w:rPr>
          <w:rFonts w:ascii="Times New Roman" w:hAnsi="Times New Roman" w:hint="eastAsia"/>
          <w:kern w:val="0"/>
          <w:szCs w:val="21"/>
        </w:rPr>
        <w:t>3.</w:t>
      </w:r>
      <w:r>
        <w:rPr>
          <w:rFonts w:ascii="Times New Roman" w:hAnsi="宋体" w:hint="eastAsia"/>
          <w:kern w:val="0"/>
          <w:szCs w:val="21"/>
        </w:rPr>
        <w:t>污染类型分为以下几类：、大气污染、土壤污染、噪声污染。</w:t>
      </w:r>
    </w:p>
    <w:p w:rsidR="00656D4A" w:rsidRDefault="00E04D23">
      <w:pPr>
        <w:ind w:firstLineChars="300" w:firstLine="630"/>
        <w:rPr>
          <w:rFonts w:ascii="Times New Roman" w:hAnsi="Times New Roman"/>
          <w:kern w:val="0"/>
          <w:szCs w:val="21"/>
        </w:rPr>
      </w:pPr>
      <w:r>
        <w:rPr>
          <w:rFonts w:ascii="Times New Roman" w:hAnsi="Times New Roman" w:hint="eastAsia"/>
          <w:kern w:val="0"/>
          <w:szCs w:val="21"/>
        </w:rPr>
        <w:t>4.</w:t>
      </w:r>
      <w:r>
        <w:rPr>
          <w:rFonts w:ascii="Times New Roman" w:hAnsi="宋体" w:hint="eastAsia"/>
          <w:kern w:val="0"/>
          <w:szCs w:val="21"/>
        </w:rPr>
        <w:t>事件起因：生产安全事故、交通事故、企业排污、自然灾害、其他。</w:t>
      </w:r>
    </w:p>
    <w:p w:rsidR="00656D4A" w:rsidRDefault="00E04D23">
      <w:pPr>
        <w:ind w:firstLineChars="300" w:firstLine="630"/>
        <w:rPr>
          <w:rFonts w:ascii="Times New Roman" w:hAnsi="Times New Roman"/>
          <w:kern w:val="0"/>
          <w:szCs w:val="21"/>
        </w:rPr>
      </w:pPr>
      <w:r>
        <w:rPr>
          <w:rFonts w:ascii="Times New Roman" w:hAnsi="Times New Roman" w:hint="eastAsia"/>
          <w:kern w:val="0"/>
          <w:szCs w:val="21"/>
        </w:rPr>
        <w:t>5.</w:t>
      </w:r>
      <w:r>
        <w:rPr>
          <w:rFonts w:ascii="Times New Roman" w:hAnsi="宋体" w:hint="eastAsia"/>
          <w:kern w:val="0"/>
          <w:szCs w:val="21"/>
        </w:rPr>
        <w:t>备注：是否为饮用水安全、重金属或类金属、尾矿库、跨省界、跨地市、群体性事件。</w:t>
      </w:r>
    </w:p>
    <w:p w:rsidR="00E04D23" w:rsidRDefault="00E04D23"/>
    <w:sectPr w:rsidR="00E04D23" w:rsidSect="00656D4A">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EB2" w:rsidRDefault="00683EB2" w:rsidP="000960E2">
      <w:r>
        <w:separator/>
      </w:r>
    </w:p>
  </w:endnote>
  <w:endnote w:type="continuationSeparator" w:id="1">
    <w:p w:rsidR="00683EB2" w:rsidRDefault="00683EB2" w:rsidP="000960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EB2" w:rsidRDefault="00683EB2" w:rsidP="000960E2">
      <w:r>
        <w:separator/>
      </w:r>
    </w:p>
  </w:footnote>
  <w:footnote w:type="continuationSeparator" w:id="1">
    <w:p w:rsidR="00683EB2" w:rsidRDefault="00683EB2" w:rsidP="000960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12DD"/>
    <w:rsid w:val="000960E2"/>
    <w:rsid w:val="00656D4A"/>
    <w:rsid w:val="00683EB2"/>
    <w:rsid w:val="00AE7C17"/>
    <w:rsid w:val="00C512DD"/>
    <w:rsid w:val="00C629EF"/>
    <w:rsid w:val="00E04D23"/>
    <w:rsid w:val="1B7A1091"/>
    <w:rsid w:val="38B76E42"/>
    <w:rsid w:val="71D8171E"/>
    <w:rsid w:val="71E933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6D4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960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960E2"/>
    <w:rPr>
      <w:rFonts w:ascii="Calibri" w:hAnsi="Calibri"/>
      <w:kern w:val="2"/>
      <w:sz w:val="18"/>
      <w:szCs w:val="18"/>
    </w:rPr>
  </w:style>
  <w:style w:type="paragraph" w:styleId="a4">
    <w:name w:val="footer"/>
    <w:basedOn w:val="a"/>
    <w:link w:val="Char0"/>
    <w:rsid w:val="000960E2"/>
    <w:pPr>
      <w:tabs>
        <w:tab w:val="center" w:pos="4153"/>
        <w:tab w:val="right" w:pos="8306"/>
      </w:tabs>
      <w:snapToGrid w:val="0"/>
      <w:jc w:val="left"/>
    </w:pPr>
    <w:rPr>
      <w:sz w:val="18"/>
      <w:szCs w:val="18"/>
    </w:rPr>
  </w:style>
  <w:style w:type="character" w:customStyle="1" w:styleId="Char0">
    <w:name w:val="页脚 Char"/>
    <w:basedOn w:val="a0"/>
    <w:link w:val="a4"/>
    <w:rsid w:val="000960E2"/>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479</Characters>
  <Application>Microsoft Office Word</Application>
  <DocSecurity>0</DocSecurity>
  <PresentationFormat/>
  <Lines>3</Lines>
  <Paragraphs>1</Paragraphs>
  <Slides>0</Slides>
  <Notes>0</Notes>
  <HiddenSlides>0</HiddenSlides>
  <MMClips>0</MMClips>
  <ScaleCrop>false</ScaleCrop>
  <Company>Microsoft</Company>
  <LinksUpToDate>false</LinksUpToDate>
  <CharactersWithSpaces>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Microsoft</dc:creator>
  <cp:lastModifiedBy>DELL</cp:lastModifiedBy>
  <cp:revision>3</cp:revision>
  <cp:lastPrinted>2019-04-01T01:31:00Z</cp:lastPrinted>
  <dcterms:created xsi:type="dcterms:W3CDTF">2019-06-28T14:32:00Z</dcterms:created>
  <dcterms:modified xsi:type="dcterms:W3CDTF">2019-06-28T14:32:00Z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